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xml" ContentType="application/vnd.openxmlformats-officedocument.wordprocessingml.header+xml"/>
  <Override PartName="/word/header230.xml" ContentType="application/vnd.openxmlformats-officedocument.wordprocessingml.header+xml"/>
  <Override PartName="/word/header231.xml" ContentType="application/vnd.openxmlformats-officedocument.wordprocessingml.header+xml"/>
  <Override PartName="/word/header232.xml" ContentType="application/vnd.openxmlformats-officedocument.wordprocessingml.header+xml"/>
  <Override PartName="/word/header233.xml" ContentType="application/vnd.openxmlformats-officedocument.wordprocessingml.header+xml"/>
  <Override PartName="/word/header234.xml" ContentType="application/vnd.openxmlformats-officedocument.wordprocessingml.header+xml"/>
  <Override PartName="/word/header235.xml" ContentType="application/vnd.openxmlformats-officedocument.wordprocessingml.header+xml"/>
  <Override PartName="/word/header236.xml" ContentType="application/vnd.openxmlformats-officedocument.wordprocessingml.header+xml"/>
  <Override PartName="/word/header237.xml" ContentType="application/vnd.openxmlformats-officedocument.wordprocessingml.header+xml"/>
  <Override PartName="/word/header238.xml" ContentType="application/vnd.openxmlformats-officedocument.wordprocessingml.header+xml"/>
  <Override PartName="/word/header239.xml" ContentType="application/vnd.openxmlformats-officedocument.wordprocessingml.header+xml"/>
  <Override PartName="/word/header24.xml" ContentType="application/vnd.openxmlformats-officedocument.wordprocessingml.header+xml"/>
  <Override PartName="/word/header240.xml" ContentType="application/vnd.openxmlformats-officedocument.wordprocessingml.header+xml"/>
  <Override PartName="/word/header241.xml" ContentType="application/vnd.openxmlformats-officedocument.wordprocessingml.header+xml"/>
  <Override PartName="/word/header242.xml" ContentType="application/vnd.openxmlformats-officedocument.wordprocessingml.header+xml"/>
  <Override PartName="/word/header243.xml" ContentType="application/vnd.openxmlformats-officedocument.wordprocessingml.header+xml"/>
  <Override PartName="/word/header244.xml" ContentType="application/vnd.openxmlformats-officedocument.wordprocessingml.header+xml"/>
  <Override PartName="/word/header245.xml" ContentType="application/vnd.openxmlformats-officedocument.wordprocessingml.header+xml"/>
  <Override PartName="/word/header246.xml" ContentType="application/vnd.openxmlformats-officedocument.wordprocessingml.header+xml"/>
  <Override PartName="/word/header247.xml" ContentType="application/vnd.openxmlformats-officedocument.wordprocessingml.header+xml"/>
  <Override PartName="/word/header248.xml" ContentType="application/vnd.openxmlformats-officedocument.wordprocessingml.header+xml"/>
  <Override PartName="/word/header249.xml" ContentType="application/vnd.openxmlformats-officedocument.wordprocessingml.header+xml"/>
  <Override PartName="/word/header25.xml" ContentType="application/vnd.openxmlformats-officedocument.wordprocessingml.header+xml"/>
  <Override PartName="/word/header250.xml" ContentType="application/vnd.openxmlformats-officedocument.wordprocessingml.header+xml"/>
  <Override PartName="/word/header251.xml" ContentType="application/vnd.openxmlformats-officedocument.wordprocessingml.header+xml"/>
  <Override PartName="/word/header252.xml" ContentType="application/vnd.openxmlformats-officedocument.wordprocessingml.header+xml"/>
  <Override PartName="/word/header253.xml" ContentType="application/vnd.openxmlformats-officedocument.wordprocessingml.header+xml"/>
  <Override PartName="/word/header254.xml" ContentType="application/vnd.openxmlformats-officedocument.wordprocessingml.header+xml"/>
  <Override PartName="/word/header255.xml" ContentType="application/vnd.openxmlformats-officedocument.wordprocessingml.header+xml"/>
  <Override PartName="/word/header256.xml" ContentType="application/vnd.openxmlformats-officedocument.wordprocessingml.header+xml"/>
  <Override PartName="/word/header257.xml" ContentType="application/vnd.openxmlformats-officedocument.wordprocessingml.header+xml"/>
  <Override PartName="/word/header258.xml" ContentType="application/vnd.openxmlformats-officedocument.wordprocessingml.header+xml"/>
  <Override PartName="/word/header259.xml" ContentType="application/vnd.openxmlformats-officedocument.wordprocessingml.header+xml"/>
  <Override PartName="/word/header26.xml" ContentType="application/vnd.openxmlformats-officedocument.wordprocessingml.header+xml"/>
  <Override PartName="/word/header260.xml" ContentType="application/vnd.openxmlformats-officedocument.wordprocessingml.header+xml"/>
  <Override PartName="/word/header261.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04C5C" w:rsidRPr="005B5CB6" w:rsidP="00D04C5C">
      <w:pPr>
        <w:pStyle w:val="TOC1"/>
        <w:tabs>
          <w:tab w:val="right" w:leader="dot" w:pos="9563"/>
        </w:tabs>
        <w:spacing w:after="120" w:line="240" w:lineRule="auto"/>
        <w:ind w:left="-142"/>
        <w:jc w:val="center"/>
        <w:rPr>
          <w:rFonts w:ascii="Verdana" w:hAnsi="Verdana"/>
          <w:color w:val="000000" w:themeColor="text1"/>
          <w:sz w:val="22"/>
        </w:rPr>
      </w:pPr>
      <w:r w:rsidRPr="005B5CB6">
        <w:rPr>
          <w:rFonts w:ascii="Verdana" w:hAnsi="Verdana"/>
          <w:color w:val="000000" w:themeColor="text1"/>
          <w:sz w:val="22"/>
        </w:rPr>
        <w:t>SELECT COMMITTEE ON DEMOCRACY AND DIGITAL TECHNOLOGIES</w:t>
      </w:r>
    </w:p>
    <w:p w:rsidR="00D04C5C" w:rsidRPr="005B5CB6" w:rsidP="00D04C5C">
      <w:pPr>
        <w:pStyle w:val="TOC1"/>
        <w:tabs>
          <w:tab w:val="right" w:leader="dot" w:pos="9563"/>
        </w:tabs>
        <w:spacing w:after="120" w:line="240" w:lineRule="auto"/>
        <w:ind w:left="-142"/>
        <w:jc w:val="center"/>
        <w:rPr>
          <w:rFonts w:ascii="Verdana" w:hAnsi="Verdana"/>
          <w:color w:val="000000" w:themeColor="text1"/>
          <w:sz w:val="22"/>
        </w:rPr>
      </w:pPr>
    </w:p>
    <w:p w:rsidR="00D04C5C" w:rsidRPr="005B5CB6" w:rsidP="00D04C5C">
      <w:pPr>
        <w:pStyle w:val="TOC1"/>
        <w:tabs>
          <w:tab w:val="right" w:leader="dot" w:pos="9563"/>
        </w:tabs>
        <w:spacing w:after="120" w:line="240" w:lineRule="auto"/>
        <w:ind w:left="-142"/>
        <w:jc w:val="center"/>
        <w:rPr>
          <w:rFonts w:ascii="Verdana" w:hAnsi="Verdana"/>
          <w:color w:val="000000" w:themeColor="text1"/>
          <w:sz w:val="22"/>
        </w:rPr>
      </w:pPr>
      <w:r w:rsidRPr="005B5CB6">
        <w:rPr>
          <w:rFonts w:ascii="Verdana" w:hAnsi="Verdana"/>
          <w:color w:val="000000" w:themeColor="text1"/>
          <w:sz w:val="22"/>
        </w:rPr>
        <w:t>WRITTEN EVIDENCE VOLUME</w:t>
      </w:r>
    </w:p>
    <w:p w:rsidR="00D04C5C" w:rsidRPr="005B5CB6" w:rsidP="0015723F">
      <w:pPr>
        <w:pStyle w:val="TOC1"/>
        <w:tabs>
          <w:tab w:val="right" w:leader="dot" w:pos="9563"/>
        </w:tabs>
        <w:spacing w:after="120" w:line="240" w:lineRule="auto"/>
        <w:ind w:left="-142"/>
        <w:rPr>
          <w:rFonts w:ascii="Verdana" w:hAnsi="Verdana"/>
          <w:color w:val="000000" w:themeColor="text1"/>
          <w:sz w:val="22"/>
        </w:rPr>
      </w:pPr>
    </w:p>
    <w:p w:rsidR="00F76D1C" w:rsidRPr="008D3D9F" w:rsidP="009266A5">
      <w:pPr>
        <w:pStyle w:val="TOC1"/>
        <w:tabs>
          <w:tab w:val="right" w:leader="dot" w:pos="9563"/>
        </w:tabs>
        <w:ind w:hanging="1585"/>
        <w:jc w:val="both"/>
        <w:rPr>
          <w:rFonts w:ascii="Verdana" w:hAnsi="Verdana" w:eastAsiaTheme="minorEastAsia" w:cstheme="minorBidi"/>
          <w:b w:val="0"/>
          <w:noProof/>
          <w:color w:val="auto"/>
          <w:sz w:val="16"/>
          <w:szCs w:val="16"/>
        </w:rPr>
      </w:pPr>
      <w:r w:rsidRPr="008D3D9F">
        <w:rPr>
          <w:rFonts w:ascii="Verdana" w:hAnsi="Verdana"/>
          <w:color w:val="000000" w:themeColor="text1"/>
          <w:sz w:val="16"/>
          <w:szCs w:val="16"/>
        </w:rPr>
        <w:fldChar w:fldCharType="begin"/>
      </w:r>
      <w:r w:rsidRPr="008D3D9F">
        <w:rPr>
          <w:rFonts w:ascii="Verdana" w:hAnsi="Verdana"/>
          <w:color w:val="000000" w:themeColor="text1"/>
          <w:sz w:val="16"/>
          <w:szCs w:val="16"/>
        </w:rPr>
        <w:instrText xml:space="preserve"> TOC \o "1-1" \h \z \u </w:instrText>
      </w:r>
      <w:r w:rsidRPr="008D3D9F">
        <w:rPr>
          <w:rFonts w:ascii="Verdana" w:hAnsi="Verdana"/>
          <w:color w:val="000000" w:themeColor="text1"/>
          <w:sz w:val="16"/>
          <w:szCs w:val="16"/>
        </w:rPr>
        <w:fldChar w:fldCharType="separate"/>
      </w:r>
      <w:r>
        <w:fldChar w:fldCharType="begin"/>
      </w:r>
      <w:r>
        <w:instrText xml:space="preserve"> HYPERLINK \l "_Toc44517689" </w:instrText>
      </w:r>
      <w:r>
        <w:fldChar w:fldCharType="separate"/>
      </w:r>
      <w:r w:rsidRPr="008D3D9F" w:rsidR="008D3D9F">
        <w:rPr>
          <w:rStyle w:val="Hyperlink"/>
          <w:rFonts w:ascii="Verdana" w:hAnsi="Verdana"/>
          <w:noProof/>
          <w:sz w:val="16"/>
          <w:szCs w:val="16"/>
        </w:rPr>
        <w:t>MR BARRY THAIN – WRITTEN EVIDENCE (DAD0001)</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_Toc44517689 \h </w:instrText>
      </w:r>
      <w:r w:rsidRPr="008D3D9F">
        <w:rPr>
          <w:rFonts w:ascii="Verdana" w:hAnsi="Verdana"/>
          <w:noProof/>
          <w:webHidden/>
          <w:sz w:val="16"/>
          <w:szCs w:val="16"/>
        </w:rPr>
        <w:fldChar w:fldCharType="separate"/>
      </w:r>
      <w:r w:rsidR="00105D17">
        <w:rPr>
          <w:rFonts w:ascii="Verdana" w:hAnsi="Verdana"/>
          <w:noProof/>
          <w:webHidden/>
          <w:sz w:val="16"/>
          <w:szCs w:val="16"/>
        </w:rPr>
        <w:t>4</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"_Toc44517690" </w:instrText>
      </w:r>
      <w:r>
        <w:fldChar w:fldCharType="separate"/>
      </w:r>
      <w:r w:rsidRPr="008D3D9F" w:rsidR="008D3D9F">
        <w:rPr>
          <w:rStyle w:val="Hyperlink"/>
          <w:rFonts w:ascii="Verdana" w:hAnsi="Verdana"/>
          <w:noProof/>
          <w:sz w:val="16"/>
          <w:szCs w:val="16"/>
        </w:rPr>
        <w:t>MS CHRISTINA EAGER – WRITTEN EVIDENCE (DAD0002)</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_Toc44517690 \h </w:instrText>
      </w:r>
      <w:r w:rsidRPr="008D3D9F">
        <w:rPr>
          <w:rFonts w:ascii="Verdana" w:hAnsi="Verdana"/>
          <w:noProof/>
          <w:webHidden/>
          <w:sz w:val="16"/>
          <w:szCs w:val="16"/>
        </w:rPr>
        <w:fldChar w:fldCharType="separate"/>
      </w:r>
      <w:r w:rsidR="00105D17">
        <w:rPr>
          <w:rFonts w:ascii="Verdana" w:hAnsi="Verdana"/>
          <w:noProof/>
          <w:webHidden/>
          <w:sz w:val="16"/>
          <w:szCs w:val="16"/>
        </w:rPr>
        <w:t>8</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"_Toc44517691" </w:instrText>
      </w:r>
      <w:r>
        <w:fldChar w:fldCharType="separate"/>
      </w:r>
      <w:r w:rsidRPr="008D3D9F" w:rsidR="008D3D9F">
        <w:rPr>
          <w:rStyle w:val="Hyperlink"/>
          <w:rFonts w:ascii="Verdana" w:hAnsi="Verdana"/>
          <w:noProof/>
          <w:sz w:val="16"/>
          <w:szCs w:val="16"/>
        </w:rPr>
        <w:t>CARE ENGLAND - WRITTEN EVIDENCE (DAD0003)</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_Toc44517691 \h </w:instrText>
      </w:r>
      <w:r w:rsidRPr="008D3D9F">
        <w:rPr>
          <w:rFonts w:ascii="Verdana" w:hAnsi="Verdana"/>
          <w:noProof/>
          <w:webHidden/>
          <w:sz w:val="16"/>
          <w:szCs w:val="16"/>
        </w:rPr>
        <w:fldChar w:fldCharType="separate"/>
      </w:r>
      <w:r w:rsidR="00105D17">
        <w:rPr>
          <w:rFonts w:ascii="Verdana" w:hAnsi="Verdana"/>
          <w:noProof/>
          <w:webHidden/>
          <w:sz w:val="16"/>
          <w:szCs w:val="16"/>
        </w:rPr>
        <w:t>13</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"_Toc44517692" </w:instrText>
      </w:r>
      <w:r>
        <w:fldChar w:fldCharType="separate"/>
      </w:r>
      <w:r w:rsidRPr="008D3D9F" w:rsidR="008D3D9F">
        <w:rPr>
          <w:rStyle w:val="Hyperlink"/>
          <w:rFonts w:ascii="Verdana" w:hAnsi="Verdana"/>
          <w:noProof/>
          <w:sz w:val="16"/>
          <w:szCs w:val="16"/>
        </w:rPr>
        <w:t>MR DAVID LAST – WRITTEN EVIDENCE (DAD0004)</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_Toc44517692 \h </w:instrText>
      </w:r>
      <w:r w:rsidRPr="008D3D9F">
        <w:rPr>
          <w:rFonts w:ascii="Verdana" w:hAnsi="Verdana"/>
          <w:noProof/>
          <w:webHidden/>
          <w:sz w:val="16"/>
          <w:szCs w:val="16"/>
        </w:rPr>
        <w:fldChar w:fldCharType="separate"/>
      </w:r>
      <w:r w:rsidR="00105D17">
        <w:rPr>
          <w:rFonts w:ascii="Verdana" w:hAnsi="Verdana"/>
          <w:noProof/>
          <w:webHidden/>
          <w:sz w:val="16"/>
          <w:szCs w:val="16"/>
        </w:rPr>
        <w:t>16</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"_Toc44517693" </w:instrText>
      </w:r>
      <w:r>
        <w:fldChar w:fldCharType="separate"/>
      </w:r>
      <w:r w:rsidRPr="008D3D9F" w:rsidR="008D3D9F">
        <w:rPr>
          <w:rStyle w:val="Hyperlink"/>
          <w:rFonts w:ascii="Verdana" w:hAnsi="Verdana"/>
          <w:noProof/>
          <w:sz w:val="16"/>
          <w:szCs w:val="16"/>
        </w:rPr>
        <w:t>MR ARCHIE GENT – WRITTEN EVIDENCE (DAD0007)</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_Toc44517693 \h </w:instrText>
      </w:r>
      <w:r w:rsidRPr="008D3D9F">
        <w:rPr>
          <w:rFonts w:ascii="Verdana" w:hAnsi="Verdana"/>
          <w:noProof/>
          <w:webHidden/>
          <w:sz w:val="16"/>
          <w:szCs w:val="16"/>
        </w:rPr>
        <w:fldChar w:fldCharType="separate"/>
      </w:r>
      <w:r w:rsidR="00105D17">
        <w:rPr>
          <w:rFonts w:ascii="Verdana" w:hAnsi="Verdana"/>
          <w:noProof/>
          <w:webHidden/>
          <w:sz w:val="16"/>
          <w:szCs w:val="16"/>
        </w:rPr>
        <w:t>17</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"_Toc44517694" </w:instrText>
      </w:r>
      <w:r>
        <w:fldChar w:fldCharType="separate"/>
      </w:r>
      <w:r w:rsidRPr="008D3D9F" w:rsidR="008D3D9F">
        <w:rPr>
          <w:rStyle w:val="Hyperlink"/>
          <w:rFonts w:ascii="Verdana" w:hAnsi="Verdana"/>
          <w:noProof/>
          <w:sz w:val="16"/>
          <w:szCs w:val="16"/>
        </w:rPr>
        <w:t>ROBIN POTTER – WRITTEN EVIDENCE (DAD0008)</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_Toc44517694 \h </w:instrText>
      </w:r>
      <w:r w:rsidRPr="008D3D9F">
        <w:rPr>
          <w:rFonts w:ascii="Verdana" w:hAnsi="Verdana"/>
          <w:noProof/>
          <w:webHidden/>
          <w:sz w:val="16"/>
          <w:szCs w:val="16"/>
        </w:rPr>
        <w:fldChar w:fldCharType="separate"/>
      </w:r>
      <w:r w:rsidR="00105D17">
        <w:rPr>
          <w:rFonts w:ascii="Verdana" w:hAnsi="Verdana"/>
          <w:noProof/>
          <w:webHidden/>
          <w:sz w:val="16"/>
          <w:szCs w:val="16"/>
        </w:rPr>
        <w:t>20</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"_Toc44517695" </w:instrText>
      </w:r>
      <w:r>
        <w:fldChar w:fldCharType="separate"/>
      </w:r>
      <w:r w:rsidRPr="008D3D9F" w:rsidR="008D3D9F">
        <w:rPr>
          <w:rStyle w:val="Hyperlink"/>
          <w:rFonts w:ascii="Verdana" w:hAnsi="Verdana"/>
          <w:noProof/>
          <w:sz w:val="16"/>
          <w:szCs w:val="16"/>
        </w:rPr>
        <w:t>MR JOHN BRACE – WRITTEN EVIDENCE (DAD0009)</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_Toc44517695 \h </w:instrText>
      </w:r>
      <w:r w:rsidRPr="008D3D9F">
        <w:rPr>
          <w:rFonts w:ascii="Verdana" w:hAnsi="Verdana"/>
          <w:noProof/>
          <w:webHidden/>
          <w:sz w:val="16"/>
          <w:szCs w:val="16"/>
        </w:rPr>
        <w:fldChar w:fldCharType="separate"/>
      </w:r>
      <w:r w:rsidR="00105D17">
        <w:rPr>
          <w:rFonts w:ascii="Verdana" w:hAnsi="Verdana"/>
          <w:noProof/>
          <w:webHidden/>
          <w:sz w:val="16"/>
          <w:szCs w:val="16"/>
        </w:rPr>
        <w:t>23</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"_Toc44517696" </w:instrText>
      </w:r>
      <w:r>
        <w:fldChar w:fldCharType="separate"/>
      </w:r>
      <w:r w:rsidRPr="008D3D9F" w:rsidR="008D3D9F">
        <w:rPr>
          <w:rStyle w:val="Hyperlink"/>
          <w:rFonts w:ascii="Verdana" w:hAnsi="Verdana"/>
          <w:noProof/>
          <w:sz w:val="16"/>
          <w:szCs w:val="16"/>
        </w:rPr>
        <w:t>MR ROY JAKES – WRITTEN EVIDENCE (DAD0010)</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_Toc44517696 \h </w:instrText>
      </w:r>
      <w:r w:rsidRPr="008D3D9F">
        <w:rPr>
          <w:rFonts w:ascii="Verdana" w:hAnsi="Verdana"/>
          <w:noProof/>
          <w:webHidden/>
          <w:sz w:val="16"/>
          <w:szCs w:val="16"/>
        </w:rPr>
        <w:fldChar w:fldCharType="separate"/>
      </w:r>
      <w:r w:rsidR="00105D17">
        <w:rPr>
          <w:rFonts w:ascii="Verdana" w:hAnsi="Verdana"/>
          <w:noProof/>
          <w:webHidden/>
          <w:sz w:val="16"/>
          <w:szCs w:val="16"/>
        </w:rPr>
        <w:t>29</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"_Toc44517697" </w:instrText>
      </w:r>
      <w:r>
        <w:fldChar w:fldCharType="separate"/>
      </w:r>
      <w:r w:rsidRPr="008D3D9F" w:rsidR="008D3D9F">
        <w:rPr>
          <w:rStyle w:val="Hyperlink"/>
          <w:rFonts w:ascii="Verdana" w:hAnsi="Verdana"/>
          <w:noProof/>
          <w:sz w:val="16"/>
          <w:szCs w:val="16"/>
        </w:rPr>
        <w:t>BETHANY SHINER – WRITTEN EVIDENCE (DAD0013)</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_Toc44517697 \h </w:instrText>
      </w:r>
      <w:r w:rsidRPr="008D3D9F">
        <w:rPr>
          <w:rFonts w:ascii="Verdana" w:hAnsi="Verdana"/>
          <w:noProof/>
          <w:webHidden/>
          <w:sz w:val="16"/>
          <w:szCs w:val="16"/>
        </w:rPr>
        <w:fldChar w:fldCharType="separate"/>
      </w:r>
      <w:r w:rsidR="00105D17">
        <w:rPr>
          <w:rFonts w:ascii="Verdana" w:hAnsi="Verdana"/>
          <w:noProof/>
          <w:webHidden/>
          <w:sz w:val="16"/>
          <w:szCs w:val="16"/>
        </w:rPr>
        <w:t>33</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"_Toc44517698" </w:instrText>
      </w:r>
      <w:r>
        <w:fldChar w:fldCharType="separate"/>
      </w:r>
      <w:r w:rsidRPr="008D3D9F" w:rsidR="008D3D9F">
        <w:rPr>
          <w:rStyle w:val="Hyperlink"/>
          <w:rFonts w:ascii="Verdana" w:hAnsi="Verdana"/>
          <w:noProof/>
          <w:sz w:val="16"/>
          <w:szCs w:val="16"/>
        </w:rPr>
        <w:t>DR ROSSANA DEPLANO - WRITTEN EVIDENCE (DAD0014)</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_Toc44517698 \h </w:instrText>
      </w:r>
      <w:r w:rsidRPr="008D3D9F">
        <w:rPr>
          <w:rFonts w:ascii="Verdana" w:hAnsi="Verdana"/>
          <w:noProof/>
          <w:webHidden/>
          <w:sz w:val="16"/>
          <w:szCs w:val="16"/>
        </w:rPr>
        <w:fldChar w:fldCharType="separate"/>
      </w:r>
      <w:r w:rsidR="00105D17">
        <w:rPr>
          <w:rFonts w:ascii="Verdana" w:hAnsi="Verdana"/>
          <w:noProof/>
          <w:webHidden/>
          <w:sz w:val="16"/>
          <w:szCs w:val="16"/>
        </w:rPr>
        <w:t>39</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"_Toc44517699" </w:instrText>
      </w:r>
      <w:r>
        <w:fldChar w:fldCharType="separate"/>
      </w:r>
      <w:r w:rsidRPr="008D3D9F" w:rsidR="008D3D9F">
        <w:rPr>
          <w:rStyle w:val="Hyperlink"/>
          <w:rFonts w:ascii="Verdana" w:hAnsi="Verdana"/>
          <w:noProof/>
          <w:sz w:val="16"/>
          <w:szCs w:val="16"/>
        </w:rPr>
        <w:t>DIGITAL RADIO MONDIALE – WRITTEN EVIDENCE (DAD0015)</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_Toc44517699 \h </w:instrText>
      </w:r>
      <w:r w:rsidRPr="008D3D9F">
        <w:rPr>
          <w:rFonts w:ascii="Verdana" w:hAnsi="Verdana"/>
          <w:noProof/>
          <w:webHidden/>
          <w:sz w:val="16"/>
          <w:szCs w:val="16"/>
        </w:rPr>
        <w:fldChar w:fldCharType="separate"/>
      </w:r>
      <w:r w:rsidR="00105D17">
        <w:rPr>
          <w:rFonts w:ascii="Verdana" w:hAnsi="Verdana"/>
          <w:noProof/>
          <w:webHidden/>
          <w:sz w:val="16"/>
          <w:szCs w:val="16"/>
        </w:rPr>
        <w:t>44</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"_Toc44517700" </w:instrText>
      </w:r>
      <w:r>
        <w:fldChar w:fldCharType="separate"/>
      </w:r>
      <w:r w:rsidRPr="008D3D9F" w:rsidR="008D3D9F">
        <w:rPr>
          <w:rStyle w:val="Hyperlink"/>
          <w:rFonts w:ascii="Verdana" w:hAnsi="Verdana"/>
          <w:noProof/>
          <w:sz w:val="16"/>
          <w:szCs w:val="16"/>
        </w:rPr>
        <w:t>MR JOHN HARDING – WRITTEN EVIDENCE (DAD0016)</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_Toc44517700 \h </w:instrText>
      </w:r>
      <w:r w:rsidRPr="008D3D9F">
        <w:rPr>
          <w:rFonts w:ascii="Verdana" w:hAnsi="Verdana"/>
          <w:noProof/>
          <w:webHidden/>
          <w:sz w:val="16"/>
          <w:szCs w:val="16"/>
        </w:rPr>
        <w:fldChar w:fldCharType="separate"/>
      </w:r>
      <w:r w:rsidR="00105D17">
        <w:rPr>
          <w:rFonts w:ascii="Verdana" w:hAnsi="Verdana"/>
          <w:noProof/>
          <w:webHidden/>
          <w:sz w:val="16"/>
          <w:szCs w:val="16"/>
        </w:rPr>
        <w:t>48</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"_Toc44517701" </w:instrText>
      </w:r>
      <w:r>
        <w:fldChar w:fldCharType="separate"/>
      </w:r>
      <w:r w:rsidRPr="008D3D9F" w:rsidR="008D3D9F">
        <w:rPr>
          <w:rStyle w:val="Hyperlink"/>
          <w:rFonts w:ascii="Verdana" w:hAnsi="Verdana"/>
          <w:noProof/>
          <w:sz w:val="16"/>
          <w:szCs w:val="16"/>
        </w:rPr>
        <w:t>MR MICHAEL LA COSTA – WRITTEN EVIDENCE (DAD0017)</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_Toc44517701 \h </w:instrText>
      </w:r>
      <w:r w:rsidRPr="008D3D9F">
        <w:rPr>
          <w:rFonts w:ascii="Verdana" w:hAnsi="Verdana"/>
          <w:noProof/>
          <w:webHidden/>
          <w:sz w:val="16"/>
          <w:szCs w:val="16"/>
        </w:rPr>
        <w:fldChar w:fldCharType="separate"/>
      </w:r>
      <w:r w:rsidR="00105D17">
        <w:rPr>
          <w:rFonts w:ascii="Verdana" w:hAnsi="Verdana"/>
          <w:noProof/>
          <w:webHidden/>
          <w:sz w:val="16"/>
          <w:szCs w:val="16"/>
        </w:rPr>
        <w:t>66</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"_Toc44517702" </w:instrText>
      </w:r>
      <w:r>
        <w:fldChar w:fldCharType="separate"/>
      </w:r>
      <w:r w:rsidRPr="008D3D9F" w:rsidR="008D3D9F">
        <w:rPr>
          <w:rStyle w:val="Hyperlink"/>
          <w:rFonts w:ascii="Verdana" w:hAnsi="Verdana"/>
          <w:noProof/>
          <w:sz w:val="16"/>
          <w:szCs w:val="16"/>
        </w:rPr>
        <w:t>NATIONAL PENSIONERS CONVENTION – WRITTEN EVIDENCE (DAD0018)</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_Toc44517702 \h </w:instrText>
      </w:r>
      <w:r w:rsidRPr="008D3D9F">
        <w:rPr>
          <w:rFonts w:ascii="Verdana" w:hAnsi="Verdana"/>
          <w:noProof/>
          <w:webHidden/>
          <w:sz w:val="16"/>
          <w:szCs w:val="16"/>
        </w:rPr>
        <w:fldChar w:fldCharType="separate"/>
      </w:r>
      <w:r w:rsidR="00105D17">
        <w:rPr>
          <w:rFonts w:ascii="Verdana" w:hAnsi="Verdana"/>
          <w:noProof/>
          <w:webHidden/>
          <w:sz w:val="16"/>
          <w:szCs w:val="16"/>
        </w:rPr>
        <w:t>71</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"_Toc44517703" </w:instrText>
      </w:r>
      <w:r>
        <w:fldChar w:fldCharType="separate"/>
      </w:r>
      <w:r w:rsidRPr="008D3D9F" w:rsidR="008D3D9F">
        <w:rPr>
          <w:rStyle w:val="Hyperlink"/>
          <w:rFonts w:ascii="Verdana" w:hAnsi="Verdana"/>
          <w:noProof/>
          <w:sz w:val="16"/>
          <w:szCs w:val="16"/>
        </w:rPr>
        <w:t>NETWORK FOR MEDIA AND PERSUASIVE COMMUNICATION BANGOR UNIVERSITY – WRITTEN EVIDENCE (DAD0019)</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_Toc44517703 \h </w:instrText>
      </w:r>
      <w:r w:rsidRPr="008D3D9F">
        <w:rPr>
          <w:rFonts w:ascii="Verdana" w:hAnsi="Verdana"/>
          <w:noProof/>
          <w:webHidden/>
          <w:sz w:val="16"/>
          <w:szCs w:val="16"/>
        </w:rPr>
        <w:fldChar w:fldCharType="separate"/>
      </w:r>
      <w:r w:rsidR="00105D17">
        <w:rPr>
          <w:rFonts w:ascii="Verdana" w:hAnsi="Verdana"/>
          <w:noProof/>
          <w:webHidden/>
          <w:sz w:val="16"/>
          <w:szCs w:val="16"/>
        </w:rPr>
        <w:t>74</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"_Toc44517704" </w:instrText>
      </w:r>
      <w:r>
        <w:fldChar w:fldCharType="separate"/>
      </w:r>
      <w:r w:rsidRPr="008D3D9F" w:rsidR="008D3D9F">
        <w:rPr>
          <w:rStyle w:val="Hyperlink"/>
          <w:rFonts w:ascii="Verdana" w:hAnsi="Verdana"/>
          <w:noProof/>
          <w:sz w:val="16"/>
          <w:szCs w:val="16"/>
        </w:rPr>
        <w:t>MR TRISTAN HOTHAM – WRITTEN EVIDENCE (DAD0021)</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_Toc44517704 \h </w:instrText>
      </w:r>
      <w:r w:rsidRPr="008D3D9F">
        <w:rPr>
          <w:rFonts w:ascii="Verdana" w:hAnsi="Verdana"/>
          <w:noProof/>
          <w:webHidden/>
          <w:sz w:val="16"/>
          <w:szCs w:val="16"/>
        </w:rPr>
        <w:fldChar w:fldCharType="separate"/>
      </w:r>
      <w:r w:rsidR="00105D17">
        <w:rPr>
          <w:rFonts w:ascii="Verdana" w:hAnsi="Verdana"/>
          <w:noProof/>
          <w:webHidden/>
          <w:sz w:val="16"/>
          <w:szCs w:val="16"/>
        </w:rPr>
        <w:t>109</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"_Toc44517705" </w:instrText>
      </w:r>
      <w:r>
        <w:fldChar w:fldCharType="separate"/>
      </w:r>
      <w:r w:rsidRPr="008D3D9F" w:rsidR="008D3D9F">
        <w:rPr>
          <w:rStyle w:val="Hyperlink"/>
          <w:rFonts w:ascii="Verdana" w:hAnsi="Verdana"/>
          <w:noProof/>
          <w:sz w:val="16"/>
          <w:szCs w:val="16"/>
        </w:rPr>
        <w:t>THE UNIVERSITY OF LIVERPOOL – WRITTEN EVIDENCE (DAD0022)</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_Toc44517705 \h </w:instrText>
      </w:r>
      <w:r w:rsidRPr="008D3D9F">
        <w:rPr>
          <w:rFonts w:ascii="Verdana" w:hAnsi="Verdana"/>
          <w:noProof/>
          <w:webHidden/>
          <w:sz w:val="16"/>
          <w:szCs w:val="16"/>
        </w:rPr>
        <w:fldChar w:fldCharType="separate"/>
      </w:r>
      <w:r w:rsidR="00105D17">
        <w:rPr>
          <w:rFonts w:ascii="Verdana" w:hAnsi="Verdana"/>
          <w:noProof/>
          <w:webHidden/>
          <w:sz w:val="16"/>
          <w:szCs w:val="16"/>
        </w:rPr>
        <w:t>113</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"_Toc44517706" </w:instrText>
      </w:r>
      <w:r>
        <w:fldChar w:fldCharType="separate"/>
      </w:r>
      <w:r w:rsidRPr="008D3D9F" w:rsidR="008D3D9F">
        <w:rPr>
          <w:rStyle w:val="Hyperlink"/>
          <w:rFonts w:ascii="Verdana" w:hAnsi="Verdana"/>
          <w:noProof/>
          <w:sz w:val="16"/>
          <w:szCs w:val="16"/>
        </w:rPr>
        <w:t>MR JAMES CRASKE – WRITTEN EVIDENCE (DAD0023)</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_Toc44517706 \h </w:instrText>
      </w:r>
      <w:r w:rsidRPr="008D3D9F">
        <w:rPr>
          <w:rFonts w:ascii="Verdana" w:hAnsi="Verdana"/>
          <w:noProof/>
          <w:webHidden/>
          <w:sz w:val="16"/>
          <w:szCs w:val="16"/>
        </w:rPr>
        <w:fldChar w:fldCharType="separate"/>
      </w:r>
      <w:r w:rsidR="00105D17">
        <w:rPr>
          <w:rFonts w:ascii="Verdana" w:hAnsi="Verdana"/>
          <w:noProof/>
          <w:webHidden/>
          <w:sz w:val="16"/>
          <w:szCs w:val="16"/>
        </w:rPr>
        <w:t>116</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"_Toc44517707" </w:instrText>
      </w:r>
      <w:r>
        <w:fldChar w:fldCharType="separate"/>
      </w:r>
      <w:r w:rsidRPr="008D3D9F" w:rsidR="008D3D9F">
        <w:rPr>
          <w:rStyle w:val="Hyperlink"/>
          <w:rFonts w:ascii="Verdana" w:hAnsi="Verdana"/>
          <w:noProof/>
          <w:sz w:val="16"/>
          <w:szCs w:val="16"/>
        </w:rPr>
        <w:t>MYSOCIETY – WRITTEN EVIDENCE (DAD0024)</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_Toc44517707 \h </w:instrText>
      </w:r>
      <w:r w:rsidRPr="008D3D9F">
        <w:rPr>
          <w:rFonts w:ascii="Verdana" w:hAnsi="Verdana"/>
          <w:noProof/>
          <w:webHidden/>
          <w:sz w:val="16"/>
          <w:szCs w:val="16"/>
        </w:rPr>
        <w:fldChar w:fldCharType="separate"/>
      </w:r>
      <w:r w:rsidR="00105D17">
        <w:rPr>
          <w:rFonts w:ascii="Verdana" w:hAnsi="Verdana"/>
          <w:noProof/>
          <w:webHidden/>
          <w:sz w:val="16"/>
          <w:szCs w:val="16"/>
        </w:rPr>
        <w:t>125</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"_Toc44517708" </w:instrText>
      </w:r>
      <w:r>
        <w:fldChar w:fldCharType="separate"/>
      </w:r>
      <w:r w:rsidRPr="008D3D9F" w:rsidR="008D3D9F">
        <w:rPr>
          <w:rStyle w:val="Hyperlink"/>
          <w:rFonts w:ascii="Verdana" w:hAnsi="Verdana"/>
          <w:noProof/>
          <w:sz w:val="16"/>
          <w:szCs w:val="16"/>
        </w:rPr>
        <w:t>BANG THE TABLE – WRITTEN EVIDENCE (DAD0025)</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_Toc44517708 \h </w:instrText>
      </w:r>
      <w:r w:rsidRPr="008D3D9F">
        <w:rPr>
          <w:rFonts w:ascii="Verdana" w:hAnsi="Verdana"/>
          <w:noProof/>
          <w:webHidden/>
          <w:sz w:val="16"/>
          <w:szCs w:val="16"/>
        </w:rPr>
        <w:fldChar w:fldCharType="separate"/>
      </w:r>
      <w:r w:rsidR="00105D17">
        <w:rPr>
          <w:rFonts w:ascii="Verdana" w:hAnsi="Verdana"/>
          <w:noProof/>
          <w:webHidden/>
          <w:sz w:val="16"/>
          <w:szCs w:val="16"/>
        </w:rPr>
        <w:t>154</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"_Toc44517709" </w:instrText>
      </w:r>
      <w:r>
        <w:fldChar w:fldCharType="separate"/>
      </w:r>
      <w:r w:rsidRPr="008D3D9F" w:rsidR="008D3D9F">
        <w:rPr>
          <w:rStyle w:val="Hyperlink"/>
          <w:rFonts w:ascii="Verdana" w:hAnsi="Verdana"/>
          <w:noProof/>
          <w:sz w:val="16"/>
          <w:szCs w:val="16"/>
        </w:rPr>
        <w:t>INSTITUTE OF PRACTITIONERS IN ADVERTISING (IPA) – WRITTEN EVIDENCE (DAD0026)</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_Toc44517709 \h </w:instrText>
      </w:r>
      <w:r w:rsidRPr="008D3D9F">
        <w:rPr>
          <w:rFonts w:ascii="Verdana" w:hAnsi="Verdana"/>
          <w:noProof/>
          <w:webHidden/>
          <w:sz w:val="16"/>
          <w:szCs w:val="16"/>
        </w:rPr>
        <w:fldChar w:fldCharType="separate"/>
      </w:r>
      <w:r w:rsidR="00105D17">
        <w:rPr>
          <w:rFonts w:ascii="Verdana" w:hAnsi="Verdana"/>
          <w:noProof/>
          <w:webHidden/>
          <w:sz w:val="16"/>
          <w:szCs w:val="16"/>
        </w:rPr>
        <w:t>162</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"_Toc44517710" </w:instrText>
      </w:r>
      <w:r>
        <w:fldChar w:fldCharType="separate"/>
      </w:r>
      <w:r w:rsidRPr="008D3D9F" w:rsidR="008D3D9F">
        <w:rPr>
          <w:rStyle w:val="Hyperlink"/>
          <w:rFonts w:ascii="Verdana" w:hAnsi="Verdana"/>
          <w:noProof/>
          <w:sz w:val="16"/>
          <w:szCs w:val="16"/>
        </w:rPr>
        <w:t>DR ROBERT DOVER – WRITTEN EVIDENCE (DAD0027)</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_Toc44517710 \h </w:instrText>
      </w:r>
      <w:r w:rsidRPr="008D3D9F">
        <w:rPr>
          <w:rFonts w:ascii="Verdana" w:hAnsi="Verdana"/>
          <w:noProof/>
          <w:webHidden/>
          <w:sz w:val="16"/>
          <w:szCs w:val="16"/>
        </w:rPr>
        <w:fldChar w:fldCharType="separate"/>
      </w:r>
      <w:r w:rsidR="00105D17">
        <w:rPr>
          <w:rFonts w:ascii="Verdana" w:hAnsi="Verdana"/>
          <w:noProof/>
          <w:webHidden/>
          <w:sz w:val="16"/>
          <w:szCs w:val="16"/>
        </w:rPr>
        <w:t>167</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"_Toc44517711" </w:instrText>
      </w:r>
      <w:r>
        <w:fldChar w:fldCharType="separate"/>
      </w:r>
      <w:r w:rsidRPr="008D3D9F" w:rsidR="008D3D9F">
        <w:rPr>
          <w:rStyle w:val="Hyperlink"/>
          <w:rFonts w:ascii="Verdana" w:hAnsi="Verdana"/>
          <w:noProof/>
          <w:sz w:val="16"/>
          <w:szCs w:val="16"/>
        </w:rPr>
        <w:t>PLAY VERTO GLOBAL LTD – WRITTEN EVIDENCE (DAD0028)</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_Toc44517711 \h </w:instrText>
      </w:r>
      <w:r w:rsidRPr="008D3D9F">
        <w:rPr>
          <w:rFonts w:ascii="Verdana" w:hAnsi="Verdana"/>
          <w:noProof/>
          <w:webHidden/>
          <w:sz w:val="16"/>
          <w:szCs w:val="16"/>
        </w:rPr>
        <w:fldChar w:fldCharType="separate"/>
      </w:r>
      <w:r w:rsidR="00105D17">
        <w:rPr>
          <w:rFonts w:ascii="Verdana" w:hAnsi="Verdana"/>
          <w:noProof/>
          <w:webHidden/>
          <w:sz w:val="16"/>
          <w:szCs w:val="16"/>
        </w:rPr>
        <w:t>172</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"_Toc44517712" </w:instrText>
      </w:r>
      <w:r>
        <w:fldChar w:fldCharType="separate"/>
      </w:r>
      <w:r w:rsidRPr="008D3D9F" w:rsidR="008D3D9F">
        <w:rPr>
          <w:rStyle w:val="Hyperlink"/>
          <w:rFonts w:ascii="Verdana" w:hAnsi="Verdana"/>
          <w:noProof/>
          <w:sz w:val="16"/>
          <w:szCs w:val="16"/>
        </w:rPr>
        <w:t>ADVERTISING STANDARDS AUTHORITY – WRITTEN EVIDENCE (DAD0029)</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_Toc44517712 \h </w:instrText>
      </w:r>
      <w:r w:rsidRPr="008D3D9F">
        <w:rPr>
          <w:rFonts w:ascii="Verdana" w:hAnsi="Verdana"/>
          <w:noProof/>
          <w:webHidden/>
          <w:sz w:val="16"/>
          <w:szCs w:val="16"/>
        </w:rPr>
        <w:fldChar w:fldCharType="separate"/>
      </w:r>
      <w:r w:rsidR="00105D17">
        <w:rPr>
          <w:rFonts w:ascii="Verdana" w:hAnsi="Verdana"/>
          <w:noProof/>
          <w:webHidden/>
          <w:sz w:val="16"/>
          <w:szCs w:val="16"/>
        </w:rPr>
        <w:t>176</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"_Toc44517713" </w:instrText>
      </w:r>
      <w:r>
        <w:fldChar w:fldCharType="separate"/>
      </w:r>
      <w:r w:rsidRPr="008D3D9F" w:rsidR="008D3D9F">
        <w:rPr>
          <w:rStyle w:val="Hyperlink"/>
          <w:rFonts w:ascii="Verdana" w:hAnsi="Verdana"/>
          <w:noProof/>
          <w:sz w:val="16"/>
          <w:szCs w:val="16"/>
        </w:rPr>
        <w:t>SCYTL SECURE ELECTRONIC VOTING – WRITTEN EVIDENCE (DAD0030)</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_Toc44517713 \h </w:instrText>
      </w:r>
      <w:r w:rsidRPr="008D3D9F">
        <w:rPr>
          <w:rFonts w:ascii="Verdana" w:hAnsi="Verdana"/>
          <w:noProof/>
          <w:webHidden/>
          <w:sz w:val="16"/>
          <w:szCs w:val="16"/>
        </w:rPr>
        <w:fldChar w:fldCharType="separate"/>
      </w:r>
      <w:r w:rsidR="00105D17">
        <w:rPr>
          <w:rFonts w:ascii="Verdana" w:hAnsi="Verdana"/>
          <w:noProof/>
          <w:webHidden/>
          <w:sz w:val="16"/>
          <w:szCs w:val="16"/>
        </w:rPr>
        <w:t>181</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"_Toc44517714" </w:instrText>
      </w:r>
      <w:r>
        <w:fldChar w:fldCharType="separate"/>
      </w:r>
      <w:r w:rsidRPr="008D3D9F" w:rsidR="008D3D9F">
        <w:rPr>
          <w:rStyle w:val="Hyperlink"/>
          <w:rFonts w:ascii="Verdana" w:hAnsi="Verdana"/>
          <w:noProof/>
          <w:sz w:val="16"/>
          <w:szCs w:val="16"/>
        </w:rPr>
        <w:t>SUSAN HEDLEY – WRITTEN EVIDENCE (DAD0031)</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_Toc44517714 \h </w:instrText>
      </w:r>
      <w:r w:rsidRPr="008D3D9F">
        <w:rPr>
          <w:rFonts w:ascii="Verdana" w:hAnsi="Verdana"/>
          <w:noProof/>
          <w:webHidden/>
          <w:sz w:val="16"/>
          <w:szCs w:val="16"/>
        </w:rPr>
        <w:fldChar w:fldCharType="separate"/>
      </w:r>
      <w:r w:rsidR="00105D17">
        <w:rPr>
          <w:rFonts w:ascii="Verdana" w:hAnsi="Verdana"/>
          <w:noProof/>
          <w:webHidden/>
          <w:sz w:val="16"/>
          <w:szCs w:val="16"/>
        </w:rPr>
        <w:t>186</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"_Toc44517715" </w:instrText>
      </w:r>
      <w:r>
        <w:fldChar w:fldCharType="separate"/>
      </w:r>
      <w:r w:rsidRPr="008D3D9F" w:rsidR="008D3D9F">
        <w:rPr>
          <w:rStyle w:val="Hyperlink"/>
          <w:rFonts w:ascii="Verdana" w:hAnsi="Verdana"/>
          <w:noProof/>
          <w:sz w:val="16"/>
          <w:szCs w:val="16"/>
        </w:rPr>
        <w:t>INDEX ON CENSORSHIP – WRITTEN EVIDENCE (DAD0032)</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_Toc44517715 \h </w:instrText>
      </w:r>
      <w:r w:rsidRPr="008D3D9F">
        <w:rPr>
          <w:rFonts w:ascii="Verdana" w:hAnsi="Verdana"/>
          <w:noProof/>
          <w:webHidden/>
          <w:sz w:val="16"/>
          <w:szCs w:val="16"/>
        </w:rPr>
        <w:fldChar w:fldCharType="separate"/>
      </w:r>
      <w:r w:rsidR="00105D17">
        <w:rPr>
          <w:rFonts w:ascii="Verdana" w:hAnsi="Verdana"/>
          <w:noProof/>
          <w:webHidden/>
          <w:sz w:val="16"/>
          <w:szCs w:val="16"/>
        </w:rPr>
        <w:t>190</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"_Toc44517716" </w:instrText>
      </w:r>
      <w:r>
        <w:fldChar w:fldCharType="separate"/>
      </w:r>
      <w:r w:rsidRPr="008D3D9F" w:rsidR="008D3D9F">
        <w:rPr>
          <w:rStyle w:val="Hyperlink"/>
          <w:rFonts w:ascii="Verdana" w:hAnsi="Verdana"/>
          <w:noProof/>
          <w:sz w:val="16"/>
          <w:szCs w:val="16"/>
        </w:rPr>
        <w:t>THE DIGITAL LIFE SKILLS COMPANY CIC – WRITTEN EVIDENCE (DAD0033)</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_Toc44517716 \h </w:instrText>
      </w:r>
      <w:r w:rsidRPr="008D3D9F">
        <w:rPr>
          <w:rFonts w:ascii="Verdana" w:hAnsi="Verdana"/>
          <w:noProof/>
          <w:webHidden/>
          <w:sz w:val="16"/>
          <w:szCs w:val="16"/>
        </w:rPr>
        <w:fldChar w:fldCharType="separate"/>
      </w:r>
      <w:r w:rsidR="00105D17">
        <w:rPr>
          <w:rFonts w:ascii="Verdana" w:hAnsi="Verdana"/>
          <w:noProof/>
          <w:webHidden/>
          <w:sz w:val="16"/>
          <w:szCs w:val="16"/>
        </w:rPr>
        <w:t>196</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"_Toc44517717" </w:instrText>
      </w:r>
      <w:r>
        <w:fldChar w:fldCharType="separate"/>
      </w:r>
      <w:r w:rsidRPr="008D3D9F" w:rsidR="008D3D9F">
        <w:rPr>
          <w:rStyle w:val="Hyperlink"/>
          <w:rFonts w:ascii="Verdana" w:hAnsi="Verdana"/>
          <w:noProof/>
          <w:sz w:val="16"/>
          <w:szCs w:val="16"/>
        </w:rPr>
        <w:t>HM GOVERNMENT – WRITTEN EVIDENCE (DAD0034)</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_Toc44517717 \h </w:instrText>
      </w:r>
      <w:r w:rsidRPr="008D3D9F">
        <w:rPr>
          <w:rFonts w:ascii="Verdana" w:hAnsi="Verdana"/>
          <w:noProof/>
          <w:webHidden/>
          <w:sz w:val="16"/>
          <w:szCs w:val="16"/>
        </w:rPr>
        <w:fldChar w:fldCharType="separate"/>
      </w:r>
      <w:r w:rsidR="00105D17">
        <w:rPr>
          <w:rFonts w:ascii="Verdana" w:hAnsi="Verdana"/>
          <w:noProof/>
          <w:webHidden/>
          <w:sz w:val="16"/>
          <w:szCs w:val="16"/>
        </w:rPr>
        <w:t>200</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"_Toc44517718" </w:instrText>
      </w:r>
      <w:r>
        <w:fldChar w:fldCharType="separate"/>
      </w:r>
      <w:r w:rsidRPr="008D3D9F" w:rsidR="008D3D9F">
        <w:rPr>
          <w:rStyle w:val="Hyperlink"/>
          <w:rFonts w:ascii="Verdana" w:hAnsi="Verdana"/>
          <w:noProof/>
          <w:sz w:val="16"/>
          <w:szCs w:val="16"/>
        </w:rPr>
        <w:t>DR CLAIRE HARDAKER – WRITTEN EVIDENCE (DAD0035)</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_Toc44517718 \h </w:instrText>
      </w:r>
      <w:r w:rsidRPr="008D3D9F">
        <w:rPr>
          <w:rFonts w:ascii="Verdana" w:hAnsi="Verdana"/>
          <w:noProof/>
          <w:webHidden/>
          <w:sz w:val="16"/>
          <w:szCs w:val="16"/>
        </w:rPr>
        <w:fldChar w:fldCharType="separate"/>
      </w:r>
      <w:r w:rsidR="00105D17">
        <w:rPr>
          <w:rFonts w:ascii="Verdana" w:hAnsi="Verdana"/>
          <w:noProof/>
          <w:webHidden/>
          <w:sz w:val="16"/>
          <w:szCs w:val="16"/>
        </w:rPr>
        <w:t>218</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"_Toc44517719" </w:instrText>
      </w:r>
      <w:r>
        <w:fldChar w:fldCharType="separate"/>
      </w:r>
      <w:r w:rsidRPr="008D3D9F" w:rsidR="008D3D9F">
        <w:rPr>
          <w:rStyle w:val="Hyperlink"/>
          <w:rFonts w:ascii="Verdana" w:hAnsi="Verdana"/>
          <w:noProof/>
          <w:sz w:val="16"/>
          <w:szCs w:val="16"/>
        </w:rPr>
        <w:t>UNIVERSITY OF STRATHCLYDE – WRITTEN EVIDENCE (DAD0036)</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_Toc44517719 \h </w:instrText>
      </w:r>
      <w:r w:rsidRPr="008D3D9F">
        <w:rPr>
          <w:rFonts w:ascii="Verdana" w:hAnsi="Verdana"/>
          <w:noProof/>
          <w:webHidden/>
          <w:sz w:val="16"/>
          <w:szCs w:val="16"/>
        </w:rPr>
        <w:fldChar w:fldCharType="separate"/>
      </w:r>
      <w:r w:rsidR="00105D17">
        <w:rPr>
          <w:rFonts w:ascii="Verdana" w:hAnsi="Verdana"/>
          <w:noProof/>
          <w:webHidden/>
          <w:sz w:val="16"/>
          <w:szCs w:val="16"/>
        </w:rPr>
        <w:t>226</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"_Toc44517720" </w:instrText>
      </w:r>
      <w:r>
        <w:fldChar w:fldCharType="separate"/>
      </w:r>
      <w:r w:rsidRPr="008D3D9F" w:rsidR="008D3D9F">
        <w:rPr>
          <w:rStyle w:val="Hyperlink"/>
          <w:rFonts w:ascii="Verdana" w:hAnsi="Verdana"/>
          <w:noProof/>
          <w:sz w:val="16"/>
          <w:szCs w:val="16"/>
        </w:rPr>
        <w:t>DOTEVERYONE – WRITTEN EVIDENCE (DAD0037)</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_Toc44517720 \h </w:instrText>
      </w:r>
      <w:r w:rsidRPr="008D3D9F">
        <w:rPr>
          <w:rFonts w:ascii="Verdana" w:hAnsi="Verdana"/>
          <w:noProof/>
          <w:webHidden/>
          <w:sz w:val="16"/>
          <w:szCs w:val="16"/>
        </w:rPr>
        <w:fldChar w:fldCharType="separate"/>
      </w:r>
      <w:r w:rsidR="00105D17">
        <w:rPr>
          <w:rFonts w:ascii="Verdana" w:hAnsi="Verdana"/>
          <w:noProof/>
          <w:webHidden/>
          <w:sz w:val="16"/>
          <w:szCs w:val="16"/>
        </w:rPr>
        <w:t>230</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"_Toc44517721" </w:instrText>
      </w:r>
      <w:r>
        <w:fldChar w:fldCharType="separate"/>
      </w:r>
      <w:r w:rsidRPr="008D3D9F" w:rsidR="008D3D9F">
        <w:rPr>
          <w:rStyle w:val="Hyperlink"/>
          <w:rFonts w:ascii="Verdana" w:hAnsi="Verdana"/>
          <w:noProof/>
          <w:sz w:val="16"/>
          <w:szCs w:val="16"/>
        </w:rPr>
        <w:t>DR ARGYRO KARANASIOU – WRITTEN EVIDENCE (DAD0038)</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_Toc44517721 \h </w:instrText>
      </w:r>
      <w:r w:rsidRPr="008D3D9F">
        <w:rPr>
          <w:rFonts w:ascii="Verdana" w:hAnsi="Verdana"/>
          <w:noProof/>
          <w:webHidden/>
          <w:sz w:val="16"/>
          <w:szCs w:val="16"/>
        </w:rPr>
        <w:fldChar w:fldCharType="separate"/>
      </w:r>
      <w:r w:rsidR="00105D17">
        <w:rPr>
          <w:rFonts w:ascii="Verdana" w:hAnsi="Verdana"/>
          <w:noProof/>
          <w:webHidden/>
          <w:sz w:val="16"/>
          <w:szCs w:val="16"/>
        </w:rPr>
        <w:t>239</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"_Toc44517722" </w:instrText>
      </w:r>
      <w:r>
        <w:fldChar w:fldCharType="separate"/>
      </w:r>
      <w:r w:rsidRPr="008D3D9F" w:rsidR="008D3D9F">
        <w:rPr>
          <w:rStyle w:val="Hyperlink"/>
          <w:rFonts w:ascii="Verdana" w:hAnsi="Verdana"/>
          <w:noProof/>
          <w:sz w:val="16"/>
          <w:szCs w:val="16"/>
        </w:rPr>
        <w:t>GOOD THINGS FOUNDATION – WRITTEN EVIDENCE (DAD0039)</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_Toc44517722 \h </w:instrText>
      </w:r>
      <w:r w:rsidRPr="008D3D9F">
        <w:rPr>
          <w:rFonts w:ascii="Verdana" w:hAnsi="Verdana"/>
          <w:noProof/>
          <w:webHidden/>
          <w:sz w:val="16"/>
          <w:szCs w:val="16"/>
        </w:rPr>
        <w:fldChar w:fldCharType="separate"/>
      </w:r>
      <w:r w:rsidR="00105D17">
        <w:rPr>
          <w:rFonts w:ascii="Verdana" w:hAnsi="Verdana"/>
          <w:noProof/>
          <w:webHidden/>
          <w:sz w:val="16"/>
          <w:szCs w:val="16"/>
        </w:rPr>
        <w:t>249</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"_Toc44517723" </w:instrText>
      </w:r>
      <w:r>
        <w:fldChar w:fldCharType="separate"/>
      </w:r>
      <w:r w:rsidRPr="008D3D9F" w:rsidR="008D3D9F">
        <w:rPr>
          <w:rStyle w:val="Hyperlink"/>
          <w:rFonts w:ascii="Verdana" w:hAnsi="Verdana"/>
          <w:noProof/>
          <w:sz w:val="16"/>
          <w:szCs w:val="16"/>
        </w:rPr>
        <w:t>DR JIAHONG CHEN – WRITTEN EVIDENCE (DAD0040)</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_Toc44517723 \h </w:instrText>
      </w:r>
      <w:r w:rsidRPr="008D3D9F">
        <w:rPr>
          <w:rFonts w:ascii="Verdana" w:hAnsi="Verdana"/>
          <w:noProof/>
          <w:webHidden/>
          <w:sz w:val="16"/>
          <w:szCs w:val="16"/>
        </w:rPr>
        <w:fldChar w:fldCharType="separate"/>
      </w:r>
      <w:r w:rsidR="00105D17">
        <w:rPr>
          <w:rFonts w:ascii="Verdana" w:hAnsi="Verdana"/>
          <w:noProof/>
          <w:webHidden/>
          <w:sz w:val="16"/>
          <w:szCs w:val="16"/>
        </w:rPr>
        <w:t>255</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"_Toc44517724" </w:instrText>
      </w:r>
      <w:r>
        <w:fldChar w:fldCharType="separate"/>
      </w:r>
      <w:r w:rsidRPr="008D3D9F" w:rsidR="008D3D9F">
        <w:rPr>
          <w:rStyle w:val="Hyperlink"/>
          <w:rFonts w:ascii="Verdana" w:hAnsi="Verdana"/>
          <w:noProof/>
          <w:sz w:val="16"/>
          <w:szCs w:val="16"/>
        </w:rPr>
        <w:t>PRIVACY INTERNATIONAL – WRITTEN EVIDENCE (DAD0041)</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_Toc44517724 \h </w:instrText>
      </w:r>
      <w:r w:rsidRPr="008D3D9F">
        <w:rPr>
          <w:rFonts w:ascii="Verdana" w:hAnsi="Verdana"/>
          <w:noProof/>
          <w:webHidden/>
          <w:sz w:val="16"/>
          <w:szCs w:val="16"/>
        </w:rPr>
        <w:fldChar w:fldCharType="separate"/>
      </w:r>
      <w:r w:rsidR="00105D17">
        <w:rPr>
          <w:rFonts w:ascii="Verdana" w:hAnsi="Verdana"/>
          <w:noProof/>
          <w:webHidden/>
          <w:sz w:val="16"/>
          <w:szCs w:val="16"/>
        </w:rPr>
        <w:t>262</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"_Toc44517725" </w:instrText>
      </w:r>
      <w:r>
        <w:fldChar w:fldCharType="separate"/>
      </w:r>
      <w:r w:rsidRPr="008D3D9F" w:rsidR="008D3D9F">
        <w:rPr>
          <w:rStyle w:val="Hyperlink"/>
          <w:rFonts w:ascii="Verdana" w:hAnsi="Verdana"/>
          <w:noProof/>
          <w:sz w:val="16"/>
          <w:szCs w:val="16"/>
        </w:rPr>
        <w:t>FULL FACT – WRITTEN EVIDENCE (DAD0042)</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_Toc44517725 \h </w:instrText>
      </w:r>
      <w:r w:rsidRPr="008D3D9F">
        <w:rPr>
          <w:rFonts w:ascii="Verdana" w:hAnsi="Verdana"/>
          <w:noProof/>
          <w:webHidden/>
          <w:sz w:val="16"/>
          <w:szCs w:val="16"/>
        </w:rPr>
        <w:fldChar w:fldCharType="separate"/>
      </w:r>
      <w:r w:rsidR="00105D17">
        <w:rPr>
          <w:rFonts w:ascii="Verdana" w:hAnsi="Verdana"/>
          <w:noProof/>
          <w:webHidden/>
          <w:sz w:val="16"/>
          <w:szCs w:val="16"/>
        </w:rPr>
        <w:t>279</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"_Toc44517726" </w:instrText>
      </w:r>
      <w:r>
        <w:fldChar w:fldCharType="separate"/>
      </w:r>
      <w:r w:rsidRPr="008D3D9F" w:rsidR="008D3D9F">
        <w:rPr>
          <w:rStyle w:val="Hyperlink"/>
          <w:rFonts w:ascii="Verdana" w:hAnsi="Verdana"/>
          <w:noProof/>
          <w:sz w:val="16"/>
          <w:szCs w:val="16"/>
        </w:rPr>
        <w:t>INFORMATION COMMISSIONER’S OFFICE – WRITTEN EVIDENCE (DAD0043)</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_Toc44517726 \h </w:instrText>
      </w:r>
      <w:r w:rsidRPr="008D3D9F">
        <w:rPr>
          <w:rFonts w:ascii="Verdana" w:hAnsi="Verdana"/>
          <w:noProof/>
          <w:webHidden/>
          <w:sz w:val="16"/>
          <w:szCs w:val="16"/>
        </w:rPr>
        <w:fldChar w:fldCharType="separate"/>
      </w:r>
      <w:r w:rsidR="00105D17">
        <w:rPr>
          <w:rFonts w:ascii="Verdana" w:hAnsi="Verdana"/>
          <w:noProof/>
          <w:webHidden/>
          <w:sz w:val="16"/>
          <w:szCs w:val="16"/>
        </w:rPr>
        <w:t>290</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"_Toc44517727" </w:instrText>
      </w:r>
      <w:r>
        <w:fldChar w:fldCharType="separate"/>
      </w:r>
      <w:r w:rsidRPr="008D3D9F" w:rsidR="008D3D9F">
        <w:rPr>
          <w:rStyle w:val="Hyperlink"/>
          <w:rFonts w:ascii="Verdana" w:hAnsi="Verdana"/>
          <w:noProof/>
          <w:sz w:val="16"/>
          <w:szCs w:val="16"/>
        </w:rPr>
        <w:t>DR DOMINIC BURBIDGE – WRITTEN EVIDENCE (DAD0044)</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_Toc44517727 \h </w:instrText>
      </w:r>
      <w:r w:rsidRPr="008D3D9F">
        <w:rPr>
          <w:rFonts w:ascii="Verdana" w:hAnsi="Verdana"/>
          <w:noProof/>
          <w:webHidden/>
          <w:sz w:val="16"/>
          <w:szCs w:val="16"/>
        </w:rPr>
        <w:fldChar w:fldCharType="separate"/>
      </w:r>
      <w:r w:rsidR="00105D17">
        <w:rPr>
          <w:rFonts w:ascii="Verdana" w:hAnsi="Verdana"/>
          <w:noProof/>
          <w:webHidden/>
          <w:sz w:val="16"/>
          <w:szCs w:val="16"/>
        </w:rPr>
        <w:t>293</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"_Toc44517728" </w:instrText>
      </w:r>
      <w:r>
        <w:fldChar w:fldCharType="separate"/>
      </w:r>
      <w:r w:rsidRPr="008D3D9F" w:rsidR="008D3D9F">
        <w:rPr>
          <w:rStyle w:val="Hyperlink"/>
          <w:rFonts w:ascii="Verdana" w:hAnsi="Verdana"/>
          <w:noProof/>
          <w:sz w:val="16"/>
          <w:szCs w:val="16"/>
        </w:rPr>
        <w:t>DR GILLIAN BOLSOVER – WRITTEN EVIDENCE (DAD0046)</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_Toc44517728 \h </w:instrText>
      </w:r>
      <w:r w:rsidRPr="008D3D9F">
        <w:rPr>
          <w:rFonts w:ascii="Verdana" w:hAnsi="Verdana"/>
          <w:noProof/>
          <w:webHidden/>
          <w:sz w:val="16"/>
          <w:szCs w:val="16"/>
        </w:rPr>
        <w:fldChar w:fldCharType="separate"/>
      </w:r>
      <w:r w:rsidR="00105D17">
        <w:rPr>
          <w:rFonts w:ascii="Verdana" w:hAnsi="Verdana"/>
          <w:noProof/>
          <w:webHidden/>
          <w:sz w:val="16"/>
          <w:szCs w:val="16"/>
        </w:rPr>
        <w:t>297</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"_Toc44517729" </w:instrText>
      </w:r>
      <w:r>
        <w:fldChar w:fldCharType="separate"/>
      </w:r>
      <w:r w:rsidRPr="008D3D9F" w:rsidR="008D3D9F">
        <w:rPr>
          <w:rStyle w:val="Hyperlink"/>
          <w:rFonts w:ascii="Verdana" w:hAnsi="Verdana"/>
          <w:noProof/>
          <w:sz w:val="16"/>
          <w:szCs w:val="16"/>
        </w:rPr>
        <w:t>DR LUKE TEMPLE – WRITTEN EVIDENCE (DAD0048)</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_Toc44517729 \h </w:instrText>
      </w:r>
      <w:r w:rsidRPr="008D3D9F">
        <w:rPr>
          <w:rFonts w:ascii="Verdana" w:hAnsi="Verdana"/>
          <w:noProof/>
          <w:webHidden/>
          <w:sz w:val="16"/>
          <w:szCs w:val="16"/>
        </w:rPr>
        <w:fldChar w:fldCharType="separate"/>
      </w:r>
      <w:r w:rsidR="00105D17">
        <w:rPr>
          <w:rFonts w:ascii="Verdana" w:hAnsi="Verdana"/>
          <w:noProof/>
          <w:webHidden/>
          <w:sz w:val="16"/>
          <w:szCs w:val="16"/>
        </w:rPr>
        <w:t>305</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"_Toc44517730" </w:instrText>
      </w:r>
      <w:r>
        <w:fldChar w:fldCharType="separate"/>
      </w:r>
      <w:r w:rsidRPr="008D3D9F" w:rsidR="008D3D9F">
        <w:rPr>
          <w:rStyle w:val="Hyperlink"/>
          <w:rFonts w:ascii="Verdana" w:hAnsi="Verdana"/>
          <w:noProof/>
          <w:sz w:val="16"/>
          <w:szCs w:val="16"/>
        </w:rPr>
        <w:t>OFCOM – WRITTEN EVIDENCE (DAD0049)</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_Toc44517730 \h </w:instrText>
      </w:r>
      <w:r w:rsidRPr="008D3D9F">
        <w:rPr>
          <w:rFonts w:ascii="Verdana" w:hAnsi="Verdana"/>
          <w:noProof/>
          <w:webHidden/>
          <w:sz w:val="16"/>
          <w:szCs w:val="16"/>
        </w:rPr>
        <w:fldChar w:fldCharType="separate"/>
      </w:r>
      <w:r w:rsidR="00105D17">
        <w:rPr>
          <w:rFonts w:ascii="Verdana" w:hAnsi="Verdana"/>
          <w:noProof/>
          <w:webHidden/>
          <w:sz w:val="16"/>
          <w:szCs w:val="16"/>
        </w:rPr>
        <w:t>311</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"_Toc44517731" </w:instrText>
      </w:r>
      <w:r>
        <w:fldChar w:fldCharType="separate"/>
      </w:r>
      <w:r w:rsidRPr="008D3D9F" w:rsidR="008D3D9F">
        <w:rPr>
          <w:rStyle w:val="Hyperlink"/>
          <w:rFonts w:ascii="Verdana" w:hAnsi="Verdana"/>
          <w:noProof/>
          <w:sz w:val="16"/>
          <w:szCs w:val="16"/>
        </w:rPr>
        <w:t>MICROSOFT – WRITTEN EVIDENCE (DAD0050)</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_Toc44517731 \h </w:instrText>
      </w:r>
      <w:r w:rsidRPr="008D3D9F">
        <w:rPr>
          <w:rFonts w:ascii="Verdana" w:hAnsi="Verdana"/>
          <w:noProof/>
          <w:webHidden/>
          <w:sz w:val="16"/>
          <w:szCs w:val="16"/>
        </w:rPr>
        <w:fldChar w:fldCharType="separate"/>
      </w:r>
      <w:r w:rsidR="00105D17">
        <w:rPr>
          <w:rFonts w:ascii="Verdana" w:hAnsi="Verdana"/>
          <w:noProof/>
          <w:webHidden/>
          <w:sz w:val="16"/>
          <w:szCs w:val="16"/>
        </w:rPr>
        <w:t>316</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"_Toc44517732" </w:instrText>
      </w:r>
      <w:r>
        <w:fldChar w:fldCharType="separate"/>
      </w:r>
      <w:r w:rsidRPr="008D3D9F" w:rsidR="008D3D9F">
        <w:rPr>
          <w:rStyle w:val="Hyperlink"/>
          <w:rFonts w:ascii="Verdana" w:hAnsi="Verdana"/>
          <w:noProof/>
          <w:sz w:val="16"/>
          <w:szCs w:val="16"/>
        </w:rPr>
        <w:t>ANDREW KEMP – WRITTEN EVIDENCE (DAD0052)</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_Toc44517732 \h </w:instrText>
      </w:r>
      <w:r w:rsidRPr="008D3D9F">
        <w:rPr>
          <w:rFonts w:ascii="Verdana" w:hAnsi="Verdana"/>
          <w:noProof/>
          <w:webHidden/>
          <w:sz w:val="16"/>
          <w:szCs w:val="16"/>
        </w:rPr>
        <w:fldChar w:fldCharType="separate"/>
      </w:r>
      <w:r w:rsidR="00105D17">
        <w:rPr>
          <w:rFonts w:ascii="Verdana" w:hAnsi="Verdana"/>
          <w:noProof/>
          <w:webHidden/>
          <w:sz w:val="16"/>
          <w:szCs w:val="16"/>
        </w:rPr>
        <w:t>319</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"_Toc44517733" </w:instrText>
      </w:r>
      <w:r>
        <w:fldChar w:fldCharType="separate"/>
      </w:r>
      <w:r w:rsidRPr="008D3D9F" w:rsidR="008D3D9F">
        <w:rPr>
          <w:rStyle w:val="Hyperlink"/>
          <w:rFonts w:ascii="Verdana" w:hAnsi="Verdana"/>
          <w:noProof/>
          <w:sz w:val="16"/>
          <w:szCs w:val="16"/>
        </w:rPr>
        <w:t>PROFESSOR PETER HOPKINS – WRITTEN EVIDENCE (DAD0053)</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_Toc44517733 \h </w:instrText>
      </w:r>
      <w:r w:rsidRPr="008D3D9F">
        <w:rPr>
          <w:rFonts w:ascii="Verdana" w:hAnsi="Verdana"/>
          <w:noProof/>
          <w:webHidden/>
          <w:sz w:val="16"/>
          <w:szCs w:val="16"/>
        </w:rPr>
        <w:fldChar w:fldCharType="separate"/>
      </w:r>
      <w:r w:rsidR="00105D17">
        <w:rPr>
          <w:rFonts w:ascii="Verdana" w:hAnsi="Verdana"/>
          <w:noProof/>
          <w:webHidden/>
          <w:sz w:val="16"/>
          <w:szCs w:val="16"/>
        </w:rPr>
        <w:t>323</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"_Toc44517734" </w:instrText>
      </w:r>
      <w:r>
        <w:fldChar w:fldCharType="separate"/>
      </w:r>
      <w:r w:rsidRPr="008D3D9F" w:rsidR="008D3D9F">
        <w:rPr>
          <w:rStyle w:val="Hyperlink"/>
          <w:rFonts w:ascii="Verdana" w:hAnsi="Verdana"/>
          <w:noProof/>
          <w:sz w:val="16"/>
          <w:szCs w:val="16"/>
        </w:rPr>
        <w:t>CHANNEL 4 – WRITTEN EVIDENCE (DAD0055)</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_Toc44517734 \h </w:instrText>
      </w:r>
      <w:r w:rsidRPr="008D3D9F">
        <w:rPr>
          <w:rFonts w:ascii="Verdana" w:hAnsi="Verdana"/>
          <w:noProof/>
          <w:webHidden/>
          <w:sz w:val="16"/>
          <w:szCs w:val="16"/>
        </w:rPr>
        <w:fldChar w:fldCharType="separate"/>
      </w:r>
      <w:r w:rsidR="00105D17">
        <w:rPr>
          <w:rFonts w:ascii="Verdana" w:hAnsi="Verdana"/>
          <w:noProof/>
          <w:webHidden/>
          <w:sz w:val="16"/>
          <w:szCs w:val="16"/>
        </w:rPr>
        <w:t>331</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"_Toc44517735" </w:instrText>
      </w:r>
      <w:r>
        <w:fldChar w:fldCharType="separate"/>
      </w:r>
      <w:r w:rsidRPr="008D3D9F" w:rsidR="008D3D9F">
        <w:rPr>
          <w:rStyle w:val="Hyperlink"/>
          <w:rFonts w:ascii="Verdana" w:hAnsi="Verdana"/>
          <w:noProof/>
          <w:sz w:val="16"/>
          <w:szCs w:val="16"/>
        </w:rPr>
        <w:t>PROFESSOR PETER HOPKINS – WRITTEN EVIDENCE (DAD0056)</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_Toc44517735 \h </w:instrText>
      </w:r>
      <w:r w:rsidRPr="008D3D9F">
        <w:rPr>
          <w:rFonts w:ascii="Verdana" w:hAnsi="Verdana"/>
          <w:noProof/>
          <w:webHidden/>
          <w:sz w:val="16"/>
          <w:szCs w:val="16"/>
        </w:rPr>
        <w:fldChar w:fldCharType="separate"/>
      </w:r>
      <w:r w:rsidR="00105D17">
        <w:rPr>
          <w:rFonts w:ascii="Verdana" w:hAnsi="Verdana"/>
          <w:noProof/>
          <w:webHidden/>
          <w:sz w:val="16"/>
          <w:szCs w:val="16"/>
        </w:rPr>
        <w:t>347</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"_Toc44517736" </w:instrText>
      </w:r>
      <w:r>
        <w:fldChar w:fldCharType="separate"/>
      </w:r>
      <w:r w:rsidRPr="008D3D9F" w:rsidR="008D3D9F">
        <w:rPr>
          <w:rStyle w:val="Hyperlink"/>
          <w:rFonts w:ascii="Verdana" w:hAnsi="Verdana"/>
          <w:noProof/>
          <w:sz w:val="16"/>
          <w:szCs w:val="16"/>
        </w:rPr>
        <w:t>SUSAN HEDLEY – WRITTEN EVIDENCE (DAD0057)</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_Toc44517736 \h </w:instrText>
      </w:r>
      <w:r w:rsidRPr="008D3D9F">
        <w:rPr>
          <w:rFonts w:ascii="Verdana" w:hAnsi="Verdana"/>
          <w:noProof/>
          <w:webHidden/>
          <w:sz w:val="16"/>
          <w:szCs w:val="16"/>
        </w:rPr>
        <w:fldChar w:fldCharType="separate"/>
      </w:r>
      <w:r w:rsidR="00105D17">
        <w:rPr>
          <w:rFonts w:ascii="Verdana" w:hAnsi="Verdana"/>
          <w:noProof/>
          <w:webHidden/>
          <w:sz w:val="16"/>
          <w:szCs w:val="16"/>
        </w:rPr>
        <w:t>350</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"_Toc44517737" </w:instrText>
      </w:r>
      <w:r>
        <w:fldChar w:fldCharType="separate"/>
      </w:r>
      <w:r w:rsidRPr="008D3D9F" w:rsidR="008D3D9F">
        <w:rPr>
          <w:rStyle w:val="Hyperlink"/>
          <w:rFonts w:ascii="Verdana" w:hAnsi="Verdana"/>
          <w:noProof/>
          <w:sz w:val="16"/>
          <w:szCs w:val="16"/>
        </w:rPr>
        <w:t>ELECTORAL COMMISSION – WRITTEN EVIDENCE (DAD0058)</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_Toc44517737 \h </w:instrText>
      </w:r>
      <w:r w:rsidRPr="008D3D9F">
        <w:rPr>
          <w:rFonts w:ascii="Verdana" w:hAnsi="Verdana"/>
          <w:noProof/>
          <w:webHidden/>
          <w:sz w:val="16"/>
          <w:szCs w:val="16"/>
        </w:rPr>
        <w:fldChar w:fldCharType="separate"/>
      </w:r>
      <w:r w:rsidR="00105D17">
        <w:rPr>
          <w:rFonts w:ascii="Verdana" w:hAnsi="Verdana"/>
          <w:noProof/>
          <w:webHidden/>
          <w:sz w:val="16"/>
          <w:szCs w:val="16"/>
        </w:rPr>
        <w:t>354</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"_Toc44517738" </w:instrText>
      </w:r>
      <w:r>
        <w:fldChar w:fldCharType="separate"/>
      </w:r>
      <w:r w:rsidRPr="008D3D9F" w:rsidR="008D3D9F">
        <w:rPr>
          <w:rStyle w:val="Hyperlink"/>
          <w:rFonts w:ascii="Verdana" w:hAnsi="Verdana"/>
          <w:noProof/>
          <w:sz w:val="16"/>
          <w:szCs w:val="16"/>
        </w:rPr>
        <w:t>DR FELIPE ROMERO-MORENO – WRITTEN EVIDENCE (DAD0059)</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_Toc44517738 \h </w:instrText>
      </w:r>
      <w:r w:rsidRPr="008D3D9F">
        <w:rPr>
          <w:rFonts w:ascii="Verdana" w:hAnsi="Verdana"/>
          <w:noProof/>
          <w:webHidden/>
          <w:sz w:val="16"/>
          <w:szCs w:val="16"/>
        </w:rPr>
        <w:fldChar w:fldCharType="separate"/>
      </w:r>
      <w:r w:rsidR="00105D17">
        <w:rPr>
          <w:rFonts w:ascii="Verdana" w:hAnsi="Verdana"/>
          <w:noProof/>
          <w:webHidden/>
          <w:sz w:val="16"/>
          <w:szCs w:val="16"/>
        </w:rPr>
        <w:t>360</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"_Toc44517739" </w:instrText>
      </w:r>
      <w:r>
        <w:fldChar w:fldCharType="separate"/>
      </w:r>
      <w:r w:rsidRPr="008D3D9F" w:rsidR="008D3D9F">
        <w:rPr>
          <w:rStyle w:val="Hyperlink"/>
          <w:rFonts w:ascii="Verdana" w:hAnsi="Verdana"/>
          <w:noProof/>
          <w:sz w:val="16"/>
          <w:szCs w:val="16"/>
        </w:rPr>
        <w:t>OXFORD INTERNET INSTITUTE – WRITTEN EVIDENCE (DAD0060)</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_Toc44517739 \h </w:instrText>
      </w:r>
      <w:r w:rsidRPr="008D3D9F">
        <w:rPr>
          <w:rFonts w:ascii="Verdana" w:hAnsi="Verdana"/>
          <w:noProof/>
          <w:webHidden/>
          <w:sz w:val="16"/>
          <w:szCs w:val="16"/>
        </w:rPr>
        <w:fldChar w:fldCharType="separate"/>
      </w:r>
      <w:r w:rsidR="00105D17">
        <w:rPr>
          <w:rFonts w:ascii="Verdana" w:hAnsi="Verdana"/>
          <w:noProof/>
          <w:webHidden/>
          <w:sz w:val="16"/>
          <w:szCs w:val="16"/>
        </w:rPr>
        <w:t>367</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"_Toc44517740" </w:instrText>
      </w:r>
      <w:r>
        <w:fldChar w:fldCharType="separate"/>
      </w:r>
      <w:r w:rsidRPr="008D3D9F" w:rsidR="008D3D9F">
        <w:rPr>
          <w:rStyle w:val="Hyperlink"/>
          <w:rFonts w:ascii="Verdana" w:hAnsi="Verdana"/>
          <w:noProof/>
          <w:sz w:val="16"/>
          <w:szCs w:val="16"/>
        </w:rPr>
        <w:t>OPEN UNIVERSITY SUBMISSION – WRITTEN EVIDENCE (DAD0061)</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_Toc44517740 \h </w:instrText>
      </w:r>
      <w:r w:rsidRPr="008D3D9F">
        <w:rPr>
          <w:rFonts w:ascii="Verdana" w:hAnsi="Verdana"/>
          <w:noProof/>
          <w:webHidden/>
          <w:sz w:val="16"/>
          <w:szCs w:val="16"/>
        </w:rPr>
        <w:fldChar w:fldCharType="separate"/>
      </w:r>
      <w:r w:rsidR="00105D17">
        <w:rPr>
          <w:rFonts w:ascii="Verdana" w:hAnsi="Verdana"/>
          <w:noProof/>
          <w:webHidden/>
          <w:sz w:val="16"/>
          <w:szCs w:val="16"/>
        </w:rPr>
        <w:t>374</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"_Toc44517741" </w:instrText>
      </w:r>
      <w:r>
        <w:fldChar w:fldCharType="separate"/>
      </w:r>
      <w:r w:rsidRPr="008D3D9F" w:rsidR="008D3D9F">
        <w:rPr>
          <w:rStyle w:val="Hyperlink"/>
          <w:rFonts w:ascii="Verdana" w:hAnsi="Verdana"/>
          <w:noProof/>
          <w:sz w:val="16"/>
          <w:szCs w:val="16"/>
        </w:rPr>
        <w:t>BBC – WRITTEN EVIDENCE (DAD0062)</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_Toc44517741 \h </w:instrText>
      </w:r>
      <w:r w:rsidRPr="008D3D9F">
        <w:rPr>
          <w:rFonts w:ascii="Verdana" w:hAnsi="Verdana"/>
          <w:noProof/>
          <w:webHidden/>
          <w:sz w:val="16"/>
          <w:szCs w:val="16"/>
        </w:rPr>
        <w:fldChar w:fldCharType="separate"/>
      </w:r>
      <w:r w:rsidR="00105D17">
        <w:rPr>
          <w:rFonts w:ascii="Verdana" w:hAnsi="Verdana"/>
          <w:noProof/>
          <w:webHidden/>
          <w:sz w:val="16"/>
          <w:szCs w:val="16"/>
        </w:rPr>
        <w:t>379</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"_Toc44517742" </w:instrText>
      </w:r>
      <w:r>
        <w:fldChar w:fldCharType="separate"/>
      </w:r>
      <w:r w:rsidRPr="008D3D9F" w:rsidR="008D3D9F">
        <w:rPr>
          <w:rStyle w:val="Hyperlink"/>
          <w:rFonts w:ascii="Verdana" w:hAnsi="Verdana"/>
          <w:noProof/>
          <w:sz w:val="16"/>
          <w:szCs w:val="16"/>
        </w:rPr>
        <w:t>THE ALAN TURING INSTITUTE’S PUBLIC POLICY PROGRAMME – WRITTEN EVIDENCE (DAD0063)</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_Toc44517742 \h </w:instrText>
      </w:r>
      <w:r w:rsidRPr="008D3D9F">
        <w:rPr>
          <w:rFonts w:ascii="Verdana" w:hAnsi="Verdana"/>
          <w:noProof/>
          <w:webHidden/>
          <w:sz w:val="16"/>
          <w:szCs w:val="16"/>
        </w:rPr>
        <w:fldChar w:fldCharType="separate"/>
      </w:r>
      <w:r w:rsidR="00105D17">
        <w:rPr>
          <w:rFonts w:ascii="Verdana" w:hAnsi="Verdana"/>
          <w:noProof/>
          <w:webHidden/>
          <w:sz w:val="16"/>
          <w:szCs w:val="16"/>
        </w:rPr>
        <w:t>389</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"_Toc44517743" </w:instrText>
      </w:r>
      <w:r>
        <w:fldChar w:fldCharType="separate"/>
      </w:r>
      <w:r w:rsidRPr="008D3D9F" w:rsidR="008D3D9F">
        <w:rPr>
          <w:rStyle w:val="Hyperlink"/>
          <w:rFonts w:ascii="Verdana" w:hAnsi="Verdana"/>
          <w:noProof/>
          <w:sz w:val="16"/>
          <w:szCs w:val="16"/>
        </w:rPr>
        <w:t>SPARKSTER LABS LTD – WRITTEN EVIDENCE (DAD0064)</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_Toc44517743 \h </w:instrText>
      </w:r>
      <w:r w:rsidRPr="008D3D9F">
        <w:rPr>
          <w:rFonts w:ascii="Verdana" w:hAnsi="Verdana"/>
          <w:noProof/>
          <w:webHidden/>
          <w:sz w:val="16"/>
          <w:szCs w:val="16"/>
        </w:rPr>
        <w:fldChar w:fldCharType="separate"/>
      </w:r>
      <w:r w:rsidR="00105D17">
        <w:rPr>
          <w:rFonts w:ascii="Verdana" w:hAnsi="Verdana"/>
          <w:noProof/>
          <w:webHidden/>
          <w:sz w:val="16"/>
          <w:szCs w:val="16"/>
        </w:rPr>
        <w:t>402</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"_Toc44517744" </w:instrText>
      </w:r>
      <w:r>
        <w:fldChar w:fldCharType="separate"/>
      </w:r>
      <w:r w:rsidRPr="008D3D9F" w:rsidR="008D3D9F">
        <w:rPr>
          <w:rStyle w:val="Hyperlink"/>
          <w:rFonts w:ascii="Verdana" w:hAnsi="Verdana"/>
          <w:noProof/>
          <w:sz w:val="16"/>
          <w:szCs w:val="16"/>
        </w:rPr>
        <w:t>NATIONAL LITERACY TRUST – WRITTEN EVIDENCE (DAD0065)</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_Toc44517744 \h </w:instrText>
      </w:r>
      <w:r w:rsidRPr="008D3D9F">
        <w:rPr>
          <w:rFonts w:ascii="Verdana" w:hAnsi="Verdana"/>
          <w:noProof/>
          <w:webHidden/>
          <w:sz w:val="16"/>
          <w:szCs w:val="16"/>
        </w:rPr>
        <w:fldChar w:fldCharType="separate"/>
      </w:r>
      <w:r w:rsidR="00105D17">
        <w:rPr>
          <w:rFonts w:ascii="Verdana" w:hAnsi="Verdana"/>
          <w:noProof/>
          <w:webHidden/>
          <w:sz w:val="16"/>
          <w:szCs w:val="16"/>
        </w:rPr>
        <w:t>407</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"_Toc44517745" </w:instrText>
      </w:r>
      <w:r>
        <w:fldChar w:fldCharType="separate"/>
      </w:r>
      <w:r w:rsidRPr="008D3D9F" w:rsidR="008D3D9F">
        <w:rPr>
          <w:rStyle w:val="Hyperlink"/>
          <w:rFonts w:ascii="Verdana" w:hAnsi="Verdana"/>
          <w:noProof/>
          <w:sz w:val="16"/>
          <w:szCs w:val="16"/>
        </w:rPr>
        <w:t>THE POLITICS PROJECT – WRITTEN EVIDENCE (DAD0066)</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_Toc44517745 \h </w:instrText>
      </w:r>
      <w:r w:rsidRPr="008D3D9F">
        <w:rPr>
          <w:rFonts w:ascii="Verdana" w:hAnsi="Verdana"/>
          <w:noProof/>
          <w:webHidden/>
          <w:sz w:val="16"/>
          <w:szCs w:val="16"/>
        </w:rPr>
        <w:fldChar w:fldCharType="separate"/>
      </w:r>
      <w:r w:rsidR="00105D17">
        <w:rPr>
          <w:rFonts w:ascii="Verdana" w:hAnsi="Verdana"/>
          <w:noProof/>
          <w:webHidden/>
          <w:sz w:val="16"/>
          <w:szCs w:val="16"/>
        </w:rPr>
        <w:t>412</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"_Toc44517746" </w:instrText>
      </w:r>
      <w:r>
        <w:fldChar w:fldCharType="separate"/>
      </w:r>
      <w:r w:rsidRPr="008D3D9F" w:rsidR="008D3D9F">
        <w:rPr>
          <w:rStyle w:val="Hyperlink"/>
          <w:rFonts w:ascii="Verdana" w:hAnsi="Verdana"/>
          <w:noProof/>
          <w:sz w:val="16"/>
          <w:szCs w:val="16"/>
        </w:rPr>
        <w:t>DR LONE SORENSEN – WRITTEN EVIDENCE (DAD0067)</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_Toc44517746 \h </w:instrText>
      </w:r>
      <w:r w:rsidRPr="008D3D9F">
        <w:rPr>
          <w:rFonts w:ascii="Verdana" w:hAnsi="Verdana"/>
          <w:noProof/>
          <w:webHidden/>
          <w:sz w:val="16"/>
          <w:szCs w:val="16"/>
        </w:rPr>
        <w:fldChar w:fldCharType="separate"/>
      </w:r>
      <w:r w:rsidR="00105D17">
        <w:rPr>
          <w:rFonts w:ascii="Verdana" w:hAnsi="Verdana"/>
          <w:noProof/>
          <w:webHidden/>
          <w:sz w:val="16"/>
          <w:szCs w:val="16"/>
        </w:rPr>
        <w:t>415</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"_Toc44517747" </w:instrText>
      </w:r>
      <w:r>
        <w:fldChar w:fldCharType="separate"/>
      </w:r>
      <w:r w:rsidRPr="008D3D9F" w:rsidR="008D3D9F">
        <w:rPr>
          <w:rStyle w:val="Hyperlink"/>
          <w:rFonts w:ascii="Verdana" w:hAnsi="Verdana"/>
          <w:noProof/>
          <w:sz w:val="16"/>
          <w:szCs w:val="16"/>
        </w:rPr>
        <w:t>FRANCES CAIRNCROSS – WRITTEN EVIDENCE (DAD0068)</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_Toc44517747 \h </w:instrText>
      </w:r>
      <w:r w:rsidRPr="008D3D9F">
        <w:rPr>
          <w:rFonts w:ascii="Verdana" w:hAnsi="Verdana"/>
          <w:noProof/>
          <w:webHidden/>
          <w:sz w:val="16"/>
          <w:szCs w:val="16"/>
        </w:rPr>
        <w:fldChar w:fldCharType="separate"/>
      </w:r>
      <w:r w:rsidR="00105D17">
        <w:rPr>
          <w:rFonts w:ascii="Verdana" w:hAnsi="Verdana"/>
          <w:noProof/>
          <w:webHidden/>
          <w:sz w:val="16"/>
          <w:szCs w:val="16"/>
        </w:rPr>
        <w:t>423</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"_Toc44517748" </w:instrText>
      </w:r>
      <w:r>
        <w:fldChar w:fldCharType="separate"/>
      </w:r>
      <w:r w:rsidRPr="008D3D9F" w:rsidR="008D3D9F">
        <w:rPr>
          <w:rStyle w:val="Hyperlink"/>
          <w:rFonts w:ascii="Verdana" w:hAnsi="Verdana"/>
          <w:noProof/>
          <w:sz w:val="16"/>
          <w:szCs w:val="16"/>
        </w:rPr>
        <w:t>INSTITUTE FOR STRATEGIC DIALOGUE – WRITTEN EVIDENCE (DAD0069)</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_Toc44517748 \h </w:instrText>
      </w:r>
      <w:r w:rsidRPr="008D3D9F">
        <w:rPr>
          <w:rFonts w:ascii="Verdana" w:hAnsi="Verdana"/>
          <w:noProof/>
          <w:webHidden/>
          <w:sz w:val="16"/>
          <w:szCs w:val="16"/>
        </w:rPr>
        <w:fldChar w:fldCharType="separate"/>
      </w:r>
      <w:r w:rsidR="00105D17">
        <w:rPr>
          <w:rFonts w:ascii="Verdana" w:hAnsi="Verdana"/>
          <w:noProof/>
          <w:webHidden/>
          <w:sz w:val="16"/>
          <w:szCs w:val="16"/>
        </w:rPr>
        <w:t>425</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"_Toc44517749" </w:instrText>
      </w:r>
      <w:r>
        <w:fldChar w:fldCharType="separate"/>
      </w:r>
      <w:r w:rsidRPr="008D3D9F" w:rsidR="008D3D9F">
        <w:rPr>
          <w:rStyle w:val="Hyperlink"/>
          <w:rFonts w:ascii="Verdana" w:hAnsi="Verdana"/>
          <w:noProof/>
          <w:sz w:val="16"/>
          <w:szCs w:val="16"/>
        </w:rPr>
        <w:t>ASSOCIATION FOR CITIZENSHIP TEACHING – WRITTEN EVIDENCE (DAD0070)</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_Toc44517749 \h </w:instrText>
      </w:r>
      <w:r w:rsidRPr="008D3D9F">
        <w:rPr>
          <w:rFonts w:ascii="Verdana" w:hAnsi="Verdana"/>
          <w:noProof/>
          <w:webHidden/>
          <w:sz w:val="16"/>
          <w:szCs w:val="16"/>
        </w:rPr>
        <w:fldChar w:fldCharType="separate"/>
      </w:r>
      <w:r w:rsidR="00105D17">
        <w:rPr>
          <w:rFonts w:ascii="Verdana" w:hAnsi="Verdana"/>
          <w:noProof/>
          <w:webHidden/>
          <w:sz w:val="16"/>
          <w:szCs w:val="16"/>
        </w:rPr>
        <w:t>431</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"_Toc44517750" </w:instrText>
      </w:r>
      <w:r>
        <w:fldChar w:fldCharType="separate"/>
      </w:r>
      <w:r w:rsidRPr="008D3D9F" w:rsidR="008D3D9F">
        <w:rPr>
          <w:rStyle w:val="Hyperlink"/>
          <w:rFonts w:ascii="Verdana" w:hAnsi="Verdana"/>
          <w:noProof/>
          <w:sz w:val="16"/>
          <w:szCs w:val="16"/>
        </w:rPr>
        <w:t>THE COALITION FOR REFORM IN POLITICAL ADVERTISING – WRITTEN EVIDENCE (DAD0071)</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_Toc44517750 \h </w:instrText>
      </w:r>
      <w:r w:rsidRPr="008D3D9F">
        <w:rPr>
          <w:rFonts w:ascii="Verdana" w:hAnsi="Verdana"/>
          <w:noProof/>
          <w:webHidden/>
          <w:sz w:val="16"/>
          <w:szCs w:val="16"/>
        </w:rPr>
        <w:fldChar w:fldCharType="separate"/>
      </w:r>
      <w:r w:rsidR="00105D17">
        <w:rPr>
          <w:rFonts w:ascii="Verdana" w:hAnsi="Verdana"/>
          <w:noProof/>
          <w:webHidden/>
          <w:sz w:val="16"/>
          <w:szCs w:val="16"/>
        </w:rPr>
        <w:t>438</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"_Toc44517751" </w:instrText>
      </w:r>
      <w:r>
        <w:fldChar w:fldCharType="separate"/>
      </w:r>
      <w:r w:rsidRPr="008D3D9F" w:rsidR="008D3D9F">
        <w:rPr>
          <w:rStyle w:val="Hyperlink"/>
          <w:rFonts w:ascii="Verdana" w:hAnsi="Verdana"/>
          <w:noProof/>
          <w:sz w:val="16"/>
          <w:szCs w:val="16"/>
        </w:rPr>
        <w:t>NEWSWISE – WRITTEN EVIDENCE (DAD0072)</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_Toc44517751 \h </w:instrText>
      </w:r>
      <w:r w:rsidRPr="008D3D9F">
        <w:rPr>
          <w:rFonts w:ascii="Verdana" w:hAnsi="Verdana"/>
          <w:noProof/>
          <w:webHidden/>
          <w:sz w:val="16"/>
          <w:szCs w:val="16"/>
        </w:rPr>
        <w:fldChar w:fldCharType="separate"/>
      </w:r>
      <w:r w:rsidR="00105D17">
        <w:rPr>
          <w:rFonts w:ascii="Verdana" w:hAnsi="Verdana"/>
          <w:noProof/>
          <w:webHidden/>
          <w:sz w:val="16"/>
          <w:szCs w:val="16"/>
        </w:rPr>
        <w:t>446</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"_Toc44517752" </w:instrText>
      </w:r>
      <w:r>
        <w:fldChar w:fldCharType="separate"/>
      </w:r>
      <w:r w:rsidRPr="008D3D9F" w:rsidR="008D3D9F">
        <w:rPr>
          <w:rStyle w:val="Hyperlink"/>
          <w:rFonts w:ascii="Verdana" w:hAnsi="Verdana"/>
          <w:noProof/>
          <w:sz w:val="16"/>
          <w:szCs w:val="16"/>
        </w:rPr>
        <w:t>AVAAZ – WRITTEN EVIDENCE (DAD0073)</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_Toc44517752 \h </w:instrText>
      </w:r>
      <w:r w:rsidRPr="008D3D9F">
        <w:rPr>
          <w:rFonts w:ascii="Verdana" w:hAnsi="Verdana"/>
          <w:noProof/>
          <w:webHidden/>
          <w:sz w:val="16"/>
          <w:szCs w:val="16"/>
        </w:rPr>
        <w:fldChar w:fldCharType="separate"/>
      </w:r>
      <w:r w:rsidR="00105D17">
        <w:rPr>
          <w:rFonts w:ascii="Verdana" w:hAnsi="Verdana"/>
          <w:noProof/>
          <w:webHidden/>
          <w:sz w:val="16"/>
          <w:szCs w:val="16"/>
        </w:rPr>
        <w:t>453</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"_Toc44517753" </w:instrText>
      </w:r>
      <w:r>
        <w:fldChar w:fldCharType="separate"/>
      </w:r>
      <w:r w:rsidRPr="008D3D9F" w:rsidR="008D3D9F">
        <w:rPr>
          <w:rStyle w:val="Hyperlink"/>
          <w:rFonts w:ascii="Verdana" w:hAnsi="Verdana"/>
          <w:noProof/>
          <w:sz w:val="16"/>
          <w:szCs w:val="16"/>
        </w:rPr>
        <w:t>DR JENNIFER COBBE – WRITTEN EVIDENCE (DAD0074)</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_Toc44517753 \h </w:instrText>
      </w:r>
      <w:r w:rsidRPr="008D3D9F">
        <w:rPr>
          <w:rFonts w:ascii="Verdana" w:hAnsi="Verdana"/>
          <w:noProof/>
          <w:webHidden/>
          <w:sz w:val="16"/>
          <w:szCs w:val="16"/>
        </w:rPr>
        <w:fldChar w:fldCharType="separate"/>
      </w:r>
      <w:r w:rsidR="00105D17">
        <w:rPr>
          <w:rFonts w:ascii="Verdana" w:hAnsi="Verdana"/>
          <w:noProof/>
          <w:webHidden/>
          <w:sz w:val="16"/>
          <w:szCs w:val="16"/>
        </w:rPr>
        <w:t>488</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"_Toc44517754" </w:instrText>
      </w:r>
      <w:r>
        <w:fldChar w:fldCharType="separate"/>
      </w:r>
      <w:r w:rsidRPr="008D3D9F" w:rsidR="008D3D9F">
        <w:rPr>
          <w:rStyle w:val="Hyperlink"/>
          <w:rFonts w:ascii="Verdana" w:hAnsi="Verdana"/>
          <w:noProof/>
          <w:sz w:val="16"/>
          <w:szCs w:val="16"/>
        </w:rPr>
        <w:t>DR PATRÍCIA ROSSINI AND DR ANTONIS KALOGEROPOULOS – WRITTEN EVIDENCE (DAD0075)</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_Toc44517754 \h </w:instrText>
      </w:r>
      <w:r w:rsidRPr="008D3D9F">
        <w:rPr>
          <w:rFonts w:ascii="Verdana" w:hAnsi="Verdana"/>
          <w:noProof/>
          <w:webHidden/>
          <w:sz w:val="16"/>
          <w:szCs w:val="16"/>
        </w:rPr>
        <w:fldChar w:fldCharType="separate"/>
      </w:r>
      <w:r w:rsidR="00105D17">
        <w:rPr>
          <w:rFonts w:ascii="Verdana" w:hAnsi="Verdana"/>
          <w:noProof/>
          <w:webHidden/>
          <w:sz w:val="16"/>
          <w:szCs w:val="16"/>
        </w:rPr>
        <w:t>497</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"_Toc44517755" </w:instrText>
      </w:r>
      <w:r>
        <w:fldChar w:fldCharType="separate"/>
      </w:r>
      <w:r w:rsidRPr="008D3D9F" w:rsidR="008D3D9F">
        <w:rPr>
          <w:rStyle w:val="Hyperlink"/>
          <w:rFonts w:ascii="Verdana" w:hAnsi="Verdana"/>
          <w:noProof/>
          <w:sz w:val="16"/>
          <w:szCs w:val="16"/>
        </w:rPr>
        <w:t>THE HUMAN RIGHTS, BIG DATA AND TECHNOLOGY PROJECT - WRITTEN EVIDENCE (DAD0077)</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_Toc44517755 \h </w:instrText>
      </w:r>
      <w:r w:rsidRPr="008D3D9F">
        <w:rPr>
          <w:rFonts w:ascii="Verdana" w:hAnsi="Verdana"/>
          <w:noProof/>
          <w:webHidden/>
          <w:sz w:val="16"/>
          <w:szCs w:val="16"/>
        </w:rPr>
        <w:fldChar w:fldCharType="separate"/>
      </w:r>
      <w:r w:rsidR="00105D17">
        <w:rPr>
          <w:rFonts w:ascii="Verdana" w:hAnsi="Verdana"/>
          <w:noProof/>
          <w:webHidden/>
          <w:sz w:val="16"/>
          <w:szCs w:val="16"/>
        </w:rPr>
        <w:t>505</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"_Toc44517756" </w:instrText>
      </w:r>
      <w:r>
        <w:fldChar w:fldCharType="separate"/>
      </w:r>
      <w:r w:rsidRPr="008D3D9F" w:rsidR="008D3D9F">
        <w:rPr>
          <w:rStyle w:val="Hyperlink"/>
          <w:rFonts w:ascii="Verdana" w:hAnsi="Verdana"/>
          <w:noProof/>
          <w:sz w:val="16"/>
          <w:szCs w:val="16"/>
        </w:rPr>
        <w:t>LSE T3 PROJECT – WRITTEN EVIDENCE (DAD0078)</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_Toc44517756 \h </w:instrText>
      </w:r>
      <w:r w:rsidRPr="008D3D9F">
        <w:rPr>
          <w:rFonts w:ascii="Verdana" w:hAnsi="Verdana"/>
          <w:noProof/>
          <w:webHidden/>
          <w:sz w:val="16"/>
          <w:szCs w:val="16"/>
        </w:rPr>
        <w:fldChar w:fldCharType="separate"/>
      </w:r>
      <w:r w:rsidR="00105D17">
        <w:rPr>
          <w:rFonts w:ascii="Verdana" w:hAnsi="Verdana"/>
          <w:noProof/>
          <w:webHidden/>
          <w:sz w:val="16"/>
          <w:szCs w:val="16"/>
        </w:rPr>
        <w:t>515</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"_Toc44517757" </w:instrText>
      </w:r>
      <w:r>
        <w:fldChar w:fldCharType="separate"/>
      </w:r>
      <w:r w:rsidRPr="008D3D9F" w:rsidR="008D3D9F">
        <w:rPr>
          <w:rStyle w:val="Hyperlink"/>
          <w:rFonts w:ascii="Verdana" w:hAnsi="Verdana"/>
          <w:noProof/>
          <w:sz w:val="16"/>
          <w:szCs w:val="16"/>
        </w:rPr>
        <w:t>STANFORD HISTORY EDUCATION GROUP – WRITTEN EVIDENCE (DAD0080)</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_Toc44517757 \h </w:instrText>
      </w:r>
      <w:r w:rsidRPr="008D3D9F">
        <w:rPr>
          <w:rFonts w:ascii="Verdana" w:hAnsi="Verdana"/>
          <w:noProof/>
          <w:webHidden/>
          <w:sz w:val="16"/>
          <w:szCs w:val="16"/>
        </w:rPr>
        <w:fldChar w:fldCharType="separate"/>
      </w:r>
      <w:r w:rsidR="00105D17">
        <w:rPr>
          <w:rFonts w:ascii="Verdana" w:hAnsi="Verdana"/>
          <w:noProof/>
          <w:webHidden/>
          <w:sz w:val="16"/>
          <w:szCs w:val="16"/>
        </w:rPr>
        <w:t>527</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"_Toc44517758" </w:instrText>
      </w:r>
      <w:r>
        <w:fldChar w:fldCharType="separate"/>
      </w:r>
      <w:r w:rsidRPr="008D3D9F" w:rsidR="008D3D9F">
        <w:rPr>
          <w:rStyle w:val="Hyperlink"/>
          <w:rFonts w:ascii="Verdana" w:hAnsi="Verdana"/>
          <w:noProof/>
          <w:sz w:val="16"/>
          <w:szCs w:val="16"/>
        </w:rPr>
        <w:t>FACEBOOK – WRITTEN EVIDENCE (DAD0081)</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_Toc44517758 \h </w:instrText>
      </w:r>
      <w:r w:rsidRPr="008D3D9F">
        <w:rPr>
          <w:rFonts w:ascii="Verdana" w:hAnsi="Verdana"/>
          <w:noProof/>
          <w:webHidden/>
          <w:sz w:val="16"/>
          <w:szCs w:val="16"/>
        </w:rPr>
        <w:fldChar w:fldCharType="separate"/>
      </w:r>
      <w:r w:rsidR="00105D17">
        <w:rPr>
          <w:rFonts w:ascii="Verdana" w:hAnsi="Verdana"/>
          <w:noProof/>
          <w:webHidden/>
          <w:sz w:val="16"/>
          <w:szCs w:val="16"/>
        </w:rPr>
        <w:t>530</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"_Toc44517759" </w:instrText>
      </w:r>
      <w:r>
        <w:fldChar w:fldCharType="separate"/>
      </w:r>
      <w:r w:rsidRPr="008D3D9F" w:rsidR="008D3D9F">
        <w:rPr>
          <w:rStyle w:val="Hyperlink"/>
          <w:rFonts w:ascii="Verdana" w:hAnsi="Verdana"/>
          <w:noProof/>
          <w:sz w:val="16"/>
          <w:szCs w:val="16"/>
        </w:rPr>
        <w:t>5RIGHTS FOUNDATION – WRITTEN EVIDENCE (DAD0082)</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_Toc44517759 \h </w:instrText>
      </w:r>
      <w:r w:rsidRPr="008D3D9F">
        <w:rPr>
          <w:rFonts w:ascii="Verdana" w:hAnsi="Verdana"/>
          <w:noProof/>
          <w:webHidden/>
          <w:sz w:val="16"/>
          <w:szCs w:val="16"/>
        </w:rPr>
        <w:fldChar w:fldCharType="separate"/>
      </w:r>
      <w:r w:rsidR="00105D17">
        <w:rPr>
          <w:rFonts w:ascii="Verdana" w:hAnsi="Verdana"/>
          <w:noProof/>
          <w:webHidden/>
          <w:sz w:val="16"/>
          <w:szCs w:val="16"/>
        </w:rPr>
        <w:t>542</w:t>
      </w:r>
      <w:r w:rsidRPr="008D3D9F">
        <w:rPr>
          <w:rFonts w:ascii="Verdana" w:hAnsi="Verdana"/>
          <w:noProof/>
          <w:webHidden/>
          <w:sz w:val="16"/>
          <w:szCs w:val="16"/>
        </w:rPr>
        <w:fldChar w:fldCharType="end"/>
      </w:r>
      <w:r>
        <w:fldChar w:fldCharType="end"/>
      </w:r>
      <w:bookmarkStart w:id="0" w:name="_GoBack"/>
      <w:bookmarkEnd w:id="0"/>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"_Toc44517760" </w:instrText>
      </w:r>
      <w:r>
        <w:fldChar w:fldCharType="separate"/>
      </w:r>
      <w:r w:rsidRPr="008D3D9F" w:rsidR="008D3D9F">
        <w:rPr>
          <w:rStyle w:val="Hyperlink"/>
          <w:rFonts w:ascii="Verdana" w:hAnsi="Verdana"/>
          <w:noProof/>
          <w:sz w:val="16"/>
          <w:szCs w:val="16"/>
        </w:rPr>
        <w:t>UK PARLIAMENT EDUCATION AND ENGAGEMENT TEAM – WRITTEN EVIDENCE (DAD0083)</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_Toc44517760 \h </w:instrText>
      </w:r>
      <w:r w:rsidRPr="008D3D9F">
        <w:rPr>
          <w:rFonts w:ascii="Verdana" w:hAnsi="Verdana"/>
          <w:noProof/>
          <w:webHidden/>
          <w:sz w:val="16"/>
          <w:szCs w:val="16"/>
        </w:rPr>
        <w:fldChar w:fldCharType="separate"/>
      </w:r>
      <w:r w:rsidR="00105D17">
        <w:rPr>
          <w:rFonts w:ascii="Verdana" w:hAnsi="Verdana"/>
          <w:noProof/>
          <w:webHidden/>
          <w:sz w:val="16"/>
          <w:szCs w:val="16"/>
        </w:rPr>
        <w:t>548</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"_Toc44517761" </w:instrText>
      </w:r>
      <w:r>
        <w:fldChar w:fldCharType="separate"/>
      </w:r>
      <w:r w:rsidRPr="008D3D9F" w:rsidR="008D3D9F">
        <w:rPr>
          <w:rStyle w:val="Hyperlink"/>
          <w:rFonts w:ascii="Verdana" w:hAnsi="Verdana"/>
          <w:noProof/>
          <w:sz w:val="16"/>
          <w:szCs w:val="16"/>
        </w:rPr>
        <w:t>ROYAL STATISTICAL SOCIETY – WRITTEN EVIDENCE (DAD0084)</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_Toc44517761 \h </w:instrText>
      </w:r>
      <w:r w:rsidRPr="008D3D9F">
        <w:rPr>
          <w:rFonts w:ascii="Verdana" w:hAnsi="Verdana"/>
          <w:noProof/>
          <w:webHidden/>
          <w:sz w:val="16"/>
          <w:szCs w:val="16"/>
        </w:rPr>
        <w:fldChar w:fldCharType="separate"/>
      </w:r>
      <w:r w:rsidR="00105D17">
        <w:rPr>
          <w:rFonts w:ascii="Verdana" w:hAnsi="Verdana"/>
          <w:noProof/>
          <w:webHidden/>
          <w:sz w:val="16"/>
          <w:szCs w:val="16"/>
        </w:rPr>
        <w:t>556</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"_Toc44517762" </w:instrText>
      </w:r>
      <w:r>
        <w:fldChar w:fldCharType="separate"/>
      </w:r>
      <w:r w:rsidRPr="008D3D9F" w:rsidR="008D3D9F">
        <w:rPr>
          <w:rStyle w:val="Hyperlink"/>
          <w:rFonts w:ascii="Verdana" w:hAnsi="Verdana"/>
          <w:noProof/>
          <w:sz w:val="16"/>
          <w:szCs w:val="16"/>
        </w:rPr>
        <w:t>BRAVE SOFTWARE – WRITTEN EVIDENCE (DAD0085)</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_Toc44517762 \h </w:instrText>
      </w:r>
      <w:r w:rsidRPr="008D3D9F">
        <w:rPr>
          <w:rFonts w:ascii="Verdana" w:hAnsi="Verdana"/>
          <w:noProof/>
          <w:webHidden/>
          <w:sz w:val="16"/>
          <w:szCs w:val="16"/>
        </w:rPr>
        <w:fldChar w:fldCharType="separate"/>
      </w:r>
      <w:r w:rsidR="00105D17">
        <w:rPr>
          <w:rFonts w:ascii="Verdana" w:hAnsi="Verdana"/>
          <w:noProof/>
          <w:webHidden/>
          <w:sz w:val="16"/>
          <w:szCs w:val="16"/>
        </w:rPr>
        <w:t>564</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"_Toc44517763" </w:instrText>
      </w:r>
      <w:r>
        <w:fldChar w:fldCharType="separate"/>
      </w:r>
      <w:r w:rsidRPr="008D3D9F" w:rsidR="008D3D9F">
        <w:rPr>
          <w:rStyle w:val="Hyperlink"/>
          <w:rFonts w:ascii="Verdana" w:hAnsi="Verdana"/>
          <w:noProof/>
          <w:sz w:val="16"/>
          <w:szCs w:val="16"/>
        </w:rPr>
        <w:t>CARNEGIE UK TRUST – WRITTEN EVIDENCE (DAD0087)</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_Toc44517763 \h </w:instrText>
      </w:r>
      <w:r w:rsidRPr="008D3D9F">
        <w:rPr>
          <w:rFonts w:ascii="Verdana" w:hAnsi="Verdana"/>
          <w:noProof/>
          <w:webHidden/>
          <w:sz w:val="16"/>
          <w:szCs w:val="16"/>
        </w:rPr>
        <w:fldChar w:fldCharType="separate"/>
      </w:r>
      <w:r w:rsidR="00105D17">
        <w:rPr>
          <w:rFonts w:ascii="Verdana" w:hAnsi="Verdana"/>
          <w:noProof/>
          <w:webHidden/>
          <w:sz w:val="16"/>
          <w:szCs w:val="16"/>
        </w:rPr>
        <w:t>567</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left="1134" w:hanging="992"/>
        <w:rPr>
          <w:rFonts w:ascii="Verdana" w:hAnsi="Verdana" w:eastAsiaTheme="minorEastAsia" w:cstheme="minorBidi"/>
          <w:b w:val="0"/>
          <w:noProof/>
          <w:color w:val="auto"/>
          <w:sz w:val="16"/>
          <w:szCs w:val="16"/>
        </w:rPr>
      </w:pPr>
      <w:r>
        <w:fldChar w:fldCharType="begin"/>
      </w:r>
      <w:r>
        <w:instrText xml:space="preserve"> HYPERLINK \l "_Toc44517764" </w:instrText>
      </w:r>
      <w:r>
        <w:fldChar w:fldCharType="separate"/>
      </w:r>
      <w:r w:rsidRPr="008D3D9F" w:rsidR="008D3D9F">
        <w:rPr>
          <w:rStyle w:val="Hyperlink"/>
          <w:rFonts w:ascii="Verdana" w:hAnsi="Verdana"/>
          <w:noProof/>
          <w:sz w:val="16"/>
          <w:szCs w:val="16"/>
        </w:rPr>
        <w:t>ADVERTISING STANDARDS AUTHORITY SUPPLEMENTARY WRITTEN EVIDENCE – DAD0088</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_Toc44517764 \h </w:instrText>
      </w:r>
      <w:r w:rsidRPr="008D3D9F">
        <w:rPr>
          <w:rFonts w:ascii="Verdana" w:hAnsi="Verdana"/>
          <w:noProof/>
          <w:webHidden/>
          <w:sz w:val="16"/>
          <w:szCs w:val="16"/>
        </w:rPr>
        <w:fldChar w:fldCharType="separate"/>
      </w:r>
      <w:r w:rsidR="00105D17">
        <w:rPr>
          <w:rFonts w:ascii="Verdana" w:hAnsi="Verdana"/>
          <w:noProof/>
          <w:webHidden/>
          <w:sz w:val="16"/>
          <w:szCs w:val="16"/>
        </w:rPr>
        <w:t>572</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"_Toc44517765" </w:instrText>
      </w:r>
      <w:r>
        <w:fldChar w:fldCharType="separate"/>
      </w:r>
      <w:r w:rsidRPr="008D3D9F" w:rsidR="008D3D9F">
        <w:rPr>
          <w:rStyle w:val="Hyperlink"/>
          <w:rFonts w:ascii="Verdana" w:hAnsi="Verdana"/>
          <w:noProof/>
          <w:sz w:val="16"/>
          <w:szCs w:val="16"/>
        </w:rPr>
        <w:t>ITV PLC, CHANNEL 4, SKY AND VIACOMCBS - WRITTEN EVIDENCE (DAD0090)</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_Toc44517765 \h </w:instrText>
      </w:r>
      <w:r w:rsidRPr="008D3D9F">
        <w:rPr>
          <w:rFonts w:ascii="Verdana" w:hAnsi="Verdana"/>
          <w:noProof/>
          <w:webHidden/>
          <w:sz w:val="16"/>
          <w:szCs w:val="16"/>
        </w:rPr>
        <w:fldChar w:fldCharType="separate"/>
      </w:r>
      <w:r w:rsidR="00105D17">
        <w:rPr>
          <w:rFonts w:ascii="Verdana" w:hAnsi="Verdana"/>
          <w:noProof/>
          <w:webHidden/>
          <w:sz w:val="16"/>
          <w:szCs w:val="16"/>
        </w:rPr>
        <w:t>576</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"_Toc44517766" </w:instrText>
      </w:r>
      <w:r>
        <w:fldChar w:fldCharType="separate"/>
      </w:r>
      <w:r w:rsidRPr="008D3D9F" w:rsidR="008D3D9F">
        <w:rPr>
          <w:rStyle w:val="Hyperlink"/>
          <w:rFonts w:ascii="Verdana" w:hAnsi="Verdana"/>
          <w:noProof/>
          <w:sz w:val="16"/>
          <w:szCs w:val="16"/>
        </w:rPr>
        <w:t>CONSCIOUS ADVERTISING NETWORK – WRITTEN EVIDENCE (DAD0091)</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_Toc44517766 \h </w:instrText>
      </w:r>
      <w:r w:rsidRPr="008D3D9F">
        <w:rPr>
          <w:rFonts w:ascii="Verdana" w:hAnsi="Verdana"/>
          <w:noProof/>
          <w:webHidden/>
          <w:sz w:val="16"/>
          <w:szCs w:val="16"/>
        </w:rPr>
        <w:fldChar w:fldCharType="separate"/>
      </w:r>
      <w:r w:rsidR="00105D17">
        <w:rPr>
          <w:rFonts w:ascii="Verdana" w:hAnsi="Verdana"/>
          <w:noProof/>
          <w:webHidden/>
          <w:sz w:val="16"/>
          <w:szCs w:val="16"/>
        </w:rPr>
        <w:t>581</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"_Toc44517767" </w:instrText>
      </w:r>
      <w:r>
        <w:fldChar w:fldCharType="separate"/>
      </w:r>
      <w:r w:rsidRPr="008D3D9F" w:rsidR="008D3D9F">
        <w:rPr>
          <w:rStyle w:val="Hyperlink"/>
          <w:rFonts w:ascii="Verdana" w:hAnsi="Verdana"/>
          <w:noProof/>
          <w:sz w:val="16"/>
          <w:szCs w:val="16"/>
        </w:rPr>
        <w:t>COALITION FOR REFORM IN POLITICAL ADVERTISING – WRITTEN EVIDENCE (DAD0092)</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_Toc44517767 \h </w:instrText>
      </w:r>
      <w:r w:rsidRPr="008D3D9F">
        <w:rPr>
          <w:rFonts w:ascii="Verdana" w:hAnsi="Verdana"/>
          <w:noProof/>
          <w:webHidden/>
          <w:sz w:val="16"/>
          <w:szCs w:val="16"/>
        </w:rPr>
        <w:fldChar w:fldCharType="separate"/>
      </w:r>
      <w:r w:rsidR="00105D17">
        <w:rPr>
          <w:rFonts w:ascii="Verdana" w:hAnsi="Verdana"/>
          <w:noProof/>
          <w:webHidden/>
          <w:sz w:val="16"/>
          <w:szCs w:val="16"/>
        </w:rPr>
        <w:t>590</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"_Toc44517768" </w:instrText>
      </w:r>
      <w:r>
        <w:fldChar w:fldCharType="separate"/>
      </w:r>
      <w:r w:rsidRPr="008D3D9F" w:rsidR="008D3D9F">
        <w:rPr>
          <w:rStyle w:val="Hyperlink"/>
          <w:rFonts w:ascii="Verdana" w:hAnsi="Verdana"/>
          <w:noProof/>
          <w:sz w:val="16"/>
          <w:szCs w:val="16"/>
        </w:rPr>
        <w:t>DR YSABEL GERRARD – WRITTEN EVIDENCE (DAD0093)</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_Toc44517768 \h </w:instrText>
      </w:r>
      <w:r w:rsidRPr="008D3D9F">
        <w:rPr>
          <w:rFonts w:ascii="Verdana" w:hAnsi="Verdana"/>
          <w:noProof/>
          <w:webHidden/>
          <w:sz w:val="16"/>
          <w:szCs w:val="16"/>
        </w:rPr>
        <w:fldChar w:fldCharType="separate"/>
      </w:r>
      <w:r w:rsidR="00105D17">
        <w:rPr>
          <w:rFonts w:ascii="Verdana" w:hAnsi="Verdana"/>
          <w:noProof/>
          <w:webHidden/>
          <w:sz w:val="16"/>
          <w:szCs w:val="16"/>
        </w:rPr>
        <w:t>600</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"_Toc44517769" </w:instrText>
      </w:r>
      <w:r>
        <w:fldChar w:fldCharType="separate"/>
      </w:r>
      <w:r w:rsidRPr="008D3D9F" w:rsidR="008D3D9F">
        <w:rPr>
          <w:rStyle w:val="Hyperlink"/>
          <w:rFonts w:ascii="Verdana" w:hAnsi="Verdana"/>
          <w:noProof/>
          <w:sz w:val="16"/>
          <w:szCs w:val="16"/>
        </w:rPr>
        <w:t>LIBERAL DEMOCRATS – WRITTEN EVIDENCE (DAD0094)</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_Toc44517769 \h </w:instrText>
      </w:r>
      <w:r w:rsidRPr="008D3D9F">
        <w:rPr>
          <w:rFonts w:ascii="Verdana" w:hAnsi="Verdana"/>
          <w:noProof/>
          <w:webHidden/>
          <w:sz w:val="16"/>
          <w:szCs w:val="16"/>
        </w:rPr>
        <w:fldChar w:fldCharType="separate"/>
      </w:r>
      <w:r w:rsidR="00105D17">
        <w:rPr>
          <w:rFonts w:ascii="Verdana" w:hAnsi="Verdana"/>
          <w:noProof/>
          <w:webHidden/>
          <w:sz w:val="16"/>
          <w:szCs w:val="16"/>
        </w:rPr>
        <w:t>605</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"_Toc44517770" </w:instrText>
      </w:r>
      <w:r>
        <w:fldChar w:fldCharType="separate"/>
      </w:r>
      <w:r w:rsidRPr="008D3D9F" w:rsidR="008D3D9F">
        <w:rPr>
          <w:rStyle w:val="Hyperlink"/>
          <w:rFonts w:ascii="Verdana" w:hAnsi="Verdana"/>
          <w:noProof/>
          <w:sz w:val="16"/>
          <w:szCs w:val="16"/>
        </w:rPr>
        <w:t>CONSERVATIVE PARTY - WRITTEN EVIDENCE (DAD0095)</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_Toc44517770 \h </w:instrText>
      </w:r>
      <w:r w:rsidRPr="008D3D9F">
        <w:rPr>
          <w:rFonts w:ascii="Verdana" w:hAnsi="Verdana"/>
          <w:noProof/>
          <w:webHidden/>
          <w:sz w:val="16"/>
          <w:szCs w:val="16"/>
        </w:rPr>
        <w:fldChar w:fldCharType="separate"/>
      </w:r>
      <w:r w:rsidR="00105D17">
        <w:rPr>
          <w:rFonts w:ascii="Verdana" w:hAnsi="Verdana"/>
          <w:noProof/>
          <w:webHidden/>
          <w:sz w:val="16"/>
          <w:szCs w:val="16"/>
        </w:rPr>
        <w:t>608</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"_Toc44517771" </w:instrText>
      </w:r>
      <w:r>
        <w:fldChar w:fldCharType="separate"/>
      </w:r>
      <w:r w:rsidRPr="008D3D9F" w:rsidR="008D3D9F">
        <w:rPr>
          <w:rStyle w:val="Hyperlink"/>
          <w:rFonts w:ascii="Verdana" w:hAnsi="Verdana"/>
          <w:noProof/>
          <w:sz w:val="16"/>
          <w:szCs w:val="16"/>
        </w:rPr>
        <w:t>LABOUR PARTY – WRITTEN EVIDENCE (DAD0096)</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_Toc44517771 \h </w:instrText>
      </w:r>
      <w:r w:rsidRPr="008D3D9F">
        <w:rPr>
          <w:rFonts w:ascii="Verdana" w:hAnsi="Verdana"/>
          <w:noProof/>
          <w:webHidden/>
          <w:sz w:val="16"/>
          <w:szCs w:val="16"/>
        </w:rPr>
        <w:fldChar w:fldCharType="separate"/>
      </w:r>
      <w:r w:rsidR="00105D17">
        <w:rPr>
          <w:rFonts w:ascii="Verdana" w:hAnsi="Verdana"/>
          <w:noProof/>
          <w:webHidden/>
          <w:sz w:val="16"/>
          <w:szCs w:val="16"/>
        </w:rPr>
        <w:t>612</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"_Toc44517772" </w:instrText>
      </w:r>
      <w:r>
        <w:fldChar w:fldCharType="separate"/>
      </w:r>
      <w:r w:rsidRPr="008D3D9F" w:rsidR="008D3D9F">
        <w:rPr>
          <w:rStyle w:val="Hyperlink"/>
          <w:rFonts w:ascii="Verdana" w:hAnsi="Verdana"/>
          <w:noProof/>
          <w:sz w:val="16"/>
          <w:szCs w:val="16"/>
        </w:rPr>
        <w:t>PROFESSOR CRISTINA LESTON-BANDEIRA – SUPPLEMENTARY WRITTEN EVIDENCE</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_Toc44517772 \h </w:instrText>
      </w:r>
      <w:r w:rsidRPr="008D3D9F">
        <w:rPr>
          <w:rFonts w:ascii="Verdana" w:hAnsi="Verdana"/>
          <w:noProof/>
          <w:webHidden/>
          <w:sz w:val="16"/>
          <w:szCs w:val="16"/>
        </w:rPr>
        <w:fldChar w:fldCharType="separate"/>
      </w:r>
      <w:r w:rsidR="00105D17">
        <w:rPr>
          <w:rFonts w:ascii="Verdana" w:hAnsi="Verdana"/>
          <w:noProof/>
          <w:webHidden/>
          <w:sz w:val="16"/>
          <w:szCs w:val="16"/>
        </w:rPr>
        <w:t>615</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"_Toc44517773" </w:instrText>
      </w:r>
      <w:r>
        <w:fldChar w:fldCharType="separate"/>
      </w:r>
      <w:r w:rsidRPr="008D3D9F" w:rsidR="008D3D9F">
        <w:rPr>
          <w:rStyle w:val="Hyperlink"/>
          <w:rFonts w:ascii="Verdana" w:hAnsi="Verdana"/>
          <w:noProof/>
          <w:sz w:val="16"/>
          <w:szCs w:val="16"/>
        </w:rPr>
        <w:t>DANIEL KREISS – WRITTEN EVIDENCE (DAD0098)</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_Toc44517773 \h </w:instrText>
      </w:r>
      <w:r w:rsidRPr="008D3D9F">
        <w:rPr>
          <w:rFonts w:ascii="Verdana" w:hAnsi="Verdana"/>
          <w:noProof/>
          <w:webHidden/>
          <w:sz w:val="16"/>
          <w:szCs w:val="16"/>
        </w:rPr>
        <w:fldChar w:fldCharType="separate"/>
      </w:r>
      <w:r w:rsidR="00105D17">
        <w:rPr>
          <w:rFonts w:ascii="Verdana" w:hAnsi="Verdana"/>
          <w:noProof/>
          <w:webHidden/>
          <w:sz w:val="16"/>
          <w:szCs w:val="16"/>
        </w:rPr>
        <w:t>618</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"_Toc44517774" </w:instrText>
      </w:r>
      <w:r>
        <w:fldChar w:fldCharType="separate"/>
      </w:r>
      <w:r w:rsidRPr="008D3D9F" w:rsidR="008D3D9F">
        <w:rPr>
          <w:rStyle w:val="Hyperlink"/>
          <w:rFonts w:ascii="Verdana" w:hAnsi="Verdana"/>
          <w:noProof/>
          <w:sz w:val="16"/>
          <w:szCs w:val="16"/>
        </w:rPr>
        <w:t>JOE MITCHELL, DR ALAN RENWICK, AND MICHELA PALESE – SUPPLEMENTARY WRITTEN EVIDENCE (DAD0099)</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_Toc44517774 \h </w:instrText>
      </w:r>
      <w:r w:rsidRPr="008D3D9F">
        <w:rPr>
          <w:rFonts w:ascii="Verdana" w:hAnsi="Verdana"/>
          <w:noProof/>
          <w:webHidden/>
          <w:sz w:val="16"/>
          <w:szCs w:val="16"/>
        </w:rPr>
        <w:fldChar w:fldCharType="separate"/>
      </w:r>
      <w:r w:rsidR="00105D17">
        <w:rPr>
          <w:rFonts w:ascii="Verdana" w:hAnsi="Verdana"/>
          <w:noProof/>
          <w:webHidden/>
          <w:sz w:val="16"/>
          <w:szCs w:val="16"/>
        </w:rPr>
        <w:t>629</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"_Toc44517775" </w:instrText>
      </w:r>
      <w:r>
        <w:fldChar w:fldCharType="separate"/>
      </w:r>
      <w:r w:rsidRPr="008D3D9F" w:rsidR="008D3D9F">
        <w:rPr>
          <w:rStyle w:val="Hyperlink"/>
          <w:rFonts w:ascii="Verdana" w:hAnsi="Verdana"/>
          <w:noProof/>
          <w:sz w:val="16"/>
          <w:szCs w:val="16"/>
        </w:rPr>
        <w:t>ELECTORAL COMMISSION – SUPPLEMENTARY WRITTEN EVIDENCE (DAD0100)</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_Toc44517775 \h </w:instrText>
      </w:r>
      <w:r w:rsidRPr="008D3D9F">
        <w:rPr>
          <w:rFonts w:ascii="Verdana" w:hAnsi="Verdana"/>
          <w:noProof/>
          <w:webHidden/>
          <w:sz w:val="16"/>
          <w:szCs w:val="16"/>
        </w:rPr>
        <w:fldChar w:fldCharType="separate"/>
      </w:r>
      <w:r w:rsidR="00105D17">
        <w:rPr>
          <w:rFonts w:ascii="Verdana" w:hAnsi="Verdana"/>
          <w:noProof/>
          <w:webHidden/>
          <w:sz w:val="16"/>
          <w:szCs w:val="16"/>
        </w:rPr>
        <w:t>634</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"_Toc44517776" </w:instrText>
      </w:r>
      <w:r>
        <w:fldChar w:fldCharType="separate"/>
      </w:r>
      <w:r w:rsidRPr="008D3D9F" w:rsidR="008D3D9F">
        <w:rPr>
          <w:rStyle w:val="Hyperlink"/>
          <w:rFonts w:ascii="Verdana" w:hAnsi="Verdana"/>
          <w:bCs/>
          <w:noProof/>
          <w:sz w:val="16"/>
          <w:szCs w:val="16"/>
        </w:rPr>
        <w:t>GOOGLE – SUPPLEMENTARY WRITTEN EVIDENCE (DAD0101)</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_Toc44517776 \h </w:instrText>
      </w:r>
      <w:r w:rsidRPr="008D3D9F">
        <w:rPr>
          <w:rFonts w:ascii="Verdana" w:hAnsi="Verdana"/>
          <w:noProof/>
          <w:webHidden/>
          <w:sz w:val="16"/>
          <w:szCs w:val="16"/>
        </w:rPr>
        <w:fldChar w:fldCharType="separate"/>
      </w:r>
      <w:r w:rsidR="00105D17">
        <w:rPr>
          <w:rFonts w:ascii="Verdana" w:hAnsi="Verdana"/>
          <w:noProof/>
          <w:webHidden/>
          <w:sz w:val="16"/>
          <w:szCs w:val="16"/>
        </w:rPr>
        <w:t>639</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"_Toc44517777" </w:instrText>
      </w:r>
      <w:r>
        <w:fldChar w:fldCharType="separate"/>
      </w:r>
      <w:r w:rsidRPr="008D3D9F" w:rsidR="008D3D9F">
        <w:rPr>
          <w:rStyle w:val="Hyperlink"/>
          <w:rFonts w:ascii="Verdana" w:hAnsi="Verdana"/>
          <w:bCs/>
          <w:noProof/>
          <w:sz w:val="16"/>
          <w:szCs w:val="16"/>
        </w:rPr>
        <w:t>HM GOVERNMENT – SUPPLEMENTARY WRITTEN EVIDENCE (DAD0102)</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_Toc44517777 \h </w:instrText>
      </w:r>
      <w:r w:rsidRPr="008D3D9F">
        <w:rPr>
          <w:rFonts w:ascii="Verdana" w:hAnsi="Verdana"/>
          <w:noProof/>
          <w:webHidden/>
          <w:sz w:val="16"/>
          <w:szCs w:val="16"/>
        </w:rPr>
        <w:fldChar w:fldCharType="separate"/>
      </w:r>
      <w:r w:rsidR="00105D17">
        <w:rPr>
          <w:rFonts w:ascii="Verdana" w:hAnsi="Verdana"/>
          <w:noProof/>
          <w:webHidden/>
          <w:sz w:val="16"/>
          <w:szCs w:val="16"/>
        </w:rPr>
        <w:t>650</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"_Toc44517778" </w:instrText>
      </w:r>
      <w:r>
        <w:fldChar w:fldCharType="separate"/>
      </w:r>
      <w:r w:rsidRPr="008D3D9F" w:rsidR="008D3D9F">
        <w:rPr>
          <w:rStyle w:val="Hyperlink"/>
          <w:rFonts w:ascii="Verdana" w:hAnsi="Verdana"/>
          <w:noProof/>
          <w:sz w:val="16"/>
          <w:szCs w:val="16"/>
        </w:rPr>
        <w:t>TWITTER – SUPPLEMENTARY WRITTEN EVIDENCE (DAD0103)</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_Toc44517778 \h </w:instrText>
      </w:r>
      <w:r w:rsidRPr="008D3D9F">
        <w:rPr>
          <w:rFonts w:ascii="Verdana" w:hAnsi="Verdana"/>
          <w:noProof/>
          <w:webHidden/>
          <w:sz w:val="16"/>
          <w:szCs w:val="16"/>
        </w:rPr>
        <w:fldChar w:fldCharType="separate"/>
      </w:r>
      <w:r w:rsidR="00105D17">
        <w:rPr>
          <w:rFonts w:ascii="Verdana" w:hAnsi="Verdana"/>
          <w:noProof/>
          <w:webHidden/>
          <w:sz w:val="16"/>
          <w:szCs w:val="16"/>
        </w:rPr>
        <w:t>660</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"_Toc44517779" </w:instrText>
      </w:r>
      <w:r>
        <w:fldChar w:fldCharType="separate"/>
      </w:r>
      <w:r w:rsidRPr="008D3D9F" w:rsidR="008D3D9F">
        <w:rPr>
          <w:rStyle w:val="Hyperlink"/>
          <w:rFonts w:ascii="Verdana" w:hAnsi="Verdana"/>
          <w:bCs/>
          <w:noProof/>
          <w:sz w:val="16"/>
          <w:szCs w:val="16"/>
        </w:rPr>
        <w:t>DR. REBEKAH TROMBLE – WRITTEN EVIDENCE (DAD0104)</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_Toc44517779 \h </w:instrText>
      </w:r>
      <w:r w:rsidRPr="008D3D9F">
        <w:rPr>
          <w:rFonts w:ascii="Verdana" w:hAnsi="Verdana"/>
          <w:noProof/>
          <w:webHidden/>
          <w:sz w:val="16"/>
          <w:szCs w:val="16"/>
        </w:rPr>
        <w:fldChar w:fldCharType="separate"/>
      </w:r>
      <w:r w:rsidR="00105D17">
        <w:rPr>
          <w:rFonts w:ascii="Verdana" w:hAnsi="Verdana"/>
          <w:noProof/>
          <w:webHidden/>
          <w:sz w:val="16"/>
          <w:szCs w:val="16"/>
        </w:rPr>
        <w:t>662</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"_Toc44517780" </w:instrText>
      </w:r>
      <w:r>
        <w:fldChar w:fldCharType="separate"/>
      </w:r>
      <w:r w:rsidRPr="008D3D9F" w:rsidR="008D3D9F">
        <w:rPr>
          <w:rStyle w:val="Hyperlink"/>
          <w:rFonts w:ascii="Verdana" w:eastAsia="Calibri" w:hAnsi="Verdana"/>
          <w:iCs/>
          <w:noProof/>
          <w:sz w:val="16"/>
          <w:szCs w:val="16"/>
        </w:rPr>
        <w:t>CONSERVATIVE PARTY  - WRITTEN EVIDENCE (DAD106)</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_Toc44517780 \h </w:instrText>
      </w:r>
      <w:r w:rsidRPr="008D3D9F">
        <w:rPr>
          <w:rFonts w:ascii="Verdana" w:hAnsi="Verdana"/>
          <w:noProof/>
          <w:webHidden/>
          <w:sz w:val="16"/>
          <w:szCs w:val="16"/>
        </w:rPr>
        <w:fldChar w:fldCharType="separate"/>
      </w:r>
      <w:r w:rsidR="00105D17">
        <w:rPr>
          <w:rFonts w:ascii="Verdana" w:hAnsi="Verdana"/>
          <w:noProof/>
          <w:webHidden/>
          <w:sz w:val="16"/>
          <w:szCs w:val="16"/>
        </w:rPr>
        <w:t>664</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"_Toc44517781" </w:instrText>
      </w:r>
      <w:r>
        <w:fldChar w:fldCharType="separate"/>
      </w:r>
      <w:r w:rsidRPr="008D3D9F" w:rsidR="008D3D9F">
        <w:rPr>
          <w:rStyle w:val="Hyperlink"/>
          <w:rFonts w:ascii="Verdana" w:hAnsi="Verdana"/>
          <w:noProof/>
          <w:sz w:val="16"/>
          <w:szCs w:val="16"/>
        </w:rPr>
        <w:t>LIBERAL DEMOCRATS – WRITTEN EVIDENCE (DAD0105)</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_Toc44517781 \h </w:instrText>
      </w:r>
      <w:r w:rsidRPr="008D3D9F">
        <w:rPr>
          <w:rFonts w:ascii="Verdana" w:hAnsi="Verdana"/>
          <w:noProof/>
          <w:webHidden/>
          <w:sz w:val="16"/>
          <w:szCs w:val="16"/>
        </w:rPr>
        <w:fldChar w:fldCharType="separate"/>
      </w:r>
      <w:r w:rsidR="00105D17">
        <w:rPr>
          <w:rFonts w:ascii="Verdana" w:hAnsi="Verdana"/>
          <w:noProof/>
          <w:webHidden/>
          <w:sz w:val="16"/>
          <w:szCs w:val="16"/>
        </w:rPr>
        <w:t>668</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"_Toc44517782" </w:instrText>
      </w:r>
      <w:r>
        <w:fldChar w:fldCharType="separate"/>
      </w:r>
      <w:r w:rsidRPr="008D3D9F" w:rsidR="008D3D9F">
        <w:rPr>
          <w:rStyle w:val="Hyperlink"/>
          <w:rFonts w:ascii="Verdana" w:hAnsi="Verdana"/>
          <w:noProof/>
          <w:sz w:val="16"/>
          <w:szCs w:val="16"/>
        </w:rPr>
        <w:t>CHLOE SMITH MP – WRITTEN EVIDENCE (DAD0107)</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_Toc44517782 \h </w:instrText>
      </w:r>
      <w:r w:rsidRPr="008D3D9F">
        <w:rPr>
          <w:rFonts w:ascii="Verdana" w:hAnsi="Verdana"/>
          <w:noProof/>
          <w:webHidden/>
          <w:sz w:val="16"/>
          <w:szCs w:val="16"/>
        </w:rPr>
        <w:fldChar w:fldCharType="separate"/>
      </w:r>
      <w:r w:rsidR="00105D17">
        <w:rPr>
          <w:rFonts w:ascii="Verdana" w:hAnsi="Verdana"/>
          <w:noProof/>
          <w:webHidden/>
          <w:sz w:val="16"/>
          <w:szCs w:val="16"/>
        </w:rPr>
        <w:t>669</w:t>
      </w:r>
      <w:r w:rsidRPr="008D3D9F">
        <w:rPr>
          <w:rFonts w:ascii="Verdana" w:hAnsi="Verdana"/>
          <w:noProof/>
          <w:webHidden/>
          <w:sz w:val="16"/>
          <w:szCs w:val="16"/>
        </w:rPr>
        <w:fldChar w:fldCharType="end"/>
      </w:r>
      <w:r>
        <w:fldChar w:fldCharType="end"/>
      </w:r>
    </w:p>
    <w:p w:rsidR="00F76D1C" w:rsidRPr="008D3D9F" w:rsidP="009266A5">
      <w:pPr>
        <w:pStyle w:val="TOC1"/>
        <w:tabs>
          <w:tab w:val="right" w:leader="dot" w:pos="9563"/>
        </w:tabs>
        <w:ind w:hanging="1585"/>
        <w:rPr>
          <w:rFonts w:ascii="Verdana" w:hAnsi="Verdana" w:eastAsiaTheme="minorEastAsia" w:cstheme="minorBidi"/>
          <w:b w:val="0"/>
          <w:noProof/>
          <w:color w:val="auto"/>
          <w:sz w:val="16"/>
          <w:szCs w:val="16"/>
        </w:rPr>
      </w:pPr>
      <w:r>
        <w:fldChar w:fldCharType="begin"/>
      </w:r>
      <w:r>
        <w:instrText xml:space="preserve"> HYPERLINK \l "_Toc44517783" </w:instrText>
      </w:r>
      <w:r>
        <w:fldChar w:fldCharType="separate"/>
      </w:r>
      <w:r w:rsidRPr="008D3D9F" w:rsidR="008D3D9F">
        <w:rPr>
          <w:rStyle w:val="Hyperlink"/>
          <w:rFonts w:ascii="Verdana" w:hAnsi="Verdana"/>
          <w:bCs/>
          <w:noProof/>
          <w:sz w:val="16"/>
          <w:szCs w:val="16"/>
        </w:rPr>
        <w:t>FACEBOOK SUPPLEMENTARY WRITTEN EVIDENCE (DAD0108)</w:t>
      </w:r>
      <w:r w:rsidRPr="008D3D9F" w:rsidR="008D3D9F">
        <w:rPr>
          <w:rFonts w:ascii="Verdana" w:hAnsi="Verdana"/>
          <w:noProof/>
          <w:webHidden/>
          <w:sz w:val="16"/>
          <w:szCs w:val="16"/>
        </w:rPr>
        <w:tab/>
      </w:r>
      <w:r w:rsidRPr="008D3D9F">
        <w:rPr>
          <w:rFonts w:ascii="Verdana" w:hAnsi="Verdana"/>
          <w:noProof/>
          <w:webHidden/>
          <w:sz w:val="16"/>
          <w:szCs w:val="16"/>
        </w:rPr>
        <w:fldChar w:fldCharType="begin"/>
      </w:r>
      <w:r w:rsidRPr="008D3D9F">
        <w:rPr>
          <w:rFonts w:ascii="Verdana" w:hAnsi="Verdana"/>
          <w:noProof/>
          <w:webHidden/>
          <w:sz w:val="16"/>
          <w:szCs w:val="16"/>
        </w:rPr>
        <w:instrText xml:space="preserve"> PAGEREF _Toc44517783 \h </w:instrText>
      </w:r>
      <w:r w:rsidRPr="008D3D9F">
        <w:rPr>
          <w:rFonts w:ascii="Verdana" w:hAnsi="Verdana"/>
          <w:noProof/>
          <w:webHidden/>
          <w:sz w:val="16"/>
          <w:szCs w:val="16"/>
        </w:rPr>
        <w:fldChar w:fldCharType="separate"/>
      </w:r>
      <w:r w:rsidR="00105D17">
        <w:rPr>
          <w:rFonts w:ascii="Verdana" w:hAnsi="Verdana"/>
          <w:noProof/>
          <w:webHidden/>
          <w:sz w:val="16"/>
          <w:szCs w:val="16"/>
        </w:rPr>
        <w:t>670</w:t>
      </w:r>
      <w:r w:rsidRPr="008D3D9F">
        <w:rPr>
          <w:rFonts w:ascii="Verdana" w:hAnsi="Verdana"/>
          <w:noProof/>
          <w:webHidden/>
          <w:sz w:val="16"/>
          <w:szCs w:val="16"/>
        </w:rPr>
        <w:fldChar w:fldCharType="end"/>
      </w:r>
      <w:r>
        <w:fldChar w:fldCharType="end"/>
      </w:r>
    </w:p>
    <w:p w:rsidR="005B5CB6" w:rsidRPr="005B5CB6" w:rsidP="009266A5">
      <w:pPr>
        <w:spacing w:after="0" w:line="240" w:lineRule="auto"/>
        <w:ind w:left="-142" w:hanging="1585"/>
        <w:rPr>
          <w:rFonts w:ascii="Verdana" w:hAnsi="Verdana"/>
          <w:color w:val="000000" w:themeColor="text1"/>
        </w:rPr>
      </w:pPr>
      <w:r w:rsidRPr="008D3D9F">
        <w:rPr>
          <w:rFonts w:ascii="Verdana" w:hAnsi="Verdana"/>
          <w:color w:val="000000" w:themeColor="text1"/>
          <w:sz w:val="16"/>
          <w:szCs w:val="16"/>
        </w:rPr>
        <w:fldChar w:fldCharType="end"/>
      </w:r>
    </w:p>
    <w:p w:rsidR="005B5CB6" w:rsidRPr="005B5CB6">
      <w:pPr>
        <w:rPr>
          <w:rFonts w:ascii="Verdana" w:hAnsi="Verdana"/>
          <w:color w:val="000000" w:themeColor="text1"/>
        </w:rPr>
      </w:pPr>
      <w:r w:rsidRPr="005B5CB6">
        <w:rPr>
          <w:rFonts w:ascii="Verdana" w:hAnsi="Verdana"/>
          <w:color w:val="000000" w:themeColor="text1"/>
        </w:rPr>
        <w:br w:type="page"/>
      </w:r>
    </w:p>
    <w:p w:rsidR="007641E8" w:rsidRPr="005B5CB6" w:rsidP="00673732">
      <w:pPr>
        <w:spacing w:after="0" w:line="240" w:lineRule="auto"/>
        <w:ind w:left="-142"/>
        <w:rPr>
          <w:rFonts w:ascii="Verdana" w:hAnsi="Verdana"/>
        </w:rPr>
      </w:pPr>
    </w:p>
    <w:p w:rsidR="00FB0B24" w:rsidRPr="005B5CB6" w:rsidP="00A1624B">
      <w:pPr>
        <w:pStyle w:val="Heading1"/>
        <w:rPr>
          <w:sz w:val="22"/>
        </w:rPr>
      </w:pPr>
      <w:bookmarkStart w:id="1" w:name="_Toc44517689"/>
      <w:r w:rsidRPr="005B5CB6">
        <w:rPr>
          <w:sz w:val="22"/>
        </w:rPr>
        <w:t>Mr Barry Thain – written evidence (DAD0001)</w:t>
      </w:r>
      <w:bookmarkEnd w:id="1"/>
      <w:r w:rsidRPr="005B5CB6">
        <w:rPr>
          <w:sz w:val="22"/>
        </w:rPr>
        <w:t xml:space="preserve"> </w:t>
      </w:r>
    </w:p>
    <w:p w:rsidR="00FB0B24" w:rsidRPr="005B5CB6" w:rsidP="001512F6">
      <w:pPr>
        <w:spacing w:after="0"/>
        <w:ind w:left="36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1" w:hanging="10"/>
        <w:jc w:val="both"/>
        <w:rPr>
          <w:rFonts w:ascii="Verdana" w:hAnsi="Verdana"/>
        </w:rPr>
      </w:pPr>
      <w:r w:rsidRPr="005B5CB6">
        <w:rPr>
          <w:rFonts w:ascii="Verdana" w:eastAsia="Verdana" w:hAnsi="Verdana" w:cs="Verdana"/>
          <w:b/>
        </w:rPr>
        <w:t xml:space="preserve">General </w:t>
      </w:r>
      <w:r w:rsidRPr="005B5CB6">
        <w:rPr>
          <w:rFonts w:ascii="Verdana" w:eastAsia="Verdana" w:hAnsi="Verdana" w:cs="Verdana"/>
        </w:rPr>
        <w:t xml:space="preserve"> </w:t>
      </w:r>
    </w:p>
    <w:p w:rsidR="00FB0B24" w:rsidRPr="005B5CB6" w:rsidP="001512F6">
      <w:pPr>
        <w:numPr>
          <w:ilvl w:val="0"/>
          <w:numId w:val="1"/>
        </w:numPr>
        <w:spacing w:after="5" w:line="249" w:lineRule="auto"/>
        <w:ind w:hanging="360"/>
        <w:jc w:val="both"/>
        <w:rPr>
          <w:rFonts w:ascii="Verdana" w:hAnsi="Verdana"/>
        </w:rPr>
      </w:pPr>
      <w:r w:rsidRPr="005B5CB6">
        <w:rPr>
          <w:rFonts w:ascii="Verdana" w:eastAsia="Verdana" w:hAnsi="Verdana" w:cs="Verdana"/>
          <w:i/>
        </w:rPr>
        <w:t xml:space="preserve">How has digital technology changed the way that democracy works in the UK and has this been a net positive or negative effect?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It has given a voice to the underclass and led directly to the rise of Populism. </w:t>
      </w:r>
    </w:p>
    <w:p w:rsidR="00FB0B24" w:rsidRPr="005B5CB6" w:rsidP="001512F6">
      <w:pPr>
        <w:tabs>
          <w:tab w:val="left" w:pos="6660"/>
        </w:tabs>
        <w:spacing w:after="0"/>
        <w:ind w:left="1"/>
        <w:jc w:val="both"/>
        <w:rPr>
          <w:rFonts w:ascii="Verdana" w:hAnsi="Verdana"/>
        </w:rPr>
      </w:pPr>
      <w:r w:rsidRPr="005B5CB6">
        <w:rPr>
          <w:rFonts w:ascii="Verdana" w:eastAsia="Verdana" w:hAnsi="Verdana" w:cs="Verdana"/>
        </w:rPr>
        <w:t xml:space="preserve"> </w:t>
      </w:r>
      <w:r w:rsidRPr="005B5CB6" w:rsidR="009D1A35">
        <w:rPr>
          <w:rFonts w:ascii="Verdana" w:eastAsia="Verdana" w:hAnsi="Verdana" w:cs="Verdana"/>
        </w:rPr>
        <w:tab/>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For any given topic there is a pyramid of knowledge. At the top there’s one person who, all in all, knows more about the subject than anyone else. Beneath them, a few people know a very great deal. At the bottom of the pyramid is the vast mass of humanity – people like me – who know nothing (which doesn’t stop us having strong opinions). We are the people who decide the winners in a democracy. Plato disliked democracy because he thought the people were not wise enough to make good decisions.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Until recently the constituents of the base of the pyramid had no voice. </w:t>
      </w:r>
    </w:p>
    <w:p w:rsidR="00FB0B24" w:rsidRPr="005B5CB6" w:rsidP="001512F6">
      <w:pPr>
        <w:spacing w:after="5" w:line="250" w:lineRule="auto"/>
        <w:ind w:left="1448" w:right="11" w:hanging="8"/>
        <w:jc w:val="both"/>
        <w:rPr>
          <w:rFonts w:ascii="Verdana" w:hAnsi="Verdana"/>
        </w:rPr>
      </w:pPr>
      <w:r w:rsidRPr="005B5CB6">
        <w:rPr>
          <w:rFonts w:ascii="Verdana" w:eastAsia="Verdana" w:hAnsi="Verdana" w:cs="Verdana"/>
        </w:rPr>
        <w:t xml:space="preserve">We did not publish books or write in journals or submit evidence to the House of Lords. We were not featured in broadcast media. We had some collective representation through trades unions but no individual voice.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Digital technology gives everyone a platform. Anyone can publish whatever they like, and any sympathisers can easily find it. The ignorance of the masses can no longer be contained. This is a positive thing if you subscribe to the simplistic notion that the ‘voice of the people’ must be obeyed. Personally, having listened to his Reith Lectures several times, I would rather delegate (abdicate?) decisions about law, politics, Brexit, human rights, the Constitution and so on to Lord Sumption than be invited to make them myself, because he clearly knows and understands so much more about them than I ever could.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1"/>
        </w:numPr>
        <w:spacing w:after="5" w:line="249" w:lineRule="auto"/>
        <w:ind w:hanging="360"/>
        <w:jc w:val="both"/>
        <w:rPr>
          <w:rFonts w:ascii="Verdana" w:hAnsi="Verdana"/>
        </w:rPr>
      </w:pPr>
      <w:r w:rsidRPr="005B5CB6">
        <w:rPr>
          <w:rFonts w:ascii="Verdana" w:eastAsia="Verdana" w:hAnsi="Verdana" w:cs="Verdana"/>
          <w:i/>
        </w:rPr>
        <w:t xml:space="preserve">How have the design of algorithms used by social media platforms shaped democratic debate? To what extent should there be greater accountability for the design of these algorithms?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I’m not convinced this is an issue. For all we might suspect the algorithms produce echo chambers I’m not sure that matters as debate rarely changes minds (see the House of Commons Meaningful Vote debates).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Of greater significance than algorithms, I believe, is the character count on Twitter. 280 characters is insufficient for a nuanced argument. It serves shouty headlines and the more extreme the better if you want to get noticed. The average Tweet is only 33 characters. Enough for “Yeah! Just get on with it!”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0" w:hanging="10"/>
        <w:jc w:val="both"/>
        <w:rPr>
          <w:rFonts w:ascii="Verdana" w:hAnsi="Verdana"/>
        </w:rPr>
      </w:pPr>
      <w:r w:rsidRPr="005B5CB6">
        <w:rPr>
          <w:rFonts w:ascii="Verdana" w:eastAsia="Verdana" w:hAnsi="Verdana" w:cs="Verdana"/>
          <w:b/>
        </w:rPr>
        <w:t xml:space="preserve">Education </w:t>
      </w:r>
      <w:r w:rsidRPr="005B5CB6">
        <w:rPr>
          <w:rFonts w:ascii="Verdana" w:eastAsia="Verdana" w:hAnsi="Verdana" w:cs="Verdana"/>
        </w:rPr>
        <w:t xml:space="preserve"> </w:t>
      </w:r>
    </w:p>
    <w:p w:rsidR="00FB0B24" w:rsidRPr="005B5CB6" w:rsidP="001512F6">
      <w:pPr>
        <w:numPr>
          <w:ilvl w:val="0"/>
          <w:numId w:val="1"/>
        </w:numPr>
        <w:spacing w:after="5" w:line="249" w:lineRule="auto"/>
        <w:ind w:hanging="360"/>
        <w:jc w:val="both"/>
        <w:rPr>
          <w:rFonts w:ascii="Verdana" w:hAnsi="Verdana"/>
        </w:rPr>
      </w:pPr>
      <w:r w:rsidRPr="005B5CB6">
        <w:rPr>
          <w:rFonts w:ascii="Verdana" w:eastAsia="Verdana" w:hAnsi="Verdana" w:cs="Verdana"/>
          <w:i/>
        </w:rPr>
        <w:t xml:space="preserve">What role should every stage of education play in helping to create a healthy, active, digitally literate democracy?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Digital literacy is the new handwriting. Kids should be taught it in infants’ classes. Beyond that it is a matter of vocational education. I’m not sure it necessarily needs to be wedded to democracy or vice versa.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0"/>
        <w:ind w:left="361"/>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371" w:hanging="10"/>
        <w:jc w:val="both"/>
        <w:rPr>
          <w:rFonts w:ascii="Verdana" w:hAnsi="Verdana"/>
        </w:rPr>
      </w:pPr>
      <w:r w:rsidRPr="005B5CB6">
        <w:rPr>
          <w:rFonts w:ascii="Verdana" w:eastAsia="Verdana" w:hAnsi="Verdana" w:cs="Verdana"/>
          <w:b/>
        </w:rPr>
        <w:t xml:space="preserve">Online campaigning </w:t>
      </w:r>
      <w:r w:rsidRPr="005B5CB6">
        <w:rPr>
          <w:rFonts w:ascii="Verdana" w:eastAsia="Verdana" w:hAnsi="Verdana" w:cs="Verdana"/>
        </w:rPr>
        <w:t xml:space="preserve"> </w:t>
      </w:r>
    </w:p>
    <w:p w:rsidR="00FB0B24" w:rsidRPr="005B5CB6" w:rsidP="001512F6">
      <w:pPr>
        <w:numPr>
          <w:ilvl w:val="0"/>
          <w:numId w:val="1"/>
        </w:numPr>
        <w:spacing w:after="5" w:line="249" w:lineRule="auto"/>
        <w:ind w:hanging="360"/>
        <w:jc w:val="both"/>
        <w:rPr>
          <w:rFonts w:ascii="Verdana" w:hAnsi="Verdana"/>
        </w:rPr>
      </w:pPr>
      <w:r w:rsidRPr="005B5CB6">
        <w:rPr>
          <w:rFonts w:ascii="Verdana" w:eastAsia="Verdana" w:hAnsi="Verdana" w:cs="Verdana"/>
          <w:i/>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Online campaigning by political parties should be restricted and regulated akin to offline campaigns.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Other actors (individuals, groups and states) seeking to influence are harder to control. I would make the GIFT (Google, Instagram, Facebook, Twitter) operations Publishers rather than Platforms and, in doing so, make them responsible and accountable for their content.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numPr>
          <w:ilvl w:val="0"/>
          <w:numId w:val="1"/>
        </w:numPr>
        <w:spacing w:after="5" w:line="249" w:lineRule="auto"/>
        <w:ind w:hanging="360"/>
        <w:jc w:val="both"/>
        <w:rPr>
          <w:rFonts w:ascii="Verdana" w:hAnsi="Verdana"/>
        </w:rPr>
      </w:pPr>
      <w:r w:rsidRPr="005B5CB6">
        <w:rPr>
          <w:rFonts w:ascii="Verdana" w:eastAsia="Verdana" w:hAnsi="Verdana" w:cs="Verdana"/>
          <w:i/>
        </w:rPr>
        <w:t xml:space="preserve">What effect does online targeted advertising have on the political process, and what effects could it have in the future? Should there be additional regulation of political advertising?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That Genie is out of the bottle. The good guys need to compete better with the bad guys. Again, I think that making GIFT publishers rather than platforms would help.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0" w:hanging="10"/>
        <w:jc w:val="both"/>
        <w:rPr>
          <w:rFonts w:ascii="Verdana" w:hAnsi="Verdana"/>
        </w:rPr>
      </w:pPr>
      <w:r w:rsidRPr="005B5CB6">
        <w:rPr>
          <w:rFonts w:ascii="Verdana" w:eastAsia="Verdana" w:hAnsi="Verdana" w:cs="Verdana"/>
          <w:b/>
        </w:rPr>
        <w:t xml:space="preserve">Privacy and anonymity </w:t>
      </w:r>
      <w:r w:rsidRPr="005B5CB6">
        <w:rPr>
          <w:rFonts w:ascii="Verdana" w:eastAsia="Verdana" w:hAnsi="Verdana" w:cs="Verdana"/>
        </w:rPr>
        <w:t xml:space="preserve"> </w:t>
      </w:r>
    </w:p>
    <w:p w:rsidR="00FB0B24" w:rsidRPr="005B5CB6" w:rsidP="001512F6">
      <w:pPr>
        <w:numPr>
          <w:ilvl w:val="0"/>
          <w:numId w:val="1"/>
        </w:numPr>
        <w:spacing w:after="5" w:line="249" w:lineRule="auto"/>
        <w:ind w:hanging="360"/>
        <w:jc w:val="both"/>
        <w:rPr>
          <w:rFonts w:ascii="Verdana" w:hAnsi="Verdana"/>
        </w:rPr>
      </w:pPr>
      <w:r w:rsidRPr="005B5CB6">
        <w:rPr>
          <w:rFonts w:ascii="Verdana" w:eastAsia="Verdana" w:hAnsi="Verdana" w:cs="Verdana"/>
          <w:i/>
        </w:rPr>
        <w:t xml:space="preserve">To what extent does increasing use of encrypted messaging and private groups present a challenge to the democratic process?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Hardly at all. I think this is a real red herring. Encryption is a security concern and even there an overstated one. Terrorism is scary and horrible but its effect on society is insignificant relative to smoking, obesity or even road accidents. Since the Madrid train bombing one person has been killed in Europe every two months by terrorists. One death across Europe every two months is tragic. But 1,500 people die from dementia in England and Wales every week.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1"/>
        </w:numPr>
        <w:spacing w:after="5" w:line="249" w:lineRule="auto"/>
        <w:ind w:hanging="360"/>
        <w:jc w:val="both"/>
        <w:rPr>
          <w:rFonts w:ascii="Verdana" w:hAnsi="Verdana"/>
        </w:rPr>
      </w:pPr>
      <w:r w:rsidRPr="005B5CB6">
        <w:rPr>
          <w:rFonts w:ascii="Verdana" w:eastAsia="Verdana" w:hAnsi="Verdana" w:cs="Verdana"/>
          <w:i/>
        </w:rPr>
        <w:t xml:space="preserve">What are the positive or negative effects of anonymity on online democratic discourse?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It’s a choice. Actually, it’s two choices. People can choose to remain anonymous if they fear a hostile response to their message, and people can choose whether to give credence to anonymous commentators. I think there are bigger fish to fry.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0" w:hanging="10"/>
        <w:jc w:val="both"/>
        <w:rPr>
          <w:rFonts w:ascii="Verdana" w:hAnsi="Verdana"/>
        </w:rPr>
      </w:pPr>
      <w:r w:rsidRPr="005B5CB6">
        <w:rPr>
          <w:rFonts w:ascii="Verdana" w:eastAsia="Verdana" w:hAnsi="Verdana" w:cs="Verdana"/>
          <w:b/>
        </w:rPr>
        <w:t xml:space="preserve">Democratic debate </w:t>
      </w:r>
      <w:r w:rsidRPr="005B5CB6">
        <w:rPr>
          <w:rFonts w:ascii="Verdana" w:eastAsia="Verdana" w:hAnsi="Verdana" w:cs="Verdana"/>
        </w:rPr>
        <w:t xml:space="preserve"> </w:t>
      </w:r>
    </w:p>
    <w:p w:rsidR="00FB0B24" w:rsidRPr="005B5CB6" w:rsidP="001512F6">
      <w:pPr>
        <w:numPr>
          <w:ilvl w:val="0"/>
          <w:numId w:val="1"/>
        </w:numPr>
        <w:spacing w:after="5" w:line="249" w:lineRule="auto"/>
        <w:ind w:hanging="360"/>
        <w:jc w:val="both"/>
        <w:rPr>
          <w:rFonts w:ascii="Verdana" w:hAnsi="Verdana"/>
        </w:rPr>
      </w:pPr>
      <w:r w:rsidRPr="005B5CB6">
        <w:rPr>
          <w:rFonts w:ascii="Verdana" w:eastAsia="Verdana" w:hAnsi="Verdana" w:cs="Verdana"/>
          <w:i/>
        </w:rPr>
        <w:t xml:space="preserve">To what extent does social media negatively shape public debate, either through encouraging polarisation or through abuse deterring individuals from engaging in public life?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It has simply given a voice to people who didn’t have one before. It doesn’t make them polarised or antagonistic. It allows extremists and idiots access to the same forum as intellectuals.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Nothing in social media is a detrimental to society as the decision to grant a referendum on a matter of long-term significance (EU membership) to a people whose whim can change from one day to the next.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1"/>
        </w:numPr>
        <w:spacing w:after="5" w:line="249" w:lineRule="auto"/>
        <w:ind w:hanging="360"/>
        <w:jc w:val="both"/>
        <w:rPr>
          <w:rFonts w:ascii="Verdana" w:hAnsi="Verdana"/>
        </w:rPr>
      </w:pPr>
      <w:r w:rsidRPr="005B5CB6">
        <w:rPr>
          <w:rFonts w:ascii="Verdana" w:eastAsia="Verdana" w:hAnsi="Verdana" w:cs="Verdana"/>
          <w:i/>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1"/>
        </w:numPr>
        <w:spacing w:after="5" w:line="250" w:lineRule="auto"/>
        <w:ind w:left="1440" w:right="11" w:hanging="360"/>
        <w:jc w:val="both"/>
        <w:rPr>
          <w:rFonts w:ascii="Verdana" w:hAnsi="Verdana"/>
        </w:rPr>
      </w:pPr>
      <w:r w:rsidRPr="005B5CB6">
        <w:rPr>
          <w:rFonts w:ascii="Verdana" w:eastAsia="Verdana" w:hAnsi="Verdana" w:cs="Verdana"/>
        </w:rPr>
        <w:t xml:space="preserve">Trust in the democratic process is undermined by career politicians who vote whichever way increases their chances of climbing the greasy pole. One expense claim for a duck pond does infinitely more damage to trust in our institutions than any number of Kremlin bots. </w:t>
      </w:r>
    </w:p>
    <w:p w:rsidR="00FB0B24" w:rsidRPr="005B5CB6" w:rsidP="001512F6">
      <w:pPr>
        <w:spacing w:after="0"/>
        <w:ind w:left="36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370" w:hanging="10"/>
        <w:jc w:val="both"/>
        <w:rPr>
          <w:rFonts w:ascii="Verdana" w:hAnsi="Verdana"/>
        </w:rPr>
      </w:pPr>
      <w:r w:rsidRPr="005B5CB6">
        <w:rPr>
          <w:rFonts w:ascii="Verdana" w:eastAsia="Verdana" w:hAnsi="Verdana" w:cs="Verdana"/>
          <w:b/>
        </w:rPr>
        <w:t xml:space="preserve">Misinformation </w:t>
      </w:r>
      <w:r w:rsidRPr="005B5CB6">
        <w:rPr>
          <w:rFonts w:ascii="Verdana" w:eastAsia="Verdana" w:hAnsi="Verdana" w:cs="Verdana"/>
        </w:rPr>
        <w:t xml:space="preserve"> </w:t>
      </w:r>
    </w:p>
    <w:p w:rsidR="00FB0B24" w:rsidRPr="005B5CB6" w:rsidP="001512F6">
      <w:pPr>
        <w:spacing w:after="5" w:line="249" w:lineRule="auto"/>
        <w:ind w:left="720" w:hanging="360"/>
        <w:jc w:val="both"/>
        <w:rPr>
          <w:rFonts w:ascii="Verdana" w:hAnsi="Verdana"/>
        </w:rPr>
      </w:pPr>
      <w:r w:rsidRPr="005B5CB6">
        <w:rPr>
          <w:rFonts w:ascii="Verdana" w:eastAsia="Verdana" w:hAnsi="Verdana" w:cs="Verdana"/>
          <w:i/>
        </w:rPr>
        <w:t xml:space="preserve">10.What might be the best ways of reducing the effects of misinformation on social media platforms?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088" w:right="11" w:hanging="8"/>
        <w:jc w:val="both"/>
        <w:rPr>
          <w:rFonts w:ascii="Verdana" w:hAnsi="Verdana"/>
        </w:rPr>
      </w:pPr>
      <w:r w:rsidRPr="005B5CB6">
        <w:rPr>
          <w:rFonts w:ascii="Verdana" w:eastAsia="Verdana" w:hAnsi="Verdana" w:cs="Verdana"/>
        </w:rPr>
        <w:t>a.</w:t>
      </w:r>
      <w:r w:rsidRPr="005B5CB6">
        <w:rPr>
          <w:rFonts w:ascii="Verdana" w:eastAsia="Arial" w:hAnsi="Verdana" w:cs="Arial"/>
        </w:rPr>
        <w:t xml:space="preserve"> </w:t>
      </w:r>
      <w:r w:rsidRPr="005B5CB6">
        <w:rPr>
          <w:rFonts w:ascii="Verdana" w:eastAsia="Verdana" w:hAnsi="Verdana" w:cs="Verdana"/>
        </w:rPr>
        <w:t xml:space="preserve">Make them publishers.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0" w:hanging="10"/>
        <w:jc w:val="both"/>
        <w:rPr>
          <w:rFonts w:ascii="Verdana" w:hAnsi="Verdana"/>
        </w:rPr>
      </w:pPr>
      <w:r w:rsidRPr="005B5CB6">
        <w:rPr>
          <w:rFonts w:ascii="Verdana" w:eastAsia="Verdana" w:hAnsi="Verdana" w:cs="Verdana"/>
          <w:b/>
        </w:rPr>
        <w:t xml:space="preserve">Moderation </w:t>
      </w:r>
      <w:r w:rsidRPr="005B5CB6">
        <w:rPr>
          <w:rFonts w:ascii="Verdana" w:eastAsia="Verdana" w:hAnsi="Verdana" w:cs="Verdana"/>
        </w:rPr>
        <w:t xml:space="preserve"> </w:t>
      </w:r>
    </w:p>
    <w:p w:rsidR="00FB0B24" w:rsidRPr="005B5CB6" w:rsidP="001512F6">
      <w:pPr>
        <w:spacing w:after="5" w:line="249" w:lineRule="auto"/>
        <w:ind w:left="720" w:hanging="360"/>
        <w:jc w:val="both"/>
        <w:rPr>
          <w:rFonts w:ascii="Verdana" w:hAnsi="Verdana"/>
        </w:rPr>
      </w:pPr>
      <w:r w:rsidRPr="005B5CB6">
        <w:rPr>
          <w:rFonts w:ascii="Verdana" w:eastAsia="Verdana" w:hAnsi="Verdana" w:cs="Verdana"/>
          <w:i/>
        </w:rPr>
        <w:t xml:space="preserve">11.How could the moderation processes of large technology companies be improved to better tackle abuse and misinformation, as well as helping public debate flourish?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088" w:right="11" w:hanging="8"/>
        <w:jc w:val="both"/>
        <w:rPr>
          <w:rFonts w:ascii="Verdana" w:hAnsi="Verdana"/>
        </w:rPr>
      </w:pPr>
      <w:r w:rsidRPr="005B5CB6">
        <w:rPr>
          <w:rFonts w:ascii="Verdana" w:eastAsia="Verdana" w:hAnsi="Verdana" w:cs="Verdana"/>
        </w:rPr>
        <w:t>a.</w:t>
      </w:r>
      <w:r w:rsidRPr="005B5CB6">
        <w:rPr>
          <w:rFonts w:ascii="Verdana" w:eastAsia="Arial" w:hAnsi="Verdana" w:cs="Arial"/>
        </w:rPr>
        <w:t xml:space="preserve"> </w:t>
      </w:r>
      <w:r w:rsidRPr="005B5CB6">
        <w:rPr>
          <w:rFonts w:ascii="Verdana" w:eastAsia="Verdana" w:hAnsi="Verdana" w:cs="Verdana"/>
        </w:rPr>
        <w:t xml:space="preserve">Make them publishers.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0" w:hanging="10"/>
        <w:jc w:val="both"/>
        <w:rPr>
          <w:rFonts w:ascii="Verdana" w:hAnsi="Verdana"/>
        </w:rPr>
      </w:pPr>
      <w:r w:rsidRPr="005B5CB6">
        <w:rPr>
          <w:rFonts w:ascii="Verdana" w:eastAsia="Verdana" w:hAnsi="Verdana" w:cs="Verdana"/>
          <w:b/>
        </w:rPr>
        <w:t xml:space="preserve">Technology and democratic engagement  </w:t>
      </w:r>
    </w:p>
    <w:p w:rsidR="00FB0B24" w:rsidRPr="005B5CB6" w:rsidP="001512F6">
      <w:pPr>
        <w:spacing w:after="5" w:line="249" w:lineRule="auto"/>
        <w:ind w:left="720" w:hanging="360"/>
        <w:jc w:val="both"/>
        <w:rPr>
          <w:rFonts w:ascii="Verdana" w:hAnsi="Verdana"/>
        </w:rPr>
      </w:pPr>
      <w:r w:rsidRPr="005B5CB6">
        <w:rPr>
          <w:rFonts w:ascii="Verdana" w:eastAsia="Verdana" w:hAnsi="Verdana" w:cs="Verdana"/>
          <w:i/>
        </w:rPr>
        <w:t xml:space="preserve">12.How could the Government better support the positive work of civil society organisations using technology to facilitate engagement with democratic processes?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088" w:right="11" w:hanging="8"/>
        <w:jc w:val="both"/>
        <w:rPr>
          <w:rFonts w:ascii="Verdana" w:hAnsi="Verdana"/>
        </w:rPr>
      </w:pPr>
      <w:r w:rsidRPr="005B5CB6">
        <w:rPr>
          <w:rFonts w:ascii="Verdana" w:eastAsia="Verdana" w:hAnsi="Verdana" w:cs="Verdana"/>
        </w:rPr>
        <w:t>a.</w:t>
      </w:r>
      <w:r w:rsidRPr="005B5CB6">
        <w:rPr>
          <w:rFonts w:ascii="Verdana" w:eastAsia="Arial" w:hAnsi="Verdana" w:cs="Arial"/>
        </w:rPr>
        <w:t xml:space="preserve"> </w:t>
      </w:r>
      <w:r w:rsidRPr="005B5CB6">
        <w:rPr>
          <w:rFonts w:ascii="Verdana" w:eastAsia="Verdana" w:hAnsi="Verdana" w:cs="Verdana"/>
        </w:rPr>
        <w:t xml:space="preserve">I have no idea.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720" w:hanging="360"/>
        <w:jc w:val="both"/>
        <w:rPr>
          <w:rFonts w:ascii="Verdana" w:hAnsi="Verdana"/>
        </w:rPr>
      </w:pPr>
      <w:r w:rsidRPr="005B5CB6">
        <w:rPr>
          <w:rFonts w:ascii="Verdana" w:eastAsia="Verdana" w:hAnsi="Verdana" w:cs="Verdana"/>
          <w:i/>
        </w:rPr>
        <w:t xml:space="preserve">13.How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440" w:right="11" w:hanging="360"/>
        <w:jc w:val="both"/>
        <w:rPr>
          <w:rFonts w:ascii="Verdana" w:hAnsi="Verdana"/>
        </w:rPr>
      </w:pPr>
      <w:r w:rsidRPr="005B5CB6">
        <w:rPr>
          <w:rFonts w:ascii="Verdana" w:eastAsia="Verdana" w:hAnsi="Verdana" w:cs="Verdana"/>
        </w:rPr>
        <w:t>a.</w:t>
      </w:r>
      <w:r w:rsidRPr="005B5CB6">
        <w:rPr>
          <w:rFonts w:ascii="Verdana" w:eastAsia="Arial" w:hAnsi="Verdana" w:cs="Arial"/>
        </w:rPr>
        <w:t xml:space="preserve"> </w:t>
      </w:r>
      <w:r w:rsidRPr="005B5CB6">
        <w:rPr>
          <w:rFonts w:ascii="Verdana" w:eastAsia="Verdana" w:hAnsi="Verdana" w:cs="Verdana"/>
        </w:rPr>
        <w:t xml:space="preserve">No, no, no, no, no! We elect MPs so they can assemble the brains at the top of the pyramid and arrive at decisions on behalf of us idiots at the bottom of the pyramid. That’s what Parliament is there for. Don’t keep asking me to get involved in making decisions. I don’t know anything. That’s your job. Give me a vote every five years so I can approve or not, but don’t flatter me that you are interested in my opinion because my opinion isn’t worth anything.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720" w:hanging="360"/>
        <w:jc w:val="both"/>
        <w:rPr>
          <w:rFonts w:ascii="Verdana" w:hAnsi="Verdana"/>
        </w:rPr>
      </w:pPr>
      <w:r w:rsidRPr="005B5CB6">
        <w:rPr>
          <w:rFonts w:ascii="Verdana" w:eastAsia="Verdana" w:hAnsi="Verdana" w:cs="Verdana"/>
          <w:i/>
        </w:rPr>
        <w:t xml:space="preserve">14.What positive examples are there of technology being used to enhance democracy?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088" w:right="11" w:hanging="8"/>
        <w:jc w:val="both"/>
        <w:rPr>
          <w:rFonts w:ascii="Verdana" w:hAnsi="Verdana"/>
        </w:rPr>
      </w:pPr>
      <w:r w:rsidRPr="005B5CB6">
        <w:rPr>
          <w:rFonts w:ascii="Verdana" w:eastAsia="Verdana" w:hAnsi="Verdana" w:cs="Verdana"/>
        </w:rPr>
        <w:t>a.</w:t>
      </w:r>
      <w:r w:rsidRPr="005B5CB6">
        <w:rPr>
          <w:rFonts w:ascii="Verdana" w:eastAsia="Arial" w:hAnsi="Verdana" w:cs="Arial"/>
        </w:rPr>
        <w:t xml:space="preserve"> </w:t>
      </w:r>
      <w:r w:rsidRPr="005B5CB6">
        <w:rPr>
          <w:rFonts w:ascii="Verdana" w:eastAsia="Verdana" w:hAnsi="Verdana" w:cs="Verdana"/>
        </w:rPr>
        <w:t xml:space="preserve">Beyond BBC Parliament???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6562C6">
          <w:footerReference w:type="default" r:id="rId10"/>
          <w:footerReference w:type="first" r:id="rId11"/>
          <w:pgSz w:w="11904" w:h="17340"/>
          <w:pgMar w:top="1218" w:right="1146" w:bottom="1467" w:left="1185" w:header="720" w:footer="721" w:gutter="0"/>
          <w:cols w:space="720"/>
          <w:docGrid w:linePitch="299"/>
        </w:sectPr>
      </w:pPr>
    </w:p>
    <w:p w:rsidR="00FB0B24" w:rsidRPr="005B5CB6" w:rsidP="00A1624B">
      <w:pPr>
        <w:pStyle w:val="Heading1"/>
        <w:rPr>
          <w:sz w:val="22"/>
        </w:rPr>
      </w:pPr>
      <w:bookmarkStart w:id="2" w:name="_Toc44517690"/>
      <w:r w:rsidRPr="005B5CB6">
        <w:rPr>
          <w:sz w:val="22"/>
        </w:rPr>
        <w:t>Ms Christina Eager – written evidence (DAD0002)</w:t>
      </w:r>
      <w:bookmarkEnd w:id="2"/>
      <w:r w:rsidRPr="005B5CB6">
        <w:rPr>
          <w:sz w:val="22"/>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General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numPr>
          <w:ilvl w:val="0"/>
          <w:numId w:val="2"/>
        </w:numPr>
        <w:spacing w:after="5" w:line="249" w:lineRule="auto"/>
        <w:ind w:hanging="10"/>
        <w:jc w:val="both"/>
        <w:rPr>
          <w:rFonts w:ascii="Verdana" w:hAnsi="Verdana"/>
        </w:rPr>
      </w:pPr>
      <w:r w:rsidRPr="005B5CB6">
        <w:rPr>
          <w:rFonts w:ascii="Verdana" w:eastAsia="Verdana" w:hAnsi="Verdana" w:cs="Verdana"/>
          <w:i/>
        </w:rPr>
        <w:t xml:space="preserve">How has digital technology changed the way that democracy works in the UK and has this been a net positive or negative effect?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Much of the political debate has moved online and is therefore inaccessible to some people. This has to be a bad thing for democracy.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2"/>
        </w:numPr>
        <w:spacing w:after="5" w:line="249" w:lineRule="auto"/>
        <w:ind w:hanging="10"/>
        <w:jc w:val="both"/>
        <w:rPr>
          <w:rFonts w:ascii="Verdana" w:hAnsi="Verdana"/>
        </w:rPr>
      </w:pPr>
      <w:r w:rsidRPr="005B5CB6">
        <w:rPr>
          <w:rFonts w:ascii="Verdana" w:eastAsia="Verdana" w:hAnsi="Verdana" w:cs="Verdana"/>
          <w:i/>
        </w:rPr>
        <w:t xml:space="preserve">How have the design of algorithms used by social media platforms shaped democratic debate? To what extent should there be greater accountability for the design of these algorithms?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It’s not the design of the algorithm but the uses to which they are put. A kitchen knife is a useful tool, until you use it to kill somebody. Unfortunately the actual algorithms are treated as commercially valuable and are secret to an extent that nobody, possibly not even the developers (if they use modularisation which I expect is the case) know what the full algorithm does. More scrutiny of those might be helpful. Maybe they should be open source and not proprietary.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Education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2"/>
        </w:numPr>
        <w:spacing w:after="5" w:line="249" w:lineRule="auto"/>
        <w:ind w:hanging="10"/>
        <w:jc w:val="both"/>
        <w:rPr>
          <w:rFonts w:ascii="Verdana" w:hAnsi="Verdana"/>
        </w:rPr>
      </w:pPr>
      <w:r w:rsidRPr="005B5CB6">
        <w:rPr>
          <w:rFonts w:ascii="Verdana" w:eastAsia="Verdana" w:hAnsi="Verdana" w:cs="Verdana"/>
          <w:i/>
        </w:rPr>
        <w:t xml:space="preserve">What role should every stage of education play in helping to create a healthy, active, digitally literate democracy?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It is failure of education that has led to massive issues with democracy. Although there is a requirement to teach digital literacy and online safety there’s no guarantee that it is taught well or absorbed by the pupils.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The population generally is not equipped with the skills necessary to check the veracity of any thing they read. That isn’t a failure of only IT/Computer Science lessons (for those people who have had them) but all subjects. Analysing sources is fine in History or Geography or any academic subject but it is not taught as a life skill which it now most definitely is. This is the single most important issue: that voters of all ages must equipped with the skills to fact check and to analyse what they are being told. Actually this is also true for lots of other things.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People generally don’t understand data and numbers enough to make sense of them. Lots of people don’t seem to understand what a majority is or what 50% is or that if 75% of the population has something then 25% don’t. You can see this inability to analyse in lots of places in public debate. People generally don’t understand the meaning of the key terms being used and of course they can be used incorrectly or used to obfuscate rather than enlighten.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In schools this must be included in at least the Key Stage 4 curriculum and not be a subject parents can opt out of. A free course/session should be offered via Adult Education Centres, community centres, health centres, sports clubs or anywhere people gather so that the communities can learn this new life skill. It should be seen as untrendy or stupid not to check facts. Maybe something along the lines of previous health campaigns should be established to make people more aware of the issues. If it worked for AIDS and smoking and seat belts it could work for this.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Online campaigning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2"/>
        </w:numPr>
        <w:spacing w:after="5" w:line="249" w:lineRule="auto"/>
        <w:ind w:hanging="10"/>
        <w:jc w:val="both"/>
        <w:rPr>
          <w:rFonts w:ascii="Verdana" w:hAnsi="Verdana"/>
        </w:rPr>
      </w:pPr>
      <w:r w:rsidRPr="005B5CB6">
        <w:rPr>
          <w:rFonts w:ascii="Verdana" w:eastAsia="Verdana" w:hAnsi="Verdana" w:cs="Verdana"/>
          <w:i/>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Yes as long as they didn’t cheat by hiding their spending. The Electoral Commission or another body must have oversight of all expenditure with rigorous checks and the ability to impose truly punitive sanctions on organisations and individuals who break the rules. The current rules as I understand them are not fit for purpose and the sanctions are relatively insignificant. All donations to political parties should be a matter of record (though not necessarily a public record - that would lead to more problems).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2"/>
        </w:numPr>
        <w:spacing w:after="5" w:line="249" w:lineRule="auto"/>
        <w:ind w:hanging="10"/>
        <w:jc w:val="both"/>
        <w:rPr>
          <w:rFonts w:ascii="Verdana" w:hAnsi="Verdana"/>
        </w:rPr>
      </w:pPr>
      <w:r w:rsidRPr="005B5CB6">
        <w:rPr>
          <w:rFonts w:ascii="Verdana" w:eastAsia="Verdana" w:hAnsi="Verdana" w:cs="Verdana"/>
          <w:i/>
        </w:rPr>
        <w:t xml:space="preserve">What effect does online targeted advertising have on the political process, and what effects could it have in the future? Should there be additional regulation of political advertising?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It’s not the advertising alone although that seems to be a huge issue and recognised to be massively influential. It’s also “editorial” pieces and “factual” pieces. There is no way of measuring the impact of that. We can check spending on formal advertising but what about product placement on apparently a-political websites?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You can’t control who creates a website. Anybody can do it. My students do it as part of their coursework every year. Punitive sanctions against website hosting companies who allow some kinds of content and OK but who is to decide what is acceptable and what not?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Privacy and anonymity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2"/>
        </w:numPr>
        <w:spacing w:after="5" w:line="249" w:lineRule="auto"/>
        <w:ind w:hanging="10"/>
        <w:jc w:val="both"/>
        <w:rPr>
          <w:rFonts w:ascii="Verdana" w:hAnsi="Verdana"/>
        </w:rPr>
      </w:pPr>
      <w:r w:rsidRPr="005B5CB6">
        <w:rPr>
          <w:rFonts w:ascii="Verdana" w:eastAsia="Verdana" w:hAnsi="Verdana" w:cs="Verdana"/>
          <w:i/>
        </w:rPr>
        <w:t xml:space="preserve">To what extent does increasing use of encrypted messaging and private groups present a challenge to the democratic process?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Quite large and not in a good way BUT this has to be balanced against the right to privacy. There’s no easy answer. How private is </w:t>
      </w:r>
      <w:r w:rsidRPr="005B5CB6">
        <w:rPr>
          <w:rFonts w:ascii="Verdana" w:eastAsia="Verdana" w:hAnsi="Verdana" w:cs="Verdana"/>
        </w:rPr>
        <w:t xml:space="preserve">private? Encrypted messages are not automatically bad but they can encourage people to discuss “bad things” because they reduce the likelihood of them being found out. There is a need for private groups for example for families to share photos or groups of friends to keep in touch. Nobody can un-invent encryption.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2"/>
        </w:numPr>
        <w:spacing w:after="5" w:line="249" w:lineRule="auto"/>
        <w:ind w:hanging="10"/>
        <w:jc w:val="both"/>
        <w:rPr>
          <w:rFonts w:ascii="Verdana" w:hAnsi="Verdana"/>
        </w:rPr>
      </w:pPr>
      <w:r w:rsidRPr="005B5CB6">
        <w:rPr>
          <w:rFonts w:ascii="Verdana" w:eastAsia="Verdana" w:hAnsi="Verdana" w:cs="Verdana"/>
          <w:i/>
        </w:rPr>
        <w:t xml:space="preserve">What are the positive or negative effects of anonymity on online democratic          discourse?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Negative: Abuse because people hide behind anonymity and will say things online they don’t dare say in public to somebody’s face.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Positive: Participation for people who don’t want their employer being able to see what they are saying. I work in a school. I keep my online presence private using an alternative name so that students or their parents don’t try to follow me or find out where I live. It’s a way of keeping my public in-school life and my private life separate. It’s important that I can do that. I don’t need some enraged parent turning up on my doorstep or going to my employer to complain because of something I have said online. I am not going deny my democratic right to engage in political discussion.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Democratic debate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2"/>
        </w:numPr>
        <w:spacing w:after="2" w:line="249" w:lineRule="auto"/>
        <w:ind w:hanging="10"/>
        <w:jc w:val="both"/>
        <w:rPr>
          <w:rFonts w:ascii="Verdana" w:hAnsi="Verdana"/>
        </w:rPr>
      </w:pPr>
      <w:r w:rsidRPr="005B5CB6">
        <w:rPr>
          <w:rFonts w:ascii="Verdana" w:eastAsia="Verdana" w:hAnsi="Verdana" w:cs="Verdana"/>
          <w:i/>
        </w:rPr>
        <w:t xml:space="preserve">To what extent does social media negatively shape public debate, either through          encouraging polarisation or through abuse deterring individuals from engaging in public life? </w:t>
      </w:r>
      <w:r w:rsidRPr="005B5CB6">
        <w:rPr>
          <w:rFonts w:ascii="Verdana" w:eastAsia="Verdana" w:hAnsi="Verdana" w:cs="Verdana"/>
        </w:rPr>
        <w:t xml:space="preserve"> </w:t>
      </w:r>
    </w:p>
    <w:p w:rsidR="00FB0B24" w:rsidRPr="005B5CB6" w:rsidP="001512F6">
      <w:pPr>
        <w:numPr>
          <w:ilvl w:val="1"/>
          <w:numId w:val="2"/>
        </w:numPr>
        <w:spacing w:after="5" w:line="249" w:lineRule="auto"/>
        <w:ind w:right="11" w:hanging="9"/>
        <w:jc w:val="both"/>
        <w:rPr>
          <w:rFonts w:ascii="Verdana" w:hAnsi="Verdana"/>
        </w:rPr>
      </w:pPr>
      <w:r w:rsidRPr="005B5CB6">
        <w:rPr>
          <w:rFonts w:ascii="Verdana" w:eastAsia="Verdana" w:hAnsi="Verdana" w:cs="Verdana"/>
        </w:rPr>
        <w:t xml:space="preserve">Polarisation is obviously increased and we have a generation of people, possibly more than one generation, who don’t get their news from newspapers or TV (see </w:t>
      </w:r>
      <w:r>
        <w:fldChar w:fldCharType="begin"/>
      </w:r>
      <w:r>
        <w:instrText xml:space="preserve"> HYPERLINK "https://www.ofcom.org.uk/research-and-data/tv-radio-and-on-demand/news-media/news-consumption" </w:instrText>
      </w:r>
      <w:r>
        <w:fldChar w:fldCharType="separate"/>
      </w:r>
      <w:r w:rsidRPr="005B5CB6">
        <w:rPr>
          <w:rFonts w:ascii="Verdana" w:eastAsia="Verdana" w:hAnsi="Verdana" w:cs="Verdana"/>
          <w:color w:val="000080"/>
          <w:u w:val="single" w:color="000080"/>
        </w:rPr>
        <w:t>https://www.ofcom.org.uk/research-and</w:t>
      </w:r>
      <w:r>
        <w:fldChar w:fldCharType="end"/>
      </w:r>
      <w:r>
        <w:fldChar w:fldCharType="begin"/>
      </w:r>
      <w:r>
        <w:instrText xml:space="preserve"> HYPERLINK "https://www.ofcom.org.uk/research-and-data/tv-radio-and-on-demand/news-media/news-consumption" </w:instrText>
      </w:r>
      <w:r>
        <w:fldChar w:fldCharType="separate"/>
      </w:r>
      <w:r w:rsidRPr="005B5CB6">
        <w:rPr>
          <w:rFonts w:ascii="Verdana" w:eastAsia="Verdana" w:hAnsi="Verdana" w:cs="Verdana"/>
          <w:color w:val="000080"/>
          <w:u w:val="single" w:color="000080"/>
        </w:rPr>
        <w:t>data/tv-radio-and-on-demand/news-media/news-consumption</w:t>
      </w:r>
      <w:r>
        <w:fldChar w:fldCharType="end"/>
      </w:r>
      <w:r>
        <w:fldChar w:fldCharType="begin"/>
      </w:r>
      <w:r>
        <w:instrText xml:space="preserve"> HYPERLINK "https://www.ofcom.org.uk/research-and-data/tv-radio-and-on-demand/news-media/news-consumption"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but only online so they never see alternative opinions. Never ever. So when somebody says something that’s different from what they think it’s shocking to them that different opinions exist. It’s too easy to get into a nice little bubble with like-minded people and never be challenged. Which reduces the quality of political debate enormously.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The ability of social media to expose people to abuse must put a lot of people off participating and that’s a common theme that social media is full of trolls and bots. It is. That might be something to consider in a regulatory framework. </w:t>
      </w:r>
    </w:p>
    <w:p w:rsidR="00FB0B24" w:rsidRPr="005B5CB6" w:rsidP="001512F6">
      <w:pPr>
        <w:spacing w:after="0"/>
        <w:ind w:left="1418"/>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426" w:right="11" w:hanging="8"/>
        <w:jc w:val="both"/>
        <w:rPr>
          <w:rFonts w:ascii="Verdana" w:hAnsi="Verdana"/>
        </w:rPr>
      </w:pPr>
      <w:r w:rsidRPr="005B5CB6">
        <w:rPr>
          <w:rFonts w:ascii="Verdana" w:eastAsia="Verdana" w:hAnsi="Verdana" w:cs="Verdana"/>
        </w:rPr>
        <w:t xml:space="preserve">8.2 Ofcom data suggests 37% of users trust social media. That’s a significant proportion of social media users and enough to skew the debate if they are given inaccurate data/facts/interpretations or even downright lies.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2"/>
        </w:numPr>
        <w:spacing w:after="5" w:line="249" w:lineRule="auto"/>
        <w:ind w:hanging="10"/>
        <w:jc w:val="both"/>
        <w:rPr>
          <w:rFonts w:ascii="Verdana" w:hAnsi="Verdana"/>
        </w:rPr>
      </w:pPr>
      <w:r w:rsidRPr="005B5CB6">
        <w:rPr>
          <w:rFonts w:ascii="Verdana" w:eastAsia="Verdana" w:hAnsi="Verdana" w:cs="Verdana"/>
          <w:i/>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There will will always be such people. Whatever one person uses for good another will pervert. More people need to feel engaged with democracy and they need to know or have faith that what they are being told is truth and that when they cast a vote it will have been legally obtained and they haven’t been conned by a special interest group which thinks they are stupid enough to belive what they are told.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Misinformation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2"/>
        </w:numPr>
        <w:spacing w:after="5" w:line="249" w:lineRule="auto"/>
        <w:ind w:hanging="10"/>
        <w:jc w:val="both"/>
        <w:rPr>
          <w:rFonts w:ascii="Verdana" w:hAnsi="Verdana"/>
        </w:rPr>
      </w:pPr>
      <w:r w:rsidRPr="005B5CB6">
        <w:rPr>
          <w:rFonts w:ascii="Verdana" w:eastAsia="Verdana" w:hAnsi="Verdana" w:cs="Verdana"/>
          <w:i/>
        </w:rPr>
        <w:t xml:space="preserve">What might be the best ways of reducing the effects of misinformation on social media platforms?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More information. Lots of verified and verifiable facts freely available. With people who have the skills to understand them and interpret data and think critically about what they are being told. That last bit is the most difficult. I am old and cynical and disbelieve most of what people (especially politicians) tell me, Younger or less cynical people won’t check or challenge.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Moderation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2"/>
        </w:numPr>
        <w:spacing w:after="2" w:line="249" w:lineRule="auto"/>
        <w:ind w:hanging="10"/>
        <w:jc w:val="both"/>
        <w:rPr>
          <w:rFonts w:ascii="Verdana" w:hAnsi="Verdana"/>
        </w:rPr>
      </w:pPr>
      <w:r w:rsidRPr="005B5CB6">
        <w:rPr>
          <w:rFonts w:ascii="Verdana" w:eastAsia="Verdana" w:hAnsi="Verdana" w:cs="Verdana"/>
          <w:i/>
        </w:rPr>
        <w:t xml:space="preserve">How could the moderation processes of large technology companies be improved to better tackle abuse and misinformation, as well as helping public debate flourish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Better oversight. There has to be regulation because you can’t rely on the owners of the companies to act in the public interest. They act in their own interest and their shareholders’ not ours.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One persons’ abuse is another persons’ fair comment. That’s true on the streets as well in conversation or political debate. It’s one of our freedoms as a democratic society.  </w:t>
      </w:r>
    </w:p>
    <w:p w:rsidR="00FB0B24" w:rsidRPr="005B5CB6" w:rsidP="001512F6">
      <w:pPr>
        <w:spacing w:after="0"/>
        <w:ind w:left="1418"/>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Misinformation could be checked easily enough but it’s often a case of interpretation.  </w:t>
      </w:r>
    </w:p>
    <w:p w:rsidR="00FB0B24" w:rsidRPr="005B5CB6" w:rsidP="001512F6">
      <w:pPr>
        <w:spacing w:after="0"/>
        <w:ind w:left="1418"/>
        <w:jc w:val="both"/>
        <w:rPr>
          <w:rFonts w:ascii="Verdana" w:hAnsi="Verdana"/>
        </w:rPr>
      </w:pPr>
      <w:r w:rsidRPr="005B5CB6">
        <w:rPr>
          <w:rFonts w:ascii="Verdana" w:eastAsia="Verdana" w:hAnsi="Verdana" w:cs="Verdana"/>
        </w:rPr>
        <w:t xml:space="preserve"> </w:t>
      </w:r>
    </w:p>
    <w:p w:rsidR="00FB0B24" w:rsidRPr="005B5CB6" w:rsidP="001512F6">
      <w:pPr>
        <w:numPr>
          <w:ilvl w:val="1"/>
          <w:numId w:val="2"/>
        </w:numPr>
        <w:spacing w:after="5" w:line="250" w:lineRule="auto"/>
        <w:ind w:right="11" w:hanging="9"/>
        <w:jc w:val="both"/>
        <w:rPr>
          <w:rFonts w:ascii="Verdana" w:hAnsi="Verdana"/>
        </w:rPr>
      </w:pPr>
      <w:r w:rsidRPr="005B5CB6">
        <w:rPr>
          <w:rFonts w:ascii="Verdana" w:eastAsia="Verdana" w:hAnsi="Verdana" w:cs="Verdana"/>
        </w:rPr>
        <w:t xml:space="preserve">Maybe more moderation might be an option, make it mandatory for all groups to have a moderator but then who would moderate the moderators and how would they be selected?  </w:t>
      </w:r>
    </w:p>
    <w:p w:rsidR="00FB0B24" w:rsidRPr="005B5CB6" w:rsidP="001512F6">
      <w:pPr>
        <w:spacing w:after="0"/>
        <w:ind w:left="1418"/>
        <w:jc w:val="both"/>
        <w:rPr>
          <w:rFonts w:ascii="Verdana" w:hAnsi="Verdana"/>
        </w:rPr>
      </w:pPr>
      <w:r w:rsidRPr="005B5CB6">
        <w:rPr>
          <w:rFonts w:ascii="Verdana" w:eastAsia="Verdana" w:hAnsi="Verdana" w:cs="Verdana"/>
        </w:rPr>
        <w:t xml:space="preserve"> </w:t>
      </w:r>
    </w:p>
    <w:p w:rsidR="00FB0B24" w:rsidRPr="005B5CB6" w:rsidP="001512F6">
      <w:pPr>
        <w:spacing w:after="0"/>
        <w:ind w:left="1418"/>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718" w:hanging="10"/>
        <w:jc w:val="both"/>
        <w:rPr>
          <w:rFonts w:ascii="Verdana" w:hAnsi="Verdana"/>
        </w:rPr>
      </w:pPr>
      <w:r w:rsidRPr="005B5CB6">
        <w:rPr>
          <w:rFonts w:ascii="Verdana" w:eastAsia="Verdana" w:hAnsi="Verdana" w:cs="Verdana"/>
          <w:i/>
        </w:rPr>
        <w:t xml:space="preserve">12 Internationalism </w:t>
      </w:r>
    </w:p>
    <w:p w:rsidR="00FB0B24" w:rsidRPr="005B5CB6" w:rsidP="001512F6">
      <w:pPr>
        <w:spacing w:after="0"/>
        <w:ind w:left="708"/>
        <w:jc w:val="both"/>
        <w:rPr>
          <w:rFonts w:ascii="Verdana" w:hAnsi="Verdana"/>
        </w:rPr>
      </w:pPr>
      <w:r w:rsidRPr="005B5CB6">
        <w:rPr>
          <w:rFonts w:ascii="Verdana" w:eastAsia="Verdana" w:hAnsi="Verdana" w:cs="Verdana"/>
        </w:rPr>
        <w:t xml:space="preserve"> </w:t>
      </w:r>
    </w:p>
    <w:p w:rsidR="00FB0B24" w:rsidRPr="005B5CB6" w:rsidP="001512F6">
      <w:pPr>
        <w:numPr>
          <w:ilvl w:val="1"/>
          <w:numId w:val="3"/>
        </w:numPr>
        <w:spacing w:after="5" w:line="250" w:lineRule="auto"/>
        <w:ind w:right="11" w:hanging="8"/>
        <w:jc w:val="both"/>
        <w:rPr>
          <w:rFonts w:ascii="Verdana" w:hAnsi="Verdana"/>
        </w:rPr>
      </w:pPr>
      <w:r w:rsidRPr="005B5CB6">
        <w:rPr>
          <w:rFonts w:ascii="Verdana" w:eastAsia="Verdana" w:hAnsi="Verdana" w:cs="Verdana"/>
        </w:rPr>
        <w:t xml:space="preserve">The biggest issue, as I see it and the one that this questionnaire completely ignores, is the internationalism. There is nothing the UK can do about social media companies that are based outside the UK. Not. One. </w:t>
      </w:r>
      <w:r w:rsidRPr="005B5CB6">
        <w:rPr>
          <w:rFonts w:ascii="Verdana" w:eastAsia="Verdana" w:hAnsi="Verdana" w:cs="Verdana"/>
        </w:rPr>
        <w:t xml:space="preserve">Thing. We can regulate and legislate and all the rest of it about what happens to people and organisations here, but Parliament can’t even get Mark Zuckerberg to come and talk to it. There must be some international agreement about standards of privacy and posting. It should cover bots and trolls and have the teeth to do something about the countries who allow such activities to persist (there will always be countries who do that).  </w:t>
      </w:r>
    </w:p>
    <w:p w:rsidR="00FB0B24" w:rsidRPr="005B5CB6" w:rsidP="001512F6">
      <w:pPr>
        <w:spacing w:after="0"/>
        <w:ind w:left="1418"/>
        <w:jc w:val="both"/>
        <w:rPr>
          <w:rFonts w:ascii="Verdana" w:hAnsi="Verdana"/>
        </w:rPr>
      </w:pPr>
      <w:r w:rsidRPr="005B5CB6">
        <w:rPr>
          <w:rFonts w:ascii="Verdana" w:eastAsia="Verdana" w:hAnsi="Verdana" w:cs="Verdana"/>
        </w:rPr>
        <w:t xml:space="preserve"> </w:t>
      </w:r>
    </w:p>
    <w:p w:rsidR="00FB0B24" w:rsidRPr="005B5CB6" w:rsidP="001512F6">
      <w:pPr>
        <w:numPr>
          <w:ilvl w:val="1"/>
          <w:numId w:val="3"/>
        </w:numPr>
        <w:spacing w:after="5" w:line="250" w:lineRule="auto"/>
        <w:ind w:right="11" w:hanging="8"/>
        <w:jc w:val="both"/>
        <w:rPr>
          <w:rFonts w:ascii="Verdana" w:hAnsi="Verdana"/>
        </w:rPr>
      </w:pPr>
      <w:r w:rsidRPr="005B5CB6">
        <w:rPr>
          <w:rFonts w:ascii="Verdana" w:eastAsia="Verdana" w:hAnsi="Verdana" w:cs="Verdana"/>
        </w:rPr>
        <w:t xml:space="preserve">Since we can’t control what goes on outside our borders then we have to control and improve what goes on inside. That’s where the education comes in. See paras 3.1 – 3.4 That is the single most important thing we can do to improve the quality of political debate in this country – make UK citizens skilled to deal with the online world and the threats and promises it holds.  </w:t>
      </w:r>
    </w:p>
    <w:p w:rsidR="00FB0B24" w:rsidRPr="005B5CB6" w:rsidP="001512F6">
      <w:pPr>
        <w:jc w:val="both"/>
        <w:rPr>
          <w:rFonts w:ascii="Verdana" w:hAnsi="Verdana"/>
        </w:rPr>
        <w:sectPr w:rsidSect="006562C6">
          <w:headerReference w:type="even" r:id="rId12"/>
          <w:headerReference w:type="default" r:id="rId13"/>
          <w:footerReference w:type="even" r:id="rId14"/>
          <w:footerReference w:type="default" r:id="rId15"/>
          <w:headerReference w:type="first" r:id="rId16"/>
          <w:footerReference w:type="first" r:id="rId17"/>
          <w:pgSz w:w="11906" w:h="16838"/>
          <w:pgMar w:top="1185" w:right="1143" w:bottom="1800" w:left="1133" w:header="720" w:footer="1136" w:gutter="0"/>
          <w:cols w:space="720"/>
        </w:sectPr>
      </w:pPr>
    </w:p>
    <w:p w:rsidR="00FB0B24" w:rsidRPr="005B5CB6" w:rsidP="00A1624B">
      <w:pPr>
        <w:pStyle w:val="Heading1"/>
        <w:rPr>
          <w:sz w:val="22"/>
        </w:rPr>
      </w:pPr>
      <w:bookmarkStart w:id="3" w:name="_Toc44517691"/>
      <w:r w:rsidRPr="005B5CB6">
        <w:rPr>
          <w:sz w:val="22"/>
        </w:rPr>
        <w:t>Care England - written evidence (DAD0003)</w:t>
      </w:r>
      <w:bookmarkEnd w:id="3"/>
      <w:r w:rsidRPr="005B5CB6">
        <w:rPr>
          <w:sz w:val="22"/>
        </w:rPr>
        <w:t xml:space="preserve"> </w:t>
      </w:r>
      <w:r w:rsidRPr="005B5CB6">
        <w:rPr>
          <w:rFonts w:eastAsia="Cambria" w:cs="Cambria"/>
          <w:color w:val="365F91"/>
          <w:sz w:val="22"/>
        </w:rPr>
        <w:t xml:space="preserve">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As the largest representative body for independent providers of adult social care, Care England welcomes the opportunity to submit evidence to the Democracy and Digital Technologies Committee.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By way of background, Care England a registered charity, is the leading representative body for independent care services in England. Our membership includes organisations of varying types and sizes, amongst them single care homes, small local groups, national providers and not-for-profit organisations and associations. Between them they provide a variety of services for older people and those with long-term conditions, learning disabilities or mental health problems.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Care England’s remit in the field of digital transformation are to facilitate: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38" w:line="250" w:lineRule="auto"/>
        <w:ind w:left="369" w:right="11" w:hanging="8"/>
        <w:jc w:val="both"/>
        <w:rPr>
          <w:rFonts w:ascii="Verdana" w:hAnsi="Verdana"/>
        </w:rPr>
      </w:pPr>
      <w:r w:rsidRPr="005B5CB6">
        <w:rPr>
          <w:rFonts w:ascii="Verdana" w:eastAsia="Verdana" w:hAnsi="Verdana" w:cs="Verdana"/>
        </w:rPr>
        <w:t>i)</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innovation to improve people’s wellbeing; ii)</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integrated communication across health and social care; and iii)</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efficiencies at a time when resources in social care are being stretched. </w:t>
      </w:r>
    </w:p>
    <w:p w:rsidR="00FB0B24" w:rsidRPr="005B5CB6" w:rsidP="00A72806">
      <w:pPr>
        <w:spacing w:after="0"/>
        <w:ind w:left="1081"/>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As such its response to the Committee focuses on its role in the care sector and the role technology can play. Care England is part of NHS Digital’s Digital Social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Care Programme together with other care trade bodies and training organisations. The Digital Social Care website has been launched </w:t>
      </w:r>
    </w:p>
    <w:p w:rsidR="00FB0B24" w:rsidRPr="005B5CB6" w:rsidP="00A72806">
      <w:pPr>
        <w:spacing w:after="5" w:line="250" w:lineRule="auto"/>
        <w:ind w:left="23" w:right="11" w:hanging="8"/>
        <w:jc w:val="both"/>
        <w:rPr>
          <w:rFonts w:ascii="Verdana" w:hAnsi="Verdana"/>
        </w:rPr>
      </w:pPr>
      <w:r>
        <w:fldChar w:fldCharType="begin"/>
      </w:r>
      <w:r>
        <w:instrText xml:space="preserve"> HYPERLINK "https://www.digitalsocialcare.co.uk/)%20and" </w:instrText>
      </w:r>
      <w:r>
        <w:fldChar w:fldCharType="separate"/>
      </w:r>
      <w:r w:rsidRPr="005B5CB6" w:rsidR="00A72806">
        <w:rPr>
          <w:rFonts w:ascii="Verdana" w:eastAsia="Verdana" w:hAnsi="Verdana" w:cs="Verdana"/>
        </w:rPr>
        <w:t>(</w:t>
      </w:r>
      <w:r>
        <w:fldChar w:fldCharType="end"/>
      </w:r>
      <w:r>
        <w:fldChar w:fldCharType="begin"/>
      </w:r>
      <w:r>
        <w:instrText xml:space="preserve"> HYPERLINK "https://www.digitalsocialcare.co.uk/)%20and" </w:instrText>
      </w:r>
      <w:r>
        <w:fldChar w:fldCharType="separate"/>
      </w:r>
      <w:r w:rsidRPr="005B5CB6" w:rsidR="00A72806">
        <w:rPr>
          <w:rFonts w:ascii="Verdana" w:eastAsia="Verdana" w:hAnsi="Verdana" w:cs="Verdana"/>
          <w:color w:val="0000FF"/>
          <w:u w:val="single" w:color="0000FF"/>
        </w:rPr>
        <w:t>https://www.digitalsocialcare.co.uk</w:t>
      </w:r>
      <w:r>
        <w:fldChar w:fldCharType="end"/>
      </w:r>
      <w:r>
        <w:fldChar w:fldCharType="begin"/>
      </w:r>
      <w:r>
        <w:instrText xml:space="preserve"> HYPERLINK "https://www.digitalsocialcare.co.uk/)%20and"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and will become the go to site for all social care providers to access information about tech and innovation in social care.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The comments in the sections below refer specifically to how older and vulnerable people in our society can link to the democratic institutions. We would welcome being called to give oral evidence on behalf of the many vulnerable people who are receiving care either in their home or a registered care setting.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numPr>
          <w:ilvl w:val="0"/>
          <w:numId w:val="4"/>
        </w:numPr>
        <w:spacing w:after="222" w:line="249" w:lineRule="auto"/>
        <w:ind w:hanging="360"/>
        <w:jc w:val="both"/>
        <w:rPr>
          <w:rFonts w:ascii="Verdana" w:hAnsi="Verdana"/>
        </w:rPr>
      </w:pPr>
      <w:r w:rsidRPr="005B5CB6">
        <w:rPr>
          <w:rFonts w:ascii="Verdana" w:eastAsia="Verdana" w:hAnsi="Verdana" w:cs="Verdana"/>
          <w:i/>
        </w:rPr>
        <w:t xml:space="preserve">How has digital technology changed the way that democracy works in the UK and has this been a net positive or negative effect? </w:t>
      </w:r>
    </w:p>
    <w:p w:rsidR="00FB0B24" w:rsidRPr="005B5CB6" w:rsidP="00A72806">
      <w:pPr>
        <w:spacing w:after="5" w:line="250" w:lineRule="auto"/>
        <w:ind w:left="369" w:right="11" w:hanging="8"/>
        <w:jc w:val="both"/>
        <w:rPr>
          <w:rFonts w:ascii="Verdana" w:hAnsi="Verdana"/>
        </w:rPr>
      </w:pPr>
      <w:r w:rsidRPr="005B5CB6">
        <w:rPr>
          <w:rFonts w:ascii="Verdana" w:eastAsia="Verdana" w:hAnsi="Verdana" w:cs="Verdana"/>
        </w:rPr>
        <w:t>Digital technology has transformed the way that vulnerable people in the UK have been enabled (rather than disabled) to participate in society. Care England has witnessed people with learning disabilities being able to use their voice to add to the democratic debate and technology has levelled the playing field for vulnerable people to make their voice heard and campaign for better care for themselves.</w:t>
      </w:r>
      <w:r w:rsidRPr="005B5CB6">
        <w:rPr>
          <w:rFonts w:ascii="Verdana" w:eastAsia="Verdana" w:hAnsi="Verdana" w:cs="Verdana"/>
          <w:color w:val="9BBB59"/>
        </w:rPr>
        <w:t xml:space="preserve">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numPr>
          <w:ilvl w:val="0"/>
          <w:numId w:val="4"/>
        </w:numPr>
        <w:spacing w:after="225" w:line="249" w:lineRule="auto"/>
        <w:ind w:hanging="360"/>
        <w:jc w:val="both"/>
        <w:rPr>
          <w:rFonts w:ascii="Verdana" w:hAnsi="Verdana"/>
        </w:rPr>
      </w:pPr>
      <w:r w:rsidRPr="005B5CB6">
        <w:rPr>
          <w:rFonts w:ascii="Verdana" w:eastAsia="Verdana" w:hAnsi="Verdana" w:cs="Verdana"/>
          <w:i/>
        </w:rPr>
        <w:t xml:space="preserve">How have the design of algorithms used by social media platforms shaped democratic debate? To what extent should there be greater accountability for the design of these algorithms?  </w:t>
      </w:r>
    </w:p>
    <w:p w:rsidR="00FB0B24" w:rsidRPr="005B5CB6" w:rsidP="00A72806">
      <w:pPr>
        <w:spacing w:after="5" w:line="249" w:lineRule="auto"/>
        <w:ind w:left="731" w:hanging="10"/>
        <w:jc w:val="both"/>
        <w:rPr>
          <w:rFonts w:ascii="Verdana" w:hAnsi="Verdana"/>
        </w:rPr>
      </w:pPr>
      <w:r w:rsidRPr="005B5CB6">
        <w:rPr>
          <w:rFonts w:ascii="Verdana" w:eastAsia="Verdana" w:hAnsi="Verdana" w:cs="Verdana"/>
          <w:i/>
        </w:rPr>
        <w:t xml:space="preserve">N/A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Education </w:t>
      </w:r>
      <w:r w:rsidRPr="005B5CB6">
        <w:rPr>
          <w:rFonts w:ascii="Verdana" w:eastAsia="Verdana" w:hAnsi="Verdana" w:cs="Verdana"/>
        </w:rPr>
        <w:t xml:space="preserve"> </w:t>
      </w:r>
    </w:p>
    <w:p w:rsidR="00FB0B24" w:rsidRPr="005B5CB6" w:rsidP="00A72806">
      <w:pPr>
        <w:numPr>
          <w:ilvl w:val="0"/>
          <w:numId w:val="4"/>
        </w:numPr>
        <w:spacing w:after="222" w:line="249" w:lineRule="auto"/>
        <w:ind w:hanging="360"/>
        <w:jc w:val="both"/>
        <w:rPr>
          <w:rFonts w:ascii="Verdana" w:hAnsi="Verdana"/>
        </w:rPr>
      </w:pPr>
      <w:r w:rsidRPr="005B5CB6">
        <w:rPr>
          <w:rFonts w:ascii="Verdana" w:eastAsia="Verdana" w:hAnsi="Verdana" w:cs="Verdana"/>
          <w:i/>
        </w:rPr>
        <w:t xml:space="preserve">What role should every stage of education play in helping to create a healthy, active, digitally literate democracy? </w:t>
      </w:r>
    </w:p>
    <w:p w:rsidR="00FB0B24" w:rsidRPr="005B5CB6" w:rsidP="00A72806">
      <w:pPr>
        <w:spacing w:after="5" w:line="250" w:lineRule="auto"/>
        <w:ind w:left="369" w:right="11" w:hanging="8"/>
        <w:jc w:val="both"/>
        <w:rPr>
          <w:rFonts w:ascii="Verdana" w:hAnsi="Verdana"/>
        </w:rPr>
      </w:pPr>
      <w:r w:rsidRPr="005B5CB6">
        <w:rPr>
          <w:rFonts w:ascii="Verdana" w:eastAsia="Verdana" w:hAnsi="Verdana" w:cs="Verdana"/>
        </w:rPr>
        <w:t xml:space="preserve">Care England believes that work-based digital skills training sponsored by statutory bodies can increase democratic involvement, for example the CQC has recently asked carers to refer to them on thoughts about how care could be improved. These improved communications have allowed many workers to access democratic institutions and receive funding than would have been possible before.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Online campaigning </w:t>
      </w:r>
      <w:r w:rsidRPr="005B5CB6">
        <w:rPr>
          <w:rFonts w:ascii="Verdana" w:eastAsia="Verdana" w:hAnsi="Verdana" w:cs="Verdana"/>
        </w:rPr>
        <w:t xml:space="preserve"> </w:t>
      </w:r>
    </w:p>
    <w:p w:rsidR="00FB0B24" w:rsidRPr="005B5CB6" w:rsidP="00A72806">
      <w:pPr>
        <w:numPr>
          <w:ilvl w:val="0"/>
          <w:numId w:val="4"/>
        </w:numPr>
        <w:spacing w:after="225" w:line="249" w:lineRule="auto"/>
        <w:ind w:hanging="360"/>
        <w:jc w:val="both"/>
        <w:rPr>
          <w:rFonts w:ascii="Verdana" w:hAnsi="Verdana"/>
        </w:rPr>
      </w:pPr>
      <w:r w:rsidRPr="005B5CB6">
        <w:rPr>
          <w:rFonts w:ascii="Verdana" w:eastAsia="Verdana" w:hAnsi="Verdana" w:cs="Verdana"/>
          <w:i/>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A72806">
      <w:pPr>
        <w:spacing w:after="5" w:line="249" w:lineRule="auto"/>
        <w:ind w:left="731" w:hanging="10"/>
        <w:jc w:val="both"/>
        <w:rPr>
          <w:rFonts w:ascii="Verdana" w:hAnsi="Verdana"/>
        </w:rPr>
      </w:pPr>
      <w:r w:rsidRPr="005B5CB6">
        <w:rPr>
          <w:rFonts w:ascii="Verdana" w:eastAsia="Verdana" w:hAnsi="Verdana" w:cs="Verdana"/>
          <w:i/>
        </w:rPr>
        <w:t xml:space="preserve">N/A </w:t>
      </w:r>
    </w:p>
    <w:p w:rsidR="00FB0B24" w:rsidRPr="005B5CB6" w:rsidP="00A72806">
      <w:pPr>
        <w:spacing w:after="0"/>
        <w:ind w:left="1"/>
        <w:jc w:val="both"/>
        <w:rPr>
          <w:rFonts w:ascii="Verdana" w:hAnsi="Verdana"/>
        </w:rPr>
      </w:pPr>
      <w:r w:rsidRPr="005B5CB6">
        <w:rPr>
          <w:rFonts w:ascii="Verdana" w:eastAsia="Verdana" w:hAnsi="Verdana" w:cs="Verdana"/>
          <w:i/>
        </w:rPr>
        <w:t xml:space="preserve"> </w:t>
      </w:r>
    </w:p>
    <w:p w:rsidR="00FB0B24" w:rsidRPr="005B5CB6" w:rsidP="00A72806">
      <w:pPr>
        <w:numPr>
          <w:ilvl w:val="0"/>
          <w:numId w:val="4"/>
        </w:numPr>
        <w:spacing w:after="222" w:line="249" w:lineRule="auto"/>
        <w:ind w:hanging="360"/>
        <w:jc w:val="both"/>
        <w:rPr>
          <w:rFonts w:ascii="Verdana" w:hAnsi="Verdana"/>
        </w:rPr>
      </w:pPr>
      <w:r w:rsidRPr="005B5CB6">
        <w:rPr>
          <w:rFonts w:ascii="Verdana" w:eastAsia="Verdana" w:hAnsi="Verdana" w:cs="Verdana"/>
          <w:i/>
        </w:rPr>
        <w:t xml:space="preserve">What effect does online targeted advertising have on the political process, and what effects could it have in the future? Should there be additional regulation of political advertising? </w:t>
      </w:r>
    </w:p>
    <w:p w:rsidR="00FB0B24" w:rsidRPr="005B5CB6" w:rsidP="00A72806">
      <w:pPr>
        <w:spacing w:after="5" w:line="249" w:lineRule="auto"/>
        <w:ind w:left="730" w:hanging="10"/>
        <w:jc w:val="both"/>
        <w:rPr>
          <w:rFonts w:ascii="Verdana" w:hAnsi="Verdana"/>
        </w:rPr>
      </w:pPr>
      <w:r w:rsidRPr="005B5CB6">
        <w:rPr>
          <w:rFonts w:ascii="Verdana" w:eastAsia="Verdana" w:hAnsi="Verdana" w:cs="Verdana"/>
          <w:i/>
        </w:rPr>
        <w:t xml:space="preserve">N/A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Privacy and anonymity </w:t>
      </w:r>
      <w:r w:rsidRPr="005B5CB6">
        <w:rPr>
          <w:rFonts w:ascii="Verdana" w:eastAsia="Verdana" w:hAnsi="Verdana" w:cs="Verdana"/>
        </w:rPr>
        <w:t xml:space="preserve"> </w:t>
      </w:r>
    </w:p>
    <w:p w:rsidR="00FB0B24" w:rsidRPr="005B5CB6" w:rsidP="00A72806">
      <w:pPr>
        <w:numPr>
          <w:ilvl w:val="0"/>
          <w:numId w:val="4"/>
        </w:numPr>
        <w:spacing w:after="222" w:line="249" w:lineRule="auto"/>
        <w:ind w:hanging="360"/>
        <w:jc w:val="both"/>
        <w:rPr>
          <w:rFonts w:ascii="Verdana" w:hAnsi="Verdana"/>
        </w:rPr>
      </w:pPr>
      <w:r w:rsidRPr="005B5CB6">
        <w:rPr>
          <w:rFonts w:ascii="Verdana" w:eastAsia="Verdana" w:hAnsi="Verdana" w:cs="Verdana"/>
          <w:i/>
        </w:rPr>
        <w:t xml:space="preserve">To what extent does increasing use of encrypted messaging and private groups present a challenge to the democratic process?  </w:t>
      </w:r>
    </w:p>
    <w:p w:rsidR="00FB0B24" w:rsidRPr="005B5CB6" w:rsidP="00A72806">
      <w:pPr>
        <w:spacing w:after="5" w:line="249" w:lineRule="auto"/>
        <w:ind w:left="730" w:hanging="10"/>
        <w:jc w:val="both"/>
        <w:rPr>
          <w:rFonts w:ascii="Verdana" w:hAnsi="Verdana"/>
        </w:rPr>
      </w:pPr>
      <w:r w:rsidRPr="005B5CB6">
        <w:rPr>
          <w:rFonts w:ascii="Verdana" w:eastAsia="Verdana" w:hAnsi="Verdana" w:cs="Verdana"/>
          <w:i/>
        </w:rPr>
        <w:t xml:space="preserve">N/A </w:t>
      </w:r>
    </w:p>
    <w:p w:rsidR="00FB0B24" w:rsidRPr="005B5CB6" w:rsidP="00A72806">
      <w:pPr>
        <w:spacing w:after="0"/>
        <w:jc w:val="both"/>
        <w:rPr>
          <w:rFonts w:ascii="Verdana" w:hAnsi="Verdana"/>
        </w:rPr>
      </w:pPr>
      <w:r w:rsidRPr="005B5CB6">
        <w:rPr>
          <w:rFonts w:ascii="Verdana" w:eastAsia="Verdana" w:hAnsi="Verdana" w:cs="Verdana"/>
          <w:i/>
        </w:rPr>
        <w:t xml:space="preserve"> </w:t>
      </w:r>
    </w:p>
    <w:p w:rsidR="00FB0B24" w:rsidRPr="005B5CB6" w:rsidP="00A72806">
      <w:pPr>
        <w:numPr>
          <w:ilvl w:val="0"/>
          <w:numId w:val="4"/>
        </w:numPr>
        <w:spacing w:after="225" w:line="249" w:lineRule="auto"/>
        <w:ind w:hanging="360"/>
        <w:jc w:val="both"/>
        <w:rPr>
          <w:rFonts w:ascii="Verdana" w:hAnsi="Verdana"/>
        </w:rPr>
      </w:pPr>
      <w:r w:rsidRPr="005B5CB6">
        <w:rPr>
          <w:rFonts w:ascii="Verdana" w:eastAsia="Verdana" w:hAnsi="Verdana" w:cs="Verdana"/>
          <w:i/>
        </w:rPr>
        <w:t xml:space="preserve">What are the positive or negative effects of anonymity on online democratic discourse?  </w:t>
      </w:r>
    </w:p>
    <w:p w:rsidR="00FB0B24" w:rsidRPr="005B5CB6" w:rsidP="00A72806">
      <w:pPr>
        <w:spacing w:after="5" w:line="249" w:lineRule="auto"/>
        <w:ind w:left="730" w:hanging="10"/>
        <w:jc w:val="both"/>
        <w:rPr>
          <w:rFonts w:ascii="Verdana" w:hAnsi="Verdana"/>
        </w:rPr>
      </w:pPr>
      <w:r w:rsidRPr="005B5CB6">
        <w:rPr>
          <w:rFonts w:ascii="Verdana" w:eastAsia="Verdana" w:hAnsi="Verdana" w:cs="Verdana"/>
          <w:i/>
        </w:rPr>
        <w:t xml:space="preserve">N/A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Democratic debate </w:t>
      </w:r>
      <w:r w:rsidRPr="005B5CB6">
        <w:rPr>
          <w:rFonts w:ascii="Verdana" w:eastAsia="Verdana" w:hAnsi="Verdana" w:cs="Verdana"/>
        </w:rPr>
        <w:t xml:space="preserve"> </w:t>
      </w:r>
    </w:p>
    <w:p w:rsidR="00FB0B24" w:rsidRPr="005B5CB6" w:rsidP="00A72806">
      <w:pPr>
        <w:numPr>
          <w:ilvl w:val="0"/>
          <w:numId w:val="4"/>
        </w:numPr>
        <w:spacing w:after="5" w:line="249" w:lineRule="auto"/>
        <w:ind w:hanging="360"/>
        <w:jc w:val="both"/>
        <w:rPr>
          <w:rFonts w:ascii="Verdana" w:hAnsi="Verdana"/>
        </w:rPr>
      </w:pPr>
      <w:r w:rsidRPr="005B5CB6">
        <w:rPr>
          <w:rFonts w:ascii="Verdana" w:eastAsia="Verdana" w:hAnsi="Verdana" w:cs="Verdana"/>
          <w:i/>
        </w:rPr>
        <w:t xml:space="preserve">To what extent does social media negatively shape public debate, either through encouraging polarisation or through abuse deterring individuals from engaging in public life?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728" w:right="11" w:hanging="8"/>
        <w:jc w:val="both"/>
        <w:rPr>
          <w:rFonts w:ascii="Verdana" w:hAnsi="Verdana"/>
        </w:rPr>
      </w:pPr>
      <w:r w:rsidRPr="005B5CB6">
        <w:rPr>
          <w:rFonts w:ascii="Verdana" w:eastAsia="Verdana" w:hAnsi="Verdana" w:cs="Verdana"/>
        </w:rPr>
        <w:t xml:space="preserve">Vulnerable people may be unwilling to engage in public debate, because their resilience is often lower than other people in society and a way needs to be found for vulnerable people to feel safe in expressing their views.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numPr>
          <w:ilvl w:val="0"/>
          <w:numId w:val="4"/>
        </w:numPr>
        <w:spacing w:after="5" w:line="249" w:lineRule="auto"/>
        <w:ind w:hanging="360"/>
        <w:jc w:val="both"/>
        <w:rPr>
          <w:rFonts w:ascii="Verdana" w:hAnsi="Verdana"/>
        </w:rPr>
      </w:pPr>
      <w:r w:rsidRPr="005B5CB6">
        <w:rPr>
          <w:rFonts w:ascii="Verdana" w:eastAsia="Verdana" w:hAnsi="Verdana" w:cs="Verdana"/>
          <w:i/>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spacing w:after="0"/>
        <w:jc w:val="both"/>
        <w:rPr>
          <w:rFonts w:ascii="Verdana" w:hAnsi="Verdana"/>
        </w:rPr>
      </w:pPr>
      <w:r w:rsidRPr="005B5CB6">
        <w:rPr>
          <w:rFonts w:ascii="Verdana" w:eastAsia="Verdana" w:hAnsi="Verdana" w:cs="Verdana"/>
          <w:b/>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Misinformation </w:t>
      </w:r>
      <w:r w:rsidRPr="005B5CB6">
        <w:rPr>
          <w:rFonts w:ascii="Verdana" w:eastAsia="Verdana" w:hAnsi="Verdana" w:cs="Verdana"/>
        </w:rPr>
        <w:t xml:space="preserve"> </w:t>
      </w:r>
    </w:p>
    <w:p w:rsidR="00FB0B24" w:rsidRPr="005B5CB6" w:rsidP="00A72806">
      <w:pPr>
        <w:numPr>
          <w:ilvl w:val="0"/>
          <w:numId w:val="4"/>
        </w:numPr>
        <w:spacing w:after="5" w:line="249" w:lineRule="auto"/>
        <w:ind w:hanging="360"/>
        <w:jc w:val="both"/>
        <w:rPr>
          <w:rFonts w:ascii="Verdana" w:hAnsi="Verdana"/>
        </w:rPr>
      </w:pPr>
      <w:r w:rsidRPr="005B5CB6">
        <w:rPr>
          <w:rFonts w:ascii="Verdana" w:eastAsia="Verdana" w:hAnsi="Verdana" w:cs="Verdana"/>
          <w:i/>
        </w:rPr>
        <w:t>What might be the best ways of reducing the effects of misinformation on social media platforms?</w:t>
      </w:r>
      <w:r w:rsidRPr="005B5CB6">
        <w:rPr>
          <w:rFonts w:ascii="Verdana" w:eastAsia="Verdana" w:hAnsi="Verdana" w:cs="Verdana"/>
        </w:rPr>
        <w:t xml:space="preserve">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N/A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Moderation </w:t>
      </w:r>
      <w:r w:rsidRPr="005B5CB6">
        <w:rPr>
          <w:rFonts w:ascii="Verdana" w:eastAsia="Verdana" w:hAnsi="Verdana" w:cs="Verdana"/>
        </w:rPr>
        <w:t xml:space="preserve"> </w:t>
      </w:r>
    </w:p>
    <w:p w:rsidR="00FB0B24" w:rsidRPr="005B5CB6" w:rsidP="00A72806">
      <w:pPr>
        <w:numPr>
          <w:ilvl w:val="0"/>
          <w:numId w:val="4"/>
        </w:numPr>
        <w:spacing w:after="5" w:line="249" w:lineRule="auto"/>
        <w:ind w:hanging="360"/>
        <w:jc w:val="both"/>
        <w:rPr>
          <w:rFonts w:ascii="Verdana" w:hAnsi="Verdana"/>
        </w:rPr>
      </w:pPr>
      <w:r w:rsidRPr="005B5CB6">
        <w:rPr>
          <w:rFonts w:ascii="Verdana" w:eastAsia="Verdana" w:hAnsi="Verdana" w:cs="Verdana"/>
          <w:i/>
        </w:rPr>
        <w:t xml:space="preserve">How could the moderation processes of large technology companies be improved to better tackle abuse and misinformation, as well as helping public debate flourish?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N/A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Technology and democratic engagement </w:t>
      </w:r>
      <w:r w:rsidRPr="005B5CB6">
        <w:rPr>
          <w:rFonts w:ascii="Verdana" w:eastAsia="Verdana" w:hAnsi="Verdana" w:cs="Verdana"/>
        </w:rPr>
        <w:t xml:space="preserve"> </w:t>
      </w:r>
    </w:p>
    <w:p w:rsidR="00FB0B24" w:rsidRPr="005B5CB6" w:rsidP="00A72806">
      <w:pPr>
        <w:numPr>
          <w:ilvl w:val="0"/>
          <w:numId w:val="4"/>
        </w:numPr>
        <w:spacing w:after="5" w:line="249" w:lineRule="auto"/>
        <w:ind w:hanging="360"/>
        <w:jc w:val="both"/>
        <w:rPr>
          <w:rFonts w:ascii="Verdana" w:hAnsi="Verdana"/>
        </w:rPr>
      </w:pPr>
      <w:r w:rsidRPr="005B5CB6">
        <w:rPr>
          <w:rFonts w:ascii="Verdana" w:eastAsia="Verdana" w:hAnsi="Verdana" w:cs="Verdana"/>
          <w:i/>
        </w:rPr>
        <w:t xml:space="preserve">How could the Government better support the positive work of civil society organisations using technology to facilitate engagement with democratic processes? N/A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numPr>
          <w:ilvl w:val="0"/>
          <w:numId w:val="4"/>
        </w:numPr>
        <w:spacing w:after="5" w:line="250" w:lineRule="auto"/>
        <w:ind w:hanging="360"/>
        <w:jc w:val="both"/>
        <w:rPr>
          <w:rFonts w:ascii="Verdana" w:hAnsi="Verdana"/>
        </w:rPr>
      </w:pPr>
      <w:r w:rsidRPr="005B5CB6">
        <w:rPr>
          <w:rFonts w:ascii="Verdana" w:eastAsia="Verdana" w:hAnsi="Verdana" w:cs="Verdana"/>
        </w:rPr>
        <w:t xml:space="preserve">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729" w:right="11" w:hanging="8"/>
        <w:jc w:val="both"/>
        <w:rPr>
          <w:rFonts w:ascii="Verdana" w:hAnsi="Verdana"/>
        </w:rPr>
      </w:pPr>
      <w:r w:rsidRPr="005B5CB6">
        <w:rPr>
          <w:rFonts w:ascii="Verdana" w:eastAsia="Verdana" w:hAnsi="Verdana" w:cs="Verdana"/>
        </w:rPr>
        <w:t xml:space="preserve">The number of centenarians living in the UK has increased 85% in the past 15 years (ONS), and by 2030 it is anticipated there will be over 21,000 centenarians (ONS). In 50 years, there are projected to be an additional 8.6 million people aged 65 years and over. The 85+ age group is the fastest growing and is set to double to 3.2 million by mid-2041 and treble by 2066 (5.1 million; 7% of the UK population). It is important that money be set aside to assure the access of older and vulnerable people to the democratic institutions by greater use of voice and audio technology, so for example reference groups could be peopled by people remotely who are receiving care either in their own homes or a home with care setting.  Care England proposes a Commissioner for Older People to champion the rights of older people in all fields and combat ageism and discrimination.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numPr>
          <w:ilvl w:val="0"/>
          <w:numId w:val="4"/>
        </w:numPr>
        <w:spacing w:after="5" w:line="249" w:lineRule="auto"/>
        <w:ind w:hanging="360"/>
        <w:jc w:val="both"/>
        <w:rPr>
          <w:rFonts w:ascii="Verdana" w:hAnsi="Verdana"/>
        </w:rPr>
      </w:pPr>
      <w:r w:rsidRPr="005B5CB6">
        <w:rPr>
          <w:rFonts w:ascii="Verdana" w:eastAsia="Verdana" w:hAnsi="Verdana" w:cs="Verdana"/>
          <w:i/>
        </w:rPr>
        <w:t>What positive examples are there of technology being used to enhance democracy?</w:t>
      </w:r>
      <w:r w:rsidRPr="005B5CB6">
        <w:rPr>
          <w:rFonts w:ascii="Verdana" w:eastAsia="Verdana" w:hAnsi="Verdana" w:cs="Verdana"/>
        </w:rPr>
        <w:t xml:space="preserve">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729" w:right="11" w:hanging="8"/>
        <w:jc w:val="both"/>
        <w:rPr>
          <w:rFonts w:ascii="Verdana" w:hAnsi="Verdana"/>
        </w:rPr>
      </w:pPr>
      <w:r w:rsidRPr="005B5CB6">
        <w:rPr>
          <w:rFonts w:ascii="Verdana" w:eastAsia="Verdana" w:hAnsi="Verdana" w:cs="Verdana"/>
        </w:rPr>
        <w:t xml:space="preserve">The use of postal voting has been very helpful for people in care situations. Now the technology must move on to allow people being cared for (either in their own home or in a registered care setting) to engage actively in political debate.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I would be happy to expand upon any of the above points.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227" w:line="250" w:lineRule="auto"/>
        <w:ind w:left="23" w:right="11" w:hanging="8"/>
        <w:jc w:val="both"/>
        <w:rPr>
          <w:rFonts w:ascii="Verdana" w:hAnsi="Verdana"/>
        </w:rPr>
      </w:pPr>
      <w:r w:rsidRPr="005B5CB6">
        <w:rPr>
          <w:rFonts w:ascii="Verdana" w:eastAsia="Verdana" w:hAnsi="Verdana" w:cs="Verdana"/>
        </w:rPr>
        <w:t xml:space="preserve">Yours faithfully,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Professor Martin Green OBE </w:t>
      </w:r>
    </w:p>
    <w:p w:rsidR="00FB0B24" w:rsidRPr="005B5CB6" w:rsidP="00CB08E0">
      <w:pPr>
        <w:spacing w:after="184" w:line="250" w:lineRule="auto"/>
        <w:ind w:left="11" w:hanging="10"/>
        <w:jc w:val="both"/>
        <w:rPr>
          <w:rFonts w:ascii="Verdana" w:hAnsi="Verdana"/>
        </w:rPr>
      </w:pPr>
      <w:r w:rsidRPr="005B5CB6">
        <w:rPr>
          <w:rFonts w:ascii="Verdana" w:eastAsia="Verdana" w:hAnsi="Verdana" w:cs="Verdana"/>
          <w:b/>
        </w:rPr>
        <w:t>Chief Executive: Care England</w:t>
      </w:r>
      <w:r w:rsidRPr="005B5CB6">
        <w:rPr>
          <w:rFonts w:ascii="Verdana" w:eastAsia="Verdana" w:hAnsi="Verdana" w:cs="Verdana"/>
        </w:rPr>
        <w:t xml:space="preserve">  </w:t>
      </w:r>
    </w:p>
    <w:p w:rsidR="00FB0B24" w:rsidRPr="005B5CB6" w:rsidP="00A72806">
      <w:pPr>
        <w:jc w:val="both"/>
        <w:rPr>
          <w:rFonts w:ascii="Verdana" w:hAnsi="Verdana"/>
        </w:rPr>
        <w:sectPr w:rsidSect="00951A38">
          <w:headerReference w:type="even" r:id="rId18"/>
          <w:headerReference w:type="default" r:id="rId19"/>
          <w:footerReference w:type="even" r:id="rId20"/>
          <w:footerReference w:type="default" r:id="rId21"/>
          <w:headerReference w:type="first" r:id="rId22"/>
          <w:footerReference w:type="first" r:id="rId23"/>
          <w:pgSz w:w="11906" w:h="16838"/>
          <w:pgMar w:top="1492" w:right="1442" w:bottom="1530" w:left="1439" w:header="720" w:footer="711" w:gutter="0"/>
          <w:cols w:space="720"/>
        </w:sectPr>
      </w:pPr>
    </w:p>
    <w:p w:rsidR="004C3A21" w:rsidRPr="005B5CB6" w:rsidP="00A1624B">
      <w:pPr>
        <w:pStyle w:val="Heading1"/>
        <w:rPr>
          <w:sz w:val="22"/>
        </w:rPr>
      </w:pPr>
      <w:bookmarkStart w:id="4" w:name="_Toc44517692"/>
      <w:r w:rsidRPr="005B5CB6">
        <w:rPr>
          <w:sz w:val="22"/>
        </w:rPr>
        <w:t>Mr David Last – written evidence (DAD</w:t>
      </w:r>
      <w:r w:rsidRPr="005B5CB6" w:rsidR="00EE1157">
        <w:rPr>
          <w:sz w:val="22"/>
        </w:rPr>
        <w:t>0004)</w:t>
      </w:r>
      <w:bookmarkEnd w:id="4"/>
    </w:p>
    <w:p w:rsidR="00EE1157" w:rsidRPr="005B5CB6" w:rsidP="00A72806">
      <w:pPr>
        <w:spacing w:after="159" w:line="260" w:lineRule="auto"/>
        <w:ind w:left="-4" w:right="4" w:hanging="10"/>
        <w:jc w:val="both"/>
        <w:rPr>
          <w:rFonts w:ascii="Verdana" w:hAnsi="Verdana"/>
        </w:rPr>
      </w:pPr>
    </w:p>
    <w:p w:rsidR="00FB0B24" w:rsidRPr="005B5CB6" w:rsidP="00A72806">
      <w:pPr>
        <w:spacing w:after="159" w:line="260" w:lineRule="auto"/>
        <w:ind w:left="-4" w:right="4" w:hanging="10"/>
        <w:jc w:val="both"/>
        <w:rPr>
          <w:rFonts w:ascii="Verdana" w:hAnsi="Verdana"/>
        </w:rPr>
      </w:pPr>
      <w:r w:rsidRPr="005B5CB6">
        <w:rPr>
          <w:rFonts w:ascii="Verdana" w:hAnsi="Verdana"/>
        </w:rPr>
        <w:t xml:space="preserve">RELIANCE ON DIGITAL TECHNOLOGY DIS-ENFRANCHISES TOO MANY PEOPLE WHO THEN FEEL IGNORED AND TREATED AS SECOND CLASS. </w:t>
      </w:r>
    </w:p>
    <w:p w:rsidR="00FB0B24" w:rsidRPr="005B5CB6" w:rsidP="00A72806">
      <w:pPr>
        <w:spacing w:after="159" w:line="260" w:lineRule="auto"/>
        <w:ind w:left="-4" w:right="4" w:hanging="10"/>
        <w:jc w:val="both"/>
        <w:rPr>
          <w:rFonts w:ascii="Verdana" w:hAnsi="Verdana"/>
        </w:rPr>
      </w:pPr>
      <w:r w:rsidRPr="005B5CB6">
        <w:rPr>
          <w:rFonts w:ascii="Verdana" w:hAnsi="Verdana"/>
        </w:rPr>
        <w:t xml:space="preserve">THIS AN INCREASING PROBLEM FOR CERTAIN AGE/SOCIAL RANGES WHERE GROSS ASSUMPTIONS ARE MADE REGARDING THEIR ABILITY TO ACCESS SUCH TECHNOLOGY. </w:t>
      </w:r>
    </w:p>
    <w:p w:rsidR="00FB0B24" w:rsidRPr="005B5CB6" w:rsidP="00A72806">
      <w:pPr>
        <w:ind w:left="1"/>
        <w:jc w:val="both"/>
        <w:rPr>
          <w:rFonts w:ascii="Verdana" w:hAnsi="Verdana"/>
        </w:rPr>
      </w:pPr>
      <w:r w:rsidRPr="005B5CB6">
        <w:rPr>
          <w:rFonts w:ascii="Verdana" w:hAnsi="Verdana"/>
        </w:rPr>
        <w:t xml:space="preserve"> </w:t>
      </w:r>
    </w:p>
    <w:p w:rsidR="00FB0B24" w:rsidRPr="005B5CB6" w:rsidP="00A72806">
      <w:pPr>
        <w:spacing w:after="159" w:line="260" w:lineRule="auto"/>
        <w:ind w:left="-4" w:right="4" w:hanging="10"/>
        <w:jc w:val="both"/>
        <w:rPr>
          <w:rFonts w:ascii="Verdana" w:hAnsi="Verdana"/>
        </w:rPr>
      </w:pPr>
      <w:r w:rsidRPr="005B5CB6">
        <w:rPr>
          <w:rFonts w:ascii="Verdana" w:hAnsi="Verdana"/>
        </w:rPr>
        <w:t xml:space="preserve">DAVID LAST </w:t>
      </w:r>
      <w:r w:rsidRPr="005B5CB6">
        <w:rPr>
          <w:rFonts w:ascii="Verdana" w:hAnsi="Verdana"/>
        </w:rPr>
        <w:br w:type="page"/>
      </w:r>
    </w:p>
    <w:p w:rsidR="00FB0B24" w:rsidRPr="005B5CB6" w:rsidP="00A1624B">
      <w:pPr>
        <w:pStyle w:val="Heading1"/>
        <w:rPr>
          <w:sz w:val="22"/>
        </w:rPr>
      </w:pPr>
      <w:bookmarkStart w:id="5" w:name="_Toc44517693"/>
      <w:r w:rsidRPr="005B5CB6">
        <w:rPr>
          <w:sz w:val="22"/>
        </w:rPr>
        <w:t>Mr Archie Gent – written evidence (DAD0007)</w:t>
      </w:r>
      <w:bookmarkEnd w:id="5"/>
      <w:r w:rsidRPr="005B5CB6">
        <w:rPr>
          <w:sz w:val="22"/>
        </w:rPr>
        <w:t xml:space="preserve"> </w:t>
      </w:r>
    </w:p>
    <w:p w:rsidR="00FB0B24" w:rsidRPr="005B5CB6" w:rsidP="001512F6">
      <w:pPr>
        <w:spacing w:after="156"/>
        <w:ind w:left="709"/>
        <w:jc w:val="both"/>
        <w:rPr>
          <w:rFonts w:ascii="Verdana" w:hAnsi="Verdana"/>
        </w:rPr>
      </w:pPr>
      <w:r w:rsidRPr="005B5CB6">
        <w:rPr>
          <w:rFonts w:ascii="Verdana" w:eastAsia="Verdana" w:hAnsi="Verdana" w:cs="Verdana"/>
          <w:i/>
        </w:rPr>
        <w:t xml:space="preserve"> </w:t>
      </w:r>
    </w:p>
    <w:p w:rsidR="00FB0B24" w:rsidRPr="005B5CB6" w:rsidP="001512F6">
      <w:pPr>
        <w:spacing w:after="165" w:line="249" w:lineRule="auto"/>
        <w:ind w:left="719" w:hanging="10"/>
        <w:jc w:val="both"/>
        <w:rPr>
          <w:rFonts w:ascii="Verdana" w:hAnsi="Verdana"/>
        </w:rPr>
      </w:pPr>
      <w:r w:rsidRPr="005B5CB6">
        <w:rPr>
          <w:rFonts w:ascii="Verdana" w:eastAsia="Verdana" w:hAnsi="Verdana" w:cs="Verdana"/>
          <w:i/>
        </w:rPr>
        <w:t xml:space="preserve">How has digital technology changed the way that democracy works in the UK and has this been a net positive or negative effect? </w:t>
      </w:r>
    </w:p>
    <w:p w:rsidR="00FB0B24" w:rsidRPr="005B5CB6" w:rsidP="001512F6">
      <w:pPr>
        <w:numPr>
          <w:ilvl w:val="0"/>
          <w:numId w:val="5"/>
        </w:numPr>
        <w:spacing w:after="5" w:line="249" w:lineRule="auto"/>
        <w:ind w:right="12" w:hanging="9"/>
        <w:jc w:val="both"/>
        <w:rPr>
          <w:rFonts w:ascii="Verdana" w:hAnsi="Verdana"/>
        </w:rPr>
      </w:pPr>
      <w:r w:rsidRPr="005B5CB6">
        <w:rPr>
          <w:rFonts w:ascii="Verdana" w:eastAsia="Verdana" w:hAnsi="Verdana" w:cs="Verdana"/>
        </w:rPr>
        <w:t xml:space="preserve">The rise in the use of social media platforms to share information has changed the political debate massively. Parties and organisations on all parts of the political spectrum have used digital technology to try to win votes or shift opinions. Platforms such have Facebook have become the most effective way to advertise a certain party’s message and this has led to not only a change in the way campaigning works, but how politics works; groups now focus more on advertising than before due to the power digital platforms hold, and these adverts are becoming more and more polarised and extreme in order to try make a bigger impact in the short, impactful snippets used. In effect, digital technologies have allowed more people to be targeted/reached by political groups and in a more effective way (which could be argued to be a good thing, increasing voter awareness to an issue etc.) however it has equally made this targeting more extreme and polarised.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1512F6">
      <w:pPr>
        <w:spacing w:after="2" w:line="249" w:lineRule="auto"/>
        <w:ind w:left="721" w:right="-10"/>
        <w:jc w:val="both"/>
        <w:rPr>
          <w:rFonts w:ascii="Verdana" w:hAnsi="Verdana"/>
        </w:rPr>
      </w:pPr>
      <w:r w:rsidRPr="005B5CB6">
        <w:rPr>
          <w:rFonts w:ascii="Verdana" w:eastAsia="Verdana" w:hAnsi="Verdana" w:cs="Verdana"/>
          <w:i/>
        </w:rPr>
        <w:t xml:space="preserve">How have the design of algorithms used by social media platforms shaped democratic debate? To what extent should there be greater accountability for the design of these algorithms?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1512F6">
      <w:pPr>
        <w:numPr>
          <w:ilvl w:val="0"/>
          <w:numId w:val="5"/>
        </w:numPr>
        <w:spacing w:after="5" w:line="249" w:lineRule="auto"/>
        <w:ind w:right="12" w:hanging="9"/>
        <w:jc w:val="both"/>
        <w:rPr>
          <w:rFonts w:ascii="Verdana" w:hAnsi="Verdana"/>
        </w:rPr>
      </w:pPr>
      <w:r w:rsidRPr="005B5CB6">
        <w:rPr>
          <w:rFonts w:ascii="Verdana" w:eastAsia="Verdana" w:hAnsi="Verdana" w:cs="Verdana"/>
        </w:rPr>
        <w:t xml:space="preserve">Algorithms play a huge role in political debate as it is ultimately the algorithm which decides what users see and what they don’t. If an algorithm is made in a way that favours many short, powerful videos then those making the videos will switch to shorter, more powerful ones in order to be favoured. So, although the exact algorithm of every sight is not known, the general idea of what it is will shape what political organisers will publish, and this can be dangerous if it favours tweets/videos/ads that are more divisive/shocking (as these tend to get more attention) then what we will see is even more divisive and shocking content, which could ultimately lead to a more divided political debate.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731" w:hanging="10"/>
        <w:jc w:val="both"/>
        <w:rPr>
          <w:rFonts w:ascii="Verdana" w:hAnsi="Verdana"/>
        </w:rPr>
      </w:pPr>
      <w:r w:rsidRPr="005B5CB6">
        <w:rPr>
          <w:rFonts w:ascii="Verdana" w:eastAsia="Verdana" w:hAnsi="Verdana" w:cs="Verdana"/>
          <w:i/>
        </w:rPr>
        <w:t xml:space="preserve">What role should every stage of education play in helping to create a healthy, active, digitally literate democracy?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1512F6">
      <w:pPr>
        <w:numPr>
          <w:ilvl w:val="0"/>
          <w:numId w:val="5"/>
        </w:numPr>
        <w:spacing w:after="5" w:line="249" w:lineRule="auto"/>
        <w:ind w:right="12" w:hanging="9"/>
        <w:jc w:val="both"/>
        <w:rPr>
          <w:rFonts w:ascii="Verdana" w:hAnsi="Verdana"/>
        </w:rPr>
      </w:pPr>
      <w:r w:rsidRPr="005B5CB6">
        <w:rPr>
          <w:rFonts w:ascii="Verdana" w:eastAsia="Verdana" w:hAnsi="Verdana" w:cs="Verdana"/>
        </w:rPr>
        <w:t xml:space="preserve">Education needs to focus on teaching the children growing up on these technologies how to be aware of what content they see is being targeted at them and what is organic in order to ensure that there is some level of awareness in what they see, else they being to merge advertising with entertainment.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1512F6">
      <w:pPr>
        <w:spacing w:after="2" w:line="249" w:lineRule="auto"/>
        <w:ind w:left="721" w:right="-10"/>
        <w:jc w:val="both"/>
        <w:rPr>
          <w:rFonts w:ascii="Verdana" w:hAnsi="Verdana"/>
        </w:rPr>
      </w:pPr>
      <w:r w:rsidRPr="005B5CB6">
        <w:rPr>
          <w:rFonts w:ascii="Verdana" w:eastAsia="Verdana" w:hAnsi="Verdana" w:cs="Verdana"/>
          <w:i/>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1512F6">
      <w:pPr>
        <w:numPr>
          <w:ilvl w:val="0"/>
          <w:numId w:val="5"/>
        </w:numPr>
        <w:spacing w:after="5" w:line="249" w:lineRule="auto"/>
        <w:ind w:right="12" w:hanging="9"/>
        <w:jc w:val="both"/>
        <w:rPr>
          <w:rFonts w:ascii="Verdana" w:hAnsi="Verdana"/>
        </w:rPr>
      </w:pPr>
      <w:r w:rsidRPr="005B5CB6">
        <w:rPr>
          <w:rFonts w:ascii="Verdana" w:eastAsia="Verdana" w:hAnsi="Verdana" w:cs="Verdana"/>
        </w:rPr>
        <w:t xml:space="preserve">Yes, incredibly so. There needs to be clear, </w:t>
      </w:r>
      <w:r w:rsidRPr="005B5CB6">
        <w:rPr>
          <w:rFonts w:ascii="Verdana" w:eastAsia="Verdana" w:hAnsi="Verdana" w:cs="Verdana"/>
          <w:b/>
        </w:rPr>
        <w:t xml:space="preserve">easy to access </w:t>
      </w:r>
      <w:r w:rsidRPr="005B5CB6">
        <w:rPr>
          <w:rFonts w:ascii="Verdana" w:eastAsia="Verdana" w:hAnsi="Verdana" w:cs="Verdana"/>
        </w:rPr>
        <w:t xml:space="preserve">records of online advertising not just by political parties but by groups/organisations/unions that advertise politically online. This would allow users on the platform to understand more clearly who is targeting them, why, and how much they are spending to win their vote. Electoral transparency means being able to see not just how much x party sent on advertising online, but the platform they used, how long they ran it for, what the ad was and most importantly, who they were targeting.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1512F6">
      <w:pPr>
        <w:spacing w:after="2" w:line="249" w:lineRule="auto"/>
        <w:ind w:left="721" w:right="-10"/>
        <w:jc w:val="both"/>
        <w:rPr>
          <w:rFonts w:ascii="Verdana" w:hAnsi="Verdana"/>
        </w:rPr>
      </w:pPr>
      <w:r w:rsidRPr="005B5CB6">
        <w:rPr>
          <w:rFonts w:ascii="Verdana" w:eastAsia="Verdana" w:hAnsi="Verdana" w:cs="Verdana"/>
          <w:i/>
        </w:rPr>
        <w:t xml:space="preserve">What effect does online targeted advertising have on the political process, and what effects could it have in the future? Should there be additional regulation of political advertising?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1512F6">
      <w:pPr>
        <w:numPr>
          <w:ilvl w:val="0"/>
          <w:numId w:val="5"/>
        </w:numPr>
        <w:spacing w:after="166" w:line="249" w:lineRule="auto"/>
        <w:ind w:right="12" w:hanging="9"/>
        <w:jc w:val="both"/>
        <w:rPr>
          <w:rFonts w:ascii="Verdana" w:hAnsi="Verdana"/>
        </w:rPr>
      </w:pPr>
      <w:r w:rsidRPr="005B5CB6">
        <w:rPr>
          <w:rFonts w:ascii="Verdana" w:eastAsia="Verdana" w:hAnsi="Verdana" w:cs="Verdana"/>
        </w:rPr>
        <w:t xml:space="preserve">Online advertising is becoming the main way to swing an election. Looking at the Trump and Vote Leave campaigns alone (just as examples, it’s not limited to ‘right wing’ movements) online advertising was used as a principle focus of winning as it allowed them to target individuals to such a personalised level than ever before – the amount of data available to advertisers allows them to focus on specific groups that they can swing. Regulation needs to be tightened to levels that match that on regular advertising on TV, posters or elsewhere, as the regulations mean online advertising is </w:t>
      </w:r>
      <w:r w:rsidRPr="005B5CB6">
        <w:rPr>
          <w:rFonts w:ascii="Verdana" w:eastAsia="Verdana" w:hAnsi="Verdana" w:cs="Verdana"/>
          <w:b/>
        </w:rPr>
        <w:t>the main way</w:t>
      </w:r>
      <w:r w:rsidRPr="005B5CB6">
        <w:rPr>
          <w:rFonts w:ascii="Verdana" w:eastAsia="Verdana" w:hAnsi="Verdana" w:cs="Verdana"/>
        </w:rPr>
        <w:t xml:space="preserve"> for parties to advertise. Moreover, it is very focused on money where the more money one spends on advertising, the more people they can reach, the more accurately they can target and thus the more they can swing votes. Regulation needs to be created, with at least maximum spending on online advertising and better still restrictions on what parties can advertise online and how they can do it </w:t>
      </w:r>
    </w:p>
    <w:p w:rsidR="00FB0B24" w:rsidRPr="005B5CB6" w:rsidP="001512F6">
      <w:pPr>
        <w:spacing w:after="165" w:line="249" w:lineRule="auto"/>
        <w:ind w:left="718" w:hanging="10"/>
        <w:jc w:val="both"/>
        <w:rPr>
          <w:rFonts w:ascii="Verdana" w:hAnsi="Verdana"/>
        </w:rPr>
      </w:pPr>
      <w:r w:rsidRPr="005B5CB6">
        <w:rPr>
          <w:rFonts w:ascii="Verdana" w:eastAsia="Verdana" w:hAnsi="Verdana" w:cs="Verdana"/>
          <w:i/>
        </w:rPr>
        <w:t xml:space="preserve">What might be the best ways of reducing the effects of misinformation on social media platforms? </w:t>
      </w:r>
    </w:p>
    <w:p w:rsidR="00FB0B24" w:rsidRPr="005B5CB6" w:rsidP="001512F6">
      <w:pPr>
        <w:spacing w:after="166" w:line="249" w:lineRule="auto"/>
        <w:ind w:left="10" w:right="12" w:hanging="9"/>
        <w:jc w:val="both"/>
        <w:rPr>
          <w:rFonts w:ascii="Verdana" w:hAnsi="Verdana"/>
        </w:rPr>
      </w:pPr>
      <w:r w:rsidRPr="005B5CB6">
        <w:rPr>
          <w:rFonts w:ascii="Verdana" w:eastAsia="Verdana" w:hAnsi="Verdana" w:cs="Verdana"/>
        </w:rPr>
        <w:t xml:space="preserve">10. Preventing misinformation would come down to the platforms where it is spread, as it would be nearly impossible for a government to be able to prevent anyone telling lies – it is not a crime to lie. The most a government to do would be to toughen on advertising laws online like those for TV where content advertised online would need to meet certain standards (obviously like not lying or casting hateful messages), which would be an effective method that should be investigated. However, simply spreading misinformation is impossible to stop. </w:t>
      </w:r>
    </w:p>
    <w:p w:rsidR="00FB0B24" w:rsidRPr="005B5CB6" w:rsidP="001512F6">
      <w:pPr>
        <w:spacing w:after="164" w:line="249" w:lineRule="auto"/>
        <w:ind w:left="852" w:right="-10"/>
        <w:jc w:val="both"/>
        <w:rPr>
          <w:rFonts w:ascii="Verdana" w:hAnsi="Verdana"/>
        </w:rPr>
      </w:pPr>
      <w:r w:rsidRPr="005B5CB6">
        <w:rPr>
          <w:rFonts w:ascii="Verdana" w:eastAsia="Verdana" w:hAnsi="Verdana" w:cs="Verdana"/>
          <w:i/>
        </w:rPr>
        <w:t xml:space="preserve">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13. To look for successful uses of digital technologies that boost engagement on political issues, I would go to the many politicians (not really in the UK) that use platforms like twitter to speak to and contact their constituents. Even Trump would be an example, however for more (for lack of a better word) grown-up and sophisticated examples go to Alexandria Ocasio-Cortez who posts regular updates on </w:t>
      </w:r>
      <w:r w:rsidRPr="005B5CB6">
        <w:rPr>
          <w:rFonts w:ascii="Verdana" w:eastAsia="Verdana" w:hAnsi="Verdana" w:cs="Verdana"/>
        </w:rPr>
        <w:t xml:space="preserve">what’s happening, what her opinions are and even (most importantly) holds live streams where she </w:t>
      </w:r>
      <w:r w:rsidRPr="005B5CB6">
        <w:rPr>
          <w:rFonts w:ascii="Verdana" w:eastAsia="Verdana" w:hAnsi="Verdana" w:cs="Verdana"/>
          <w:b/>
        </w:rPr>
        <w:t xml:space="preserve">engages (!!!) </w:t>
      </w:r>
      <w:r w:rsidRPr="005B5CB6">
        <w:rPr>
          <w:rFonts w:ascii="Verdana" w:eastAsia="Verdana" w:hAnsi="Verdana" w:cs="Verdana"/>
        </w:rPr>
        <w:t xml:space="preserve">with her constituents. That’s the key to using technology, </w:t>
      </w:r>
      <w:r w:rsidRPr="005B5CB6">
        <w:rPr>
          <w:rFonts w:ascii="Verdana" w:eastAsia="Verdana" w:hAnsi="Verdana" w:cs="Verdana"/>
          <w:b/>
        </w:rPr>
        <w:t xml:space="preserve">ENGAGING </w:t>
      </w:r>
      <w:r w:rsidRPr="005B5CB6">
        <w:rPr>
          <w:rFonts w:ascii="Verdana" w:eastAsia="Verdana" w:hAnsi="Verdana" w:cs="Verdana"/>
        </w:rPr>
        <w:t xml:space="preserve">which does not just mean posting what you did today (many MPs’ accounts just post about the various town halls they visited), it means voicing your opinions to let people knows what you stand for, your voting record, actually replying to questions people send you and doing so publicly for everyone to see and seeing social media not as an extension of the local newsletter, but as a the most powerful tool to fully engage and inform voters/constituents. Social media is more effective than any form of communication to get to people. </w:t>
      </w:r>
    </w:p>
    <w:p w:rsidR="00FB0B24" w:rsidRPr="005B5CB6" w:rsidP="001512F6">
      <w:pPr>
        <w:jc w:val="both"/>
        <w:rPr>
          <w:rFonts w:ascii="Verdana" w:hAnsi="Verdana"/>
        </w:rPr>
        <w:sectPr w:rsidSect="00951A38">
          <w:headerReference w:type="even" r:id="rId24"/>
          <w:headerReference w:type="default" r:id="rId25"/>
          <w:footerReference w:type="even" r:id="rId26"/>
          <w:footerReference w:type="default" r:id="rId27"/>
          <w:headerReference w:type="first" r:id="rId28"/>
          <w:footerReference w:type="first" r:id="rId29"/>
          <w:pgSz w:w="12240" w:h="15840"/>
          <w:pgMar w:top="1492" w:right="1437" w:bottom="1665" w:left="1439" w:header="720" w:footer="720" w:gutter="0"/>
          <w:cols w:space="720"/>
          <w:titlePg/>
        </w:sectPr>
      </w:pPr>
    </w:p>
    <w:p w:rsidR="00FB0B24" w:rsidRPr="005B5CB6" w:rsidP="00A1624B">
      <w:pPr>
        <w:pStyle w:val="Heading1"/>
        <w:rPr>
          <w:sz w:val="22"/>
        </w:rPr>
      </w:pPr>
      <w:bookmarkStart w:id="6" w:name="_Toc44517694"/>
      <w:r w:rsidRPr="005B5CB6">
        <w:rPr>
          <w:sz w:val="22"/>
        </w:rPr>
        <w:t>Robin Potter – written evidence (DAD0008)</w:t>
      </w:r>
      <w:bookmarkEnd w:id="6"/>
      <w:r w:rsidRPr="005B5CB6">
        <w:rPr>
          <w:sz w:val="22"/>
        </w:rPr>
        <w:t xml:space="preserve"> </w:t>
      </w:r>
    </w:p>
    <w:p w:rsidR="00FB0B24" w:rsidRPr="005B5CB6" w:rsidP="001512F6">
      <w:pPr>
        <w:spacing w:after="219"/>
        <w:jc w:val="both"/>
        <w:rPr>
          <w:rFonts w:ascii="Verdana" w:hAnsi="Verdana"/>
        </w:rPr>
      </w:pPr>
      <w:r w:rsidRPr="005B5CB6">
        <w:rPr>
          <w:rFonts w:ascii="Verdana" w:eastAsia="Verdana" w:hAnsi="Verdana" w:cs="Verdana"/>
        </w:rPr>
        <w:t xml:space="preserve"> </w:t>
      </w:r>
    </w:p>
    <w:p w:rsidR="00FB0B24" w:rsidRPr="005B5CB6" w:rsidP="001512F6">
      <w:pPr>
        <w:numPr>
          <w:ilvl w:val="0"/>
          <w:numId w:val="6"/>
        </w:numPr>
        <w:spacing w:after="5" w:line="249" w:lineRule="auto"/>
        <w:ind w:hanging="360"/>
        <w:jc w:val="both"/>
        <w:rPr>
          <w:rFonts w:ascii="Verdana" w:hAnsi="Verdana"/>
        </w:rPr>
      </w:pPr>
      <w:r w:rsidRPr="005B5CB6">
        <w:rPr>
          <w:rFonts w:ascii="Verdana" w:eastAsia="Verdana" w:hAnsi="Verdana" w:cs="Verdana"/>
          <w:i/>
        </w:rPr>
        <w:t xml:space="preserve">How has digital technology changed the way that democracy works in the UK and has this been a net positive or negative effect?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Digital technology has opened up the possibility of encouraging more engagement by casual users. Unfortunately, it also encourages superficial engagement.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numPr>
          <w:ilvl w:val="0"/>
          <w:numId w:val="6"/>
        </w:numPr>
        <w:spacing w:after="5" w:line="249" w:lineRule="auto"/>
        <w:ind w:hanging="360"/>
        <w:jc w:val="both"/>
        <w:rPr>
          <w:rFonts w:ascii="Verdana" w:hAnsi="Verdana"/>
        </w:rPr>
      </w:pPr>
      <w:r w:rsidRPr="005B5CB6">
        <w:rPr>
          <w:rFonts w:ascii="Verdana" w:eastAsia="Verdana" w:hAnsi="Verdana" w:cs="Verdana"/>
          <w:i/>
        </w:rPr>
        <w:t xml:space="preserve">How have the design of algorithms used by social media platforms shaped democratic debate? To what extent should there be greater accountability for the design of these algorithms?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It can be easy for a specific point of view to be moved up the scale of accessibility. This is not confined to digital technologies, but it will be harder to control. It is important that several viewpoints are available - and as nearly as possible equally available - so that informed debate can take place.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numPr>
          <w:ilvl w:val="0"/>
          <w:numId w:val="6"/>
        </w:numPr>
        <w:spacing w:after="25" w:line="249" w:lineRule="auto"/>
        <w:ind w:hanging="360"/>
        <w:jc w:val="both"/>
        <w:rPr>
          <w:rFonts w:ascii="Verdana" w:hAnsi="Verdana"/>
        </w:rPr>
      </w:pPr>
      <w:r w:rsidRPr="005B5CB6">
        <w:rPr>
          <w:rFonts w:ascii="Verdana" w:eastAsia="Verdana" w:hAnsi="Verdana" w:cs="Verdana"/>
          <w:i/>
        </w:rPr>
        <w:t xml:space="preserve">What role should every stage of education play in helping to create a healthy, active, digitally literate democracy?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Educating people to be wary of believing everything they read is vitally important. Educating people to be discriminating and to actively seek alternative points of view would be desirable - but good luck with that!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numPr>
          <w:ilvl w:val="0"/>
          <w:numId w:val="6"/>
        </w:numPr>
        <w:spacing w:after="5" w:line="249" w:lineRule="auto"/>
        <w:ind w:hanging="360"/>
        <w:jc w:val="both"/>
        <w:rPr>
          <w:rFonts w:ascii="Verdana" w:hAnsi="Verdana"/>
        </w:rPr>
      </w:pPr>
      <w:r w:rsidRPr="005B5CB6">
        <w:rPr>
          <w:rFonts w:ascii="Verdana" w:eastAsia="Verdana" w:hAnsi="Verdana" w:cs="Verdana"/>
          <w:i/>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Transparency in spending is absolutely vital! Also ways of assigning spending to the benefit of one political group, even if it is not explicit, needs to be managed.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numPr>
          <w:ilvl w:val="0"/>
          <w:numId w:val="6"/>
        </w:numPr>
        <w:spacing w:after="25" w:line="249" w:lineRule="auto"/>
        <w:ind w:hanging="360"/>
        <w:jc w:val="both"/>
        <w:rPr>
          <w:rFonts w:ascii="Verdana" w:hAnsi="Verdana"/>
        </w:rPr>
      </w:pPr>
      <w:r w:rsidRPr="005B5CB6">
        <w:rPr>
          <w:rFonts w:ascii="Verdana" w:eastAsia="Verdana" w:hAnsi="Verdana" w:cs="Verdana"/>
          <w:i/>
        </w:rPr>
        <w:t xml:space="preserve">What effect does online targeted advertising have on the political process, and what effects could it have in the future? Should there be additional regulation of political advertising?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Targeted advertising can be very useful - and it can be very dangerous! Sending contradictory messages to different targets is easy - and difficult to prove unless there is more cooperation between recipients than is common.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numPr>
          <w:ilvl w:val="0"/>
          <w:numId w:val="6"/>
        </w:numPr>
        <w:spacing w:after="5" w:line="249" w:lineRule="auto"/>
        <w:ind w:hanging="360"/>
        <w:jc w:val="both"/>
        <w:rPr>
          <w:rFonts w:ascii="Verdana" w:hAnsi="Verdana"/>
        </w:rPr>
      </w:pPr>
      <w:r w:rsidRPr="005B5CB6">
        <w:rPr>
          <w:rFonts w:ascii="Verdana" w:eastAsia="Verdana" w:hAnsi="Verdana" w:cs="Verdana"/>
          <w:i/>
        </w:rPr>
        <w:t xml:space="preserve">To what extent does increasing use of encrypted messaging and private groups present a challenge to the democratic process?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26" w:line="250" w:lineRule="auto"/>
        <w:ind w:left="728" w:right="11" w:hanging="8"/>
        <w:jc w:val="both"/>
        <w:rPr>
          <w:rFonts w:ascii="Verdana" w:hAnsi="Verdana"/>
        </w:rPr>
      </w:pPr>
      <w:r w:rsidRPr="005B5CB6">
        <w:rPr>
          <w:rFonts w:ascii="Verdana" w:eastAsia="Verdana" w:hAnsi="Verdana" w:cs="Verdana"/>
        </w:rPr>
        <w:t xml:space="preserve">Don’t know </w:t>
      </w:r>
    </w:p>
    <w:p w:rsidR="00FB0B24" w:rsidRPr="005B5CB6" w:rsidP="001512F6">
      <w:pPr>
        <w:spacing w:after="19"/>
        <w:ind w:left="720"/>
        <w:jc w:val="both"/>
        <w:rPr>
          <w:rFonts w:ascii="Verdana" w:hAnsi="Verdana"/>
        </w:rPr>
      </w:pPr>
      <w:r w:rsidRPr="005B5CB6">
        <w:rPr>
          <w:rFonts w:ascii="Verdana" w:eastAsia="Verdana" w:hAnsi="Verdana" w:cs="Verdana"/>
        </w:rPr>
        <w:t xml:space="preserve"> </w:t>
      </w:r>
    </w:p>
    <w:p w:rsidR="00FB0B24" w:rsidRPr="005B5CB6" w:rsidP="001512F6">
      <w:pPr>
        <w:numPr>
          <w:ilvl w:val="0"/>
          <w:numId w:val="6"/>
        </w:numPr>
        <w:spacing w:after="5" w:line="249" w:lineRule="auto"/>
        <w:ind w:hanging="360"/>
        <w:jc w:val="both"/>
        <w:rPr>
          <w:rFonts w:ascii="Verdana" w:hAnsi="Verdana"/>
        </w:rPr>
      </w:pPr>
      <w:r w:rsidRPr="005B5CB6">
        <w:rPr>
          <w:rFonts w:ascii="Verdana" w:eastAsia="Verdana" w:hAnsi="Verdana" w:cs="Verdana"/>
          <w:i/>
        </w:rPr>
        <w:t xml:space="preserve">What are the positive or negative effects of anonymity on online democratic discourse?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Anonymity allows for more robust comment, but allows for ‘fake news’ to go unchallenged more easily. Anonymity for posts from a political party (or someone closely associated with that party) should be banned, if that is feasible.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numPr>
          <w:ilvl w:val="0"/>
          <w:numId w:val="6"/>
        </w:numPr>
        <w:spacing w:after="5" w:line="249" w:lineRule="auto"/>
        <w:ind w:hanging="360"/>
        <w:jc w:val="both"/>
        <w:rPr>
          <w:rFonts w:ascii="Verdana" w:hAnsi="Verdana"/>
        </w:rPr>
      </w:pPr>
      <w:r w:rsidRPr="005B5CB6">
        <w:rPr>
          <w:rFonts w:ascii="Verdana" w:eastAsia="Verdana" w:hAnsi="Verdana" w:cs="Verdana"/>
          <w:i/>
        </w:rPr>
        <w:t xml:space="preserve">To what extent does social media negatively shape public debate, either through encouraging polarisation or through abuse deterring individuals from engaging in public life?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25" w:line="250" w:lineRule="auto"/>
        <w:ind w:left="728" w:right="11" w:hanging="8"/>
        <w:jc w:val="both"/>
        <w:rPr>
          <w:rFonts w:ascii="Verdana" w:hAnsi="Verdana"/>
        </w:rPr>
      </w:pPr>
      <w:r w:rsidRPr="005B5CB6">
        <w:rPr>
          <w:rFonts w:ascii="Verdana" w:eastAsia="Verdana" w:hAnsi="Verdana" w:cs="Verdana"/>
        </w:rPr>
        <w:t xml:space="preserve">I do have concerns that the use of social media has made it easier to make derogatory comments and/or accusations against public figures which are difficult to refute if they are false. Social Media can make it quicker to shape public opinion on some subjects, but I do not think this is a new phenomenon, as shown by the £350m for the NHS on vote Leave’s bus.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numPr>
          <w:ilvl w:val="0"/>
          <w:numId w:val="7"/>
        </w:numPr>
        <w:spacing w:after="5" w:line="249" w:lineRule="auto"/>
        <w:ind w:hanging="360"/>
        <w:jc w:val="both"/>
        <w:rPr>
          <w:rFonts w:ascii="Verdana" w:hAnsi="Verdana"/>
        </w:rPr>
      </w:pPr>
      <w:r w:rsidRPr="005B5CB6">
        <w:rPr>
          <w:rFonts w:ascii="Verdana" w:eastAsia="Verdana" w:hAnsi="Verdana" w:cs="Verdana"/>
          <w:i/>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Some can attempt to use Social Media (and other media, though that is much more expensive) to push their view, whether this is to undermine the democratic process or not. A way to show people using social media to be open-minded and shown how to have access to other viewpoints is needed.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numPr>
          <w:ilvl w:val="0"/>
          <w:numId w:val="7"/>
        </w:numPr>
        <w:spacing w:after="5" w:line="249" w:lineRule="auto"/>
        <w:ind w:hanging="360"/>
        <w:jc w:val="both"/>
        <w:rPr>
          <w:rFonts w:ascii="Verdana" w:hAnsi="Verdana"/>
        </w:rPr>
      </w:pPr>
      <w:r w:rsidRPr="005B5CB6">
        <w:rPr>
          <w:rFonts w:ascii="Verdana" w:eastAsia="Verdana" w:hAnsi="Verdana" w:cs="Verdana"/>
          <w:i/>
        </w:rPr>
        <w:t xml:space="preserve">What might be the best ways of reducing the effects of misinformation on social media platforms?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26" w:line="250" w:lineRule="auto"/>
        <w:ind w:left="728" w:right="11" w:hanging="8"/>
        <w:jc w:val="both"/>
        <w:rPr>
          <w:rFonts w:ascii="Verdana" w:hAnsi="Verdana"/>
        </w:rPr>
      </w:pPr>
      <w:r w:rsidRPr="005B5CB6">
        <w:rPr>
          <w:rFonts w:ascii="Verdana" w:eastAsia="Verdana" w:hAnsi="Verdana" w:cs="Verdana"/>
        </w:rPr>
        <w:t xml:space="preserve">Require a link to authoritative commentators. </w:t>
      </w:r>
    </w:p>
    <w:p w:rsidR="00FB0B24" w:rsidRPr="005B5CB6" w:rsidP="001512F6">
      <w:pPr>
        <w:spacing w:after="19"/>
        <w:ind w:left="720"/>
        <w:jc w:val="both"/>
        <w:rPr>
          <w:rFonts w:ascii="Verdana" w:hAnsi="Verdana"/>
        </w:rPr>
      </w:pPr>
      <w:r w:rsidRPr="005B5CB6">
        <w:rPr>
          <w:rFonts w:ascii="Verdana" w:eastAsia="Verdana" w:hAnsi="Verdana" w:cs="Verdana"/>
        </w:rPr>
        <w:t xml:space="preserve"> </w:t>
      </w:r>
    </w:p>
    <w:p w:rsidR="00FB0B24" w:rsidRPr="005B5CB6" w:rsidP="001512F6">
      <w:pPr>
        <w:numPr>
          <w:ilvl w:val="0"/>
          <w:numId w:val="7"/>
        </w:numPr>
        <w:spacing w:after="5" w:line="249" w:lineRule="auto"/>
        <w:ind w:hanging="360"/>
        <w:jc w:val="both"/>
        <w:rPr>
          <w:rFonts w:ascii="Verdana" w:hAnsi="Verdana"/>
        </w:rPr>
      </w:pPr>
      <w:r w:rsidRPr="005B5CB6">
        <w:rPr>
          <w:rFonts w:ascii="Verdana" w:eastAsia="Verdana" w:hAnsi="Verdana" w:cs="Verdana"/>
          <w:i/>
        </w:rPr>
        <w:t>How could the moderation processes of large technology companies be improved to better tackle abuse and misinformation, as well as helping public debate flourish?</w:t>
      </w:r>
      <w:r w:rsidRPr="005B5CB6">
        <w:rPr>
          <w:rFonts w:ascii="Verdana" w:eastAsia="Verdana" w:hAnsi="Verdana" w:cs="Verdana"/>
        </w:rPr>
        <w:t xml:space="preserve">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26" w:line="250" w:lineRule="auto"/>
        <w:ind w:left="728" w:right="11" w:hanging="8"/>
        <w:jc w:val="both"/>
        <w:rPr>
          <w:rFonts w:ascii="Verdana" w:hAnsi="Verdana"/>
        </w:rPr>
      </w:pPr>
      <w:r w:rsidRPr="005B5CB6">
        <w:rPr>
          <w:rFonts w:ascii="Verdana" w:eastAsia="Verdana" w:hAnsi="Verdana" w:cs="Verdana"/>
        </w:rPr>
        <w:t xml:space="preserve">Don’t know!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720" w:hanging="360"/>
        <w:jc w:val="both"/>
        <w:rPr>
          <w:rFonts w:ascii="Verdana" w:hAnsi="Verdana"/>
        </w:rPr>
      </w:pPr>
      <w:r w:rsidRPr="005B5CB6">
        <w:rPr>
          <w:rFonts w:ascii="Verdana" w:eastAsia="Verdana" w:hAnsi="Verdana" w:cs="Verdana"/>
          <w:i/>
        </w:rPr>
        <w:t xml:space="preserve">12.How could the Government better support the positive work of civil society organisations using technology to facilitate engagement with democratic processes?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Use information about the use of algorithms to get some of these nearer the top pages.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720" w:hanging="360"/>
        <w:jc w:val="both"/>
        <w:rPr>
          <w:rFonts w:ascii="Verdana" w:hAnsi="Verdana"/>
        </w:rPr>
      </w:pPr>
      <w:r w:rsidRPr="005B5CB6">
        <w:rPr>
          <w:rFonts w:ascii="Verdana" w:eastAsia="Verdana" w:hAnsi="Verdana" w:cs="Verdana"/>
          <w:i/>
        </w:rPr>
        <w:t xml:space="preserve">13.How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Many elected representatives already use these media to good effect - and many use them poorly, and many do not use them for fear of being ‘trolled’ or of making quick responses which may come back to haunt them later. It will be necessary to consider good and bad examples - and to take account of those who cannot engage fully. These requests for submissions to select committees are an excellent example of positive engagement - BUT they are confined to far too few respondents - and these respondents are often well versed to promote one side or the other of an argument.  </w:t>
      </w:r>
    </w:p>
    <w:p w:rsidR="00FB0B24" w:rsidRPr="005B5CB6" w:rsidP="001512F6">
      <w:pPr>
        <w:spacing w:after="19"/>
        <w:ind w:left="721"/>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721" w:hanging="360"/>
        <w:jc w:val="both"/>
        <w:rPr>
          <w:rFonts w:ascii="Verdana" w:hAnsi="Verdana"/>
        </w:rPr>
      </w:pPr>
      <w:r w:rsidRPr="005B5CB6">
        <w:rPr>
          <w:rFonts w:ascii="Verdana" w:eastAsia="Verdana" w:hAnsi="Verdana" w:cs="Verdana"/>
          <w:i/>
        </w:rPr>
        <w:t xml:space="preserve">14.What positive examples are there of technology being used to enhance democracy? </w:t>
      </w:r>
    </w:p>
    <w:p w:rsidR="00FB0B24" w:rsidRPr="005B5CB6" w:rsidP="001512F6">
      <w:pPr>
        <w:spacing w:after="17"/>
        <w:ind w:left="721"/>
        <w:jc w:val="both"/>
        <w:rPr>
          <w:rFonts w:ascii="Verdana" w:hAnsi="Verdana"/>
        </w:rPr>
      </w:pPr>
      <w:r w:rsidRPr="005B5CB6">
        <w:rPr>
          <w:rFonts w:ascii="Verdana" w:eastAsia="Verdana" w:hAnsi="Verdana" w:cs="Verdana"/>
        </w:rPr>
        <w:t xml:space="preserve"> </w:t>
      </w:r>
    </w:p>
    <w:p w:rsidR="00FB0B24" w:rsidRPr="005B5CB6" w:rsidP="001512F6">
      <w:pPr>
        <w:spacing w:after="25" w:line="250" w:lineRule="auto"/>
        <w:ind w:left="729" w:right="11" w:hanging="8"/>
        <w:jc w:val="both"/>
        <w:rPr>
          <w:rFonts w:ascii="Verdana" w:hAnsi="Verdana"/>
        </w:rPr>
      </w:pPr>
      <w:r w:rsidRPr="005B5CB6">
        <w:rPr>
          <w:rFonts w:ascii="Verdana" w:eastAsia="Verdana" w:hAnsi="Verdana" w:cs="Verdana"/>
        </w:rPr>
        <w:t xml:space="preserve">Many - and just as many of technology having a negative effect. These requests for submissions to select committees are an excellent example of positive engagement - BUT they are confined to far too few respondents - and these respondents are often well versed to promote one side or the other of an argument.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951A38">
          <w:headerReference w:type="even" r:id="rId30"/>
          <w:headerReference w:type="default" r:id="rId31"/>
          <w:footerReference w:type="even" r:id="rId32"/>
          <w:footerReference w:type="default" r:id="rId33"/>
          <w:headerReference w:type="first" r:id="rId34"/>
          <w:footerReference w:type="first" r:id="rId35"/>
          <w:pgSz w:w="11906" w:h="16838"/>
          <w:pgMar w:top="1492" w:right="1442" w:bottom="1605" w:left="1440" w:header="720" w:footer="709" w:gutter="0"/>
          <w:cols w:space="720"/>
        </w:sectPr>
      </w:pPr>
    </w:p>
    <w:p w:rsidR="00FB0B24" w:rsidRPr="005B5CB6" w:rsidP="00A1624B">
      <w:pPr>
        <w:pStyle w:val="Heading1"/>
        <w:rPr>
          <w:sz w:val="22"/>
        </w:rPr>
      </w:pPr>
      <w:bookmarkStart w:id="7" w:name="_Toc44517695"/>
      <w:r w:rsidRPr="005B5CB6">
        <w:rPr>
          <w:sz w:val="22"/>
        </w:rPr>
        <w:t>Mr John Brace – written evidence (DAD0009)</w:t>
      </w:r>
      <w:bookmarkEnd w:id="7"/>
      <w:r w:rsidRPr="005B5CB6">
        <w:rPr>
          <w:sz w:val="22"/>
        </w:rPr>
        <w:t xml:space="preserve"> </w:t>
      </w:r>
    </w:p>
    <w:p w:rsidR="00FB0B24" w:rsidRPr="005B5CB6" w:rsidP="001512F6">
      <w:pPr>
        <w:spacing w:after="0"/>
        <w:jc w:val="both"/>
        <w:rPr>
          <w:rFonts w:ascii="Verdana" w:hAnsi="Verdana"/>
        </w:rPr>
      </w:pPr>
      <w:r w:rsidRPr="005B5CB6">
        <w:rPr>
          <w:rFonts w:ascii="Verdana" w:hAnsi="Verdana"/>
        </w:rPr>
        <w:t xml:space="preserve"> </w:t>
      </w:r>
    </w:p>
    <w:p w:rsidR="00FB0B24" w:rsidRPr="005B5CB6" w:rsidP="001512F6">
      <w:pPr>
        <w:pStyle w:val="Heading2"/>
        <w:rPr>
          <w:sz w:val="22"/>
        </w:rPr>
      </w:pPr>
      <w:r w:rsidRPr="005B5CB6">
        <w:rPr>
          <w:rFonts w:eastAsia="Calibri" w:cs="Calibri"/>
          <w:b w:val="0"/>
          <w:sz w:val="22"/>
          <w:u w:val="single" w:color="000000"/>
        </w:rPr>
        <w:t>Summary</w:t>
      </w:r>
      <w:r w:rsidRPr="005B5CB6">
        <w:rPr>
          <w:rFonts w:eastAsia="Calibri" w:cs="Calibri"/>
          <w:b w:val="0"/>
          <w:sz w:val="22"/>
        </w:rPr>
        <w:t xml:space="preserve"> </w:t>
      </w:r>
    </w:p>
    <w:p w:rsidR="00FB0B24" w:rsidRPr="005B5CB6" w:rsidP="001512F6">
      <w:pPr>
        <w:spacing w:after="0"/>
        <w:jc w:val="both"/>
        <w:rPr>
          <w:rFonts w:ascii="Verdana" w:hAnsi="Verdana"/>
        </w:rPr>
      </w:pPr>
      <w:r w:rsidRPr="005B5CB6">
        <w:rPr>
          <w:rFonts w:ascii="Verdana" w:hAnsi="Verdana"/>
        </w:rPr>
        <w:t xml:space="preserve"> </w:t>
      </w:r>
    </w:p>
    <w:p w:rsidR="00FB0B24" w:rsidRPr="005B5CB6" w:rsidP="001512F6">
      <w:pPr>
        <w:numPr>
          <w:ilvl w:val="0"/>
          <w:numId w:val="8"/>
        </w:numPr>
        <w:spacing w:after="5" w:line="249" w:lineRule="auto"/>
        <w:ind w:right="11" w:hanging="283"/>
        <w:jc w:val="both"/>
        <w:rPr>
          <w:rFonts w:ascii="Verdana" w:hAnsi="Verdana"/>
        </w:rPr>
      </w:pPr>
      <w:r w:rsidRPr="005B5CB6">
        <w:rPr>
          <w:rFonts w:ascii="Verdana" w:eastAsia="Verdana" w:hAnsi="Verdana" w:cs="Verdana"/>
        </w:rPr>
        <w:t xml:space="preserve">I am a journalist writing in an individual capacity who writes mainly about local government for the website </w:t>
      </w:r>
      <w:r>
        <w:fldChar w:fldCharType="begin"/>
      </w:r>
      <w:r>
        <w:instrText xml:space="preserve"> HYPERLINK "https://johnbrace.com/" </w:instrText>
      </w:r>
      <w:r>
        <w:fldChar w:fldCharType="separate"/>
      </w:r>
      <w:r w:rsidRPr="005B5CB6">
        <w:rPr>
          <w:rFonts w:ascii="Verdana" w:eastAsia="Verdana" w:hAnsi="Verdana" w:cs="Verdana"/>
          <w:color w:val="000080"/>
          <w:u w:val="single" w:color="000080"/>
        </w:rPr>
        <w:t>https://johnbrace.com/</w:t>
      </w:r>
      <w:r>
        <w:fldChar w:fldCharType="end"/>
      </w:r>
      <w:r>
        <w:fldChar w:fldCharType="begin"/>
      </w:r>
      <w:r>
        <w:instrText xml:space="preserve"> HYPERLINK "https://johnbrace.com/"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and also my video of public meetings of local government bodies on my YouTube channel at </w:t>
      </w:r>
      <w:r>
        <w:fldChar w:fldCharType="begin"/>
      </w:r>
      <w:r>
        <w:instrText xml:space="preserve"> HYPERLINK "https://www.youtube.com/user/level80" </w:instrText>
      </w:r>
      <w:r>
        <w:fldChar w:fldCharType="separate"/>
      </w:r>
      <w:r w:rsidRPr="005B5CB6">
        <w:rPr>
          <w:rFonts w:ascii="Verdana" w:eastAsia="Verdana" w:hAnsi="Verdana" w:cs="Verdana"/>
          <w:color w:val="000080"/>
          <w:u w:val="single" w:color="000080"/>
        </w:rPr>
        <w:t>https://www.youtube.com/user/level80</w:t>
      </w:r>
      <w:r>
        <w:fldChar w:fldCharType="end"/>
      </w:r>
      <w:r>
        <w:fldChar w:fldCharType="begin"/>
      </w:r>
      <w:r>
        <w:instrText xml:space="preserve"> HYPERLINK "https://www.youtube.com/user/level80"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8"/>
        </w:numPr>
        <w:spacing w:after="5" w:line="250" w:lineRule="auto"/>
        <w:ind w:right="11" w:hanging="283"/>
        <w:jc w:val="both"/>
        <w:rPr>
          <w:rFonts w:ascii="Verdana" w:hAnsi="Verdana"/>
        </w:rPr>
      </w:pPr>
      <w:r w:rsidRPr="005B5CB6">
        <w:rPr>
          <w:rFonts w:ascii="Verdana" w:eastAsia="Verdana" w:hAnsi="Verdana" w:cs="Verdana"/>
        </w:rPr>
        <w:t xml:space="preserve">This is a one page summary of my submission that can be found on the following pages 2-6.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8"/>
        </w:numPr>
        <w:spacing w:after="5" w:line="250" w:lineRule="auto"/>
        <w:ind w:right="11" w:hanging="283"/>
        <w:jc w:val="both"/>
        <w:rPr>
          <w:rFonts w:ascii="Verdana" w:hAnsi="Verdana"/>
        </w:rPr>
      </w:pPr>
      <w:r w:rsidRPr="005B5CB6">
        <w:rPr>
          <w:rFonts w:ascii="Verdana" w:eastAsia="Verdana" w:hAnsi="Verdana" w:cs="Verdana"/>
        </w:rPr>
        <w:t xml:space="preserve">There needs to be greater online transparency of election processes and publication of information online that is open to public inspection such as candidate election returns for the elections of local councillors, MPs, PCCs and combined authority mayors would be a welcome step in increasing transparency especially as this would highlight where information has been deliberately left out of returns or is incorrect.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8"/>
        </w:numPr>
        <w:spacing w:after="5" w:line="250" w:lineRule="auto"/>
        <w:ind w:right="11" w:hanging="283"/>
        <w:jc w:val="both"/>
        <w:rPr>
          <w:rFonts w:ascii="Verdana" w:hAnsi="Verdana"/>
        </w:rPr>
      </w:pPr>
      <w:r w:rsidRPr="005B5CB6">
        <w:rPr>
          <w:rFonts w:ascii="Verdana" w:eastAsia="Verdana" w:hAnsi="Verdana" w:cs="Verdana"/>
        </w:rPr>
        <w:t xml:space="preserve">The filter bubble and the way websites optimise themselves (whether manually or automatically) to increase their influence leads for some websites to different information being shown to different users. The purpose of the algorithms is to make money though by automating tasks that would be very time consuming or impossible for people to do - the problem is algorithms don't seem to quantify or be programmed to understand harm. This is usually done by a person.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8"/>
        </w:numPr>
        <w:spacing w:after="5" w:line="250" w:lineRule="auto"/>
        <w:ind w:right="11" w:hanging="283"/>
        <w:jc w:val="both"/>
        <w:rPr>
          <w:rFonts w:ascii="Verdana" w:hAnsi="Verdana"/>
        </w:rPr>
      </w:pPr>
      <w:r w:rsidRPr="005B5CB6">
        <w:rPr>
          <w:rFonts w:ascii="Verdana" w:eastAsia="Verdana" w:hAnsi="Verdana" w:cs="Verdana"/>
        </w:rPr>
        <w:t xml:space="preserve">Education has a role to play but there are still those that see technology as a bad thing and thwart its introduction and deter people from using it.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8"/>
        </w:numPr>
        <w:spacing w:after="5" w:line="250" w:lineRule="auto"/>
        <w:ind w:right="11" w:hanging="283"/>
        <w:jc w:val="both"/>
        <w:rPr>
          <w:rFonts w:ascii="Verdana" w:hAnsi="Verdana"/>
        </w:rPr>
      </w:pPr>
      <w:r w:rsidRPr="005B5CB6">
        <w:rPr>
          <w:rFonts w:ascii="Verdana" w:eastAsia="Verdana" w:hAnsi="Verdana" w:cs="Verdana"/>
        </w:rPr>
        <w:t xml:space="preserve">How information is published online and the format it is published in impacts on how easy it is to find. Doing it according to best practice can be time consuming but there are steps that can be taken to improve matters along the way to what is considered best practice.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8"/>
        </w:numPr>
        <w:spacing w:after="5" w:line="250" w:lineRule="auto"/>
        <w:ind w:right="11" w:hanging="283"/>
        <w:jc w:val="both"/>
        <w:rPr>
          <w:rFonts w:ascii="Verdana" w:hAnsi="Verdana"/>
        </w:rPr>
      </w:pPr>
      <w:r w:rsidRPr="005B5CB6">
        <w:rPr>
          <w:rFonts w:ascii="Verdana" w:eastAsia="Verdana" w:hAnsi="Verdana" w:cs="Verdana"/>
        </w:rPr>
        <w:t xml:space="preserve">Geotargeting can help with tailoring a political message to a specific audience. Targetting can also be done in other ways or combining audience attributes to microtarget. Misinformation can be dealt with in a number of different ways.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numPr>
          <w:ilvl w:val="0"/>
          <w:numId w:val="8"/>
        </w:numPr>
        <w:spacing w:after="5" w:line="250" w:lineRule="auto"/>
        <w:ind w:right="11" w:hanging="283"/>
        <w:jc w:val="both"/>
        <w:rPr>
          <w:rFonts w:ascii="Verdana" w:hAnsi="Verdana"/>
        </w:rPr>
      </w:pPr>
      <w:r w:rsidRPr="005B5CB6">
        <w:rPr>
          <w:rFonts w:ascii="Verdana" w:eastAsia="Verdana" w:hAnsi="Verdana" w:cs="Verdana"/>
        </w:rPr>
        <w:t xml:space="preserve">The dangers to online technology and the filter bubble is that it can cause harm to those with protected characteristics (race and disability) by changing social attitudes which leads ultimately to violence and abuse (much goes unreported).    </w:t>
      </w:r>
      <w:r w:rsidRPr="005B5CB6">
        <w:rPr>
          <w:rFonts w:ascii="Verdana" w:eastAsia="Verdana" w:hAnsi="Verdana" w:cs="Verdana"/>
          <w:b/>
        </w:rPr>
        <w:t xml:space="preserve"> </w:t>
      </w:r>
    </w:p>
    <w:p w:rsidR="00FB0B24" w:rsidRPr="005B5CB6" w:rsidP="001512F6">
      <w:pPr>
        <w:spacing w:after="0"/>
        <w:ind w:left="1"/>
        <w:jc w:val="both"/>
        <w:rPr>
          <w:rFonts w:ascii="Verdana" w:hAnsi="Verdana"/>
        </w:rPr>
      </w:pPr>
      <w:r w:rsidRPr="005B5CB6">
        <w:rPr>
          <w:rFonts w:ascii="Verdana" w:eastAsia="Verdana" w:hAnsi="Verdana" w:cs="Verdana"/>
          <w:b/>
        </w:rPr>
        <w:t xml:space="preserve"> </w:t>
      </w:r>
    </w:p>
    <w:p w:rsidR="00FB0B24" w:rsidRPr="005B5CB6" w:rsidP="001512F6">
      <w:pPr>
        <w:spacing w:after="0"/>
        <w:ind w:left="1"/>
        <w:jc w:val="both"/>
        <w:rPr>
          <w:rFonts w:ascii="Verdana" w:hAnsi="Verdana"/>
        </w:rPr>
      </w:pPr>
      <w:r w:rsidRPr="005B5CB6">
        <w:rPr>
          <w:rFonts w:ascii="Verdana" w:eastAsia="Verdana" w:hAnsi="Verdana" w:cs="Verdana"/>
          <w:b/>
        </w:rPr>
        <w:t xml:space="preserve"> </w:t>
      </w:r>
    </w:p>
    <w:p w:rsidR="00FB0B24" w:rsidRPr="005B5CB6" w:rsidP="001512F6">
      <w:pPr>
        <w:spacing w:after="0"/>
        <w:ind w:left="1"/>
        <w:jc w:val="both"/>
        <w:rPr>
          <w:rFonts w:ascii="Verdana" w:hAnsi="Verdana"/>
        </w:rPr>
      </w:pPr>
      <w:r w:rsidRPr="005B5CB6">
        <w:rPr>
          <w:rFonts w:ascii="Verdana" w:eastAsia="Verdana" w:hAnsi="Verdana" w:cs="Verdana"/>
          <w:b/>
        </w:rPr>
        <w:t xml:space="preserve"> </w:t>
      </w:r>
    </w:p>
    <w:p w:rsidR="00FB0B24" w:rsidRPr="005B5CB6" w:rsidP="001512F6">
      <w:pPr>
        <w:spacing w:after="0"/>
        <w:ind w:left="1"/>
        <w:jc w:val="both"/>
        <w:rPr>
          <w:rFonts w:ascii="Verdana" w:hAnsi="Verdana"/>
        </w:rPr>
      </w:pPr>
      <w:r w:rsidRPr="005B5CB6">
        <w:rPr>
          <w:rFonts w:ascii="Verdana" w:eastAsia="Verdana" w:hAnsi="Verdana" w:cs="Verdana"/>
          <w:b/>
        </w:rPr>
        <w:t xml:space="preserve"> </w:t>
      </w:r>
    </w:p>
    <w:p w:rsidR="00FB0B24" w:rsidRPr="005B5CB6" w:rsidP="001512F6">
      <w:pPr>
        <w:spacing w:after="0"/>
        <w:ind w:left="1"/>
        <w:jc w:val="both"/>
        <w:rPr>
          <w:rFonts w:ascii="Verdana" w:hAnsi="Verdana"/>
        </w:rPr>
      </w:pPr>
      <w:r w:rsidRPr="005B5CB6">
        <w:rPr>
          <w:rFonts w:ascii="Verdana" w:eastAsia="Verdana" w:hAnsi="Verdana" w:cs="Verdana"/>
          <w:b/>
        </w:rPr>
        <w:t xml:space="preserve"> </w:t>
      </w:r>
    </w:p>
    <w:p w:rsidR="00FB0B24" w:rsidRPr="005B5CB6" w:rsidP="001512F6">
      <w:pPr>
        <w:spacing w:after="0"/>
        <w:ind w:left="1"/>
        <w:jc w:val="both"/>
        <w:rPr>
          <w:rFonts w:ascii="Verdana" w:hAnsi="Verdana"/>
        </w:rPr>
      </w:pPr>
      <w:r w:rsidRPr="005B5CB6">
        <w:rPr>
          <w:rFonts w:ascii="Verdana" w:eastAsia="Verdana" w:hAnsi="Verdana" w:cs="Verdana"/>
          <w:b/>
        </w:rPr>
        <w:t xml:space="preserve"> </w:t>
      </w:r>
    </w:p>
    <w:p w:rsidR="00FB0B24" w:rsidRPr="005B5CB6" w:rsidP="001512F6">
      <w:pPr>
        <w:spacing w:after="0"/>
        <w:ind w:left="1"/>
        <w:jc w:val="both"/>
        <w:rPr>
          <w:rFonts w:ascii="Verdana" w:hAnsi="Verdana"/>
        </w:rPr>
      </w:pPr>
      <w:r w:rsidRPr="005B5CB6">
        <w:rPr>
          <w:rFonts w:ascii="Verdana" w:eastAsia="Verdana" w:hAnsi="Verdana" w:cs="Verdana"/>
          <w:b/>
        </w:rPr>
        <w:t xml:space="preserve"> </w:t>
      </w:r>
    </w:p>
    <w:p w:rsidR="00FB0B24" w:rsidRPr="005B5CB6" w:rsidP="001512F6">
      <w:pPr>
        <w:spacing w:after="0"/>
        <w:ind w:left="1"/>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pStyle w:val="Heading3"/>
        <w:rPr>
          <w:sz w:val="22"/>
        </w:rPr>
      </w:pPr>
      <w:r w:rsidRPr="005B5CB6">
        <w:rPr>
          <w:sz w:val="22"/>
          <w:u w:val="single" w:color="000000"/>
        </w:rPr>
        <w:t>Submission</w:t>
      </w:r>
      <w:r w:rsidRPr="005B5CB6">
        <w:rPr>
          <w:b w:val="0"/>
          <w:sz w:val="22"/>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 am making this submission in an individual capacity. I am John Brace, a journalist who covers mainly local government.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In order to provide structure I will be answering based on my experience the questions in the call for evidence that can be found here </w:t>
      </w:r>
    </w:p>
    <w:p w:rsidR="00FB0B24" w:rsidRPr="005B5CB6" w:rsidP="001512F6">
      <w:pPr>
        <w:spacing w:after="5" w:line="250" w:lineRule="auto"/>
        <w:ind w:left="433" w:right="11" w:hanging="8"/>
        <w:jc w:val="both"/>
        <w:rPr>
          <w:rFonts w:ascii="Verdana" w:hAnsi="Verdana"/>
        </w:rPr>
      </w:pPr>
      <w:r w:rsidRPr="005B5CB6">
        <w:rPr>
          <w:rFonts w:ascii="Verdana" w:eastAsia="Verdana" w:hAnsi="Verdana" w:cs="Verdana"/>
        </w:rPr>
        <w:t xml:space="preserve">https://www.parliament.uk/documents/lordscommittees/Digital_democracy/Digital_Call_for_evidence.pdf and not restating the questions in this submission.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In answer to question 1, I routinely inspect candidate election expense returns in the local government area I live in Wirral (mainly candidates for councillor and member of parliament) and have done so over a number of years both for regular elections and byelections.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Over that time there has been a shift away from spend on paper based campaigns (such as leaflets through electors doors) to a mix of traditional campaigning to digital campaigning both in local and general elections. Just as a general observation - the candidates that appear to have experimented with digital campaigning at election time can send their message to a larger number of people at a lower cost. However candidate expense returns do not always reflect the true cost of digital campaigning as some costs that should be declared are sometimes left out or other more basic errors are made on a return (for example putting down spend on an invoice using the amount before VAT has been added). Generally though election laws aren't enforced and much doesn't get reported - in part as there is little understanding or investigation by police forces and also there has been a general reluctance of the Crown Prosecution Service to start prosecutions due to time limits on prosecutions and also the perceived "technical" nature of offences. Even though "technical" could be used to describe every law on the statute book!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 have worked in the area of digital technology for a month short of 20 years - the positive effects of digital technology on democracy are that has allowed the media to tell stories in a different and more immediate way as well as include more user generated content, allowed politicians and campaigns to present their message more directly to the electorate and also email has massively revolutionised the way democracy happens. Another positive effect of technology is greater collaboration by different parts of the media on stories about the public sector. However there are negative effects on democracy of digital technology too - the filter bubble causes major problems both on political perceptions and then on the reality of decision-making and the way people think is influenced masively by the way technology is a part of peoples' lives. I remember having pretty much all my childhood without internet access at home - and when I eventually did have it it was over a phone line and at a slow speed. It meant the UK education system taught me when a child we had to learn respect for other peoples' viewpoints (even those we disagreed with) in an amicable way. Resolving differences that resulted in an angry exchange of views online wasn't an option available then.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All websites I know of that grow over time optimise themselves (whether manually or automatically) to increase their audience because a larger audience/impact means for example that higher advertising rates can be charged and the business model is more sustainable. However the social media algorithms use aspects of basic human psychology to encourage greater use and that can lead to addiction. The impact and effectiveness of this varies from individual to individual - but the algorithm tailors its approach based on the user. The purpose of the algorithm though is to make the organisation money - the algorithm shapes democratic debate by effectively making an automated choice as to what is displayed to individual users and how the content that users create is displayed to others. As to the subquestion about accountability of the design of the algorithms, it is hard to answer this briefly but all algorithms are flawed. But my own personal viewpoint is that what is lacking is what the American science fiction writer Asimov referred to the first law of robotics which is "a robot may not injure a human being, or through inaction, allow a human being to come to harm." The algorithms as far as I perceive it at the moment aren't quantifying harm or injury that their decision making may cause to either individuals or populations both in the short and long term. The algorithms behind say large social media websites such as Twitter or Facebook are now too complex for one person to understand fully. Plus the algorithm is changing over time. Yes there should be more accountability and certain practices should be banned because of the harm caused.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My view is that there isn't a healthy, active, digitally literate democracy as there is a low rate of adult literacy in the area I live in and rates of poverty and unemployment are pretty high. You can only have a healthy, active, digitally literate democracy if those using the digital technologies know and understand how to use them properly as well as a population with the financial means to use it. Having gone through the education system - ranging from nursery, primary, secondary, further and then higher education the area of technology was too new, scary and misunderstood for the generation that was doing the teaching/lecturing for them to want that outcome. Their reaction was more to punish people that wanted a healthy, active, digitally literate democracy as they regarded this behaviour as contrary to their traditional ways of dealing with matters such as democracy. They saw technology as a threat and people who used it as dangerous.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In answer to question 4, at the moment (if I want to) I have to physically inspect paper copies of election expense returns, even if I desired to publish this information it would take time and in any event some information is redacted before public inspection (such as the home addresses of indiviual donors). There are two ways though I have published it in the past - the quickest is just the images of the pages and accompanying invoices. The better (but more time consuming method) is converting the forms and the information on them to HTML. This area really needs legislation though to bring it into the 21st century as it's still stuck in the 19th century and election material open to public inspection can't be requested through FOI/EIR legislation as far as I know.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In answer to question 5, it makes it easier for different audiences to be shown different messages. For example a political campaign to improve disability access </w:t>
      </w:r>
      <w:r w:rsidRPr="005B5CB6">
        <w:rPr>
          <w:rFonts w:ascii="Verdana" w:eastAsia="Verdana" w:hAnsi="Verdana" w:cs="Verdana"/>
        </w:rPr>
        <w:t xml:space="preserve">at local train stations might refer to the local train station by name based on geotargeting but messages can also be micro targeted at audiences based on what can be measured and beyond just simple geotargeting (which is often done </w:t>
      </w:r>
    </w:p>
    <w:p w:rsidR="00FB0B24" w:rsidRPr="005B5CB6" w:rsidP="001512F6">
      <w:pPr>
        <w:spacing w:after="5" w:line="250" w:lineRule="auto"/>
        <w:ind w:left="433" w:right="11" w:hanging="8"/>
        <w:jc w:val="both"/>
        <w:rPr>
          <w:rFonts w:ascii="Verdana" w:hAnsi="Verdana"/>
        </w:rPr>
      </w:pPr>
      <w:r w:rsidRPr="005B5CB6">
        <w:rPr>
          <w:rFonts w:ascii="Verdana" w:eastAsia="Verdana" w:hAnsi="Verdana" w:cs="Verdana"/>
        </w:rPr>
        <w:t xml:space="preserve">in online political campaigns to limit the message to a defined geographical area and of course also based on age). There is already regulation in the form of costs limits - but as online advertising can be done at a much lower costs than print it does appear to make a mockery of overall cost limits that weren't designed for this sort of online campaigning. Maybe future regulation could have specific costs limits just for campaign election expenditure on online activities as well as the existing overall cap on total expenditure?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In answer to question 6 there will always need to be some sort of private online space for encrypted messages and private groups but I don't understand how these levels of social organisation present a challenge to the democratic process.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In answer to question 7 about anonymity, there are often matters that people wish to divulge to journalists in an anonymous fashion and some people prefer to continue the print tradition of a nom de plume online. Personally as a journalist I feel I should be accountable for what I do so I publish in my own name - but both a positive and negative aspect to that is perception of myself is based in part by perceptions of my work. There are however perceived negative impacts though through associating one's name with one's political views as it can lead to those who hold opposing political views and disagree with your right to express your views doing things to either silence you, discredit you, punish you or harrass you.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In answer to question 8, it's when social media goes into areas that are unlawful that the problems start. The ongoing matters since the 2016 referendum and the way public discourse has happened have led to a rise in racism and racist violence which worries those of us from ethnic minorities. Although I have held elected public office in the UK many years ago I would not want to do so now due to the way that both those with disabilities and from ethnic minorities are treated.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In answer to question 9, democratic processes and democratic institutions need to be much better at communicating with the public and not taking actions that damage trust such as the bad way that the MP expenses matter was handled. There needs to be much better engagement with the media by democratic institutions - less of an adversarial approach and less of individuals trying to punish journalists for doing their jobs well by deliberately excluding them. Faith in democracy can be improved by better behaviour both by democratic institutions and those working for them. Also if democratic institutions/politicians better reflected the communities that they served (such as on gender, age, ethnic minority etc) there would be less distrust. It goes beyond democratic instiutions though to  perceptions and culture of the whole public sector that democratic institutions make decisions about and have an oversight and scrutiny role of.  </w:t>
      </w:r>
    </w:p>
    <w:p w:rsidR="00FB0B24" w:rsidRPr="005B5CB6" w:rsidP="001512F6">
      <w:pPr>
        <w:spacing w:after="0"/>
        <w:ind w:left="424"/>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There will always be misinformation - which falls into many different categories of types - I run a blog and over the year there have been many complaints from individuals about comments made by third parties that refer to them. There is however a process that is followed that can lead to this content being removed. My </w:t>
      </w:r>
      <w:r w:rsidRPr="005B5CB6">
        <w:rPr>
          <w:rFonts w:ascii="Verdana" w:eastAsia="Verdana" w:hAnsi="Verdana" w:cs="Verdana"/>
        </w:rPr>
        <w:t xml:space="preserve">answer to this question is that there is a difference between inadvertent misinformation and deliberate misinformation. The purpose of the social media platforms is to spread information though and removing content can lead to a Streisand Effect. There are therefore basically three ways but not mutually exclusive ways to deal with misinformation - remove it, put out more information pointing out its flaws and educate people better about misinformation so they they don't believe it so easily.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In answer to question 11, those based in the UK are already subject to UK laws, but the multinational nature of companies mean that cultural attitudes and laws towards this differ. Automating moderation processes is open to abuse but the staff time involved in moderating content causes delays. I do think though that large technology companies could make it clearer and easier how such content should be reported to them, clear communication on the processes that will be followed when it is and the organisational view/policy on this too.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 think the Government of the day (of whatever political persuasion) already supports the positive work of civil society organisations (even in some cases financially) especially where the work of those organisations align with its policy objectives. It's a two way process though. There are many in civil society organisations that are happy to engage - some prefer to stay out of the party politics or are required to do so (such as the political restrictions placed on charities). I would welcome less restrictions on the re-use of video footage of the House of Commons/House of Lords as it would allow stories about national democracy to be told in a different way.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In answer to question 13 the problem is that many elected representatives don't do this or their use is impacted by the filter bubble. I know of elected representatives in local government that delete their emails without having read them, whereas MPs have staff to deal with residents queries. Webcasting of public meetings in local government by both Wirral Metropolitan Borough Council and the Liverpool City Region Combined Authority has led to greater public engagement </w:t>
      </w:r>
    </w:p>
    <w:p w:rsidR="00FB0B24" w:rsidRPr="005B5CB6" w:rsidP="001512F6">
      <w:pPr>
        <w:spacing w:after="5" w:line="250" w:lineRule="auto"/>
        <w:ind w:left="433" w:right="11" w:hanging="8"/>
        <w:jc w:val="both"/>
        <w:rPr>
          <w:rFonts w:ascii="Verdana" w:hAnsi="Verdana"/>
        </w:rPr>
      </w:pPr>
      <w:r w:rsidRPr="005B5CB6">
        <w:rPr>
          <w:rFonts w:ascii="Verdana" w:eastAsia="Verdana" w:hAnsi="Verdana" w:cs="Verdana"/>
        </w:rPr>
        <w:t xml:space="preserve">(especially when meeting rooms are full because of a controversial issue). Both Parliament and Government in my opinion use technology far better than local government - both because it adopted technology at an earlier stage and it has the expertise to implement it and use it as well as the political will to want to improve. In local government technology is often purchased - then mothballed and left unused. There's a lack of understanding (although not as bad as it used to be) by local government politicians so they rely on senior managers for advice. The senior managers don't know so then expensive outside consultants are brought in so that the senior managers can take the credit for the consultant's advice and just repeat it to politicians. This approach however leads to skills gaps within local government at many levels as although senior managers due to their age often retire the ones who replace them often just appear to carry on the same approach and working practices.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In answer to question 14 - live webcasting of public meetings in local government, journalists live tweeting of public meetings, local government bodies engaging with their population on social media, standing agenda items at public </w:t>
      </w:r>
      <w:r w:rsidRPr="005B5CB6">
        <w:rPr>
          <w:rFonts w:ascii="Verdana" w:eastAsia="Verdana" w:hAnsi="Verdana" w:cs="Verdana"/>
        </w:rPr>
        <w:t xml:space="preserve">meetings for public participation when questions can be emailed in and public meetings held of House of Commons committees outside of London such as the recent one I attended in Liverpool.  </w:t>
      </w:r>
    </w:p>
    <w:p w:rsidR="00FB0B24" w:rsidRPr="005B5CB6" w:rsidP="001512F6">
      <w:pPr>
        <w:spacing w:after="0"/>
        <w:ind w:left="425"/>
        <w:jc w:val="both"/>
        <w:rPr>
          <w:rFonts w:ascii="Verdana" w:hAnsi="Verdana"/>
        </w:rPr>
      </w:pPr>
      <w:r w:rsidRPr="005B5CB6">
        <w:rPr>
          <w:rFonts w:ascii="Verdana" w:eastAsia="Verdana" w:hAnsi="Verdana" w:cs="Verdana"/>
        </w:rPr>
        <w:t xml:space="preserve"> </w:t>
      </w:r>
    </w:p>
    <w:p w:rsidR="00FB0B24" w:rsidRPr="005B5CB6" w:rsidP="001512F6">
      <w:pPr>
        <w:numPr>
          <w:ilvl w:val="0"/>
          <w:numId w:val="9"/>
        </w:numPr>
        <w:spacing w:after="5" w:line="250" w:lineRule="auto"/>
        <w:ind w:right="11" w:hanging="283"/>
        <w:jc w:val="both"/>
        <w:rPr>
          <w:rFonts w:ascii="Verdana" w:hAnsi="Verdana"/>
        </w:rPr>
      </w:pPr>
      <w:r w:rsidRPr="005B5CB6">
        <w:rPr>
          <w:rFonts w:ascii="Verdana" w:eastAsia="Verdana" w:hAnsi="Verdana" w:cs="Verdana"/>
        </w:rPr>
        <w:t xml:space="preserve">However the innovations in local government on technology and its impact on democracy appear to come mainly from how the House of Commons/House of Lords does something and copying it. This sometimes happens many decades though as the use of new technology often requires budgetary approval and the poltical will to implement it. Councillors haven't always been as a working culture </w:t>
      </w:r>
    </w:p>
    <w:p w:rsidR="00FB0B24" w:rsidRPr="005B5CB6" w:rsidP="001512F6">
      <w:pPr>
        <w:spacing w:after="5" w:line="250" w:lineRule="auto"/>
        <w:ind w:left="433" w:right="11" w:hanging="8"/>
        <w:jc w:val="both"/>
        <w:rPr>
          <w:rFonts w:ascii="Verdana" w:hAnsi="Verdana"/>
        </w:rPr>
      </w:pPr>
      <w:r w:rsidRPr="005B5CB6">
        <w:rPr>
          <w:rFonts w:ascii="Verdana" w:eastAsia="Verdana" w:hAnsi="Verdana" w:cs="Verdana"/>
        </w:rPr>
        <w:t xml:space="preserve">in favour of openness and transparency as it pertains to how they make decisions and who makes them in local government. This is in part because it makes it harder for councillors to "spin" to their own political party and residents what happened/what was decided when there is both video footage of a public meeting and also media coverage contradicting their personal viewpoint of events.  </w:t>
      </w:r>
    </w:p>
    <w:p w:rsidR="00FB0B24" w:rsidRPr="005B5CB6" w:rsidP="001512F6">
      <w:pPr>
        <w:jc w:val="both"/>
        <w:rPr>
          <w:rFonts w:ascii="Verdana" w:hAnsi="Verdana"/>
        </w:rPr>
        <w:sectPr w:rsidSect="00951A38">
          <w:headerReference w:type="even" r:id="rId36"/>
          <w:headerReference w:type="default" r:id="rId37"/>
          <w:footerReference w:type="even" r:id="rId38"/>
          <w:footerReference w:type="default" r:id="rId39"/>
          <w:headerReference w:type="first" r:id="rId40"/>
          <w:footerReference w:type="first" r:id="rId41"/>
          <w:pgSz w:w="11906" w:h="16838"/>
          <w:pgMar w:top="1185" w:right="1145" w:bottom="1800" w:left="1133" w:header="720" w:footer="1134" w:gutter="0"/>
          <w:cols w:space="720"/>
        </w:sectPr>
      </w:pPr>
    </w:p>
    <w:p w:rsidR="00FB0B24" w:rsidRPr="005B5CB6" w:rsidP="00A1624B">
      <w:pPr>
        <w:pStyle w:val="Heading1"/>
        <w:rPr>
          <w:sz w:val="22"/>
        </w:rPr>
      </w:pPr>
      <w:bookmarkStart w:id="8" w:name="_Toc44517696"/>
      <w:r w:rsidRPr="005B5CB6">
        <w:rPr>
          <w:sz w:val="22"/>
        </w:rPr>
        <w:t>Mr Roy Jakes – written evidence (DAD0010)</w:t>
      </w:r>
      <w:bookmarkEnd w:id="8"/>
      <w:r w:rsidRPr="005B5CB6">
        <w:rPr>
          <w:sz w:val="22"/>
        </w:rPr>
        <w:t xml:space="preserve"> </w:t>
      </w:r>
    </w:p>
    <w:p w:rsidR="00FB0B24" w:rsidRPr="005B5CB6" w:rsidP="003255A4">
      <w:pPr>
        <w:spacing w:after="266" w:line="250" w:lineRule="auto"/>
        <w:ind w:left="11" w:hanging="10"/>
        <w:jc w:val="both"/>
        <w:rPr>
          <w:rFonts w:ascii="Verdana" w:hAnsi="Verdana"/>
        </w:rPr>
      </w:pPr>
      <w:r w:rsidRPr="005B5CB6">
        <w:rPr>
          <w:rFonts w:ascii="Verdana" w:eastAsia="Verdana" w:hAnsi="Verdana" w:cs="Verdana"/>
          <w:b/>
        </w:rPr>
        <w:t xml:space="preserve">General </w:t>
      </w:r>
      <w:r w:rsidRPr="005B5CB6">
        <w:rPr>
          <w:rFonts w:ascii="Verdana" w:eastAsia="Verdana" w:hAnsi="Verdana" w:cs="Verdana"/>
        </w:rPr>
        <w:t xml:space="preserve"> </w:t>
      </w:r>
    </w:p>
    <w:p w:rsidR="00FB0B24" w:rsidRPr="005B5CB6" w:rsidP="003255A4">
      <w:pPr>
        <w:numPr>
          <w:ilvl w:val="0"/>
          <w:numId w:val="10"/>
        </w:numPr>
        <w:spacing w:after="270" w:line="250" w:lineRule="auto"/>
        <w:ind w:right="11" w:hanging="360"/>
        <w:jc w:val="both"/>
        <w:rPr>
          <w:rFonts w:ascii="Verdana" w:hAnsi="Verdana"/>
        </w:rPr>
      </w:pPr>
      <w:r w:rsidRPr="005B5CB6">
        <w:rPr>
          <w:rFonts w:ascii="Verdana" w:eastAsia="Verdana" w:hAnsi="Verdana" w:cs="Verdana"/>
        </w:rPr>
        <w:t xml:space="preserve">How has digital technology changed the way that democracy works in the UK and has this been a net positive or negative effect?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The parliamentary website and others have made the work done by parliament and MP’s more transparent. Positive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Surveys and information can be obtained directly from individuals and organisations. Positive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Individuals can directly contact MP’s and government directly.  When used with positive intent this is very positive. However it is constantly misused resulting in a reluctance for individuals to take up the opportunity to serve as representatives or even as civil servants. Somehow the correspondence to/from public servants should be mediated (as per a secretary when it was by letter) and racial or threatening correspondence acted upon. </w:t>
      </w:r>
    </w:p>
    <w:p w:rsidR="00FB0B24" w:rsidRPr="005B5CB6" w:rsidP="003255A4">
      <w:pPr>
        <w:numPr>
          <w:ilvl w:val="0"/>
          <w:numId w:val="10"/>
        </w:numPr>
        <w:spacing w:after="270" w:line="250" w:lineRule="auto"/>
        <w:ind w:right="11" w:hanging="360"/>
        <w:jc w:val="both"/>
        <w:rPr>
          <w:rFonts w:ascii="Verdana" w:hAnsi="Verdana"/>
        </w:rPr>
      </w:pPr>
      <w:r w:rsidRPr="005B5CB6">
        <w:rPr>
          <w:rFonts w:ascii="Verdana" w:eastAsia="Verdana" w:hAnsi="Verdana" w:cs="Verdana"/>
        </w:rPr>
        <w:t xml:space="preserve">How have the design of algorithms used by social media platforms shaped democratic debate? To what extent should there be greater accountability for the design of these algorithms?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The ability of media platforms to serve up materials based on online activity drives people to the extremes, ie they are delivered material, not always or even usually true, based ob their views only confirms those views, not question them. Liberal thinking, ie the listening to alternative views and not sticking to one viewpoint, is be driven out.    In some ways this is the same as newspapers however with newspapers you know what you are buying, with digital media sources are hidden.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The ability of media platforms to target individuals with advertising based on on-line activity is known. If this technology was invested in to seek out violent, extremist and illegal activities, it would reduce the negative impact of the current digital media. There should be legislation to ensure this. </w:t>
      </w:r>
    </w:p>
    <w:p w:rsidR="00FB0B24" w:rsidRPr="005B5CB6" w:rsidP="003255A4">
      <w:pPr>
        <w:spacing w:after="266" w:line="250" w:lineRule="auto"/>
        <w:ind w:left="11" w:hanging="10"/>
        <w:jc w:val="both"/>
        <w:rPr>
          <w:rFonts w:ascii="Verdana" w:hAnsi="Verdana"/>
        </w:rPr>
      </w:pPr>
      <w:r w:rsidRPr="005B5CB6">
        <w:rPr>
          <w:rFonts w:ascii="Verdana" w:eastAsia="Verdana" w:hAnsi="Verdana" w:cs="Verdana"/>
          <w:b/>
        </w:rPr>
        <w:t xml:space="preserve">Education </w:t>
      </w:r>
      <w:r w:rsidRPr="005B5CB6">
        <w:rPr>
          <w:rFonts w:ascii="Verdana" w:eastAsia="Verdana" w:hAnsi="Verdana" w:cs="Verdana"/>
        </w:rPr>
        <w:t xml:space="preserve"> </w:t>
      </w:r>
    </w:p>
    <w:p w:rsidR="00FB0B24" w:rsidRPr="005B5CB6" w:rsidP="003255A4">
      <w:pPr>
        <w:numPr>
          <w:ilvl w:val="0"/>
          <w:numId w:val="10"/>
        </w:numPr>
        <w:spacing w:after="272" w:line="250" w:lineRule="auto"/>
        <w:ind w:right="11" w:hanging="360"/>
        <w:jc w:val="both"/>
        <w:rPr>
          <w:rFonts w:ascii="Verdana" w:hAnsi="Verdana"/>
        </w:rPr>
      </w:pPr>
      <w:r w:rsidRPr="005B5CB6">
        <w:rPr>
          <w:rFonts w:ascii="Verdana" w:eastAsia="Verdana" w:hAnsi="Verdana" w:cs="Verdana"/>
        </w:rPr>
        <w:t xml:space="preserve">What role should every stage of education play in helping to create a healthy, active, digitally literate democracy?  </w:t>
      </w:r>
    </w:p>
    <w:p w:rsidR="00FB0B24" w:rsidRPr="005B5CB6" w:rsidP="003255A4">
      <w:pPr>
        <w:spacing w:after="266" w:line="250" w:lineRule="auto"/>
        <w:ind w:left="11" w:hanging="10"/>
        <w:jc w:val="both"/>
        <w:rPr>
          <w:rFonts w:ascii="Verdana" w:hAnsi="Verdana"/>
        </w:rPr>
      </w:pPr>
      <w:r w:rsidRPr="005B5CB6">
        <w:rPr>
          <w:rFonts w:ascii="Verdana" w:eastAsia="Verdana" w:hAnsi="Verdana" w:cs="Verdana"/>
          <w:b/>
        </w:rPr>
        <w:t xml:space="preserve">Online campaigning </w:t>
      </w:r>
      <w:r w:rsidRPr="005B5CB6">
        <w:rPr>
          <w:rFonts w:ascii="Verdana" w:eastAsia="Verdana" w:hAnsi="Verdana" w:cs="Verdana"/>
        </w:rPr>
        <w:t xml:space="preserve"> </w:t>
      </w:r>
    </w:p>
    <w:p w:rsidR="00FB0B24" w:rsidRPr="005B5CB6" w:rsidP="003255A4">
      <w:pPr>
        <w:numPr>
          <w:ilvl w:val="0"/>
          <w:numId w:val="10"/>
        </w:numPr>
        <w:spacing w:after="5" w:line="250" w:lineRule="auto"/>
        <w:ind w:right="11" w:hanging="360"/>
        <w:jc w:val="both"/>
        <w:rPr>
          <w:rFonts w:ascii="Verdana" w:hAnsi="Verdana"/>
        </w:rPr>
      </w:pPr>
      <w:r w:rsidRPr="005B5CB6">
        <w:rPr>
          <w:rFonts w:ascii="Verdana" w:eastAsia="Verdana" w:hAnsi="Verdana" w:cs="Verdana"/>
        </w:rPr>
        <w:t xml:space="preserve">Would greater transparency in the online spending and campaigning of political groups improve the electoral process in the </w:t>
      </w:r>
    </w:p>
    <w:p w:rsidR="00FB0B24" w:rsidRPr="005B5CB6" w:rsidP="003255A4">
      <w:pPr>
        <w:spacing w:after="270" w:line="250" w:lineRule="auto"/>
        <w:ind w:left="728" w:right="11" w:hanging="8"/>
        <w:jc w:val="both"/>
        <w:rPr>
          <w:rFonts w:ascii="Verdana" w:hAnsi="Verdana"/>
        </w:rPr>
      </w:pPr>
      <w:r w:rsidRPr="005B5CB6">
        <w:rPr>
          <w:rFonts w:ascii="Verdana" w:eastAsia="Verdana" w:hAnsi="Verdana" w:cs="Verdana"/>
        </w:rPr>
        <w:t xml:space="preserve">UK by ensuring accountability, and if so what should this transparency look like?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As a very minimum the source should be made very clear i.e. as per TV ads during the champagne, ‘this is a message from the xxxx party’. </w:t>
      </w:r>
    </w:p>
    <w:p w:rsidR="00FB0B24" w:rsidRPr="005B5CB6" w:rsidP="003255A4">
      <w:pPr>
        <w:numPr>
          <w:ilvl w:val="0"/>
          <w:numId w:val="10"/>
        </w:numPr>
        <w:spacing w:after="270" w:line="250" w:lineRule="auto"/>
        <w:ind w:right="11" w:hanging="360"/>
        <w:jc w:val="both"/>
        <w:rPr>
          <w:rFonts w:ascii="Verdana" w:hAnsi="Verdana"/>
        </w:rPr>
      </w:pPr>
      <w:r w:rsidRPr="005B5CB6">
        <w:rPr>
          <w:rFonts w:ascii="Verdana" w:eastAsia="Verdana" w:hAnsi="Verdana" w:cs="Verdana"/>
        </w:rPr>
        <w:t xml:space="preserve">What effect does online-targeted advertising have on the political process, and what effects could it have in the future? Should there be additional regulation of political advertising?  </w:t>
      </w:r>
    </w:p>
    <w:p w:rsidR="00FB0B24" w:rsidRPr="005B5CB6" w:rsidP="003255A4">
      <w:pPr>
        <w:spacing w:after="273" w:line="249" w:lineRule="auto"/>
        <w:ind w:left="731" w:hanging="10"/>
        <w:jc w:val="both"/>
        <w:rPr>
          <w:rFonts w:ascii="Verdana" w:hAnsi="Verdana"/>
        </w:rPr>
      </w:pPr>
      <w:r w:rsidRPr="005B5CB6">
        <w:rPr>
          <w:rFonts w:ascii="Verdana" w:eastAsia="Verdana" w:hAnsi="Verdana" w:cs="Verdana"/>
          <w:i/>
        </w:rPr>
        <w:t xml:space="preserve">It is difficult to separate someone’s view from advertising. Again some form of source transparency is required i.e. ‘paid for by….’ or the name of the source plus background for editorial items i.e., written by xxx who is editorial editor for ….’ </w:t>
      </w:r>
    </w:p>
    <w:p w:rsidR="00FB0B24" w:rsidRPr="005B5CB6" w:rsidP="003255A4">
      <w:pPr>
        <w:spacing w:after="266" w:line="250" w:lineRule="auto"/>
        <w:ind w:left="11" w:hanging="10"/>
        <w:jc w:val="both"/>
        <w:rPr>
          <w:rFonts w:ascii="Verdana" w:hAnsi="Verdana"/>
        </w:rPr>
      </w:pPr>
      <w:r w:rsidRPr="005B5CB6">
        <w:rPr>
          <w:rFonts w:ascii="Verdana" w:eastAsia="Verdana" w:hAnsi="Verdana" w:cs="Verdana"/>
          <w:b/>
        </w:rPr>
        <w:t xml:space="preserve">Privacy and anonymity </w:t>
      </w:r>
      <w:r w:rsidRPr="005B5CB6">
        <w:rPr>
          <w:rFonts w:ascii="Verdana" w:eastAsia="Verdana" w:hAnsi="Verdana" w:cs="Verdana"/>
        </w:rPr>
        <w:t xml:space="preserve"> </w:t>
      </w:r>
    </w:p>
    <w:p w:rsidR="00FB0B24" w:rsidRPr="005B5CB6" w:rsidP="003255A4">
      <w:pPr>
        <w:numPr>
          <w:ilvl w:val="0"/>
          <w:numId w:val="10"/>
        </w:numPr>
        <w:spacing w:after="270" w:line="249" w:lineRule="auto"/>
        <w:ind w:right="11" w:hanging="360"/>
        <w:jc w:val="both"/>
        <w:rPr>
          <w:rFonts w:ascii="Verdana" w:hAnsi="Verdana"/>
        </w:rPr>
      </w:pPr>
      <w:r w:rsidRPr="005B5CB6">
        <w:rPr>
          <w:rFonts w:ascii="Verdana" w:eastAsia="Verdana" w:hAnsi="Verdana" w:cs="Verdana"/>
        </w:rPr>
        <w:t xml:space="preserve">To what extent does increasing use of encrypted messaging and private groups present a challenge to the democratic process?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Constantly allows a person to bypass the checks and avoid the law when illegal activity takes place. Again interception and monitoring of encrypted messages should be allowed if illegal activity is understood to be taking place (on similar basis as the ability to search a property. </w:t>
      </w:r>
    </w:p>
    <w:p w:rsidR="00FB0B24" w:rsidRPr="005B5CB6" w:rsidP="003255A4">
      <w:pPr>
        <w:numPr>
          <w:ilvl w:val="0"/>
          <w:numId w:val="10"/>
        </w:numPr>
        <w:spacing w:after="270" w:line="250" w:lineRule="auto"/>
        <w:ind w:right="11" w:hanging="360"/>
        <w:jc w:val="both"/>
        <w:rPr>
          <w:rFonts w:ascii="Verdana" w:hAnsi="Verdana"/>
        </w:rPr>
      </w:pPr>
      <w:r w:rsidRPr="005B5CB6">
        <w:rPr>
          <w:rFonts w:ascii="Verdana" w:eastAsia="Verdana" w:hAnsi="Verdana" w:cs="Verdana"/>
        </w:rPr>
        <w:t xml:space="preserve">What are the positive or negative effects of anonymity on online democratic discourse?  </w:t>
      </w:r>
    </w:p>
    <w:p w:rsidR="00FB0B24" w:rsidRPr="005B5CB6" w:rsidP="003255A4">
      <w:pPr>
        <w:spacing w:after="273" w:line="249" w:lineRule="auto"/>
        <w:ind w:left="730" w:hanging="10"/>
        <w:jc w:val="both"/>
        <w:rPr>
          <w:rFonts w:ascii="Verdana" w:hAnsi="Verdana"/>
        </w:rPr>
      </w:pPr>
      <w:r w:rsidRPr="005B5CB6">
        <w:rPr>
          <w:rFonts w:ascii="Verdana" w:eastAsia="Verdana" w:hAnsi="Verdana" w:cs="Verdana"/>
          <w:i/>
        </w:rPr>
        <w:t xml:space="preserve">The only reason for requiring this is to spot reprisals, and it should be minimised. This is as per the other media not revealing sources. We should work towards transparency to enable understanding of who is taking responsibility for a statement. </w:t>
      </w:r>
    </w:p>
    <w:p w:rsidR="00FB0B24" w:rsidRPr="005B5CB6" w:rsidP="003255A4">
      <w:pPr>
        <w:spacing w:after="266" w:line="250" w:lineRule="auto"/>
        <w:ind w:left="11" w:hanging="10"/>
        <w:jc w:val="both"/>
        <w:rPr>
          <w:rFonts w:ascii="Verdana" w:hAnsi="Verdana"/>
        </w:rPr>
      </w:pPr>
      <w:r w:rsidRPr="005B5CB6">
        <w:rPr>
          <w:rFonts w:ascii="Verdana" w:eastAsia="Verdana" w:hAnsi="Verdana" w:cs="Verdana"/>
          <w:b/>
        </w:rPr>
        <w:t xml:space="preserve">Democratic debate </w:t>
      </w:r>
      <w:r w:rsidRPr="005B5CB6">
        <w:rPr>
          <w:rFonts w:ascii="Verdana" w:eastAsia="Verdana" w:hAnsi="Verdana" w:cs="Verdana"/>
        </w:rPr>
        <w:t xml:space="preserve"> </w:t>
      </w:r>
    </w:p>
    <w:p w:rsidR="00FB0B24" w:rsidRPr="005B5CB6" w:rsidP="003255A4">
      <w:pPr>
        <w:numPr>
          <w:ilvl w:val="0"/>
          <w:numId w:val="10"/>
        </w:numPr>
        <w:spacing w:after="270" w:line="250" w:lineRule="auto"/>
        <w:ind w:right="11" w:hanging="360"/>
        <w:jc w:val="both"/>
        <w:rPr>
          <w:rFonts w:ascii="Verdana" w:hAnsi="Verdana"/>
        </w:rPr>
      </w:pPr>
      <w:r w:rsidRPr="005B5CB6">
        <w:rPr>
          <w:rFonts w:ascii="Verdana" w:eastAsia="Verdana" w:hAnsi="Verdana" w:cs="Verdana"/>
        </w:rPr>
        <w:t xml:space="preserve">To what extent does social media negatively shape public debate, either through encouraging polarisation or through abuse deterring individuals from engaging in public life?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I believe it plays a massive role in both due to the algorithms used by various platforms to deliver what they think you want to hear, to enable people to contact public servants without any responsibility for their words and anonymously. Both should be mediated and if illegal (threats, racist, etc.) either filtered out by the platform and where appropriate, prosecuted </w:t>
      </w:r>
    </w:p>
    <w:p w:rsidR="00FB0B24" w:rsidRPr="005B5CB6" w:rsidP="003255A4">
      <w:pPr>
        <w:spacing w:after="270" w:line="250" w:lineRule="auto"/>
        <w:ind w:left="23" w:right="11" w:hanging="8"/>
        <w:jc w:val="both"/>
        <w:rPr>
          <w:rFonts w:ascii="Verdana" w:hAnsi="Verdana"/>
        </w:rPr>
      </w:pPr>
      <w:r w:rsidRPr="005B5CB6">
        <w:rPr>
          <w:rFonts w:ascii="Verdana" w:eastAsia="Verdana" w:hAnsi="Verdana" w:cs="Verdana"/>
        </w:rPr>
        <w:t xml:space="preserve">9  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I do believe this is happening as per propaganda in Nazi Germany in the 30’s and indeed throughout history. Can you stop it, with difficulty?  MP’s are playing loose and loose with facts need to be called if trust in democracy is to be fully restored. However attributing items to their source would help. </w:t>
      </w:r>
    </w:p>
    <w:p w:rsidR="00FB0B24" w:rsidRPr="005B5CB6" w:rsidP="003255A4">
      <w:pPr>
        <w:spacing w:after="266" w:line="250" w:lineRule="auto"/>
        <w:ind w:left="11" w:hanging="10"/>
        <w:jc w:val="both"/>
        <w:rPr>
          <w:rFonts w:ascii="Verdana" w:hAnsi="Verdana"/>
        </w:rPr>
      </w:pPr>
      <w:r w:rsidRPr="005B5CB6">
        <w:rPr>
          <w:rFonts w:ascii="Verdana" w:eastAsia="Verdana" w:hAnsi="Verdana" w:cs="Verdana"/>
          <w:b/>
        </w:rPr>
        <w:t xml:space="preserve">Misinformation </w:t>
      </w:r>
      <w:r w:rsidRPr="005B5CB6">
        <w:rPr>
          <w:rFonts w:ascii="Verdana" w:eastAsia="Verdana" w:hAnsi="Verdana" w:cs="Verdana"/>
        </w:rPr>
        <w:t xml:space="preserve"> </w:t>
      </w:r>
    </w:p>
    <w:p w:rsidR="00FB0B24" w:rsidRPr="005B5CB6" w:rsidP="003255A4">
      <w:pPr>
        <w:spacing w:after="270" w:line="250" w:lineRule="auto"/>
        <w:ind w:left="721" w:right="11" w:hanging="360"/>
        <w:jc w:val="both"/>
        <w:rPr>
          <w:rFonts w:ascii="Verdana" w:hAnsi="Verdana"/>
        </w:rPr>
      </w:pPr>
      <w:r w:rsidRPr="005B5CB6">
        <w:rPr>
          <w:rFonts w:ascii="Verdana" w:eastAsia="Verdana" w:hAnsi="Verdana" w:cs="Verdana"/>
        </w:rPr>
        <w:t>9.</w:t>
      </w:r>
      <w:r w:rsidRPr="005B5CB6">
        <w:rPr>
          <w:rFonts w:ascii="Verdana" w:eastAsia="Arial" w:hAnsi="Verdana" w:cs="Arial"/>
        </w:rPr>
        <w:t xml:space="preserve"> </w:t>
      </w:r>
      <w:r w:rsidRPr="005B5CB6">
        <w:rPr>
          <w:rFonts w:ascii="Verdana" w:eastAsia="Verdana" w:hAnsi="Verdana" w:cs="Verdana"/>
        </w:rPr>
        <w:t xml:space="preserve">What might be the best ways of reducing the effects of misinformation on social media platforms?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Source transparent (author, source of data, background of author, paid for by… </w:t>
      </w:r>
    </w:p>
    <w:p w:rsidR="00FB0B24" w:rsidRPr="005B5CB6" w:rsidP="003255A4">
      <w:pPr>
        <w:spacing w:after="266" w:line="250" w:lineRule="auto"/>
        <w:ind w:left="11" w:hanging="10"/>
        <w:jc w:val="both"/>
        <w:rPr>
          <w:rFonts w:ascii="Verdana" w:hAnsi="Verdana"/>
        </w:rPr>
      </w:pPr>
      <w:r w:rsidRPr="005B5CB6">
        <w:rPr>
          <w:rFonts w:ascii="Verdana" w:eastAsia="Verdana" w:hAnsi="Verdana" w:cs="Verdana"/>
          <w:b/>
        </w:rPr>
        <w:t xml:space="preserve">Moderation </w:t>
      </w:r>
      <w:r w:rsidRPr="005B5CB6">
        <w:rPr>
          <w:rFonts w:ascii="Verdana" w:eastAsia="Verdana" w:hAnsi="Verdana" w:cs="Verdana"/>
        </w:rPr>
        <w:t xml:space="preserve"> </w:t>
      </w:r>
    </w:p>
    <w:p w:rsidR="00FB0B24" w:rsidRPr="005B5CB6" w:rsidP="003255A4">
      <w:pPr>
        <w:spacing w:after="270" w:line="250" w:lineRule="auto"/>
        <w:ind w:left="23" w:right="11" w:hanging="8"/>
        <w:jc w:val="both"/>
        <w:rPr>
          <w:rFonts w:ascii="Verdana" w:hAnsi="Verdana"/>
        </w:rPr>
      </w:pPr>
      <w:r w:rsidRPr="005B5CB6">
        <w:rPr>
          <w:rFonts w:ascii="Verdana" w:eastAsia="Verdana" w:hAnsi="Verdana" w:cs="Verdana"/>
        </w:rPr>
        <w:t xml:space="preserve">11. How could the moderation processes of large technology companies be improved to better tackle abuse and misinformation, as well as helping public debate flourish?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If they can target individuals with specific ad’s, they could spend money building algorithms to moderate abuse, misinformation and illegal activity. They, like newspapers, could/should set up specific mediated forums for discussions of specific topics. </w:t>
      </w:r>
    </w:p>
    <w:p w:rsidR="00FB0B24" w:rsidRPr="005B5CB6" w:rsidP="003255A4">
      <w:pPr>
        <w:spacing w:after="268" w:line="250" w:lineRule="auto"/>
        <w:ind w:left="11" w:hanging="10"/>
        <w:jc w:val="both"/>
        <w:rPr>
          <w:rFonts w:ascii="Verdana" w:hAnsi="Verdana"/>
        </w:rPr>
      </w:pPr>
      <w:r w:rsidRPr="005B5CB6">
        <w:rPr>
          <w:rFonts w:ascii="Verdana" w:eastAsia="Verdana" w:hAnsi="Verdana" w:cs="Verdana"/>
          <w:b/>
        </w:rPr>
        <w:t xml:space="preserve">Technology and democratic engagement </w:t>
      </w:r>
      <w:r w:rsidRPr="005B5CB6">
        <w:rPr>
          <w:rFonts w:ascii="Verdana" w:eastAsia="Verdana" w:hAnsi="Verdana" w:cs="Verdana"/>
        </w:rPr>
        <w:t xml:space="preserve"> </w:t>
      </w:r>
    </w:p>
    <w:p w:rsidR="00FB0B24" w:rsidRPr="005B5CB6" w:rsidP="003255A4">
      <w:pPr>
        <w:spacing w:after="270" w:line="250" w:lineRule="auto"/>
        <w:ind w:left="721" w:right="11" w:hanging="360"/>
        <w:jc w:val="both"/>
        <w:rPr>
          <w:rFonts w:ascii="Verdana" w:hAnsi="Verdana"/>
        </w:rPr>
      </w:pPr>
      <w:r w:rsidRPr="005B5CB6">
        <w:rPr>
          <w:rFonts w:ascii="Verdana" w:eastAsia="Verdana" w:hAnsi="Verdana" w:cs="Verdana"/>
        </w:rPr>
        <w:t xml:space="preserve">12.How could the Government better support the positive work of civil society organisations using technology to facilitate engagement with democratic processes?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More education in schools, and ensuring officials and public servant visit and talk to kids early in life. </w:t>
      </w:r>
    </w:p>
    <w:p w:rsidR="00FB0B24" w:rsidRPr="005B5CB6" w:rsidP="003255A4">
      <w:pPr>
        <w:spacing w:after="270" w:line="250" w:lineRule="auto"/>
        <w:ind w:left="721" w:right="11" w:hanging="360"/>
        <w:jc w:val="both"/>
        <w:rPr>
          <w:rFonts w:ascii="Verdana" w:hAnsi="Verdana"/>
        </w:rPr>
      </w:pPr>
      <w:r w:rsidRPr="005B5CB6">
        <w:rPr>
          <w:rFonts w:ascii="Verdana" w:eastAsia="Verdana" w:hAnsi="Verdana" w:cs="Verdana"/>
        </w:rPr>
        <w:t xml:space="preserve">13.How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Produce an app for each and every MP to use ensuring consistency and education for them.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Use technology in parliament to save time, modernise process, give transparency and show that parliament in in the 21’st century.  </w:t>
      </w:r>
    </w:p>
    <w:p w:rsidR="00FB0B24" w:rsidRPr="005B5CB6" w:rsidP="003255A4">
      <w:pPr>
        <w:spacing w:after="5" w:line="250" w:lineRule="auto"/>
        <w:ind w:left="721" w:right="11" w:hanging="360"/>
        <w:jc w:val="both"/>
        <w:rPr>
          <w:rFonts w:ascii="Verdana" w:hAnsi="Verdana"/>
        </w:rPr>
      </w:pPr>
      <w:r w:rsidRPr="005B5CB6">
        <w:rPr>
          <w:rFonts w:ascii="Verdana" w:eastAsia="Verdana" w:hAnsi="Verdana" w:cs="Verdana"/>
        </w:rPr>
        <w:t xml:space="preserve">14.What positive examples are there of technology being used to enhance democracy?  </w:t>
      </w:r>
    </w:p>
    <w:p w:rsidR="00FB0B24" w:rsidRPr="005B5CB6" w:rsidP="003255A4">
      <w:pPr>
        <w:spacing w:after="270" w:line="249" w:lineRule="auto"/>
        <w:ind w:left="730" w:hanging="10"/>
        <w:jc w:val="both"/>
        <w:rPr>
          <w:rFonts w:ascii="Verdana" w:hAnsi="Verdana"/>
        </w:rPr>
      </w:pPr>
      <w:r w:rsidRPr="005B5CB6">
        <w:rPr>
          <w:rFonts w:ascii="Verdana" w:eastAsia="Verdana" w:hAnsi="Verdana" w:cs="Verdana"/>
          <w:i/>
        </w:rPr>
        <w:t xml:space="preserve">This use of questionnaires for obtaining public vies. However needs improved follow up. </w:t>
      </w:r>
    </w:p>
    <w:p w:rsidR="00FB0B24" w:rsidRPr="005B5CB6" w:rsidP="003255A4">
      <w:pPr>
        <w:spacing w:after="268" w:line="249" w:lineRule="auto"/>
        <w:ind w:left="730" w:hanging="10"/>
        <w:jc w:val="both"/>
        <w:rPr>
          <w:rFonts w:ascii="Verdana" w:hAnsi="Verdana"/>
        </w:rPr>
      </w:pPr>
      <w:r w:rsidRPr="005B5CB6">
        <w:rPr>
          <w:rFonts w:ascii="Verdana" w:eastAsia="Verdana" w:hAnsi="Verdana" w:cs="Verdana"/>
          <w:i/>
        </w:rPr>
        <w:t xml:space="preserve">My MP has web site and tweets etc.  Improves visibility. </w:t>
      </w:r>
    </w:p>
    <w:p w:rsidR="00FB0B24" w:rsidRPr="005B5CB6" w:rsidP="003255A4">
      <w:pPr>
        <w:spacing w:after="257"/>
        <w:ind w:left="720"/>
        <w:jc w:val="both"/>
        <w:rPr>
          <w:rFonts w:ascii="Verdana" w:hAnsi="Verdana"/>
        </w:rPr>
      </w:pPr>
      <w:r w:rsidRPr="005B5CB6">
        <w:rPr>
          <w:rFonts w:ascii="Verdana" w:eastAsia="Verdana" w:hAnsi="Verdana" w:cs="Verdana"/>
        </w:rPr>
        <w:t xml:space="preserve">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jc w:val="both"/>
        <w:rPr>
          <w:rFonts w:ascii="Verdana" w:hAnsi="Verdana"/>
        </w:rPr>
        <w:sectPr w:rsidSect="00951A38">
          <w:headerReference w:type="even" r:id="rId42"/>
          <w:headerReference w:type="default" r:id="rId43"/>
          <w:footerReference w:type="even" r:id="rId44"/>
          <w:footerReference w:type="default" r:id="rId45"/>
          <w:headerReference w:type="first" r:id="rId46"/>
          <w:footerReference w:type="first" r:id="rId47"/>
          <w:pgSz w:w="11899" w:h="16841"/>
          <w:pgMar w:top="1492" w:right="1830" w:bottom="1835" w:left="1800" w:header="720" w:footer="708" w:gutter="0"/>
          <w:cols w:space="720"/>
        </w:sectPr>
      </w:pPr>
    </w:p>
    <w:p w:rsidR="00FB0B24" w:rsidRPr="005B5CB6" w:rsidP="00A1624B">
      <w:pPr>
        <w:pStyle w:val="Heading1"/>
        <w:rPr>
          <w:sz w:val="22"/>
        </w:rPr>
      </w:pPr>
      <w:bookmarkStart w:id="9" w:name="_Toc44517697"/>
      <w:r w:rsidRPr="005B5CB6">
        <w:rPr>
          <w:sz w:val="22"/>
        </w:rPr>
        <w:t>Bethany Shiner – written evidence (DAD0013)</w:t>
      </w:r>
      <w:bookmarkEnd w:id="9"/>
      <w:r w:rsidRPr="005B5CB6">
        <w:rPr>
          <w:sz w:val="22"/>
        </w:rPr>
        <w:t xml:space="preserve"> </w:t>
      </w:r>
    </w:p>
    <w:p w:rsidR="00FB0B24" w:rsidRPr="005B5CB6" w:rsidP="003255A4">
      <w:pPr>
        <w:spacing w:after="0"/>
        <w:ind w:left="67"/>
        <w:jc w:val="both"/>
        <w:rPr>
          <w:rFonts w:ascii="Verdana" w:hAnsi="Verdana"/>
        </w:rPr>
      </w:pPr>
      <w:r w:rsidRPr="005B5CB6">
        <w:rPr>
          <w:rFonts w:ascii="Verdana" w:eastAsia="Verdana" w:hAnsi="Verdana" w:cs="Verdana"/>
          <w:b/>
        </w:rPr>
        <w:t xml:space="preserve">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502" w:right="12" w:hanging="360"/>
        <w:jc w:val="both"/>
        <w:rPr>
          <w:rFonts w:ascii="Verdana" w:hAnsi="Verdana"/>
        </w:rPr>
      </w:pPr>
      <w:r w:rsidRPr="005B5CB6">
        <w:rPr>
          <w:rFonts w:ascii="Verdana" w:eastAsia="Verdana" w:hAnsi="Verdana" w:cs="Verdana"/>
        </w:rPr>
        <w:t>1.</w:t>
      </w:r>
      <w:r w:rsidRPr="005B5CB6">
        <w:rPr>
          <w:rFonts w:ascii="Verdana" w:eastAsia="Arial" w:hAnsi="Verdana" w:cs="Arial"/>
        </w:rPr>
        <w:t xml:space="preserve"> </w:t>
      </w:r>
      <w:r w:rsidRPr="005B5CB6">
        <w:rPr>
          <w:rFonts w:ascii="Verdana" w:eastAsia="Verdana" w:hAnsi="Verdana" w:cs="Verdana"/>
        </w:rPr>
        <w:t>This evidence is submitted in my capacity as Lecturer in Law at Middlesex University, London. I have previously published research on how overlapping areas of the law apply to micro-targeted political campaign material</w:t>
      </w:r>
      <w:r>
        <w:rPr>
          <w:rFonts w:ascii="Verdana" w:eastAsia="Verdana" w:hAnsi="Verdana" w:cs="Verdana"/>
          <w:vertAlign w:val="superscript"/>
        </w:rPr>
        <w:footnoteReference w:id="2"/>
      </w:r>
      <w:r w:rsidRPr="005B5CB6">
        <w:rPr>
          <w:rFonts w:ascii="Verdana" w:eastAsia="Verdana" w:hAnsi="Verdana" w:cs="Verdana"/>
        </w:rPr>
        <w:t xml:space="preserve"> which I hope will address some of the Committee’s questions and provide some background information about the issues associated with micro-targeting. I have responded to the numbered questions below.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pStyle w:val="Heading2"/>
        <w:rPr>
          <w:sz w:val="22"/>
        </w:rPr>
      </w:pPr>
      <w:r w:rsidRPr="005B5CB6">
        <w:rPr>
          <w:sz w:val="22"/>
          <w:u w:val="single" w:color="000000"/>
        </w:rPr>
        <w:t>Summary</w:t>
      </w:r>
      <w:r w:rsidRPr="005B5CB6">
        <w:rPr>
          <w:sz w:val="22"/>
        </w:rPr>
        <w:t xml:space="preserve"> </w:t>
      </w:r>
    </w:p>
    <w:p w:rsidR="00FB0B24" w:rsidRPr="005B5CB6" w:rsidP="003255A4">
      <w:pPr>
        <w:numPr>
          <w:ilvl w:val="0"/>
          <w:numId w:val="11"/>
        </w:numPr>
        <w:spacing w:after="5" w:line="249" w:lineRule="auto"/>
        <w:ind w:right="12" w:hanging="360"/>
        <w:jc w:val="both"/>
        <w:rPr>
          <w:rFonts w:ascii="Verdana" w:hAnsi="Verdana"/>
        </w:rPr>
      </w:pPr>
      <w:r w:rsidRPr="005B5CB6">
        <w:rPr>
          <w:rFonts w:ascii="Verdana" w:eastAsia="Verdana" w:hAnsi="Verdana" w:cs="Verdana"/>
        </w:rPr>
        <w:t xml:space="preserve">Legislative reform must be made with core principals such as fairness, reasonableness and electoral integrity in mind. Reforms must also be compatible with the European Convention on Human Rights (ECHR) which includes the right to freedom of expression (Article 10 ECHR) and the right to freedom of thought (Article 9 ECHR). Furthermore, ad hoc reforms may not address the central issue which is the widespread deceptive use of data and the obfuscation of electoral law and direct marketing regulations to steer people’s democratic decision-making in the context of high disenfranchisement and low political participation. </w:t>
      </w:r>
    </w:p>
    <w:p w:rsidR="00FB0B24" w:rsidRPr="005B5CB6" w:rsidP="003255A4">
      <w:pPr>
        <w:numPr>
          <w:ilvl w:val="0"/>
          <w:numId w:val="11"/>
        </w:numPr>
        <w:spacing w:after="5" w:line="249" w:lineRule="auto"/>
        <w:ind w:right="12" w:hanging="360"/>
        <w:jc w:val="both"/>
        <w:rPr>
          <w:rFonts w:ascii="Verdana" w:hAnsi="Verdana"/>
        </w:rPr>
      </w:pPr>
      <w:r w:rsidRPr="005B5CB6">
        <w:rPr>
          <w:rFonts w:ascii="Verdana" w:eastAsia="Verdana" w:hAnsi="Verdana" w:cs="Verdana"/>
        </w:rPr>
        <w:t xml:space="preserve">There is a risk of introducing ‘quick fix’ reforms which actually suppress political expression online. Article 10 ECHR is a qualified right meaning the law can limit or interfere with the exercise of the right but the grounds on which the law may do so need to be balanced against the necessity and aim of the law (protecting democratic engagement; limiting the spread of misinformation and disinformation; preserving election integrity) and need to be proportionate to that aim (including how it may be balanced against other rights). As such, reforms that block advertisements based on their </w:t>
      </w:r>
      <w:r w:rsidRPr="005B5CB6">
        <w:rPr>
          <w:rFonts w:ascii="Verdana" w:eastAsia="Verdana" w:hAnsi="Verdana" w:cs="Verdana"/>
          <w:i/>
        </w:rPr>
        <w:t>content</w:t>
      </w:r>
      <w:r w:rsidRPr="005B5CB6">
        <w:rPr>
          <w:rFonts w:ascii="Verdana" w:eastAsia="Verdana" w:hAnsi="Verdana" w:cs="Verdana"/>
        </w:rPr>
        <w:t xml:space="preserve"> or block certain human social media accounts might not be compatible with Article 10 ECHR. Legislative protection of the democratic process must ensure fairness on behalf of the electorate, not just between political parties and campaign groups.  </w:t>
      </w:r>
    </w:p>
    <w:p w:rsidR="00FB0B24" w:rsidRPr="005B5CB6" w:rsidP="003255A4">
      <w:pPr>
        <w:numPr>
          <w:ilvl w:val="0"/>
          <w:numId w:val="11"/>
        </w:numPr>
        <w:spacing w:after="39" w:line="249" w:lineRule="auto"/>
        <w:ind w:right="12" w:hanging="360"/>
        <w:jc w:val="both"/>
        <w:rPr>
          <w:rFonts w:ascii="Verdana" w:hAnsi="Verdana"/>
        </w:rPr>
      </w:pPr>
      <w:r w:rsidRPr="005B5CB6">
        <w:rPr>
          <w:rFonts w:ascii="Verdana" w:eastAsia="Verdana" w:hAnsi="Verdana" w:cs="Verdana"/>
        </w:rPr>
        <w:t xml:space="preserve">My primary recommendation is that any initiatives to limit the spread of mis/disinformation must target the </w:t>
      </w:r>
      <w:r w:rsidRPr="005B5CB6">
        <w:rPr>
          <w:rFonts w:ascii="Verdana" w:eastAsia="Verdana" w:hAnsi="Verdana" w:cs="Verdana"/>
          <w:i/>
        </w:rPr>
        <w:t>method</w:t>
      </w:r>
      <w:r w:rsidRPr="005B5CB6">
        <w:rPr>
          <w:rFonts w:ascii="Verdana" w:eastAsia="Verdana" w:hAnsi="Verdana" w:cs="Verdana"/>
        </w:rPr>
        <w:t xml:space="preserve"> of communication, i.e. limiting the use of bots (totally automation) and cyborgs (partial automation), or ensuring that these automated accounts are clearly marked as bots or cyborgs; compiling databases online containing all political advertisements (something Facebook has already initiated to a limited extent and a version of which is set out in the Elections and Referendums (Advertising) Bill); monitoring the use of personal data for political purposes much more closely; and/or, banning dark advertisements.</w:t>
      </w:r>
      <w:r>
        <w:rPr>
          <w:rFonts w:ascii="Verdana" w:eastAsia="Verdana" w:hAnsi="Verdana" w:cs="Verdana"/>
          <w:vertAlign w:val="superscript"/>
        </w:rPr>
        <w:footnoteReference w:id="3"/>
      </w:r>
      <w:r w:rsidRPr="005B5CB6">
        <w:rPr>
          <w:rFonts w:ascii="Verdana" w:eastAsia="Verdana" w:hAnsi="Verdana" w:cs="Verdana"/>
        </w:rPr>
        <w:t xml:space="preserve"> </w:t>
      </w:r>
    </w:p>
    <w:p w:rsidR="00FB0B24" w:rsidRPr="005B5CB6" w:rsidP="003255A4">
      <w:pPr>
        <w:numPr>
          <w:ilvl w:val="0"/>
          <w:numId w:val="11"/>
        </w:numPr>
        <w:spacing w:after="182" w:line="250" w:lineRule="auto"/>
        <w:ind w:right="12" w:hanging="360"/>
        <w:jc w:val="both"/>
        <w:rPr>
          <w:rFonts w:ascii="Verdana" w:hAnsi="Verdana"/>
        </w:rPr>
      </w:pPr>
      <w:r w:rsidRPr="005B5CB6">
        <w:rPr>
          <w:rFonts w:ascii="Verdana" w:eastAsia="Verdana" w:hAnsi="Verdana" w:cs="Verdana"/>
        </w:rPr>
        <w:t xml:space="preserve">In tackling the effects of mis/disinformation, it is helpful to think about the right to information which is contained in Article 10 ECHR alongside the right </w:t>
      </w:r>
    </w:p>
    <w:p w:rsidR="00FB0B24" w:rsidRPr="005B5CB6" w:rsidP="003255A4">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05551" name="Group 50555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314" name="Shape 63531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25" style="height:0.72pt;mso-position-horizontal-relative:char;mso-position-vertical-relative:line;width:2in" coordsize="18288,91">
                <v:shape id="_x0000_s1026"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3255A4">
      <w:pPr>
        <w:spacing w:after="5" w:line="249" w:lineRule="auto"/>
        <w:ind w:left="511" w:right="12" w:hanging="9"/>
        <w:jc w:val="both"/>
        <w:rPr>
          <w:rFonts w:ascii="Verdana" w:hAnsi="Verdana"/>
        </w:rPr>
      </w:pPr>
      <w:r w:rsidRPr="005B5CB6">
        <w:rPr>
          <w:rFonts w:ascii="Verdana" w:eastAsia="Verdana" w:hAnsi="Verdana" w:cs="Verdana"/>
        </w:rPr>
        <w:t xml:space="preserve">to freedom of expression. The right to information could extent to the lack of transparency surrounding the source of money for political groups and campaigns (such as the alleged dark money for DUP advertisements placed in the London </w:t>
      </w:r>
      <w:r w:rsidRPr="005B5CB6">
        <w:rPr>
          <w:rFonts w:ascii="Verdana" w:eastAsia="Verdana" w:hAnsi="Verdana" w:cs="Verdana"/>
          <w:i/>
        </w:rPr>
        <w:t xml:space="preserve">Metro </w:t>
      </w:r>
      <w:r w:rsidRPr="005B5CB6">
        <w:rPr>
          <w:rFonts w:ascii="Verdana" w:eastAsia="Verdana" w:hAnsi="Verdana" w:cs="Verdana"/>
        </w:rPr>
        <w:t xml:space="preserve">ahead of the UK-EU Referendum). It may also apply to the content of advertisements, for example, if contradictory policy pledges are sent to different people then this throws into question how the electorate is meant to vote in the free expression of their opinion based on the merits of the candidates or parties standing for election.  </w:t>
      </w:r>
    </w:p>
    <w:p w:rsidR="00FB0B24" w:rsidRPr="005B5CB6" w:rsidP="003255A4">
      <w:pPr>
        <w:numPr>
          <w:ilvl w:val="0"/>
          <w:numId w:val="11"/>
        </w:numPr>
        <w:spacing w:after="5" w:line="249" w:lineRule="auto"/>
        <w:ind w:right="12" w:hanging="360"/>
        <w:jc w:val="both"/>
        <w:rPr>
          <w:rFonts w:ascii="Verdana" w:hAnsi="Verdana"/>
        </w:rPr>
      </w:pPr>
      <w:r w:rsidRPr="005B5CB6">
        <w:rPr>
          <w:rFonts w:ascii="Verdana" w:eastAsia="Verdana" w:hAnsi="Verdana" w:cs="Verdana"/>
        </w:rPr>
        <w:t xml:space="preserve">In short, these forms of communication undermine and erode at the individual’s ability to exercise their own judgement when basing democratic decisions on publicly available information. There is a balancing act which must enable the senders of material the right to promote their political policies and ideology against the necessity for the electorate to be able to rely on the integrity of the method and content of material sent to them which is meant to inform their democratic decision-making.  </w:t>
      </w:r>
    </w:p>
    <w:p w:rsidR="00FB0B24" w:rsidRPr="005B5CB6" w:rsidP="003255A4">
      <w:pPr>
        <w:spacing w:after="1"/>
        <w:ind w:left="720"/>
        <w:jc w:val="both"/>
        <w:rPr>
          <w:rFonts w:ascii="Verdana" w:hAnsi="Verdana"/>
        </w:rPr>
      </w:pPr>
      <w:r w:rsidRPr="005B5CB6">
        <w:rPr>
          <w:rFonts w:ascii="Verdana" w:eastAsia="Verdana" w:hAnsi="Verdana" w:cs="Verdana"/>
          <w:i/>
        </w:rPr>
        <w:t xml:space="preserve"> </w:t>
      </w:r>
    </w:p>
    <w:p w:rsidR="00FB0B24" w:rsidRPr="005B5CB6" w:rsidP="003255A4">
      <w:pPr>
        <w:pStyle w:val="Heading2"/>
        <w:rPr>
          <w:sz w:val="22"/>
        </w:rPr>
      </w:pPr>
      <w:r w:rsidRPr="005B5CB6">
        <w:rPr>
          <w:sz w:val="22"/>
          <w:u w:val="single" w:color="000000"/>
        </w:rPr>
        <w:t>Responding to the Committee’s questions</w:t>
      </w:r>
      <w:r w:rsidRPr="005B5CB6">
        <w:rPr>
          <w:sz w:val="22"/>
        </w:rPr>
        <w:t xml:space="preserve">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Question</w:t>
      </w:r>
      <w:r w:rsidRPr="005B5CB6">
        <w:rPr>
          <w:rFonts w:ascii="Verdana" w:eastAsia="Verdana" w:hAnsi="Verdana" w:cs="Verdana"/>
        </w:rPr>
        <w:t xml:space="preserve"> </w:t>
      </w:r>
      <w:r w:rsidRPr="005B5CB6">
        <w:rPr>
          <w:rFonts w:ascii="Verdana" w:eastAsia="Verdana" w:hAnsi="Verdana" w:cs="Verdana"/>
          <w:b/>
        </w:rPr>
        <w:t xml:space="preserve">4. Would greater transparency in the online spending and campaigning of political groups improve the electoral process in the UK by ensuring accountability, and if so what should this transparency look like? </w:t>
      </w:r>
    </w:p>
    <w:p w:rsidR="00FB0B24" w:rsidRPr="005B5CB6" w:rsidP="003255A4">
      <w:pPr>
        <w:numPr>
          <w:ilvl w:val="0"/>
          <w:numId w:val="12"/>
        </w:numPr>
        <w:spacing w:after="5" w:line="249" w:lineRule="auto"/>
        <w:ind w:right="12" w:hanging="360"/>
        <w:jc w:val="both"/>
        <w:rPr>
          <w:rFonts w:ascii="Verdana" w:hAnsi="Verdana"/>
        </w:rPr>
      </w:pPr>
      <w:r w:rsidRPr="005B5CB6">
        <w:rPr>
          <w:rFonts w:ascii="Verdana" w:eastAsia="Verdana" w:hAnsi="Verdana" w:cs="Verdana"/>
        </w:rPr>
        <w:t>Yes. The regulation of the different caps in spending for local and national elections must be strengthened to avoid the funnelling of money into swing seats which should fall under local spending but might be paid for out of the national budget.</w:t>
      </w:r>
      <w:r>
        <w:rPr>
          <w:rFonts w:ascii="Verdana" w:eastAsia="Verdana" w:hAnsi="Verdana" w:cs="Verdana"/>
          <w:vertAlign w:val="superscript"/>
        </w:rPr>
        <w:footnoteReference w:id="4"/>
      </w:r>
      <w:r w:rsidRPr="005B5CB6">
        <w:rPr>
          <w:rFonts w:ascii="Verdana" w:eastAsia="Verdana" w:hAnsi="Verdana" w:cs="Verdana"/>
        </w:rPr>
        <w:t xml:space="preserve"> The Elections and Referendums (Advertising) Bill sought to address this and offers an example of how the law may be amended. </w:t>
      </w:r>
    </w:p>
    <w:p w:rsidR="00FB0B24" w:rsidRPr="005B5CB6" w:rsidP="003255A4">
      <w:pPr>
        <w:numPr>
          <w:ilvl w:val="0"/>
          <w:numId w:val="12"/>
        </w:numPr>
        <w:spacing w:after="5" w:line="249" w:lineRule="auto"/>
        <w:ind w:right="12" w:hanging="360"/>
        <w:jc w:val="both"/>
        <w:rPr>
          <w:rFonts w:ascii="Verdana" w:hAnsi="Verdana"/>
        </w:rPr>
      </w:pPr>
      <w:r w:rsidRPr="005B5CB6">
        <w:rPr>
          <w:rFonts w:ascii="Verdana" w:eastAsia="Verdana" w:hAnsi="Verdana" w:cs="Verdana"/>
        </w:rPr>
        <w:t>Rules on foreign donations must be tightened, as the UK-EU referendum campaign revealed. Since then there have been concerns that foreign and automated donations have been made through PayPal</w:t>
      </w:r>
      <w:r>
        <w:rPr>
          <w:rFonts w:ascii="Verdana" w:eastAsia="Verdana" w:hAnsi="Verdana" w:cs="Verdana"/>
          <w:vertAlign w:val="superscript"/>
        </w:rPr>
        <w:footnoteReference w:id="5"/>
      </w:r>
      <w:r w:rsidRPr="005B5CB6">
        <w:rPr>
          <w:rFonts w:ascii="Verdana" w:eastAsia="Verdana" w:hAnsi="Verdana" w:cs="Verdana"/>
        </w:rPr>
        <w:t xml:space="preserve"> making it possible to escape the prohibition on accepting donations in excess of £500 from anyone other than individuals on the electoral register or from political parties, companies, trade unions or similar organisations registered in the UK. </w:t>
      </w:r>
    </w:p>
    <w:p w:rsidR="00FB0B24" w:rsidRPr="005B5CB6" w:rsidP="003255A4">
      <w:pPr>
        <w:numPr>
          <w:ilvl w:val="0"/>
          <w:numId w:val="12"/>
        </w:numPr>
        <w:spacing w:after="5" w:line="249" w:lineRule="auto"/>
        <w:ind w:right="12" w:hanging="360"/>
        <w:jc w:val="both"/>
        <w:rPr>
          <w:rFonts w:ascii="Verdana" w:hAnsi="Verdana"/>
        </w:rPr>
      </w:pPr>
      <w:r w:rsidRPr="005B5CB6">
        <w:rPr>
          <w:rFonts w:ascii="Verdana" w:eastAsia="Verdana" w:hAnsi="Verdana" w:cs="Verdana"/>
        </w:rPr>
        <w:t xml:space="preserve">Spending requirements should also include general digital campaigns for example if the UK was to witness political parties or campaign groups using forums like WhatsApp then this should also fall within the category of spending that requires itemisation. </w:t>
      </w:r>
    </w:p>
    <w:p w:rsidR="00FB0B24" w:rsidRPr="005B5CB6" w:rsidP="003255A4">
      <w:pPr>
        <w:spacing w:after="5" w:line="249" w:lineRule="auto"/>
        <w:ind w:left="502" w:right="12" w:hanging="360"/>
        <w:jc w:val="both"/>
        <w:rPr>
          <w:rFonts w:ascii="Verdana" w:hAnsi="Verdana"/>
        </w:rPr>
      </w:pPr>
      <w:r w:rsidRPr="005B5CB6">
        <w:rPr>
          <w:rFonts w:ascii="Verdana" w:eastAsia="Verdana" w:hAnsi="Verdana" w:cs="Verdana"/>
        </w:rPr>
        <w:t xml:space="preserve">10.Practically, a new process should aim to make it easier for political parties to track, calculate and declare their spending nationally and locally. Spending returns should remain accessible online. </w:t>
      </w:r>
    </w:p>
    <w:p w:rsidR="00FB0B24" w:rsidRPr="005B5CB6" w:rsidP="003255A4">
      <w:pPr>
        <w:spacing w:after="309" w:line="249" w:lineRule="auto"/>
        <w:ind w:left="502" w:right="12" w:hanging="360"/>
        <w:jc w:val="both"/>
        <w:rPr>
          <w:rFonts w:ascii="Verdana" w:hAnsi="Verdana"/>
        </w:rPr>
      </w:pPr>
      <w:r w:rsidRPr="005B5CB6">
        <w:rPr>
          <w:rFonts w:ascii="Verdana" w:eastAsia="Verdana" w:hAnsi="Verdana" w:cs="Verdana"/>
        </w:rPr>
        <w:t xml:space="preserve">11.The Electoral Commission may also reconsider the rules on large private donations. Although this aspect of the UK’s electoral spending laws has not </w:t>
      </w:r>
      <w:r w:rsidRPr="005B5CB6">
        <w:rPr>
          <w:rFonts w:ascii="Verdana" w:eastAsia="Verdana" w:hAnsi="Verdana" w:cs="Verdana"/>
        </w:rPr>
        <w:t xml:space="preserve">been challenged in the European Court of Human Rights it is worth considering whether the law is still compatible with Article 3 of Protocol 1 </w:t>
      </w:r>
    </w:p>
    <w:p w:rsidR="00FB0B24" w:rsidRPr="005B5CB6" w:rsidP="003255A4">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05374" name="Group 50537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316" name="Shape 63531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27" style="height:0.72pt;mso-position-horizontal-relative:char;mso-position-vertical-relative:line;width:2in" coordsize="18288,91">
                <v:shape id="_x0000_s102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3255A4">
      <w:pPr>
        <w:spacing w:after="39" w:line="249" w:lineRule="auto"/>
        <w:ind w:left="511" w:right="12" w:hanging="9"/>
        <w:jc w:val="both"/>
        <w:rPr>
          <w:rFonts w:ascii="Verdana" w:hAnsi="Verdana"/>
        </w:rPr>
      </w:pPr>
      <w:r w:rsidRPr="005B5CB6">
        <w:rPr>
          <w:rFonts w:ascii="Verdana" w:eastAsia="Verdana" w:hAnsi="Verdana" w:cs="Verdana"/>
        </w:rPr>
        <w:t>ECHR.</w:t>
      </w:r>
      <w:r>
        <w:rPr>
          <w:rFonts w:ascii="Verdana" w:eastAsia="Verdana" w:hAnsi="Verdana" w:cs="Verdana"/>
          <w:vertAlign w:val="superscript"/>
        </w:rPr>
        <w:footnoteReference w:id="6"/>
      </w:r>
      <w:r w:rsidRPr="005B5CB6">
        <w:rPr>
          <w:rFonts w:ascii="Verdana" w:eastAsia="Verdana" w:hAnsi="Verdana" w:cs="Verdana"/>
        </w:rPr>
        <w:t xml:space="preserve"> There are recent examples of unfairness surrounding the financing and operation of the UK-EU referendum campaign including large donations by private individuals and difficulties in identifying the true source of donations.</w:t>
      </w:r>
      <w:r>
        <w:rPr>
          <w:rFonts w:ascii="Verdana" w:eastAsia="Verdana" w:hAnsi="Verdana" w:cs="Verdana"/>
          <w:vertAlign w:val="superscript"/>
        </w:rPr>
        <w:footnoteReference w:id="7"/>
      </w:r>
      <w:r w:rsidRPr="005B5CB6">
        <w:rPr>
          <w:rFonts w:ascii="Verdana" w:eastAsia="Verdana" w:hAnsi="Verdana" w:cs="Verdana"/>
        </w:rPr>
        <w:t xml:space="preserve"> </w:t>
      </w:r>
    </w:p>
    <w:p w:rsidR="00FB0B24" w:rsidRPr="005B5CB6" w:rsidP="003255A4">
      <w:pPr>
        <w:spacing w:after="0"/>
        <w:ind w:left="720"/>
        <w:jc w:val="both"/>
        <w:rPr>
          <w:rFonts w:ascii="Verdana" w:hAnsi="Verdana"/>
        </w:rPr>
      </w:pPr>
      <w:r w:rsidRPr="005B5CB6">
        <w:rPr>
          <w:rFonts w:ascii="Verdana" w:eastAsia="Verdana" w:hAnsi="Verdana" w:cs="Verdana"/>
        </w:rPr>
        <w:t xml:space="preserve"> </w:t>
      </w:r>
    </w:p>
    <w:p w:rsidR="00FB0B24" w:rsidRPr="005B5CB6" w:rsidP="003255A4">
      <w:pPr>
        <w:spacing w:after="35" w:line="250" w:lineRule="auto"/>
        <w:ind w:left="11" w:hanging="10"/>
        <w:jc w:val="both"/>
        <w:rPr>
          <w:rFonts w:ascii="Verdana" w:hAnsi="Verdana"/>
        </w:rPr>
      </w:pPr>
      <w:r w:rsidRPr="005B5CB6">
        <w:rPr>
          <w:rFonts w:ascii="Verdana" w:eastAsia="Verdana" w:hAnsi="Verdana" w:cs="Verdana"/>
          <w:b/>
        </w:rPr>
        <w:t>Question 5. What effect does online targeted advertising have on the political process, and what effects could it have in the future? Should there be additional regulation of political advertising?</w:t>
      </w:r>
      <w:r>
        <w:rPr>
          <w:rFonts w:ascii="Verdana" w:eastAsia="Verdana" w:hAnsi="Verdana" w:cs="Verdana"/>
          <w:b/>
          <w:vertAlign w:val="superscript"/>
        </w:rPr>
        <w:footnoteReference w:id="8"/>
      </w:r>
      <w:r w:rsidRPr="005B5CB6">
        <w:rPr>
          <w:rFonts w:ascii="Verdana" w:eastAsia="Verdana" w:hAnsi="Verdana" w:cs="Verdana"/>
          <w:b/>
        </w:rPr>
        <w:t xml:space="preserve"> </w:t>
      </w:r>
    </w:p>
    <w:p w:rsidR="00FB0B24" w:rsidRPr="005B5CB6" w:rsidP="003255A4">
      <w:pPr>
        <w:spacing w:after="5" w:line="249" w:lineRule="auto"/>
        <w:ind w:left="502" w:right="12" w:hanging="360"/>
        <w:jc w:val="both"/>
        <w:rPr>
          <w:rFonts w:ascii="Verdana" w:hAnsi="Verdana"/>
        </w:rPr>
      </w:pPr>
      <w:r w:rsidRPr="005B5CB6">
        <w:rPr>
          <w:rFonts w:ascii="Verdana" w:eastAsia="Verdana" w:hAnsi="Verdana" w:cs="Verdana"/>
        </w:rPr>
        <w:t xml:space="preserve">12.Online targeted advertising, known as micro-targeting, is regulated by overlapping frameworks including data protection law, direct marketing regulations, electoral law and, indirectly, campaign spending limits. </w:t>
      </w:r>
    </w:p>
    <w:p w:rsidR="00FB0B24" w:rsidRPr="005B5CB6" w:rsidP="003255A4">
      <w:pPr>
        <w:spacing w:after="5" w:line="249" w:lineRule="auto"/>
        <w:ind w:left="502" w:right="12" w:hanging="360"/>
        <w:jc w:val="both"/>
        <w:rPr>
          <w:rFonts w:ascii="Verdana" w:hAnsi="Verdana"/>
        </w:rPr>
      </w:pPr>
      <w:r w:rsidRPr="005B5CB6">
        <w:rPr>
          <w:rFonts w:ascii="Verdana" w:eastAsia="Verdana" w:hAnsi="Verdana" w:cs="Verdana"/>
        </w:rPr>
        <w:t xml:space="preserve">13.There is an assumption that micro-targeted advertisements influence the way people vote i.e. the party they vote for. There is no evidence of this and it would be incredibly difficult to measure as voting is a necessarily private act and people have difficulty explaining their decisions in rational terms. In addition, research shows that the vast majority of people make up their minds about how to vote before the ‘regulated period’ has begun meaning political advertisements and communication is often there to reinforce an intention already formed.  </w:t>
      </w:r>
    </w:p>
    <w:p w:rsidR="00FB0B24" w:rsidRPr="005B5CB6" w:rsidP="003255A4">
      <w:pPr>
        <w:spacing w:after="5" w:line="249" w:lineRule="auto"/>
        <w:ind w:left="502" w:right="12" w:hanging="360"/>
        <w:jc w:val="both"/>
        <w:rPr>
          <w:rFonts w:ascii="Verdana" w:hAnsi="Verdana"/>
        </w:rPr>
      </w:pPr>
      <w:r w:rsidRPr="005B5CB6">
        <w:rPr>
          <w:rFonts w:ascii="Verdana" w:eastAsia="Verdana" w:hAnsi="Verdana" w:cs="Verdana"/>
        </w:rPr>
        <w:t xml:space="preserve">14.However, there is some impact which, I think, is through voter mobilisation and voter suppression. The effect, therefore, is upon </w:t>
      </w:r>
      <w:r w:rsidRPr="005B5CB6">
        <w:rPr>
          <w:rFonts w:ascii="Verdana" w:eastAsia="Verdana" w:hAnsi="Verdana" w:cs="Verdana"/>
          <w:i/>
        </w:rPr>
        <w:t>whether</w:t>
      </w:r>
      <w:r w:rsidRPr="005B5CB6">
        <w:rPr>
          <w:rFonts w:ascii="Verdana" w:eastAsia="Verdana" w:hAnsi="Verdana" w:cs="Verdana"/>
        </w:rPr>
        <w:t xml:space="preserve"> people vote, not how. This is greatly influential when efforts to mobilise or suppress voters is married with insights into which regions of the country can swing an election. It is possible for political parties to direct their communication strategy to a narrow and selected group of people who have been categorised as undecided or persuadable and as living within a swing constituency.  </w:t>
      </w:r>
    </w:p>
    <w:p w:rsidR="00FB0B24" w:rsidRPr="005B5CB6" w:rsidP="003255A4">
      <w:pPr>
        <w:spacing w:after="40" w:line="249" w:lineRule="auto"/>
        <w:ind w:left="502" w:right="12" w:hanging="360"/>
        <w:jc w:val="both"/>
        <w:rPr>
          <w:rFonts w:ascii="Verdana" w:hAnsi="Verdana"/>
        </w:rPr>
      </w:pPr>
      <w:r w:rsidRPr="005B5CB6">
        <w:rPr>
          <w:rFonts w:ascii="Verdana" w:eastAsia="Verdana" w:hAnsi="Verdana" w:cs="Verdana"/>
        </w:rPr>
        <w:t>15.The fact that micro-targeted advertisements are not made public mean they are harder to challenge and hold accountable. Research commissioned by the Electoral Commission with members of the public highlight the negative effect of these methods of communication: “…If they are going to send one message to me about immigration say and a completely different one to him, it is a dirty game really.”</w:t>
      </w:r>
      <w:r>
        <w:rPr>
          <w:rFonts w:ascii="Verdana" w:eastAsia="Verdana" w:hAnsi="Verdana" w:cs="Verdana"/>
          <w:vertAlign w:val="superscript"/>
        </w:rPr>
        <w:footnoteReference w:id="9"/>
      </w:r>
      <w:r w:rsidRPr="005B5CB6">
        <w:rPr>
          <w:rFonts w:ascii="Verdana" w:eastAsia="Verdana" w:hAnsi="Verdana" w:cs="Verdana"/>
        </w:rPr>
        <w:t xml:space="preserve">  </w:t>
      </w:r>
    </w:p>
    <w:p w:rsidR="00FB0B24" w:rsidRPr="005B5CB6" w:rsidP="003255A4">
      <w:pPr>
        <w:spacing w:after="416" w:line="249" w:lineRule="auto"/>
        <w:ind w:left="502" w:right="12" w:hanging="360"/>
        <w:jc w:val="both"/>
        <w:rPr>
          <w:rFonts w:ascii="Verdana" w:hAnsi="Verdana"/>
        </w:rPr>
      </w:pPr>
      <w:r w:rsidRPr="005B5CB6">
        <w:rPr>
          <w:rFonts w:ascii="Verdana" w:eastAsia="Verdana" w:hAnsi="Verdana" w:cs="Verdana"/>
        </w:rPr>
        <w:t xml:space="preserve">16.It is legal for political parties, candidates and campaign groups to use personal data, and micro-targeted advertisements are lawful. The Data Protection Act 2018 recognises the democratic value in using personal data for the purpose of enhancing democratic communication. Section 8(e) </w:t>
      </w:r>
      <w:r w:rsidRPr="005B5CB6">
        <w:rPr>
          <w:rFonts w:ascii="Verdana" w:eastAsia="Verdana" w:hAnsi="Verdana" w:cs="Verdana"/>
        </w:rPr>
        <w:t xml:space="preserve">provides a lawful basis processing personal data “necessary for the performance of a task carried out in the public interest”, including “an activity that supports or promotes democratic engagement” such as communicating with electors, campaigning activities, and opinion gathering inside and outside election periods.  </w:t>
      </w:r>
    </w:p>
    <w:p w:rsidR="00FB0B24" w:rsidRPr="005B5CB6" w:rsidP="003255A4">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06249" name="Group 50624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318" name="Shape 63531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29" style="height:0.72pt;mso-position-horizontal-relative:char;mso-position-vertical-relative:line;width:2in" coordsize="18288,91">
                <v:shape id="_x0000_s1030"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3255A4">
      <w:pPr>
        <w:spacing w:after="5" w:line="249" w:lineRule="auto"/>
        <w:ind w:left="502" w:right="12" w:hanging="360"/>
        <w:jc w:val="both"/>
        <w:rPr>
          <w:rFonts w:ascii="Verdana" w:hAnsi="Verdana"/>
        </w:rPr>
      </w:pPr>
      <w:r w:rsidRPr="005B5CB6">
        <w:rPr>
          <w:rFonts w:ascii="Verdana" w:eastAsia="Verdana" w:hAnsi="Verdana" w:cs="Verdana"/>
        </w:rPr>
        <w:t>17.However, exactly how political parties can rely on section 8(e) needs clarification. ‘Democratic engagement’ provides a very broad basis for the use of data which could be used to legitimise opaque micro-targeting.</w:t>
      </w:r>
      <w:r>
        <w:rPr>
          <w:rFonts w:ascii="Verdana" w:eastAsia="Verdana" w:hAnsi="Verdana" w:cs="Verdana"/>
          <w:vertAlign w:val="superscript"/>
        </w:rPr>
        <w:footnoteReference w:id="10"/>
      </w:r>
      <w:r w:rsidRPr="005B5CB6">
        <w:rPr>
          <w:rFonts w:ascii="Verdana" w:eastAsia="Verdana" w:hAnsi="Verdana" w:cs="Verdana"/>
        </w:rPr>
        <w:t xml:space="preserve"> Often the data processing associated with the democratic engagement basis reveals political opinions, which is a special category personal data attracting higher protections, through the process of combining freely-given information with other data sets like the electoral register, commercially available modelled consumer data and publicly available data to make a prediction about that individual’s lifestyle, habits and political views (an automated process in itself). However, it is unclear whether this inferred data is subjected to the necessary additional safeguards which include the requirement for there to be a ‘public interest’ justification for the processing of special category data. As noted in some political parties’ privacy notices this justification is cited very generically; seemingly that by existing as a political party there is automatically a ‘public interest’ justification.  </w:t>
      </w:r>
    </w:p>
    <w:p w:rsidR="00FB0B24" w:rsidRPr="005B5CB6" w:rsidP="003255A4">
      <w:pPr>
        <w:spacing w:after="5" w:line="249" w:lineRule="auto"/>
        <w:ind w:left="502" w:right="12" w:hanging="360"/>
        <w:jc w:val="both"/>
        <w:rPr>
          <w:rFonts w:ascii="Verdana" w:hAnsi="Verdana"/>
        </w:rPr>
      </w:pPr>
      <w:r w:rsidRPr="005B5CB6">
        <w:rPr>
          <w:rFonts w:ascii="Verdana" w:eastAsia="Verdana" w:hAnsi="Verdana" w:cs="Verdana"/>
        </w:rPr>
        <w:t xml:space="preserve">18.There is a phenomenal amount of advertisements disseminated online that all share a similar message but vary in subtle but important ways. The response and interaction with these advertisements are monitored so that they can be altered in a constant iterative process to ensure maximum impact. This means that until the optimum advertisement is identified through this process of iteration, all prior viewings of this content is experimental. The scale of this experimentation must be limited.  </w:t>
      </w:r>
    </w:p>
    <w:p w:rsidR="00FB0B24" w:rsidRPr="005B5CB6" w:rsidP="003255A4">
      <w:pPr>
        <w:spacing w:after="5" w:line="249" w:lineRule="auto"/>
        <w:ind w:left="502" w:right="12" w:hanging="360"/>
        <w:jc w:val="both"/>
        <w:rPr>
          <w:rFonts w:ascii="Verdana" w:hAnsi="Verdana"/>
        </w:rPr>
      </w:pPr>
      <w:r w:rsidRPr="005B5CB6">
        <w:rPr>
          <w:rFonts w:ascii="Verdana" w:eastAsia="Verdana" w:hAnsi="Verdana" w:cs="Verdana"/>
        </w:rPr>
        <w:t xml:space="preserve">19.An online imprint requirement would provide some accountability as long as the imprint includes: who has paid for the material, who has made the material and on whose behalf the material is disseminated by. There are several limitations to the regulatory impact of imprints because it may still be easy to conceal the true source of material especially if the source is foreign but the funding or design of the material is funnelled through UK political campaign groups or candidates; and, it is possible to circumvent imprint requirements by relying on organic content or content that is disseminated by supporters (known as ‘influencers’), not official parties, candidates or campaign groups.  </w:t>
      </w:r>
    </w:p>
    <w:p w:rsidR="00FB0B24" w:rsidRPr="005B5CB6" w:rsidP="003255A4">
      <w:pPr>
        <w:spacing w:after="5" w:line="249" w:lineRule="auto"/>
        <w:ind w:left="502" w:right="12" w:hanging="360"/>
        <w:jc w:val="both"/>
        <w:rPr>
          <w:rFonts w:ascii="Verdana" w:hAnsi="Verdana"/>
        </w:rPr>
      </w:pPr>
      <w:r w:rsidRPr="005B5CB6">
        <w:rPr>
          <w:rFonts w:ascii="Verdana" w:eastAsia="Verdana" w:hAnsi="Verdana" w:cs="Verdana"/>
        </w:rPr>
        <w:t>20.Therefore, imprints must not be the only reform.</w:t>
      </w:r>
      <w:r w:rsidRPr="005B5CB6">
        <w:rPr>
          <w:rFonts w:ascii="Verdana" w:eastAsia="Verdana" w:hAnsi="Verdana" w:cs="Verdana"/>
          <w:b/>
        </w:rPr>
        <w:t xml:space="preserve"> </w:t>
      </w:r>
      <w:r w:rsidRPr="005B5CB6">
        <w:rPr>
          <w:rFonts w:ascii="Verdana" w:eastAsia="Verdana" w:hAnsi="Verdana" w:cs="Verdana"/>
        </w:rPr>
        <w:t xml:space="preserve">There are other possible methods of regulating political advertising which focus on the method of communication and target bots and other forms of automated communication (see paragraph 4 above).  </w:t>
      </w:r>
    </w:p>
    <w:p w:rsidR="00FB0B24" w:rsidRPr="005B5CB6" w:rsidP="003255A4">
      <w:pPr>
        <w:spacing w:after="43" w:line="250" w:lineRule="auto"/>
        <w:ind w:left="501" w:right="11" w:hanging="360"/>
        <w:jc w:val="both"/>
        <w:rPr>
          <w:rFonts w:ascii="Verdana" w:hAnsi="Verdana"/>
        </w:rPr>
      </w:pPr>
      <w:r w:rsidRPr="005B5CB6">
        <w:rPr>
          <w:rFonts w:ascii="Verdana" w:eastAsia="Verdana" w:hAnsi="Verdana" w:cs="Verdana"/>
        </w:rPr>
        <w:t>21.The Government has been urged to produce a statutory code of practice but has not done so. I have previously written on the merits of this.</w:t>
      </w:r>
      <w:r>
        <w:rPr>
          <w:rFonts w:ascii="Verdana" w:eastAsia="Verdana" w:hAnsi="Verdana" w:cs="Verdana"/>
          <w:vertAlign w:val="superscript"/>
        </w:rPr>
        <w:footnoteReference w:id="11"/>
      </w:r>
      <w:r w:rsidRPr="005B5CB6">
        <w:rPr>
          <w:rFonts w:ascii="Verdana" w:eastAsia="Verdana" w:hAnsi="Verdana" w:cs="Verdana"/>
        </w:rPr>
        <w:t xml:space="preserve"> </w:t>
      </w:r>
    </w:p>
    <w:p w:rsidR="00FB0B24" w:rsidRPr="005B5CB6" w:rsidP="003255A4">
      <w:pPr>
        <w:spacing w:after="207" w:line="249" w:lineRule="auto"/>
        <w:ind w:left="502" w:right="12" w:hanging="360"/>
        <w:jc w:val="both"/>
        <w:rPr>
          <w:rFonts w:ascii="Verdana" w:hAnsi="Verdana"/>
        </w:rPr>
      </w:pPr>
      <w:r w:rsidRPr="005B5CB6">
        <w:rPr>
          <w:rFonts w:ascii="Verdana" w:eastAsia="Verdana" w:hAnsi="Verdana" w:cs="Verdana"/>
        </w:rPr>
        <w:t xml:space="preserve">22.It should be made easier for legal actions to be brought which challenge these practices. This can be easily achieved by immediately incorporating Article 80(2) GDPR into the Data Protection Act 2018 which enables any body, organisation or association the right to lodge a complaint with the supervisory </w:t>
      </w:r>
    </w:p>
    <w:p w:rsidR="00FB0B24" w:rsidRPr="005B5CB6" w:rsidP="003255A4">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06251" name="Group 50625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320" name="Shape 63532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31" style="height:0.72pt;mso-position-horizontal-relative:char;mso-position-vertical-relative:line;width:2in" coordsize="18288,91">
                <v:shape id="_x0000_s1032"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3255A4">
      <w:pPr>
        <w:spacing w:after="5" w:line="249" w:lineRule="auto"/>
        <w:ind w:left="511" w:right="12" w:hanging="9"/>
        <w:jc w:val="both"/>
        <w:rPr>
          <w:rFonts w:ascii="Verdana" w:hAnsi="Verdana"/>
        </w:rPr>
      </w:pPr>
      <w:r w:rsidRPr="005B5CB6">
        <w:rPr>
          <w:rFonts w:ascii="Verdana" w:eastAsia="Verdana" w:hAnsi="Verdana" w:cs="Verdana"/>
        </w:rPr>
        <w:t xml:space="preserve">authority, independent of a data subject if data rights have been infringed as a result of data processing. Currently, such actions can only be brought when data subjects have subjects have authorised such bodies to do so yet individual data subjects may not always realise when their rights have been breached. Such an amendment would allow voter suppression tactics to be challenged, for example. </w:t>
      </w:r>
      <w:r w:rsidRPr="005B5CB6">
        <w:rPr>
          <w:rFonts w:ascii="Verdana" w:eastAsia="Verdana" w:hAnsi="Verdana" w:cs="Verdana"/>
          <w:b/>
        </w:rPr>
        <w:t xml:space="preserve"> </w:t>
      </w:r>
    </w:p>
    <w:p w:rsidR="00FB0B24" w:rsidRPr="005B5CB6" w:rsidP="003255A4">
      <w:pPr>
        <w:spacing w:after="0"/>
        <w:jc w:val="both"/>
        <w:rPr>
          <w:rFonts w:ascii="Verdana" w:hAnsi="Verdana"/>
        </w:rPr>
      </w:pPr>
      <w:r w:rsidRPr="005B5CB6">
        <w:rPr>
          <w:rFonts w:ascii="Verdana" w:eastAsia="Verdana" w:hAnsi="Verdana" w:cs="Verdana"/>
          <w:b/>
        </w:rPr>
        <w:t xml:space="preserve">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 xml:space="preserve">Question 6. To what extent does increasing use of encrypted messaging and private groups present a challenge to the democratic process? </w:t>
      </w:r>
    </w:p>
    <w:p w:rsidR="00FB0B24" w:rsidRPr="005B5CB6" w:rsidP="003255A4">
      <w:pPr>
        <w:spacing w:after="5" w:line="249" w:lineRule="auto"/>
        <w:ind w:left="502" w:right="12" w:hanging="360"/>
        <w:jc w:val="both"/>
        <w:rPr>
          <w:rFonts w:ascii="Verdana" w:hAnsi="Verdana"/>
        </w:rPr>
      </w:pPr>
      <w:r w:rsidRPr="005B5CB6">
        <w:rPr>
          <w:rFonts w:ascii="Verdana" w:eastAsia="Verdana" w:hAnsi="Verdana" w:cs="Verdana"/>
        </w:rPr>
        <w:t xml:space="preserve">23.Because WhatsApp messages are encrypted and private they tend to be beyond the scrutiny of electoral authorities or independent fact-checkers. Content forwarded through the system have no context about where they originate, but benefit from the trust of coming from a known contact. </w:t>
      </w:r>
    </w:p>
    <w:p w:rsidR="00FB0B24" w:rsidRPr="005B5CB6" w:rsidP="003255A4">
      <w:pPr>
        <w:spacing w:after="5" w:line="249" w:lineRule="auto"/>
        <w:ind w:left="501" w:right="12" w:hanging="360"/>
        <w:jc w:val="both"/>
        <w:rPr>
          <w:rFonts w:ascii="Verdana" w:hAnsi="Verdana"/>
        </w:rPr>
      </w:pPr>
      <w:r w:rsidRPr="005B5CB6">
        <w:rPr>
          <w:rFonts w:ascii="Verdana" w:eastAsia="Verdana" w:hAnsi="Verdana" w:cs="Verdana"/>
        </w:rPr>
        <w:t>24.WhatsApp has applied its own processes to tackle the spread of mis/disinformation by limiting the number of times the same message can be forwarded to other group chats by individuals working for campaigns who send messages out to a cultivated and large network of people, and through automation.</w:t>
      </w:r>
      <w:r>
        <w:rPr>
          <w:rFonts w:ascii="Verdana" w:eastAsia="Verdana" w:hAnsi="Verdana" w:cs="Verdana"/>
          <w:vertAlign w:val="superscript"/>
        </w:rPr>
        <w:footnoteReference w:id="12"/>
      </w:r>
      <w:r w:rsidRPr="005B5CB6">
        <w:rPr>
          <w:rFonts w:ascii="Verdana" w:eastAsia="Verdana" w:hAnsi="Verdana" w:cs="Verdana"/>
        </w:rPr>
        <w:t xml:space="preserve"> The most obvious problem with the use of WhatsApp as a campaigning platform is it is difficult to hold the creators of such content to account because the content is sealed off behind encrypted messages; and, as authors of content which could escape any imprint rules. </w:t>
      </w:r>
    </w:p>
    <w:p w:rsidR="00FB0B24" w:rsidRPr="005B5CB6" w:rsidP="003255A4">
      <w:pPr>
        <w:spacing w:after="40" w:line="249" w:lineRule="auto"/>
        <w:ind w:left="501" w:right="12" w:hanging="360"/>
        <w:jc w:val="both"/>
        <w:rPr>
          <w:rFonts w:ascii="Verdana" w:hAnsi="Verdana"/>
        </w:rPr>
      </w:pPr>
      <w:r w:rsidRPr="005B5CB6">
        <w:rPr>
          <w:rFonts w:ascii="Verdana" w:eastAsia="Verdana" w:hAnsi="Verdana" w:cs="Verdana"/>
        </w:rPr>
        <w:t>25.It must be noted that the impact of using encrypted messaging and private groups to spread information ahead of an election is more damaging in countries where the majority of people do not have ready access to the internet to verify the credibility of information shared via messages.</w:t>
      </w:r>
      <w:r>
        <w:rPr>
          <w:rFonts w:ascii="Verdana" w:eastAsia="Verdana" w:hAnsi="Verdana" w:cs="Verdana"/>
          <w:vertAlign w:val="superscript"/>
        </w:rPr>
        <w:footnoteReference w:id="13"/>
      </w:r>
      <w:r w:rsidRPr="005B5CB6">
        <w:rPr>
          <w:rFonts w:ascii="Verdana" w:eastAsia="Verdana" w:hAnsi="Verdana" w:cs="Verdana"/>
        </w:rPr>
        <w:t xml:space="preserve">  </w:t>
      </w:r>
    </w:p>
    <w:p w:rsidR="00FB0B24" w:rsidRPr="005B5CB6" w:rsidP="003255A4">
      <w:pPr>
        <w:spacing w:after="37" w:line="249" w:lineRule="auto"/>
        <w:ind w:left="502" w:right="12" w:hanging="360"/>
        <w:jc w:val="both"/>
        <w:rPr>
          <w:rFonts w:ascii="Verdana" w:hAnsi="Verdana"/>
        </w:rPr>
      </w:pPr>
      <w:r w:rsidRPr="005B5CB6">
        <w:rPr>
          <w:rFonts w:ascii="Verdana" w:eastAsia="Verdana" w:hAnsi="Verdana" w:cs="Verdana"/>
        </w:rPr>
        <w:t>26.That is not to say this is not a problem in the UK. Participants in a focus group commissioned by the Electoral Commission explained that they felt “immune”, “disillusioned”, “desensitised”, and “bamboozled” by contemporary online campaigning methods even though most people can engage in their own research to verify information shared online.</w:t>
      </w:r>
      <w:r>
        <w:rPr>
          <w:rFonts w:ascii="Verdana" w:eastAsia="Verdana" w:hAnsi="Verdana" w:cs="Verdana"/>
          <w:vertAlign w:val="superscript"/>
        </w:rPr>
        <w:footnoteReference w:id="14"/>
      </w:r>
      <w:r w:rsidRPr="005B5CB6">
        <w:rPr>
          <w:rFonts w:ascii="Verdana" w:eastAsia="Verdana" w:hAnsi="Verdana" w:cs="Verdana"/>
        </w:rPr>
        <w:t xml:space="preserve">  </w:t>
      </w:r>
    </w:p>
    <w:p w:rsidR="00FB0B24" w:rsidRPr="005B5CB6" w:rsidP="003255A4">
      <w:pPr>
        <w:spacing w:after="5" w:line="249" w:lineRule="auto"/>
        <w:ind w:left="502" w:right="12" w:hanging="360"/>
        <w:jc w:val="both"/>
        <w:rPr>
          <w:rFonts w:ascii="Verdana" w:hAnsi="Verdana"/>
        </w:rPr>
      </w:pPr>
      <w:r w:rsidRPr="005B5CB6">
        <w:rPr>
          <w:rFonts w:ascii="Verdana" w:eastAsia="Verdana" w:hAnsi="Verdana" w:cs="Verdana"/>
        </w:rPr>
        <w:t>27.In addition, news spread via closed and encrypted messaging apps then independent verification becomes harder and more prolonged for journalists who will struggle to identify the source of the information. This may feed into the cycle of cynicism and detachment amongst a frustrated and overwhelmed electorate</w:t>
      </w:r>
      <w:r w:rsidRPr="005B5CB6">
        <w:rPr>
          <w:rFonts w:ascii="Verdana" w:eastAsia="Verdana" w:hAnsi="Verdana" w:cs="Verdana"/>
          <w:vertAlign w:val="superscript"/>
        </w:rPr>
        <w:t>14</w:t>
      </w:r>
      <w:r w:rsidRPr="005B5CB6">
        <w:rPr>
          <w:rFonts w:ascii="Verdana" w:eastAsia="Verdana" w:hAnsi="Verdana" w:cs="Verdana"/>
        </w:rPr>
        <w:t xml:space="preserve"> alongside increased levels of ‘hyper-engagement’ because of the emotionalised or provocative nature of the content.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98" w:line="250" w:lineRule="auto"/>
        <w:ind w:left="11" w:hanging="10"/>
        <w:jc w:val="both"/>
        <w:rPr>
          <w:rFonts w:ascii="Verdana" w:hAnsi="Verdana"/>
        </w:rPr>
      </w:pPr>
      <w:r w:rsidRPr="005B5CB6">
        <w:rPr>
          <w:rFonts w:ascii="Verdana" w:eastAsia="Verdana" w:hAnsi="Verdana" w:cs="Verdana"/>
          <w:b/>
        </w:rPr>
        <w:t xml:space="preserve">Question 10. What might be the best ways of reducing the effects of misinformation on social media platforms? </w:t>
      </w:r>
    </w:p>
    <w:p w:rsidR="00FB0B24" w:rsidRPr="005B5CB6" w:rsidP="003255A4">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06701" name="Group 50670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322" name="Shape 63532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33" style="height:0.72pt;mso-position-horizontal-relative:char;mso-position-vertical-relative:line;width:2in" coordsize="18288,91">
                <v:shape id="_x0000_s1034"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3255A4">
      <w:pPr>
        <w:spacing w:after="5" w:line="250" w:lineRule="auto"/>
        <w:ind w:left="502" w:right="11" w:hanging="360"/>
        <w:jc w:val="both"/>
        <w:rPr>
          <w:rFonts w:ascii="Verdana" w:hAnsi="Verdana"/>
        </w:rPr>
      </w:pPr>
      <w:r w:rsidRPr="005B5CB6">
        <w:rPr>
          <w:rFonts w:ascii="Verdana" w:eastAsia="Verdana" w:hAnsi="Verdana" w:cs="Verdana"/>
        </w:rPr>
        <w:t xml:space="preserve">28.Build in systems that create breathing space for users online, for example creating pauses before unverified content can be shared.  </w:t>
      </w:r>
    </w:p>
    <w:p w:rsidR="00FB0B24" w:rsidRPr="005B5CB6" w:rsidP="003255A4">
      <w:pPr>
        <w:spacing w:after="5" w:line="249" w:lineRule="auto"/>
        <w:ind w:left="502" w:right="12" w:hanging="360"/>
        <w:jc w:val="both"/>
        <w:rPr>
          <w:rFonts w:ascii="Verdana" w:hAnsi="Verdana"/>
        </w:rPr>
      </w:pPr>
      <w:r w:rsidRPr="005B5CB6">
        <w:rPr>
          <w:rFonts w:ascii="Verdana" w:eastAsia="Verdana" w:hAnsi="Verdana" w:cs="Verdana"/>
        </w:rPr>
        <w:t xml:space="preserve">29.Ensure the rights of data subjects (e.g. the right to object and the right to explanation) are much more widely and clearly disseminated on social media platforms as well as guidance on how to exercise those rights.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jc w:val="both"/>
        <w:rPr>
          <w:rFonts w:ascii="Verdana" w:hAnsi="Verdana"/>
        </w:rPr>
        <w:sectPr w:rsidSect="006562C6">
          <w:headerReference w:type="even" r:id="rId48"/>
          <w:headerReference w:type="default" r:id="rId49"/>
          <w:footerReference w:type="even" r:id="rId50"/>
          <w:footerReference w:type="default" r:id="rId51"/>
          <w:headerReference w:type="first" r:id="rId52"/>
          <w:footerReference w:type="first" r:id="rId53"/>
          <w:pgSz w:w="11906" w:h="16838"/>
          <w:pgMar w:top="1492" w:right="1434" w:bottom="1440" w:left="1440" w:header="720" w:footer="998" w:gutter="0"/>
          <w:cols w:space="720"/>
        </w:sectPr>
      </w:pPr>
    </w:p>
    <w:p w:rsidR="00FB0B24" w:rsidRPr="005B5CB6" w:rsidP="00A1624B">
      <w:pPr>
        <w:pStyle w:val="Heading1"/>
        <w:rPr>
          <w:sz w:val="22"/>
        </w:rPr>
      </w:pPr>
      <w:bookmarkStart w:id="10" w:name="_Toc44517698"/>
      <w:r w:rsidRPr="005B5CB6">
        <w:rPr>
          <w:sz w:val="22"/>
        </w:rPr>
        <w:t>Dr Rossana Deplano - written evidence (DAD0014)</w:t>
      </w:r>
      <w:bookmarkEnd w:id="10"/>
      <w:r w:rsidRPr="005B5CB6">
        <w:rPr>
          <w:sz w:val="22"/>
        </w:rPr>
        <w:t xml:space="preserve"> </w:t>
      </w:r>
    </w:p>
    <w:p w:rsidR="00FB0B24" w:rsidRPr="005B5CB6" w:rsidP="00951A38">
      <w:pPr>
        <w:spacing w:after="269"/>
        <w:jc w:val="both"/>
        <w:rPr>
          <w:rFonts w:ascii="Verdana" w:hAnsi="Verdana"/>
        </w:rPr>
      </w:pPr>
      <w:r w:rsidRPr="005B5CB6">
        <w:rPr>
          <w:rFonts w:ascii="Verdana" w:eastAsia="Verdana" w:hAnsi="Verdana" w:cs="Verdana"/>
          <w:b/>
        </w:rPr>
        <w:t xml:space="preserve"> </w:t>
      </w:r>
    </w:p>
    <w:p w:rsidR="00FB0B24" w:rsidRPr="005B5CB6" w:rsidP="00951A38">
      <w:pPr>
        <w:spacing w:after="156" w:line="360" w:lineRule="auto"/>
        <w:ind w:left="11" w:hanging="10"/>
        <w:jc w:val="both"/>
        <w:rPr>
          <w:rFonts w:ascii="Verdana" w:hAnsi="Verdana"/>
        </w:rPr>
      </w:pPr>
      <w:r w:rsidRPr="005B5CB6">
        <w:rPr>
          <w:rFonts w:ascii="Verdana" w:eastAsia="Verdana" w:hAnsi="Verdana" w:cs="Verdana"/>
          <w:b/>
        </w:rPr>
        <w:t xml:space="preserve">Q. 14 What positive examples are there of technology being used to enhance democracy? </w:t>
      </w:r>
    </w:p>
    <w:p w:rsidR="00FB0B24" w:rsidRPr="005B5CB6" w:rsidP="00951A38">
      <w:pPr>
        <w:numPr>
          <w:ilvl w:val="0"/>
          <w:numId w:val="13"/>
        </w:numPr>
        <w:spacing w:after="120" w:line="250" w:lineRule="auto"/>
        <w:ind w:right="2642" w:hanging="360"/>
        <w:jc w:val="both"/>
        <w:rPr>
          <w:rFonts w:ascii="Verdana" w:hAnsi="Verdana"/>
        </w:rPr>
      </w:pPr>
      <w:r w:rsidRPr="005B5CB6">
        <w:rPr>
          <w:rFonts w:ascii="Verdana" w:eastAsia="Verdana" w:hAnsi="Verdana" w:cs="Verdana"/>
          <w:b/>
        </w:rPr>
        <w:t xml:space="preserve">Introduction </w:t>
      </w:r>
    </w:p>
    <w:p w:rsidR="00FB0B24" w:rsidRPr="005B5CB6" w:rsidP="00951A38">
      <w:pPr>
        <w:numPr>
          <w:ilvl w:val="1"/>
          <w:numId w:val="13"/>
        </w:numPr>
        <w:spacing w:after="5" w:line="249" w:lineRule="auto"/>
        <w:ind w:right="12" w:hanging="720"/>
        <w:jc w:val="both"/>
        <w:rPr>
          <w:rFonts w:ascii="Verdana" w:hAnsi="Verdana"/>
        </w:rPr>
      </w:pPr>
      <w:r w:rsidRPr="005B5CB6">
        <w:rPr>
          <w:rFonts w:ascii="Verdana" w:eastAsia="Verdana" w:hAnsi="Verdana" w:cs="Verdana"/>
        </w:rPr>
        <w:t xml:space="preserve">Ascertaining the content of news items circulating in the media features as a priority in the political agenda of several states, including the UK. Targeted and aggressive political advertising in social media is one of the most common and dangerous manifestations of the spread of disinformation and fake news online. The case of the Cambridge Analytica intervention in the monitoring of social media users’ data to devise a campaign of targeted political advertising against vulnerable users during the 2016 US presidential election is exemplificative of the severity of this ongoing phenomenon.  </w:t>
      </w:r>
    </w:p>
    <w:p w:rsidR="00FB0B24" w:rsidRPr="005B5CB6" w:rsidP="00951A38">
      <w:pPr>
        <w:spacing w:after="17"/>
        <w:ind w:left="720"/>
        <w:jc w:val="both"/>
        <w:rPr>
          <w:rFonts w:ascii="Verdana" w:hAnsi="Verdana"/>
        </w:rPr>
      </w:pPr>
      <w:r w:rsidRPr="005B5CB6">
        <w:rPr>
          <w:rFonts w:ascii="Verdana" w:eastAsia="Verdana" w:hAnsi="Verdana" w:cs="Verdana"/>
        </w:rPr>
        <w:t xml:space="preserve"> </w:t>
      </w:r>
    </w:p>
    <w:p w:rsidR="00FB0B24" w:rsidRPr="005B5CB6" w:rsidP="00951A38">
      <w:pPr>
        <w:numPr>
          <w:ilvl w:val="1"/>
          <w:numId w:val="13"/>
        </w:numPr>
        <w:spacing w:after="26" w:line="249" w:lineRule="auto"/>
        <w:ind w:right="12" w:hanging="720"/>
        <w:jc w:val="both"/>
        <w:rPr>
          <w:rFonts w:ascii="Verdana" w:hAnsi="Verdana"/>
        </w:rPr>
      </w:pPr>
      <w:r w:rsidRPr="005B5CB6">
        <w:rPr>
          <w:rFonts w:ascii="Verdana" w:eastAsia="Verdana" w:hAnsi="Verdana" w:cs="Verdana"/>
        </w:rPr>
        <w:t xml:space="preserve">The UK Parliament is aware of the danger posed by targeted political advertising in the short, medium and long term. On 18 February 2019, the </w:t>
      </w:r>
      <w:r w:rsidRPr="005B5CB6">
        <w:rPr>
          <w:rFonts w:ascii="Verdana" w:eastAsia="Verdana" w:hAnsi="Verdana" w:cs="Verdana"/>
          <w:i/>
        </w:rPr>
        <w:t>The Digital, Culture, Media and Sport</w:t>
      </w:r>
      <w:r w:rsidRPr="005B5CB6">
        <w:rPr>
          <w:rFonts w:ascii="Verdana" w:eastAsia="Verdana" w:hAnsi="Verdana" w:cs="Verdana"/>
        </w:rPr>
        <w:t xml:space="preserve"> Select Committee of the House of Commons published its final report on ‘Disinformation and fake news.’</w:t>
      </w:r>
      <w:r>
        <w:rPr>
          <w:rFonts w:ascii="Verdana" w:eastAsia="Verdana" w:hAnsi="Verdana" w:cs="Verdana"/>
          <w:vertAlign w:val="superscript"/>
        </w:rPr>
        <w:footnoteReference w:id="15"/>
      </w:r>
      <w:r w:rsidRPr="005B5CB6">
        <w:rPr>
          <w:rFonts w:ascii="Verdana" w:eastAsia="Verdana" w:hAnsi="Verdana" w:cs="Verdana"/>
        </w:rPr>
        <w:t xml:space="preserve"> Among the recommended actions to Parliament are: (1) the adoption of a compulsory Code of Ethics for tech, including social media, companies to be overseen by an independent regulator and (2) passing legislation establishing an obligation for social media companies to take down ‘proven sources of disinformation.’ </w:t>
      </w:r>
    </w:p>
    <w:p w:rsidR="00FB0B24" w:rsidRPr="005B5CB6" w:rsidP="00951A38">
      <w:pPr>
        <w:spacing w:after="17"/>
        <w:ind w:left="720"/>
        <w:jc w:val="both"/>
        <w:rPr>
          <w:rFonts w:ascii="Verdana" w:hAnsi="Verdana"/>
        </w:rPr>
      </w:pPr>
      <w:r w:rsidRPr="005B5CB6">
        <w:rPr>
          <w:rFonts w:ascii="Verdana" w:eastAsia="Verdana" w:hAnsi="Verdana" w:cs="Verdana"/>
        </w:rPr>
        <w:t xml:space="preserve"> </w:t>
      </w:r>
    </w:p>
    <w:p w:rsidR="00FB0B24" w:rsidRPr="005B5CB6" w:rsidP="00951A38">
      <w:pPr>
        <w:numPr>
          <w:ilvl w:val="1"/>
          <w:numId w:val="13"/>
        </w:numPr>
        <w:spacing w:after="25" w:line="249" w:lineRule="auto"/>
        <w:ind w:right="12" w:hanging="720"/>
        <w:jc w:val="both"/>
        <w:rPr>
          <w:rFonts w:ascii="Verdana" w:hAnsi="Verdana"/>
        </w:rPr>
      </w:pPr>
      <w:r w:rsidRPr="005B5CB6">
        <w:rPr>
          <w:rFonts w:ascii="Verdana" w:eastAsia="Verdana" w:hAnsi="Verdana" w:cs="Verdana"/>
        </w:rPr>
        <w:t>This submission provides evidence of the actual and potential benefits of resorting to blockchain technology as an instrument complementary to the legislative reforms referred to in paragraph 1.2 above. By enabling fact checking by educated citizens, blockchain technology can be effective in detecting sources of disinformation and tackling the spread of fake news. I will focus on a single case study, which I think has the best chances of success among the existent blockchain solutions: Kleros, a multi-purpose system of dispute resolution.</w:t>
      </w:r>
      <w:r>
        <w:rPr>
          <w:rFonts w:ascii="Verdana" w:eastAsia="Verdana" w:hAnsi="Verdana" w:cs="Verdana"/>
          <w:vertAlign w:val="superscript"/>
        </w:rPr>
        <w:footnoteReference w:id="16"/>
      </w:r>
      <w:r w:rsidRPr="005B5CB6">
        <w:rPr>
          <w:rFonts w:ascii="Verdana" w:eastAsia="Verdana" w:hAnsi="Verdana" w:cs="Verdana"/>
        </w:rPr>
        <w:t xml:space="preserve"> Section 2 provides a brief description of the main features of Kleros. Section 3 discusses its practical applications in addressing and redressing the spread of fake news. </w:t>
      </w:r>
    </w:p>
    <w:p w:rsidR="00FB0B24" w:rsidRPr="005B5CB6" w:rsidP="00951A38">
      <w:pPr>
        <w:spacing w:after="17"/>
        <w:ind w:left="1081"/>
        <w:jc w:val="both"/>
        <w:rPr>
          <w:rFonts w:ascii="Verdana" w:hAnsi="Verdana"/>
        </w:rPr>
      </w:pPr>
      <w:r w:rsidRPr="005B5CB6">
        <w:rPr>
          <w:rFonts w:ascii="Verdana" w:eastAsia="Verdana" w:hAnsi="Verdana" w:cs="Verdana"/>
        </w:rPr>
        <w:t xml:space="preserve"> </w:t>
      </w:r>
    </w:p>
    <w:p w:rsidR="00FB0B24" w:rsidRPr="005B5CB6" w:rsidP="00951A38">
      <w:pPr>
        <w:numPr>
          <w:ilvl w:val="0"/>
          <w:numId w:val="13"/>
        </w:numPr>
        <w:spacing w:after="228" w:line="371" w:lineRule="auto"/>
        <w:ind w:right="2642" w:hanging="360"/>
        <w:jc w:val="both"/>
        <w:rPr>
          <w:rFonts w:ascii="Verdana" w:hAnsi="Verdana"/>
        </w:rPr>
      </w:pPr>
      <w:r w:rsidRPr="005B5CB6">
        <w:rPr>
          <w:rFonts w:ascii="Verdana" w:eastAsia="Verdana" w:hAnsi="Verdana" w:cs="Verdana"/>
          <w:b/>
        </w:rPr>
        <w:t xml:space="preserve">Kleros: a brief overview </w:t>
      </w:r>
      <w:r w:rsidRPr="005B5CB6">
        <w:rPr>
          <w:rFonts w:ascii="Verdana" w:eastAsia="Verdana" w:hAnsi="Verdana" w:cs="Verdana"/>
        </w:rPr>
        <w:t>2.1</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u w:val="single" w:color="000000"/>
        </w:rPr>
        <w:t>What is Kleros?</w:t>
      </w:r>
      <w:r w:rsidRPr="005B5CB6">
        <w:rPr>
          <w:rFonts w:ascii="Verdana" w:eastAsia="Verdana" w:hAnsi="Verdana" w:cs="Verdana"/>
        </w:rPr>
        <w:t xml:space="preserve"> </w:t>
      </w:r>
    </w:p>
    <w:p w:rsidR="00FB0B24" w:rsidRPr="005B5CB6" w:rsidP="00951A38">
      <w:pPr>
        <w:spacing w:after="0"/>
        <w:jc w:val="both"/>
        <w:rPr>
          <w:rFonts w:ascii="Verdana" w:hAnsi="Verdana"/>
        </w:rPr>
      </w:pPr>
      <w:r w:rsidRPr="005B5CB6">
        <w:rPr>
          <w:rFonts w:ascii="Verdana" w:hAnsi="Verdana"/>
          <w:noProof/>
        </w:rPr>
        <mc:AlternateContent>
          <mc:Choice Requires="wpg">
            <w:drawing>
              <wp:inline distT="0" distB="0" distL="0" distR="0">
                <wp:extent cx="1828800" cy="6096"/>
                <wp:effectExtent l="0" t="0" r="0" b="0"/>
                <wp:docPr id="506990" name="Group 50699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6096"/>
                          <a:chOff x="0" y="0"/>
                          <a:chExt cx="1828800" cy="6096"/>
                        </a:xfrm>
                      </wpg:grpSpPr>
                      <wps:wsp xmlns:wps="http://schemas.microsoft.com/office/word/2010/wordprocessingShape">
                        <wps:cNvPr id="635324" name="Shape 63532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35" style="height:0.48pt;mso-position-horizontal-relative:char;mso-position-vertical-relative:line;width:2in" coordsize="18288,60">
                <v:shape id="_x0000_s1036" style="height:91;position:absolute;width:18288" coordsize="1828800,9144" path="m,l1828800,l1828800,9144l,9144l,e">
                  <v:stroke joinstyle="miter" endcap="flat" opacity="0"/>
                </v:shape>
                <w10:wrap type="none"/>
              </v:group>
            </w:pict>
          </mc:Fallback>
        </mc:AlternateContent>
      </w:r>
      <w:r w:rsidRPr="005B5CB6">
        <w:rPr>
          <w:rFonts w:ascii="Verdana" w:eastAsia="Garamond" w:hAnsi="Verdana" w:cs="Garamond"/>
        </w:rPr>
        <w:t xml:space="preserve"> </w:t>
      </w:r>
    </w:p>
    <w:p w:rsidR="00FB0B24" w:rsidRPr="005B5CB6" w:rsidP="00951A38">
      <w:pPr>
        <w:spacing w:after="35" w:line="249" w:lineRule="auto"/>
        <w:ind w:left="729" w:right="12" w:hanging="9"/>
        <w:jc w:val="both"/>
        <w:rPr>
          <w:rFonts w:ascii="Verdana" w:hAnsi="Verdana"/>
        </w:rPr>
      </w:pPr>
      <w:r w:rsidRPr="005B5CB6">
        <w:rPr>
          <w:rFonts w:ascii="Verdana" w:eastAsia="Verdana" w:hAnsi="Verdana" w:cs="Verdana"/>
        </w:rPr>
        <w:t>Kleros is a peer-to-peer system of dispute resolution. Inspired by the ancient Greek tradition of randomly selecting public servants (including jurors in the courts) through lottery (</w:t>
      </w:r>
      <w:r w:rsidRPr="005B5CB6">
        <w:rPr>
          <w:rFonts w:ascii="Verdana" w:eastAsia="Verdana" w:hAnsi="Verdana" w:cs="Verdana"/>
          <w:i/>
        </w:rPr>
        <w:t>kleroterion</w:t>
      </w:r>
      <w:r w:rsidRPr="005B5CB6">
        <w:rPr>
          <w:rFonts w:ascii="Verdana" w:eastAsia="Verdana" w:hAnsi="Verdana" w:cs="Verdana"/>
        </w:rPr>
        <w:t xml:space="preserve">), it is designed to be an instrument of digital democracy. It is run on a blockchain in order to exploit the power of cryptography to randomly select the jurors for each dispute while generating a public, immutable record of each transaction. Like in the </w:t>
      </w:r>
      <w:r w:rsidRPr="005B5CB6">
        <w:rPr>
          <w:rFonts w:ascii="Verdana" w:eastAsia="Verdana" w:hAnsi="Verdana" w:cs="Verdana"/>
          <w:i/>
        </w:rPr>
        <w:t xml:space="preserve">kleroterion </w:t>
      </w:r>
      <w:r w:rsidRPr="005B5CB6">
        <w:rPr>
          <w:rFonts w:ascii="Verdana" w:eastAsia="Verdana" w:hAnsi="Verdana" w:cs="Verdana"/>
        </w:rPr>
        <w:t xml:space="preserve">tradition, the selection of Kleros jurors takes place in an open public space – only this time a digital space. </w:t>
      </w:r>
    </w:p>
    <w:p w:rsidR="00FB0B24" w:rsidRPr="005B5CB6" w:rsidP="00951A38">
      <w:pPr>
        <w:numPr>
          <w:ilvl w:val="1"/>
          <w:numId w:val="14"/>
        </w:numPr>
        <w:spacing w:after="32" w:line="249" w:lineRule="auto"/>
        <w:ind w:hanging="720"/>
        <w:jc w:val="both"/>
        <w:rPr>
          <w:rFonts w:ascii="Verdana" w:hAnsi="Verdana"/>
        </w:rPr>
      </w:pPr>
      <w:r w:rsidRPr="005B5CB6">
        <w:rPr>
          <w:rFonts w:ascii="Verdana" w:eastAsia="Verdana" w:hAnsi="Verdana" w:cs="Verdana"/>
          <w:u w:val="single" w:color="000000"/>
        </w:rPr>
        <w:t>How does it work?</w:t>
      </w:r>
      <w:r w:rsidRPr="005B5CB6">
        <w:rPr>
          <w:rFonts w:ascii="Verdana" w:eastAsia="Verdana" w:hAnsi="Verdana" w:cs="Verdana"/>
        </w:rPr>
        <w:t xml:space="preserve">  </w:t>
      </w:r>
    </w:p>
    <w:p w:rsidR="00FB0B24" w:rsidRPr="005B5CB6" w:rsidP="00951A38">
      <w:pPr>
        <w:spacing w:after="5" w:line="249" w:lineRule="auto"/>
        <w:ind w:left="729" w:right="12" w:hanging="9"/>
        <w:jc w:val="both"/>
        <w:rPr>
          <w:rFonts w:ascii="Verdana" w:hAnsi="Verdana"/>
        </w:rPr>
      </w:pPr>
      <w:r w:rsidRPr="005B5CB6">
        <w:rPr>
          <w:rFonts w:ascii="Verdana" w:eastAsia="Verdana" w:hAnsi="Verdana" w:cs="Verdana"/>
        </w:rPr>
        <w:t xml:space="preserve">The </w:t>
      </w:r>
      <w:r w:rsidRPr="005B5CB6">
        <w:rPr>
          <w:rFonts w:ascii="Verdana" w:eastAsia="Verdana" w:hAnsi="Verdana" w:cs="Verdana"/>
          <w:i/>
        </w:rPr>
        <w:t xml:space="preserve">kleroterion </w:t>
      </w:r>
      <w:r w:rsidRPr="005B5CB6">
        <w:rPr>
          <w:rFonts w:ascii="Verdana" w:eastAsia="Verdana" w:hAnsi="Verdana" w:cs="Verdana"/>
        </w:rPr>
        <w:t xml:space="preserve">was essentially a randomization machine. Small bronze plates called </w:t>
      </w:r>
      <w:r w:rsidRPr="005B5CB6">
        <w:rPr>
          <w:rFonts w:ascii="Verdana" w:eastAsia="Verdana" w:hAnsi="Verdana" w:cs="Verdana"/>
          <w:i/>
        </w:rPr>
        <w:t xml:space="preserve">pinakia </w:t>
      </w:r>
      <w:r w:rsidRPr="005B5CB6">
        <w:rPr>
          <w:rFonts w:ascii="Verdana" w:eastAsia="Verdana" w:hAnsi="Verdana" w:cs="Verdana"/>
        </w:rPr>
        <w:t xml:space="preserve">were used to identify each citizen from the ancient Greek cities. </w:t>
      </w:r>
      <w:r w:rsidRPr="005B5CB6">
        <w:rPr>
          <w:rFonts w:ascii="Verdana" w:eastAsia="Verdana" w:hAnsi="Verdana" w:cs="Verdana"/>
          <w:i/>
        </w:rPr>
        <w:t>Pinakia</w:t>
      </w:r>
      <w:r w:rsidRPr="005B5CB6">
        <w:rPr>
          <w:rFonts w:ascii="Verdana" w:eastAsia="Verdana" w:hAnsi="Verdana" w:cs="Verdana"/>
        </w:rPr>
        <w:t xml:space="preserve"> were randomly inserted into designated slots of the </w:t>
      </w:r>
      <w:r w:rsidRPr="005B5CB6">
        <w:rPr>
          <w:rFonts w:ascii="Verdana" w:eastAsia="Verdana" w:hAnsi="Verdana" w:cs="Verdana"/>
          <w:i/>
        </w:rPr>
        <w:t>kleroterion</w:t>
      </w:r>
      <w:r w:rsidRPr="005B5CB6">
        <w:rPr>
          <w:rFonts w:ascii="Verdana" w:eastAsia="Verdana" w:hAnsi="Verdana" w:cs="Verdana"/>
        </w:rPr>
        <w:t xml:space="preserve">, each column of the machine corresponding to a city. Public servants and jury members were then selected in equal numbers from each city through rolling dice. In order to select jurors randomly, Kleros has created its own token – the ‘pinakion’ (PNK). Perspective jurors must buy their PNK to signify their interest to be selected and stake their tokens for each dispute they would like to arbitrate. The cryptography underlying the blockchain then selects PNK tokens randomly from the lot, thus assigning a panel of jurors for each dispute in an unbiased way. </w:t>
      </w:r>
    </w:p>
    <w:p w:rsidR="00FB0B24" w:rsidRPr="005B5CB6" w:rsidP="00951A38">
      <w:pPr>
        <w:spacing w:after="29"/>
        <w:ind w:left="721"/>
        <w:jc w:val="both"/>
        <w:rPr>
          <w:rFonts w:ascii="Verdana" w:hAnsi="Verdana"/>
        </w:rPr>
      </w:pPr>
      <w:r w:rsidRPr="005B5CB6">
        <w:rPr>
          <w:rFonts w:ascii="Verdana" w:eastAsia="Verdana" w:hAnsi="Verdana" w:cs="Verdana"/>
        </w:rPr>
        <w:t xml:space="preserve"> </w:t>
      </w:r>
    </w:p>
    <w:p w:rsidR="00FB0B24" w:rsidRPr="005B5CB6" w:rsidP="00951A38">
      <w:pPr>
        <w:numPr>
          <w:ilvl w:val="1"/>
          <w:numId w:val="14"/>
        </w:numPr>
        <w:spacing w:after="32" w:line="249" w:lineRule="auto"/>
        <w:ind w:hanging="720"/>
        <w:jc w:val="both"/>
        <w:rPr>
          <w:rFonts w:ascii="Verdana" w:hAnsi="Verdana"/>
        </w:rPr>
      </w:pPr>
      <w:r w:rsidRPr="005B5CB6">
        <w:rPr>
          <w:rFonts w:ascii="Verdana" w:eastAsia="Verdana" w:hAnsi="Verdana" w:cs="Verdana"/>
          <w:u w:val="single" w:color="000000"/>
        </w:rPr>
        <w:t>Who owns Kleros?</w:t>
      </w:r>
      <w:r w:rsidRPr="005B5CB6">
        <w:rPr>
          <w:rFonts w:ascii="Verdana" w:eastAsia="Verdana" w:hAnsi="Verdana" w:cs="Verdana"/>
        </w:rPr>
        <w:t xml:space="preserve">  </w:t>
      </w:r>
    </w:p>
    <w:p w:rsidR="00FB0B24" w:rsidRPr="005B5CB6" w:rsidP="00951A38">
      <w:pPr>
        <w:spacing w:after="5" w:line="249" w:lineRule="auto"/>
        <w:ind w:left="729" w:right="12" w:hanging="9"/>
        <w:jc w:val="both"/>
        <w:rPr>
          <w:rFonts w:ascii="Verdana" w:hAnsi="Verdana"/>
        </w:rPr>
      </w:pPr>
      <w:r w:rsidRPr="005B5CB6">
        <w:rPr>
          <w:rFonts w:ascii="Verdana" w:eastAsia="Verdana" w:hAnsi="Verdana" w:cs="Verdana"/>
        </w:rPr>
        <w:t xml:space="preserve">The blockchain is a decentralized system, meaning that it is owned by nobody but its own users. Accordingly, as a blockchain application, no single person owns (or can own) Kleros. Quite the contrary, it is a digital ledger open to anyone who wishes to join the network of users. </w:t>
      </w:r>
    </w:p>
    <w:p w:rsidR="00FB0B24" w:rsidRPr="005B5CB6" w:rsidP="00951A38">
      <w:pPr>
        <w:spacing w:after="29"/>
        <w:ind w:left="720"/>
        <w:jc w:val="both"/>
        <w:rPr>
          <w:rFonts w:ascii="Verdana" w:hAnsi="Verdana"/>
        </w:rPr>
      </w:pPr>
      <w:r w:rsidRPr="005B5CB6">
        <w:rPr>
          <w:rFonts w:ascii="Verdana" w:eastAsia="Verdana" w:hAnsi="Verdana" w:cs="Verdana"/>
        </w:rPr>
        <w:t xml:space="preserve"> </w:t>
      </w:r>
    </w:p>
    <w:p w:rsidR="00FB0B24" w:rsidRPr="005B5CB6" w:rsidP="00951A38">
      <w:pPr>
        <w:numPr>
          <w:ilvl w:val="1"/>
          <w:numId w:val="14"/>
        </w:numPr>
        <w:spacing w:after="32" w:line="249" w:lineRule="auto"/>
        <w:ind w:hanging="720"/>
        <w:jc w:val="both"/>
        <w:rPr>
          <w:rFonts w:ascii="Verdana" w:hAnsi="Verdana"/>
        </w:rPr>
      </w:pPr>
      <w:r w:rsidRPr="005B5CB6">
        <w:rPr>
          <w:rFonts w:ascii="Verdana" w:eastAsia="Verdana" w:hAnsi="Verdana" w:cs="Verdana"/>
          <w:u w:val="single" w:color="000000"/>
        </w:rPr>
        <w:t>How do jurors decide?</w:t>
      </w:r>
      <w:r w:rsidRPr="005B5CB6">
        <w:rPr>
          <w:rFonts w:ascii="Verdana" w:eastAsia="Verdana" w:hAnsi="Verdana" w:cs="Verdana"/>
        </w:rPr>
        <w:t xml:space="preserve"> </w:t>
      </w:r>
    </w:p>
    <w:p w:rsidR="00FB0B24" w:rsidRPr="005B5CB6" w:rsidP="00951A38">
      <w:pPr>
        <w:spacing w:after="241" w:line="249" w:lineRule="auto"/>
        <w:ind w:left="729" w:right="12" w:hanging="9"/>
        <w:jc w:val="both"/>
        <w:rPr>
          <w:rFonts w:ascii="Verdana" w:hAnsi="Verdana"/>
        </w:rPr>
      </w:pPr>
      <w:r w:rsidRPr="005B5CB6">
        <w:rPr>
          <w:rFonts w:ascii="Verdana" w:eastAsia="Verdana" w:hAnsi="Verdana" w:cs="Verdana"/>
        </w:rPr>
        <w:t>Kleros aims at rewarding honest jurors.</w:t>
      </w:r>
      <w:r>
        <w:rPr>
          <w:rFonts w:ascii="Verdana" w:eastAsia="Verdana" w:hAnsi="Verdana" w:cs="Verdana"/>
          <w:vertAlign w:val="superscript"/>
        </w:rPr>
        <w:footnoteReference w:id="17"/>
      </w:r>
      <w:r w:rsidRPr="005B5CB6">
        <w:rPr>
          <w:rFonts w:ascii="Verdana" w:eastAsia="Verdana" w:hAnsi="Verdana" w:cs="Verdana"/>
        </w:rPr>
        <w:t xml:space="preserve"> In brief, once randomly selected, jurors are required to analyse the evidence submitted by the parties to the dispute</w:t>
      </w:r>
      <w:r>
        <w:rPr>
          <w:rFonts w:ascii="Verdana" w:eastAsia="Verdana" w:hAnsi="Verdana" w:cs="Verdana"/>
          <w:vertAlign w:val="superscript"/>
        </w:rPr>
        <w:footnoteReference w:id="18"/>
      </w:r>
      <w:r w:rsidRPr="005B5CB6">
        <w:rPr>
          <w:rFonts w:ascii="Verdana" w:eastAsia="Verdana" w:hAnsi="Verdana" w:cs="Verdana"/>
        </w:rPr>
        <w:t xml:space="preserve"> and vote within a given session time. (The arbitration fees to be paid by the parties in advance are proportional to the session time). </w:t>
      </w:r>
      <w:r w:rsidRPr="005B5CB6">
        <w:rPr>
          <w:rFonts w:ascii="Verdana" w:eastAsia="Verdana" w:hAnsi="Verdana" w:cs="Verdana"/>
          <w:i/>
        </w:rPr>
        <w:t>Jurors do not know or communicate with each other</w:t>
      </w:r>
      <w:r w:rsidRPr="005B5CB6">
        <w:rPr>
          <w:rFonts w:ascii="Verdana" w:eastAsia="Verdana" w:hAnsi="Verdana" w:cs="Verdana"/>
        </w:rPr>
        <w:t xml:space="preserve"> and are expected to apply honest judgment in voting for the outcome of the case. They are also required to justify their decision. Once all jurors have voted, the decision is revealed to the parties.</w:t>
      </w:r>
      <w:r>
        <w:rPr>
          <w:rFonts w:ascii="Verdana" w:eastAsia="Verdana" w:hAnsi="Verdana" w:cs="Verdana"/>
          <w:vertAlign w:val="superscript"/>
        </w:rPr>
        <w:footnoteReference w:id="19"/>
      </w:r>
      <w:r w:rsidRPr="005B5CB6">
        <w:rPr>
          <w:rFonts w:ascii="Verdana" w:eastAsia="Verdana" w:hAnsi="Verdana" w:cs="Verdana"/>
        </w:rPr>
        <w:t xml:space="preserve"> Jurors that voted with the majority are rewarded with a share of the arbitration fees (PNK redistribution). Those who voted with the minority, have the tokens they staked to be considered for selection as jurors redistributed proportionally to the jurors who voted with the majority (in addition to the arbitration fees). As a result, honest </w:t>
      </w:r>
    </w:p>
    <w:p w:rsidR="00FB0B24" w:rsidRPr="005B5CB6" w:rsidP="00951A38">
      <w:pPr>
        <w:spacing w:after="0"/>
        <w:jc w:val="both"/>
        <w:rPr>
          <w:rFonts w:ascii="Verdana" w:hAnsi="Verdana"/>
        </w:rPr>
      </w:pPr>
      <w:r w:rsidRPr="005B5CB6">
        <w:rPr>
          <w:rFonts w:ascii="Verdana" w:hAnsi="Verdana"/>
          <w:noProof/>
        </w:rPr>
        <mc:AlternateContent>
          <mc:Choice Requires="wpg">
            <w:drawing>
              <wp:inline distT="0" distB="0" distL="0" distR="0">
                <wp:extent cx="1828800" cy="6096"/>
                <wp:effectExtent l="0" t="0" r="0" b="0"/>
                <wp:docPr id="506809" name="Group 50680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6096"/>
                          <a:chOff x="0" y="0"/>
                          <a:chExt cx="1828800" cy="6096"/>
                        </a:xfrm>
                      </wpg:grpSpPr>
                      <wps:wsp xmlns:wps="http://schemas.microsoft.com/office/word/2010/wordprocessingShape">
                        <wps:cNvPr id="635326" name="Shape 63532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37" style="height:0.48pt;mso-position-horizontal-relative:char;mso-position-vertical-relative:line;width:2in" coordsize="18288,60">
                <v:shape id="_x0000_s1038" style="height:91;position:absolute;width:18288" coordsize="1828800,9144" path="m,l1828800,l1828800,9144l,9144l,e">
                  <v:stroke joinstyle="miter" endcap="flat" opacity="0"/>
                </v:shape>
                <w10:wrap type="none"/>
              </v:group>
            </w:pict>
          </mc:Fallback>
        </mc:AlternateContent>
      </w:r>
      <w:r w:rsidRPr="005B5CB6">
        <w:rPr>
          <w:rFonts w:ascii="Verdana" w:eastAsia="Garamond" w:hAnsi="Verdana" w:cs="Garamond"/>
        </w:rPr>
        <w:t xml:space="preserve"> </w:t>
      </w:r>
    </w:p>
    <w:p w:rsidR="00FB0B24" w:rsidRPr="005B5CB6" w:rsidP="00951A38">
      <w:pPr>
        <w:spacing w:after="5" w:line="250" w:lineRule="auto"/>
        <w:ind w:left="728" w:right="11" w:hanging="8"/>
        <w:jc w:val="both"/>
        <w:rPr>
          <w:rFonts w:ascii="Verdana" w:hAnsi="Verdana"/>
        </w:rPr>
      </w:pPr>
      <w:r w:rsidRPr="005B5CB6">
        <w:rPr>
          <w:rFonts w:ascii="Verdana" w:eastAsia="Verdana" w:hAnsi="Verdana" w:cs="Verdana"/>
        </w:rPr>
        <w:t xml:space="preserve">behaviour is rewarded while dishonest, careless behaviour is penalized through an economic loss. </w:t>
      </w:r>
    </w:p>
    <w:p w:rsidR="00FB0B24" w:rsidRPr="005B5CB6" w:rsidP="00951A38">
      <w:pPr>
        <w:spacing w:after="29"/>
        <w:ind w:left="720"/>
        <w:jc w:val="both"/>
        <w:rPr>
          <w:rFonts w:ascii="Verdana" w:hAnsi="Verdana"/>
        </w:rPr>
      </w:pPr>
      <w:r w:rsidRPr="005B5CB6">
        <w:rPr>
          <w:rFonts w:ascii="Verdana" w:eastAsia="Verdana" w:hAnsi="Verdana" w:cs="Verdana"/>
        </w:rPr>
        <w:t xml:space="preserve"> </w:t>
      </w:r>
    </w:p>
    <w:p w:rsidR="00FB0B24" w:rsidRPr="005B5CB6" w:rsidP="00951A38">
      <w:pPr>
        <w:pStyle w:val="Heading2"/>
        <w:rPr>
          <w:sz w:val="22"/>
        </w:rPr>
      </w:pPr>
      <w:r w:rsidRPr="005B5CB6">
        <w:rPr>
          <w:b w:val="0"/>
          <w:sz w:val="22"/>
        </w:rPr>
        <w:t>2.5</w:t>
      </w:r>
      <w:r w:rsidRPr="005B5CB6">
        <w:rPr>
          <w:rFonts w:eastAsia="Arial" w:cs="Arial"/>
          <w:b w:val="0"/>
          <w:sz w:val="22"/>
        </w:rPr>
        <w:t xml:space="preserve"> </w:t>
      </w:r>
      <w:r w:rsidRPr="005B5CB6">
        <w:rPr>
          <w:rFonts w:eastAsia="Arial" w:cs="Arial"/>
          <w:b w:val="0"/>
          <w:sz w:val="22"/>
        </w:rPr>
        <w:tab/>
      </w:r>
      <w:r w:rsidRPr="005B5CB6">
        <w:rPr>
          <w:b w:val="0"/>
          <w:sz w:val="22"/>
          <w:u w:val="single" w:color="000000"/>
        </w:rPr>
        <w:t>Kleros and digital democracy in practice: basic statistics</w:t>
      </w:r>
      <w:r w:rsidRPr="005B5CB6">
        <w:rPr>
          <w:b w:val="0"/>
          <w:sz w:val="22"/>
        </w:rPr>
        <w:t xml:space="preserve"> </w:t>
      </w:r>
    </w:p>
    <w:p w:rsidR="00FB0B24" w:rsidRPr="005B5CB6" w:rsidP="00951A38">
      <w:pPr>
        <w:spacing w:after="55" w:line="249" w:lineRule="auto"/>
        <w:ind w:left="729" w:right="12" w:hanging="9"/>
        <w:jc w:val="both"/>
        <w:rPr>
          <w:rFonts w:ascii="Verdana" w:hAnsi="Verdana"/>
        </w:rPr>
      </w:pPr>
      <w:r w:rsidRPr="005B5CB6">
        <w:rPr>
          <w:rFonts w:ascii="Verdana" w:eastAsia="Verdana" w:hAnsi="Verdana" w:cs="Verdana"/>
        </w:rPr>
        <w:t>Created in 2017, Kleros is up and running, making a growing impact on society. Up to 19 August 2019, Kleros has adjudicated 300 disputes. Most disputes so far have arisen from cryptocurrency platforms. The largest claim so far has been worth £6,400 while the smallest £95. Of the 300 disputes adjudicated, 54 have been appealed within Kleros to a larger jury. Among the decisions appealed, 5 disputes (out of a total of 13) relate to listing of cryptocurrencies on the exchange while 38 disputes (out of a total of 196) relate to a blockchain based game run by Kleros as a pilot project to test the efficiency and credibility of the system.</w:t>
      </w:r>
      <w:r>
        <w:rPr>
          <w:rFonts w:ascii="Verdana" w:eastAsia="Verdana" w:hAnsi="Verdana" w:cs="Verdana"/>
          <w:vertAlign w:val="superscript"/>
        </w:rPr>
        <w:footnoteReference w:id="20"/>
      </w:r>
      <w:r w:rsidRPr="005B5CB6">
        <w:rPr>
          <w:rFonts w:ascii="Verdana" w:eastAsia="Verdana" w:hAnsi="Verdana" w:cs="Verdana"/>
        </w:rPr>
        <w:t xml:space="preserve"> </w:t>
      </w:r>
    </w:p>
    <w:p w:rsidR="00FB0B24" w:rsidRPr="005B5CB6" w:rsidP="00951A38">
      <w:pPr>
        <w:spacing w:after="17"/>
        <w:ind w:left="1080"/>
        <w:jc w:val="both"/>
        <w:rPr>
          <w:rFonts w:ascii="Verdana" w:hAnsi="Verdana"/>
        </w:rPr>
      </w:pPr>
      <w:r w:rsidRPr="005B5CB6">
        <w:rPr>
          <w:rFonts w:ascii="Verdana" w:eastAsia="Verdana" w:hAnsi="Verdana" w:cs="Verdana"/>
        </w:rPr>
        <w:t xml:space="preserve"> </w:t>
      </w:r>
    </w:p>
    <w:p w:rsidR="00FB0B24" w:rsidRPr="005B5CB6" w:rsidP="00951A38">
      <w:pPr>
        <w:spacing w:after="131" w:line="250" w:lineRule="auto"/>
        <w:ind w:left="11" w:hanging="10"/>
        <w:jc w:val="both"/>
        <w:rPr>
          <w:rFonts w:ascii="Verdana" w:hAnsi="Verdana"/>
        </w:rPr>
      </w:pPr>
      <w:r w:rsidRPr="005B5CB6">
        <w:rPr>
          <w:rFonts w:ascii="Verdana" w:eastAsia="Verdana" w:hAnsi="Verdana" w:cs="Verdana"/>
          <w:b/>
        </w:rPr>
        <w:t>3.</w:t>
      </w:r>
      <w:r w:rsidRPr="005B5CB6">
        <w:rPr>
          <w:rFonts w:ascii="Verdana" w:eastAsia="Arial" w:hAnsi="Verdana" w:cs="Arial"/>
          <w:b/>
        </w:rPr>
        <w:t xml:space="preserve"> </w:t>
      </w:r>
      <w:r w:rsidRPr="005B5CB6">
        <w:rPr>
          <w:rFonts w:ascii="Verdana" w:eastAsia="Verdana" w:hAnsi="Verdana" w:cs="Verdana"/>
          <w:b/>
        </w:rPr>
        <w:t xml:space="preserve">Kleros and fake news </w:t>
      </w:r>
    </w:p>
    <w:p w:rsidR="00FB0B24" w:rsidRPr="005B5CB6" w:rsidP="00951A38">
      <w:pPr>
        <w:pStyle w:val="Heading2"/>
        <w:rPr>
          <w:sz w:val="22"/>
        </w:rPr>
      </w:pPr>
      <w:r w:rsidRPr="005B5CB6">
        <w:rPr>
          <w:b w:val="0"/>
          <w:sz w:val="22"/>
        </w:rPr>
        <w:t>3.1</w:t>
      </w:r>
      <w:r w:rsidRPr="005B5CB6">
        <w:rPr>
          <w:rFonts w:eastAsia="Arial" w:cs="Arial"/>
          <w:b w:val="0"/>
          <w:sz w:val="22"/>
        </w:rPr>
        <w:t xml:space="preserve"> </w:t>
      </w:r>
      <w:r w:rsidRPr="005B5CB6">
        <w:rPr>
          <w:rFonts w:eastAsia="Arial" w:cs="Arial"/>
          <w:b w:val="0"/>
          <w:sz w:val="22"/>
        </w:rPr>
        <w:tab/>
      </w:r>
      <w:r w:rsidRPr="005B5CB6">
        <w:rPr>
          <w:b w:val="0"/>
          <w:sz w:val="22"/>
          <w:u w:val="single" w:color="000000"/>
        </w:rPr>
        <w:t>A specialized sub-court on fake news</w:t>
      </w:r>
      <w:r w:rsidRPr="005B5CB6">
        <w:rPr>
          <w:b w:val="0"/>
          <w:sz w:val="22"/>
        </w:rPr>
        <w:t xml:space="preserve"> </w:t>
      </w:r>
    </w:p>
    <w:p w:rsidR="00FB0B24" w:rsidRPr="005B5CB6" w:rsidP="00951A38">
      <w:pPr>
        <w:spacing w:after="5" w:line="249" w:lineRule="auto"/>
        <w:ind w:left="729" w:right="12" w:hanging="9"/>
        <w:jc w:val="both"/>
        <w:rPr>
          <w:rFonts w:ascii="Verdana" w:hAnsi="Verdana"/>
        </w:rPr>
      </w:pPr>
      <w:r w:rsidRPr="005B5CB6">
        <w:rPr>
          <w:rFonts w:ascii="Verdana" w:eastAsia="Verdana" w:hAnsi="Verdana" w:cs="Verdana"/>
        </w:rPr>
        <w:t xml:space="preserve">Kleros’ organigram includes a general court and specialized chambers, each dealing with disputes falling within thematic areas. One such specialized chamber deals with fake news. Jurors with an interest and expertise in this area can stake their PNK tokens to be considered for random selection to arbitrate disputes assigned to this chamber. Fake news submitted to the specialized chamber can also be sorted by language or region with a view to finding an optimal match between type of dispute and expertise or interest of perspective jurors. This option boosts the parties’ confidence that the system is fair. </w:t>
      </w:r>
    </w:p>
    <w:p w:rsidR="00FB0B24" w:rsidRPr="005B5CB6" w:rsidP="00951A38">
      <w:pPr>
        <w:spacing w:after="29"/>
        <w:ind w:left="720"/>
        <w:jc w:val="both"/>
        <w:rPr>
          <w:rFonts w:ascii="Verdana" w:hAnsi="Verdana"/>
        </w:rPr>
      </w:pPr>
      <w:r w:rsidRPr="005B5CB6">
        <w:rPr>
          <w:rFonts w:ascii="Verdana" w:eastAsia="Verdana" w:hAnsi="Verdana" w:cs="Verdana"/>
        </w:rPr>
        <w:t xml:space="preserve"> </w:t>
      </w:r>
    </w:p>
    <w:p w:rsidR="00FB0B24" w:rsidRPr="005B5CB6" w:rsidP="00951A38">
      <w:pPr>
        <w:tabs>
          <w:tab w:val="center" w:pos="1737"/>
        </w:tabs>
        <w:spacing w:after="32" w:line="249" w:lineRule="auto"/>
        <w:ind w:left="-14"/>
        <w:jc w:val="both"/>
        <w:rPr>
          <w:rFonts w:ascii="Verdana" w:hAnsi="Verdana"/>
        </w:rPr>
      </w:pPr>
      <w:r w:rsidRPr="005B5CB6">
        <w:rPr>
          <w:rFonts w:ascii="Verdana" w:eastAsia="Verdana" w:hAnsi="Verdana" w:cs="Verdana"/>
        </w:rPr>
        <w:t>3.2</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u w:val="single" w:color="000000"/>
        </w:rPr>
        <w:t>How does it work</w:t>
      </w:r>
      <w:r w:rsidRPr="005B5CB6">
        <w:rPr>
          <w:rFonts w:ascii="Verdana" w:eastAsia="Verdana" w:hAnsi="Verdana" w:cs="Verdana"/>
        </w:rPr>
        <w:t xml:space="preserve">? </w:t>
      </w:r>
    </w:p>
    <w:p w:rsidR="00FB0B24" w:rsidRPr="005B5CB6" w:rsidP="00951A38">
      <w:pPr>
        <w:spacing w:after="5" w:line="249" w:lineRule="auto"/>
        <w:ind w:left="729" w:right="12" w:hanging="9"/>
        <w:jc w:val="both"/>
        <w:rPr>
          <w:rFonts w:ascii="Verdana" w:hAnsi="Verdana"/>
        </w:rPr>
      </w:pPr>
      <w:r w:rsidRPr="005B5CB6">
        <w:rPr>
          <w:rFonts w:ascii="Verdana" w:eastAsia="Verdana" w:hAnsi="Verdana" w:cs="Verdana"/>
        </w:rPr>
        <w:t xml:space="preserve">Once randomly selected, jurors are presented with the evidence submitted by the parties – that is to say, both the person or entity which posted the news item and the challenging party. After examining the evidence, each juror votes on the outcome of the dispute (in this case, a binary outcome: the news item is either fake or not) and provides an explanation of her vote. In doing so, she is incentivized to behave honestly, meaning acting in good faith. The majority rules whether the submitted item is fake news or not. The jurors dissenting from the majority lose their PNK tokens, which are redistributed to the majority judges along with the arbitration fees. The losing party can appeal the decision and have the dispute decided by a new panel of jurors. However, because the system is specifically designed to incentivize the honest behaviour of jurors, appeals require higher arbitration fees. Multiple appeals are allowed, each being more expensive than the previous one. </w:t>
      </w:r>
    </w:p>
    <w:p w:rsidR="00FB0B24" w:rsidRPr="005B5CB6" w:rsidP="00951A38">
      <w:pPr>
        <w:spacing w:after="30"/>
        <w:ind w:left="720"/>
        <w:jc w:val="both"/>
        <w:rPr>
          <w:rFonts w:ascii="Verdana" w:hAnsi="Verdana"/>
        </w:rPr>
      </w:pPr>
      <w:r w:rsidRPr="005B5CB6">
        <w:rPr>
          <w:rFonts w:ascii="Verdana" w:eastAsia="Verdana" w:hAnsi="Verdana" w:cs="Verdana"/>
        </w:rPr>
        <w:t xml:space="preserve"> </w:t>
      </w:r>
    </w:p>
    <w:p w:rsidR="00FB0B24" w:rsidRPr="005B5CB6" w:rsidP="00951A38">
      <w:pPr>
        <w:pStyle w:val="Heading2"/>
        <w:rPr>
          <w:sz w:val="22"/>
        </w:rPr>
      </w:pPr>
      <w:r w:rsidRPr="005B5CB6">
        <w:rPr>
          <w:b w:val="0"/>
          <w:sz w:val="22"/>
        </w:rPr>
        <w:t>3.3</w:t>
      </w:r>
      <w:r w:rsidRPr="005B5CB6">
        <w:rPr>
          <w:rFonts w:eastAsia="Arial" w:cs="Arial"/>
          <w:b w:val="0"/>
          <w:sz w:val="22"/>
        </w:rPr>
        <w:t xml:space="preserve"> </w:t>
      </w:r>
      <w:r w:rsidRPr="005B5CB6">
        <w:rPr>
          <w:rFonts w:eastAsia="Arial" w:cs="Arial"/>
          <w:b w:val="0"/>
          <w:sz w:val="22"/>
        </w:rPr>
        <w:tab/>
      </w:r>
      <w:r w:rsidRPr="005B5CB6">
        <w:rPr>
          <w:b w:val="0"/>
          <w:sz w:val="22"/>
          <w:u w:val="single" w:color="000000"/>
        </w:rPr>
        <w:t>Statistics</w:t>
      </w:r>
      <w:r w:rsidRPr="005B5CB6">
        <w:rPr>
          <w:b w:val="0"/>
          <w:sz w:val="22"/>
        </w:rPr>
        <w:t xml:space="preserve"> </w:t>
      </w:r>
    </w:p>
    <w:p w:rsidR="00FB0B24" w:rsidRPr="005B5CB6" w:rsidP="00951A38">
      <w:pPr>
        <w:spacing w:after="0"/>
        <w:jc w:val="both"/>
        <w:rPr>
          <w:rFonts w:ascii="Verdana" w:hAnsi="Verdana"/>
        </w:rPr>
      </w:pPr>
      <w:r w:rsidRPr="005B5CB6">
        <w:rPr>
          <w:rFonts w:ascii="Verdana" w:hAnsi="Verdana"/>
          <w:noProof/>
        </w:rPr>
        <mc:AlternateContent>
          <mc:Choice Requires="wpg">
            <w:drawing>
              <wp:inline distT="0" distB="0" distL="0" distR="0">
                <wp:extent cx="1828800" cy="6096"/>
                <wp:effectExtent l="0" t="0" r="0" b="0"/>
                <wp:docPr id="507720" name="Group 50772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6096"/>
                          <a:chOff x="0" y="0"/>
                          <a:chExt cx="1828800" cy="6096"/>
                        </a:xfrm>
                      </wpg:grpSpPr>
                      <wps:wsp xmlns:wps="http://schemas.microsoft.com/office/word/2010/wordprocessingShape">
                        <wps:cNvPr id="635328" name="Shape 63532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39" style="height:0.48pt;mso-position-horizontal-relative:char;mso-position-vertical-relative:line;width:2in" coordsize="18288,60">
                <v:shape id="_x0000_s1040" style="height:91;position:absolute;width:18288" coordsize="1828800,9144" path="m,l1828800,l1828800,9144l,9144l,e">
                  <v:stroke joinstyle="miter" endcap="flat" opacity="0"/>
                </v:shape>
                <w10:wrap type="none"/>
              </v:group>
            </w:pict>
          </mc:Fallback>
        </mc:AlternateContent>
      </w:r>
      <w:r w:rsidRPr="005B5CB6">
        <w:rPr>
          <w:rFonts w:ascii="Verdana" w:eastAsia="Garamond" w:hAnsi="Verdana" w:cs="Garamond"/>
        </w:rPr>
        <w:t xml:space="preserve"> </w:t>
      </w:r>
    </w:p>
    <w:p w:rsidR="00FB0B24" w:rsidRPr="005B5CB6" w:rsidP="00951A38">
      <w:pPr>
        <w:spacing w:after="57" w:line="249" w:lineRule="auto"/>
        <w:ind w:left="729" w:right="12" w:hanging="9"/>
        <w:jc w:val="both"/>
        <w:rPr>
          <w:rFonts w:ascii="Verdana" w:hAnsi="Verdana"/>
        </w:rPr>
      </w:pPr>
      <w:r w:rsidRPr="005B5CB6">
        <w:rPr>
          <w:rFonts w:ascii="Verdana" w:eastAsia="Verdana" w:hAnsi="Verdana" w:cs="Verdana"/>
        </w:rPr>
        <w:t xml:space="preserve">As of 19 August 2019, Kleros has run a gamified pilot trial containing a curated list of disputes similar in quality and stakes (that is to say, time </w:t>
      </w:r>
      <w:r w:rsidRPr="005B5CB6">
        <w:rPr>
          <w:rFonts w:ascii="Verdana" w:eastAsia="Verdana" w:hAnsi="Verdana" w:cs="Verdana"/>
        </w:rPr>
        <w:t>and cost) to upcoming fake news disputes. The results from the trial show that the largest claim at stake was for £11,500, where the Kleros Cooperative was itself a party to this case as it concerned whether a prize from the gamified pilot trial should be awarded. Conversely, the smallest claim was worth £6.</w:t>
      </w:r>
      <w:r>
        <w:rPr>
          <w:rFonts w:ascii="Verdana" w:eastAsia="Verdana" w:hAnsi="Verdana" w:cs="Verdana"/>
          <w:vertAlign w:val="superscript"/>
        </w:rPr>
        <w:footnoteReference w:id="21"/>
      </w:r>
      <w:r w:rsidRPr="005B5CB6">
        <w:rPr>
          <w:rFonts w:ascii="Verdana" w:eastAsia="Verdana" w:hAnsi="Verdana" w:cs="Verdana"/>
        </w:rPr>
        <w:t xml:space="preserve"> </w:t>
      </w:r>
    </w:p>
    <w:p w:rsidR="00FB0B24" w:rsidRPr="005B5CB6" w:rsidP="00951A38">
      <w:pPr>
        <w:spacing w:after="29"/>
        <w:ind w:left="721"/>
        <w:jc w:val="both"/>
        <w:rPr>
          <w:rFonts w:ascii="Verdana" w:hAnsi="Verdana"/>
        </w:rPr>
      </w:pPr>
      <w:r w:rsidRPr="005B5CB6">
        <w:rPr>
          <w:rFonts w:ascii="Verdana" w:eastAsia="Verdana" w:hAnsi="Verdana" w:cs="Verdana"/>
        </w:rPr>
        <w:t xml:space="preserve"> </w:t>
      </w:r>
    </w:p>
    <w:p w:rsidR="00FB0B24" w:rsidRPr="005B5CB6" w:rsidP="00951A38">
      <w:pPr>
        <w:pStyle w:val="Heading2"/>
        <w:rPr>
          <w:sz w:val="22"/>
        </w:rPr>
      </w:pPr>
      <w:r w:rsidRPr="005B5CB6">
        <w:rPr>
          <w:b w:val="0"/>
          <w:sz w:val="22"/>
        </w:rPr>
        <w:t>3.4</w:t>
      </w:r>
      <w:r w:rsidRPr="005B5CB6">
        <w:rPr>
          <w:rFonts w:eastAsia="Arial" w:cs="Arial"/>
          <w:b w:val="0"/>
          <w:sz w:val="22"/>
        </w:rPr>
        <w:t xml:space="preserve"> </w:t>
      </w:r>
      <w:r w:rsidRPr="005B5CB6">
        <w:rPr>
          <w:rFonts w:eastAsia="Arial" w:cs="Arial"/>
          <w:b w:val="0"/>
          <w:sz w:val="22"/>
        </w:rPr>
        <w:tab/>
      </w:r>
      <w:r w:rsidRPr="005B5CB6">
        <w:rPr>
          <w:b w:val="0"/>
          <w:sz w:val="22"/>
          <w:u w:val="single" w:color="000000"/>
        </w:rPr>
        <w:t>Advantages</w:t>
      </w:r>
      <w:r w:rsidRPr="005B5CB6">
        <w:rPr>
          <w:b w:val="0"/>
          <w:sz w:val="22"/>
        </w:rPr>
        <w:t xml:space="preserve"> </w:t>
      </w:r>
    </w:p>
    <w:p w:rsidR="00FB0B24" w:rsidRPr="005B5CB6" w:rsidP="00951A38">
      <w:pPr>
        <w:spacing w:after="5" w:line="249" w:lineRule="auto"/>
        <w:ind w:left="729" w:right="12" w:hanging="9"/>
        <w:jc w:val="both"/>
        <w:rPr>
          <w:rFonts w:ascii="Verdana" w:hAnsi="Verdana"/>
        </w:rPr>
      </w:pPr>
      <w:r w:rsidRPr="005B5CB6">
        <w:rPr>
          <w:rFonts w:ascii="Verdana" w:eastAsia="Verdana" w:hAnsi="Verdana" w:cs="Verdana"/>
        </w:rPr>
        <w:t xml:space="preserve">Kleros is particularly effective in facilitating fact checking surrounding claims of fake news through an unbiased system of incentives rooted on a combination of computer science and economic theory. By providing credible assessments of the facts submitted as evidence, it proves to be reliable. The same cannot be said of fact checking conducted by a single person or entity, which unavoidably provides ‘her own’ version of the truth, thus making the assessment prone to bias. Another advantage of Kleros is that the system is resilient – it cannot be easily tampered with by a single user. For instance, an individual or a political public relations firm trying to tamper with the system would have to be in possession of at least 51% of all the PNK tokens in circulation (there are currently 364,000 circa). This means that she would have to find and convince PNK owners to sell her their tokens. This is extremely difficult. It would also be extremely costly, since the price of PNK tokens usually raises at each new sale. </w:t>
      </w:r>
    </w:p>
    <w:p w:rsidR="00FB0B24" w:rsidRPr="005B5CB6" w:rsidP="00951A38">
      <w:pPr>
        <w:spacing w:after="29"/>
        <w:ind w:left="720"/>
        <w:jc w:val="both"/>
        <w:rPr>
          <w:rFonts w:ascii="Verdana" w:hAnsi="Verdana"/>
        </w:rPr>
      </w:pPr>
      <w:r w:rsidRPr="005B5CB6">
        <w:rPr>
          <w:rFonts w:ascii="Verdana" w:eastAsia="Verdana" w:hAnsi="Verdana" w:cs="Verdana"/>
        </w:rPr>
        <w:t xml:space="preserve"> </w:t>
      </w:r>
    </w:p>
    <w:p w:rsidR="00FB0B24" w:rsidRPr="005B5CB6" w:rsidP="00951A38">
      <w:pPr>
        <w:pStyle w:val="Heading2"/>
        <w:rPr>
          <w:sz w:val="22"/>
        </w:rPr>
      </w:pPr>
      <w:r w:rsidRPr="005B5CB6">
        <w:rPr>
          <w:b w:val="0"/>
          <w:sz w:val="22"/>
        </w:rPr>
        <w:t>3.5</w:t>
      </w:r>
      <w:r w:rsidRPr="005B5CB6">
        <w:rPr>
          <w:rFonts w:eastAsia="Arial" w:cs="Arial"/>
          <w:b w:val="0"/>
          <w:sz w:val="22"/>
        </w:rPr>
        <w:t xml:space="preserve"> </w:t>
      </w:r>
      <w:r w:rsidRPr="005B5CB6">
        <w:rPr>
          <w:rFonts w:eastAsia="Arial" w:cs="Arial"/>
          <w:b w:val="0"/>
          <w:sz w:val="22"/>
        </w:rPr>
        <w:tab/>
      </w:r>
      <w:r w:rsidRPr="005B5CB6">
        <w:rPr>
          <w:b w:val="0"/>
          <w:sz w:val="22"/>
          <w:u w:val="single" w:color="000000"/>
        </w:rPr>
        <w:t>Disadvantages</w:t>
      </w:r>
      <w:r w:rsidRPr="005B5CB6">
        <w:rPr>
          <w:b w:val="0"/>
          <w:sz w:val="22"/>
        </w:rPr>
        <w:t xml:space="preserve"> </w:t>
      </w:r>
    </w:p>
    <w:p w:rsidR="00FB0B24" w:rsidRPr="005B5CB6" w:rsidP="00951A38">
      <w:pPr>
        <w:spacing w:after="5" w:line="249" w:lineRule="auto"/>
        <w:ind w:left="717" w:right="12" w:hanging="9"/>
        <w:jc w:val="both"/>
        <w:rPr>
          <w:rFonts w:ascii="Verdana" w:hAnsi="Verdana"/>
        </w:rPr>
      </w:pPr>
      <w:r w:rsidRPr="005B5CB6">
        <w:rPr>
          <w:rFonts w:ascii="Verdana" w:eastAsia="Verdana" w:hAnsi="Verdana" w:cs="Verdana"/>
        </w:rPr>
        <w:t xml:space="preserve">As a blockchain application, Kleros’ major limitation at the moment is the fact that it requires its users to open a wallet to buy and deposit PNK tokens. Blockchain is still a nascent technology in its manifold applications and the lay person may not be aware of it. Until blockchain technology becomes mainstream, Kleros, as a young technology, will face the difficulty that users may not be either aware of or fully understand it. However, the future looks promising, with Facebook, for instance, launching its own cryptocurrency. </w:t>
      </w:r>
    </w:p>
    <w:p w:rsidR="00FB0B24" w:rsidRPr="005B5CB6" w:rsidP="00951A38">
      <w:pPr>
        <w:spacing w:after="17"/>
        <w:ind w:left="1080"/>
        <w:jc w:val="both"/>
        <w:rPr>
          <w:rFonts w:ascii="Verdana" w:hAnsi="Verdana"/>
        </w:rPr>
      </w:pPr>
      <w:r w:rsidRPr="005B5CB6">
        <w:rPr>
          <w:rFonts w:ascii="Verdana" w:eastAsia="Verdana" w:hAnsi="Verdana" w:cs="Verdana"/>
        </w:rPr>
        <w:t xml:space="preserve"> </w:t>
      </w:r>
    </w:p>
    <w:p w:rsidR="00FB0B24" w:rsidRPr="005B5CB6" w:rsidP="00951A38">
      <w:pPr>
        <w:spacing w:after="132" w:line="250" w:lineRule="auto"/>
        <w:ind w:left="11" w:hanging="10"/>
        <w:jc w:val="both"/>
        <w:rPr>
          <w:rFonts w:ascii="Verdana" w:hAnsi="Verdana"/>
        </w:rPr>
      </w:pPr>
      <w:r w:rsidRPr="005B5CB6">
        <w:rPr>
          <w:rFonts w:ascii="Verdana" w:eastAsia="Verdana" w:hAnsi="Verdana" w:cs="Verdana"/>
          <w:b/>
        </w:rPr>
        <w:t>4.</w:t>
      </w:r>
      <w:r w:rsidRPr="005B5CB6">
        <w:rPr>
          <w:rFonts w:ascii="Verdana" w:eastAsia="Arial" w:hAnsi="Verdana" w:cs="Arial"/>
          <w:b/>
        </w:rPr>
        <w:t xml:space="preserve"> </w:t>
      </w:r>
      <w:r w:rsidRPr="005B5CB6">
        <w:rPr>
          <w:rFonts w:ascii="Verdana" w:eastAsia="Verdana" w:hAnsi="Verdana" w:cs="Verdana"/>
          <w:b/>
        </w:rPr>
        <w:t xml:space="preserve">Conclusion  </w:t>
      </w:r>
    </w:p>
    <w:p w:rsidR="00FB0B24" w:rsidRPr="005B5CB6" w:rsidP="00951A38">
      <w:pPr>
        <w:pStyle w:val="Heading2"/>
        <w:rPr>
          <w:sz w:val="22"/>
        </w:rPr>
      </w:pPr>
      <w:r w:rsidRPr="005B5CB6">
        <w:rPr>
          <w:b w:val="0"/>
          <w:sz w:val="22"/>
        </w:rPr>
        <w:t>4.1</w:t>
      </w:r>
      <w:r w:rsidRPr="005B5CB6">
        <w:rPr>
          <w:rFonts w:eastAsia="Arial" w:cs="Arial"/>
          <w:b w:val="0"/>
          <w:sz w:val="22"/>
        </w:rPr>
        <w:t xml:space="preserve"> </w:t>
      </w:r>
      <w:r w:rsidRPr="005B5CB6">
        <w:rPr>
          <w:rFonts w:eastAsia="Arial" w:cs="Arial"/>
          <w:b w:val="0"/>
          <w:sz w:val="22"/>
        </w:rPr>
        <w:tab/>
      </w:r>
      <w:r w:rsidRPr="005B5CB6">
        <w:rPr>
          <w:b w:val="0"/>
          <w:sz w:val="22"/>
          <w:u w:val="single" w:color="000000"/>
        </w:rPr>
        <w:t>Summary</w:t>
      </w:r>
      <w:r w:rsidRPr="005B5CB6">
        <w:rPr>
          <w:b w:val="0"/>
          <w:sz w:val="22"/>
        </w:rPr>
        <w:t xml:space="preserve">  </w:t>
      </w:r>
    </w:p>
    <w:p w:rsidR="00FB0B24" w:rsidRPr="005B5CB6" w:rsidP="00951A38">
      <w:pPr>
        <w:spacing w:after="199" w:line="249" w:lineRule="auto"/>
        <w:ind w:left="729" w:right="12" w:hanging="9"/>
        <w:jc w:val="both"/>
        <w:rPr>
          <w:rFonts w:ascii="Verdana" w:hAnsi="Verdana"/>
        </w:rPr>
      </w:pPr>
      <w:r w:rsidRPr="005B5CB6">
        <w:rPr>
          <w:rFonts w:ascii="Verdana" w:eastAsia="Verdana" w:hAnsi="Verdana" w:cs="Verdana"/>
        </w:rPr>
        <w:t xml:space="preserve">Kleros is a tool of digital democracy. It is open to anyone wishing to submit a dispute or arbitrate one. It is a multi-purpose, multi-chamber court that harnesses the civic virtues of peer-to-peer arbitration by incentivizing honest behaviour and penalizing the dishonest one. It is not owned by a single person or organization and is run by a self-sustaining, unmediated cryptographic system. This makes Kleros an unbiased mechanism for dispute resolution. It has proven effective in tackling the fake news problem and should feature prominently in policy making debates. </w:t>
      </w:r>
    </w:p>
    <w:p w:rsidR="00FB0B24" w:rsidRPr="005B5CB6" w:rsidP="00951A38">
      <w:pPr>
        <w:spacing w:after="0"/>
        <w:jc w:val="both"/>
        <w:rPr>
          <w:rFonts w:ascii="Verdana" w:hAnsi="Verdana"/>
        </w:rPr>
      </w:pPr>
      <w:r w:rsidRPr="005B5CB6">
        <w:rPr>
          <w:rFonts w:ascii="Verdana" w:hAnsi="Verdana"/>
          <w:noProof/>
        </w:rPr>
        <mc:AlternateContent>
          <mc:Choice Requires="wpg">
            <w:drawing>
              <wp:inline distT="0" distB="0" distL="0" distR="0">
                <wp:extent cx="1828800" cy="6096"/>
                <wp:effectExtent l="0" t="0" r="0" b="0"/>
                <wp:docPr id="508411" name="Group 50841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6096"/>
                          <a:chOff x="0" y="0"/>
                          <a:chExt cx="1828800" cy="6096"/>
                        </a:xfrm>
                      </wpg:grpSpPr>
                      <wps:wsp xmlns:wps="http://schemas.microsoft.com/office/word/2010/wordprocessingShape">
                        <wps:cNvPr id="635330" name="Shape 63533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41" style="height:0.48pt;mso-position-horizontal-relative:char;mso-position-vertical-relative:line;width:2in" coordsize="18288,60">
                <v:shape id="_x0000_s1042" style="height:91;position:absolute;width:18288" coordsize="1828800,9144" path="m,l1828800,l1828800,9144l,9144l,e">
                  <v:stroke joinstyle="miter" endcap="flat" opacity="0"/>
                </v:shape>
                <w10:wrap type="none"/>
              </v:group>
            </w:pict>
          </mc:Fallback>
        </mc:AlternateContent>
      </w:r>
      <w:r w:rsidRPr="005B5CB6">
        <w:rPr>
          <w:rFonts w:ascii="Verdana" w:eastAsia="Garamond" w:hAnsi="Verdana" w:cs="Garamond"/>
        </w:rPr>
        <w:t xml:space="preserve"> </w:t>
      </w:r>
    </w:p>
    <w:p w:rsidR="00FB0B24" w:rsidRPr="005B5CB6" w:rsidP="00951A38">
      <w:pPr>
        <w:spacing w:after="29"/>
        <w:ind w:left="720"/>
        <w:jc w:val="both"/>
        <w:rPr>
          <w:rFonts w:ascii="Verdana" w:hAnsi="Verdana"/>
        </w:rPr>
      </w:pPr>
      <w:r w:rsidRPr="005B5CB6">
        <w:rPr>
          <w:rFonts w:ascii="Verdana" w:eastAsia="Verdana" w:hAnsi="Verdana" w:cs="Verdana"/>
        </w:rPr>
        <w:t xml:space="preserve"> </w:t>
      </w:r>
    </w:p>
    <w:p w:rsidR="00FB0B24" w:rsidRPr="005B5CB6" w:rsidP="00951A38">
      <w:pPr>
        <w:pStyle w:val="Heading2"/>
        <w:rPr>
          <w:sz w:val="22"/>
        </w:rPr>
      </w:pPr>
      <w:r w:rsidRPr="005B5CB6">
        <w:rPr>
          <w:b w:val="0"/>
          <w:sz w:val="22"/>
        </w:rPr>
        <w:t>4.2</w:t>
      </w:r>
      <w:r w:rsidRPr="005B5CB6">
        <w:rPr>
          <w:rFonts w:eastAsia="Arial" w:cs="Arial"/>
          <w:b w:val="0"/>
          <w:sz w:val="22"/>
        </w:rPr>
        <w:t xml:space="preserve"> </w:t>
      </w:r>
      <w:r w:rsidRPr="005B5CB6">
        <w:rPr>
          <w:rFonts w:eastAsia="Arial" w:cs="Arial"/>
          <w:b w:val="0"/>
          <w:sz w:val="22"/>
        </w:rPr>
        <w:tab/>
      </w:r>
      <w:r w:rsidRPr="005B5CB6">
        <w:rPr>
          <w:b w:val="0"/>
          <w:sz w:val="22"/>
          <w:u w:val="single" w:color="000000"/>
        </w:rPr>
        <w:t>Recommendation 1</w:t>
      </w:r>
      <w:r w:rsidRPr="005B5CB6">
        <w:rPr>
          <w:b w:val="0"/>
          <w:sz w:val="22"/>
        </w:rPr>
        <w:t xml:space="preserve"> </w:t>
      </w:r>
    </w:p>
    <w:p w:rsidR="00FB0B24" w:rsidRPr="005B5CB6" w:rsidP="00951A38">
      <w:pPr>
        <w:spacing w:after="5" w:line="249" w:lineRule="auto"/>
        <w:ind w:left="729" w:right="12" w:hanging="9"/>
        <w:jc w:val="both"/>
        <w:rPr>
          <w:rFonts w:ascii="Verdana" w:hAnsi="Verdana"/>
        </w:rPr>
      </w:pPr>
      <w:r w:rsidRPr="005B5CB6">
        <w:rPr>
          <w:rFonts w:ascii="Verdana" w:eastAsia="Verdana" w:hAnsi="Verdana" w:cs="Verdana"/>
        </w:rPr>
        <w:t xml:space="preserve">The proposed Code of Ethics for tech companies could include a provision requiring social media companies to provide means for settling disputes </w:t>
      </w:r>
      <w:r w:rsidRPr="005B5CB6">
        <w:rPr>
          <w:rFonts w:ascii="Verdana" w:eastAsia="Verdana" w:hAnsi="Verdana" w:cs="Verdana"/>
        </w:rPr>
        <w:t xml:space="preserve">among their users. Customer services and online dispute resolution mechanisms already exist. Kleros would be a further option the availability of which social media companies should bring to the attention of their users. Creating a dispute resolution tab on their home page (or elsewhere) listing available dispute settlement options should suffice to provide the necessary means for access to justice to social media users at no extra cost for the social media company. </w:t>
      </w:r>
    </w:p>
    <w:p w:rsidR="00FB0B24" w:rsidRPr="005B5CB6" w:rsidP="00951A38">
      <w:pPr>
        <w:spacing w:after="29"/>
        <w:ind w:left="721"/>
        <w:jc w:val="both"/>
        <w:rPr>
          <w:rFonts w:ascii="Verdana" w:hAnsi="Verdana"/>
        </w:rPr>
      </w:pPr>
      <w:r w:rsidRPr="005B5CB6">
        <w:rPr>
          <w:rFonts w:ascii="Verdana" w:eastAsia="Verdana" w:hAnsi="Verdana" w:cs="Verdana"/>
        </w:rPr>
        <w:t xml:space="preserve"> </w:t>
      </w:r>
    </w:p>
    <w:p w:rsidR="00FB0B24" w:rsidRPr="005B5CB6" w:rsidP="00951A38">
      <w:pPr>
        <w:pStyle w:val="Heading2"/>
        <w:rPr>
          <w:sz w:val="22"/>
        </w:rPr>
      </w:pPr>
      <w:r w:rsidRPr="005B5CB6">
        <w:rPr>
          <w:b w:val="0"/>
          <w:sz w:val="22"/>
        </w:rPr>
        <w:t>4.3</w:t>
      </w:r>
      <w:r w:rsidRPr="005B5CB6">
        <w:rPr>
          <w:rFonts w:eastAsia="Arial" w:cs="Arial"/>
          <w:b w:val="0"/>
          <w:sz w:val="22"/>
        </w:rPr>
        <w:t xml:space="preserve"> </w:t>
      </w:r>
      <w:r w:rsidRPr="005B5CB6">
        <w:rPr>
          <w:rFonts w:eastAsia="Arial" w:cs="Arial"/>
          <w:b w:val="0"/>
          <w:sz w:val="22"/>
        </w:rPr>
        <w:tab/>
      </w:r>
      <w:r w:rsidRPr="005B5CB6">
        <w:rPr>
          <w:b w:val="0"/>
          <w:sz w:val="22"/>
          <w:u w:val="single" w:color="000000"/>
        </w:rPr>
        <w:t>Recommendation 2</w:t>
      </w:r>
      <w:r w:rsidRPr="005B5CB6">
        <w:rPr>
          <w:b w:val="0"/>
          <w:sz w:val="22"/>
        </w:rPr>
        <w:t xml:space="preserve"> </w:t>
      </w:r>
    </w:p>
    <w:p w:rsidR="00FB0B24" w:rsidRPr="005B5CB6" w:rsidP="00951A38">
      <w:pPr>
        <w:spacing w:after="5" w:line="249" w:lineRule="auto"/>
        <w:ind w:left="729" w:right="12" w:hanging="9"/>
        <w:jc w:val="both"/>
        <w:rPr>
          <w:rFonts w:ascii="Verdana" w:hAnsi="Verdana"/>
        </w:rPr>
      </w:pPr>
      <w:r w:rsidRPr="005B5CB6">
        <w:rPr>
          <w:rFonts w:ascii="Verdana" w:eastAsia="Verdana" w:hAnsi="Verdana" w:cs="Verdana"/>
        </w:rPr>
        <w:t xml:space="preserve">Unless circulating fake news is made a criminal offence by Parliament, requiring social media companies to remove posts containing potential fake news bears too great a risk of them infringing fundamental rights currently protected by national and international legislation, such as freedom of expression and information. A better proposition would be to encourage peer-to-peer monitoring and amicable dispute settlement among social media users through cheap, fast and reliable mechanisms like Kleros. Achieving this objective can be greatly facilitated by having a campaign of sensibilisation about the dangers of disinformation and fake news online. Social media companies could refer to it and make it visible in their websites while constantly reminding users that there is a variety of mechanisms at their disposal to run reliable fact checking on suspected news items, including Kleros. </w:t>
      </w:r>
    </w:p>
    <w:p w:rsidR="00FB0B24" w:rsidRPr="005B5CB6" w:rsidP="00951A38">
      <w:pPr>
        <w:spacing w:after="29"/>
        <w:ind w:left="721"/>
        <w:jc w:val="both"/>
        <w:rPr>
          <w:rFonts w:ascii="Verdana" w:hAnsi="Verdana"/>
        </w:rPr>
      </w:pPr>
      <w:r w:rsidRPr="005B5CB6">
        <w:rPr>
          <w:rFonts w:ascii="Verdana" w:eastAsia="Verdana" w:hAnsi="Verdana" w:cs="Verdana"/>
        </w:rPr>
        <w:t xml:space="preserve"> </w:t>
      </w:r>
    </w:p>
    <w:p w:rsidR="00FB0B24" w:rsidRPr="005B5CB6" w:rsidP="00951A38">
      <w:pPr>
        <w:pStyle w:val="Heading2"/>
        <w:rPr>
          <w:sz w:val="22"/>
        </w:rPr>
      </w:pPr>
      <w:r w:rsidRPr="005B5CB6">
        <w:rPr>
          <w:b w:val="0"/>
          <w:sz w:val="22"/>
        </w:rPr>
        <w:t>4.4</w:t>
      </w:r>
      <w:r w:rsidRPr="005B5CB6">
        <w:rPr>
          <w:rFonts w:eastAsia="Arial" w:cs="Arial"/>
          <w:b w:val="0"/>
          <w:sz w:val="22"/>
        </w:rPr>
        <w:t xml:space="preserve"> </w:t>
      </w:r>
      <w:r w:rsidRPr="005B5CB6">
        <w:rPr>
          <w:rFonts w:eastAsia="Arial" w:cs="Arial"/>
          <w:b w:val="0"/>
          <w:sz w:val="22"/>
        </w:rPr>
        <w:tab/>
      </w:r>
      <w:r w:rsidRPr="005B5CB6">
        <w:rPr>
          <w:b w:val="0"/>
          <w:sz w:val="22"/>
          <w:u w:val="single" w:color="000000"/>
        </w:rPr>
        <w:t>Recommendation 3</w:t>
      </w:r>
      <w:r w:rsidRPr="005B5CB6">
        <w:rPr>
          <w:b w:val="0"/>
          <w:sz w:val="22"/>
        </w:rPr>
        <w:t xml:space="preserve"> </w:t>
      </w:r>
    </w:p>
    <w:p w:rsidR="00FB0B24" w:rsidRPr="005B5CB6" w:rsidP="003255A4">
      <w:pPr>
        <w:spacing w:after="184" w:line="249" w:lineRule="auto"/>
        <w:ind w:left="729" w:right="12" w:hanging="9"/>
        <w:jc w:val="both"/>
        <w:rPr>
          <w:rFonts w:ascii="Verdana" w:hAnsi="Verdana"/>
        </w:rPr>
      </w:pPr>
      <w:r w:rsidRPr="005B5CB6">
        <w:rPr>
          <w:rFonts w:ascii="Verdana" w:eastAsia="Verdana" w:hAnsi="Verdana" w:cs="Verdana"/>
        </w:rPr>
        <w:t xml:space="preserve">Enhancing democracy through the new technologies requires civil society at large to be knowledgeable about such developments. Therefore, educating civil society about blockchain and new technologies in general, and alternative dispute settlement mechanisms like Kleros in particular, appears a precondition to providing access to justice to social media users, who are daily exposed to disinformation and fake news. Parliament should promote a closer interaction between research institutions such as universities, businesses and civil society to discuss the role of technology in society. Informed citizens are the best antidote to targeted disinformation. </w:t>
      </w:r>
    </w:p>
    <w:p w:rsidR="00FB0B24" w:rsidRPr="005B5CB6" w:rsidP="003255A4">
      <w:pPr>
        <w:spacing w:after="178"/>
        <w:ind w:left="1"/>
        <w:jc w:val="both"/>
        <w:rPr>
          <w:rFonts w:ascii="Verdana" w:hAnsi="Verdana"/>
        </w:rPr>
      </w:pPr>
      <w:r w:rsidRPr="005B5CB6">
        <w:rPr>
          <w:rFonts w:ascii="Verdana" w:eastAsia="Verdana" w:hAnsi="Verdana" w:cs="Verdana"/>
        </w:rPr>
        <w:t xml:space="preserve"> </w:t>
      </w:r>
    </w:p>
    <w:p w:rsidR="00FB0B24" w:rsidRPr="005B5CB6" w:rsidP="003255A4">
      <w:pPr>
        <w:spacing w:after="4" w:line="265" w:lineRule="auto"/>
        <w:ind w:left="-4" w:hanging="10"/>
        <w:jc w:val="both"/>
        <w:rPr>
          <w:rFonts w:ascii="Verdana" w:hAnsi="Verdana"/>
        </w:rPr>
      </w:pPr>
      <w:r w:rsidRPr="005B5CB6">
        <w:rPr>
          <w:rFonts w:ascii="Verdana" w:eastAsia="Verdana" w:hAnsi="Verdana" w:cs="Verdana"/>
          <w:b/>
          <w:u w:val="single" w:color="000000"/>
        </w:rPr>
        <w:t>Date of submission</w:t>
      </w:r>
      <w:r w:rsidRPr="005B5CB6">
        <w:rPr>
          <w:rFonts w:ascii="Verdana" w:eastAsia="Verdana" w:hAnsi="Verdana" w:cs="Verdana"/>
        </w:rPr>
        <w:t xml:space="preserve">: 20 August 2019 </w:t>
      </w:r>
    </w:p>
    <w:p w:rsidR="00FB0B24" w:rsidRPr="005B5CB6" w:rsidP="003255A4">
      <w:pPr>
        <w:jc w:val="both"/>
        <w:rPr>
          <w:rFonts w:ascii="Verdana" w:hAnsi="Verdana"/>
        </w:rPr>
        <w:sectPr w:rsidSect="00057933">
          <w:headerReference w:type="even" r:id="rId54"/>
          <w:headerReference w:type="default" r:id="rId55"/>
          <w:footerReference w:type="even" r:id="rId56"/>
          <w:footerReference w:type="default" r:id="rId57"/>
          <w:headerReference w:type="first" r:id="rId58"/>
          <w:footerReference w:type="first" r:id="rId59"/>
          <w:pgSz w:w="11906" w:h="16838"/>
          <w:pgMar w:top="1492" w:right="1436" w:bottom="1441" w:left="1440" w:header="720" w:footer="708" w:gutter="0"/>
          <w:cols w:space="720"/>
        </w:sectPr>
      </w:pPr>
    </w:p>
    <w:p w:rsidR="00FB0B24" w:rsidRPr="005B5CB6" w:rsidP="00A1624B">
      <w:pPr>
        <w:pStyle w:val="Heading1"/>
        <w:rPr>
          <w:sz w:val="22"/>
        </w:rPr>
      </w:pPr>
      <w:bookmarkStart w:id="11" w:name="_Toc44517699"/>
      <w:r w:rsidRPr="005B5CB6">
        <w:rPr>
          <w:sz w:val="22"/>
        </w:rPr>
        <w:t>Digital Radio Mondiale – written evidence (DAD0015)</w:t>
      </w:r>
      <w:bookmarkEnd w:id="11"/>
      <w:r w:rsidRPr="005B5CB6">
        <w:rPr>
          <w:sz w:val="22"/>
        </w:rPr>
        <w:t xml:space="preserve">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We in the global not-for profit Digital Radio Mondiale (DRM) Consortium* welcome the examination and report on the impact of digital technologies on the democratic processes in the country.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While this call for evidence will perhaps automatically point towards IP and social media, our contention is that radio has always been a great aggregator and influencer of the national political discourse and, therefore, digital radio should be fully included in this examination.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We consider that digital radio, as an integrator of audio, video and internet information with the possibility of allowing immediate reaction and participation through publicised mobile and IP addresses, has a crucial and positive role to play in deepening democracy.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In this context we would like to make the case for digital radio, but not just for DAB, the standard supported and introduced at great cost and at slow speed in the UK over the last 20 odd years. We would urge you to consider afresh and with an open mind in your deliberations all the possible solutions, including the only all frequencies, efficient, open digital standard, the Digital Radio Mondiale (DRM).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In tandem with DAB (for Band III only), DRM for all frequency bands and areas not covered at present by DAB would offer a strong, unique, comprehensive platform that would be available and affordable for all the UK citizens, whether they live in the big cities or on far away Scottish islands or less populated Welsh valleys.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272" w:line="250" w:lineRule="auto"/>
        <w:ind w:left="23" w:right="11" w:hanging="8"/>
        <w:jc w:val="both"/>
        <w:rPr>
          <w:rFonts w:ascii="Verdana" w:hAnsi="Verdana"/>
        </w:rPr>
      </w:pPr>
      <w:r w:rsidRPr="005B5CB6">
        <w:rPr>
          <w:rFonts w:ascii="Verdana" w:eastAsia="Verdana" w:hAnsi="Verdana" w:cs="Verdana"/>
        </w:rPr>
        <w:t xml:space="preserve">With only 38.3% of digital listening delivered by DAB, and relatively small figures for apps (10%) and TV (5%), it is clear that DRM has a big role to play. After all, DRM can digitise efficiently FM, longwave, shortwave and mediumwave. One of the most popular national radio programmes is BBC Radio5 Live on mediumwave and DAB+ cannot replicate its current reach. With DRM in mediumwave this would be easily possible. </w:t>
      </w:r>
    </w:p>
    <w:p w:rsidR="00FB0B24" w:rsidRPr="005B5CB6" w:rsidP="003255A4">
      <w:pPr>
        <w:spacing w:after="270" w:line="250" w:lineRule="auto"/>
        <w:ind w:left="23" w:right="11" w:hanging="8"/>
        <w:jc w:val="both"/>
        <w:rPr>
          <w:rFonts w:ascii="Verdana" w:hAnsi="Verdana"/>
        </w:rPr>
      </w:pPr>
      <w:r w:rsidRPr="005B5CB6">
        <w:rPr>
          <w:rFonts w:ascii="Verdana" w:eastAsia="Verdana" w:hAnsi="Verdana" w:cs="Verdana"/>
        </w:rPr>
        <w:t xml:space="preserve">DRM and its sister open standards DAB/DAB+ have been developed by roughly the same engineers in the UK, France, US and Germany and are complementary, as together they could offer audio and data covering 100% of the country.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However, DAB is only used in the VHF band III.  It was first rolled out in the UK in 1995 and is quite successful in many parts of the UK but not everywhere. DAB is a standard devised mainly for major players and not for the small commercial and community stations or sparsely populated areas. Small scale DAB trials are continuing, and licenses are being requested. Fundamentally, (even small-scale) DAB+ multiplexes are not spectrum efficient and do not offer the level of localism and differentiation that is the mark of a vibrant and diverse radio offer, engaging equally and comprehensively all listeners at national and local level. </w:t>
      </w:r>
    </w:p>
    <w:p w:rsidR="00FB0B24" w:rsidRPr="005B5CB6" w:rsidP="003255A4">
      <w:pPr>
        <w:spacing w:after="272" w:line="250" w:lineRule="auto"/>
        <w:ind w:left="23" w:right="11" w:hanging="8"/>
        <w:jc w:val="both"/>
        <w:rPr>
          <w:rFonts w:ascii="Verdana" w:hAnsi="Verdana"/>
        </w:rPr>
      </w:pPr>
      <w:r w:rsidRPr="005B5CB6">
        <w:rPr>
          <w:rFonts w:ascii="Verdana" w:eastAsia="Verdana" w:hAnsi="Verdana" w:cs="Verdana"/>
        </w:rPr>
        <w:t xml:space="preserve">DRM works very efficiently in all the radio spectrum bands (also used in the UK) without using the multiplex solution:  </w:t>
      </w:r>
    </w:p>
    <w:p w:rsidR="00FB0B24" w:rsidRPr="005B5CB6" w:rsidP="003255A4">
      <w:pPr>
        <w:spacing w:after="5" w:line="250" w:lineRule="auto"/>
        <w:ind w:left="728" w:right="11" w:hanging="8"/>
        <w:jc w:val="both"/>
        <w:rPr>
          <w:rFonts w:ascii="Verdana" w:hAnsi="Verdana"/>
        </w:rPr>
      </w:pPr>
      <w:r w:rsidRPr="005B5CB6">
        <w:rPr>
          <w:rFonts w:ascii="Verdana" w:eastAsia="Verdana" w:hAnsi="Verdana" w:cs="Verdana"/>
        </w:rPr>
        <w:t xml:space="preserve">The configuration for the </w:t>
      </w:r>
      <w:r w:rsidRPr="005B5CB6">
        <w:rPr>
          <w:rFonts w:ascii="Verdana" w:eastAsia="Verdana" w:hAnsi="Verdana" w:cs="Verdana"/>
          <w:b/>
        </w:rPr>
        <w:t>AM bands</w:t>
      </w:r>
      <w:r w:rsidRPr="005B5CB6">
        <w:rPr>
          <w:rFonts w:ascii="Verdana" w:eastAsia="Verdana" w:hAnsi="Verdana" w:cs="Verdana"/>
        </w:rPr>
        <w:t xml:space="preserve"> is intended for broadcasts on short, medium and long wave up to 30 MHz and offering FM like quality sound over large territories within a country. With only a few AM DRM digital transmitters the coverage of an entire country is possible.  In addition, it offers more programme choice, as three audio programmes and one data channel can be used on one single frequency (compared to analogue today with just one programme).  </w:t>
      </w:r>
    </w:p>
    <w:p w:rsidR="00FB0B24" w:rsidRPr="005B5CB6" w:rsidP="003255A4">
      <w:pPr>
        <w:spacing w:after="0"/>
        <w:ind w:left="720"/>
        <w:jc w:val="both"/>
        <w:rPr>
          <w:rFonts w:ascii="Verdana" w:hAnsi="Verdana"/>
        </w:rPr>
      </w:pPr>
      <w:r w:rsidRPr="005B5CB6">
        <w:rPr>
          <w:rFonts w:ascii="Verdana" w:eastAsia="Verdana" w:hAnsi="Verdana" w:cs="Verdana"/>
        </w:rPr>
        <w:t xml:space="preserve"> </w:t>
      </w:r>
    </w:p>
    <w:p w:rsidR="00FB0B24" w:rsidRPr="005B5CB6" w:rsidP="003255A4">
      <w:pPr>
        <w:spacing w:after="272" w:line="250" w:lineRule="auto"/>
        <w:ind w:left="728" w:right="11" w:hanging="8"/>
        <w:jc w:val="both"/>
        <w:rPr>
          <w:rFonts w:ascii="Verdana" w:hAnsi="Verdana"/>
        </w:rPr>
      </w:pPr>
      <w:r w:rsidRPr="005B5CB6">
        <w:rPr>
          <w:rFonts w:ascii="Verdana" w:eastAsia="Verdana" w:hAnsi="Verdana" w:cs="Verdana"/>
        </w:rPr>
        <w:t xml:space="preserve">The configuration for the </w:t>
      </w:r>
      <w:r w:rsidRPr="005B5CB6">
        <w:rPr>
          <w:rFonts w:ascii="Verdana" w:eastAsia="Verdana" w:hAnsi="Verdana" w:cs="Verdana"/>
          <w:b/>
        </w:rPr>
        <w:t>VHF bands</w:t>
      </w:r>
      <w:r w:rsidRPr="005B5CB6">
        <w:rPr>
          <w:rFonts w:ascii="Verdana" w:eastAsia="Verdana" w:hAnsi="Verdana" w:cs="Verdana"/>
        </w:rPr>
        <w:t xml:space="preserve"> above 30 MHz is tailored for local (cities) and regional coverage with broadcaster-controlled transmissions. As in digital AM, the VHF solution also offers three audio programmes and one data channel on one VHF frequency, instead of one programme in analogue today. </w:t>
      </w:r>
    </w:p>
    <w:p w:rsidR="00FB0B24" w:rsidRPr="005B5CB6" w:rsidP="003255A4">
      <w:pPr>
        <w:spacing w:after="270" w:line="250" w:lineRule="auto"/>
        <w:ind w:left="23" w:right="11" w:hanging="8"/>
        <w:jc w:val="both"/>
        <w:rPr>
          <w:rFonts w:ascii="Verdana" w:hAnsi="Verdana"/>
        </w:rPr>
      </w:pPr>
      <w:r w:rsidRPr="005B5CB6">
        <w:rPr>
          <w:rFonts w:ascii="Verdana" w:eastAsia="Verdana" w:hAnsi="Verdana" w:cs="Verdana"/>
        </w:rPr>
        <w:t xml:space="preserve">DRM is being used successfully by the BBC World Service. It is being rolled out in India as the standard of choice (DRM signals are already available to 600 million people). In India there are over </w:t>
      </w:r>
      <w:r w:rsidRPr="005B5CB6">
        <w:rPr>
          <w:rFonts w:ascii="Verdana" w:eastAsia="Verdana" w:hAnsi="Verdana" w:cs="Verdana"/>
          <w:b/>
        </w:rPr>
        <w:t>1.5 million cars</w:t>
      </w:r>
      <w:r w:rsidRPr="005B5CB6">
        <w:rPr>
          <w:rFonts w:ascii="Verdana" w:eastAsia="Verdana" w:hAnsi="Verdana" w:cs="Verdana"/>
        </w:rPr>
        <w:t xml:space="preserve"> that have been sold in the past 18 months with DRM receivers incorporated and at no cost to the buyers at all. (Incidentally, all major car manufacturers have a DRM solution which is often a software update away). Chipsets to produce DAB/DRM receivers, whether for cars or home, exist today.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A DAB-DRM solution would offer the following practical advantages to strengthen a healthy, active, digitally literate democracy: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numPr>
          <w:ilvl w:val="0"/>
          <w:numId w:val="15"/>
        </w:numPr>
        <w:spacing w:after="5" w:line="250" w:lineRule="auto"/>
        <w:ind w:right="11" w:hanging="360"/>
        <w:jc w:val="both"/>
        <w:rPr>
          <w:rFonts w:ascii="Verdana" w:hAnsi="Verdana"/>
        </w:rPr>
      </w:pPr>
      <w:r w:rsidRPr="005B5CB6">
        <w:rPr>
          <w:rFonts w:ascii="Verdana" w:eastAsia="Verdana" w:hAnsi="Verdana" w:cs="Verdana"/>
        </w:rPr>
        <w:t xml:space="preserve">Full country coverage without gaps now (before the near and undefined future when broadband and 5G are fully and nationally rolled-out). </w:t>
      </w:r>
    </w:p>
    <w:p w:rsidR="00FB0B24" w:rsidRPr="005B5CB6" w:rsidP="003255A4">
      <w:pPr>
        <w:spacing w:after="0"/>
        <w:ind w:left="721"/>
        <w:jc w:val="both"/>
        <w:rPr>
          <w:rFonts w:ascii="Verdana" w:hAnsi="Verdana"/>
        </w:rPr>
      </w:pPr>
      <w:r w:rsidRPr="005B5CB6">
        <w:rPr>
          <w:rFonts w:ascii="Verdana" w:eastAsia="Verdana" w:hAnsi="Verdana" w:cs="Verdana"/>
        </w:rPr>
        <w:t xml:space="preserve"> </w:t>
      </w:r>
    </w:p>
    <w:p w:rsidR="00FB0B24" w:rsidRPr="005B5CB6" w:rsidP="003255A4">
      <w:pPr>
        <w:numPr>
          <w:ilvl w:val="0"/>
          <w:numId w:val="15"/>
        </w:numPr>
        <w:spacing w:after="5" w:line="250" w:lineRule="auto"/>
        <w:ind w:right="11" w:hanging="360"/>
        <w:jc w:val="both"/>
        <w:rPr>
          <w:rFonts w:ascii="Verdana" w:hAnsi="Verdana"/>
        </w:rPr>
      </w:pPr>
      <w:r w:rsidRPr="005B5CB6">
        <w:rPr>
          <w:rFonts w:ascii="Verdana" w:eastAsia="Verdana" w:hAnsi="Verdana" w:cs="Verdana"/>
        </w:rPr>
        <w:t xml:space="preserve">Choice of information from national to regional and local, as radio’s great strength is to offer the wider picture while ensuring the much-cherished localism – this leads to engagement, participation and stronger democratic processes. A national digital radio parliamentary channel with local opt-outs would definitely deepen the engagement of the politicians and of the population in the democratic process. Using the DRM technology this could be easily done (and at not great additional cost as digital means compression and being able to run several channels in parallel, where at the moment there is only one analogue programme, be it BBC or commercial). </w:t>
      </w:r>
    </w:p>
    <w:p w:rsidR="00FB0B24" w:rsidRPr="005B5CB6" w:rsidP="003255A4">
      <w:pPr>
        <w:spacing w:after="0"/>
        <w:ind w:left="721"/>
        <w:jc w:val="both"/>
        <w:rPr>
          <w:rFonts w:ascii="Verdana" w:hAnsi="Verdana"/>
        </w:rPr>
      </w:pPr>
      <w:r w:rsidRPr="005B5CB6">
        <w:rPr>
          <w:rFonts w:ascii="Verdana" w:eastAsia="Verdana" w:hAnsi="Verdana" w:cs="Verdana"/>
        </w:rPr>
        <w:t xml:space="preserve"> </w:t>
      </w:r>
    </w:p>
    <w:p w:rsidR="00FB0B24" w:rsidRPr="005B5CB6" w:rsidP="003255A4">
      <w:pPr>
        <w:numPr>
          <w:ilvl w:val="0"/>
          <w:numId w:val="15"/>
        </w:numPr>
        <w:spacing w:after="5" w:line="250" w:lineRule="auto"/>
        <w:ind w:right="11" w:hanging="360"/>
        <w:jc w:val="both"/>
        <w:rPr>
          <w:rFonts w:ascii="Verdana" w:hAnsi="Verdana"/>
        </w:rPr>
      </w:pPr>
      <w:r w:rsidRPr="005B5CB6">
        <w:rPr>
          <w:rFonts w:ascii="Verdana" w:eastAsia="Verdana" w:hAnsi="Verdana" w:cs="Verdana"/>
        </w:rPr>
        <w:t xml:space="preserve">A digital radio is a “visual radio”. While DAB has hardly exploited the great chance of using a much bigger screen (LED, colour), DRM can offer this possibility in full. The screen information reinforces or complements the audio programmes. The screen can be used as a place of presenting graphics, pictures, polls, maps. It can be an information board, a school blackboard, a community board, a dictionary, a guide or a teaching aid. Information can be presented in one or several languages (dialects), engaging, informing and teaching people who might otherwise be excluded from the day-today activities of their community and the democratic process </w:t>
      </w:r>
    </w:p>
    <w:p w:rsidR="00FB0B24" w:rsidRPr="005B5CB6" w:rsidP="003255A4">
      <w:pPr>
        <w:spacing w:after="0"/>
        <w:ind w:left="720"/>
        <w:jc w:val="both"/>
        <w:rPr>
          <w:rFonts w:ascii="Verdana" w:hAnsi="Verdana"/>
        </w:rPr>
      </w:pPr>
      <w:r w:rsidRPr="005B5CB6">
        <w:rPr>
          <w:rFonts w:ascii="Verdana" w:eastAsia="Verdana" w:hAnsi="Verdana" w:cs="Verdana"/>
        </w:rPr>
        <w:t xml:space="preserve"> </w:t>
      </w:r>
    </w:p>
    <w:p w:rsidR="00FB0B24" w:rsidRPr="005B5CB6" w:rsidP="003255A4">
      <w:pPr>
        <w:numPr>
          <w:ilvl w:val="0"/>
          <w:numId w:val="15"/>
        </w:numPr>
        <w:spacing w:after="5" w:line="250" w:lineRule="auto"/>
        <w:ind w:right="11" w:hanging="360"/>
        <w:jc w:val="both"/>
        <w:rPr>
          <w:rFonts w:ascii="Verdana" w:hAnsi="Verdana"/>
        </w:rPr>
      </w:pPr>
      <w:r w:rsidRPr="005B5CB6">
        <w:rPr>
          <w:rFonts w:ascii="Verdana" w:eastAsia="Verdana" w:hAnsi="Verdana" w:cs="Verdana"/>
        </w:rPr>
        <w:t xml:space="preserve">In DRM, one current frequency (used for one analogue audio programme) can be used to carry up to three audio channels and a lot of data. This makes multi-lingual channels easy and cheap to fit in. </w:t>
      </w:r>
    </w:p>
    <w:p w:rsidR="00FB0B24" w:rsidRPr="005B5CB6" w:rsidP="003255A4">
      <w:pPr>
        <w:spacing w:after="0"/>
        <w:ind w:left="720"/>
        <w:jc w:val="both"/>
        <w:rPr>
          <w:rFonts w:ascii="Verdana" w:hAnsi="Verdana"/>
        </w:rPr>
      </w:pPr>
      <w:r w:rsidRPr="005B5CB6">
        <w:rPr>
          <w:rFonts w:ascii="Verdana" w:eastAsia="Verdana" w:hAnsi="Verdana" w:cs="Verdana"/>
        </w:rPr>
        <w:t xml:space="preserve"> </w:t>
      </w:r>
    </w:p>
    <w:p w:rsidR="00FB0B24" w:rsidRPr="005B5CB6" w:rsidP="003255A4">
      <w:pPr>
        <w:numPr>
          <w:ilvl w:val="0"/>
          <w:numId w:val="15"/>
        </w:numPr>
        <w:spacing w:after="5" w:line="250" w:lineRule="auto"/>
        <w:ind w:right="11" w:hanging="360"/>
        <w:jc w:val="both"/>
        <w:rPr>
          <w:rFonts w:ascii="Verdana" w:hAnsi="Verdana"/>
        </w:rPr>
      </w:pPr>
      <w:r w:rsidRPr="005B5CB6">
        <w:rPr>
          <w:rFonts w:ascii="Verdana" w:eastAsia="Verdana" w:hAnsi="Verdana" w:cs="Verdana"/>
        </w:rPr>
        <w:t xml:space="preserve">As a “one-to-many” (as opposed to the “one-to-one” IP solutions) radio, in general, and digital radio, gives equal and more widespread access to the democratic processes preserving the anonymity and privacy of the listeners. As radio does not have “a back-channel” as such, like social media, for example, the digital screen can offer ways to participate in the democratic debates, discussions or polls by linking or using other platforms like mobiles or social media. This creates a self-controlled way of participating and gives a participant the chance to engage or not and also to formulate a response or reaction in a more controlled fashion. The broadcaster can also be the curator of reactions and unfilgtered or offensive contributions can be easily excluded. So, while listening remains anonymous, engaging becomes a transparent and conscious, responsible activity.  </w:t>
      </w:r>
    </w:p>
    <w:p w:rsidR="00FB0B24" w:rsidRPr="005B5CB6" w:rsidP="003255A4">
      <w:pPr>
        <w:numPr>
          <w:ilvl w:val="0"/>
          <w:numId w:val="15"/>
        </w:numPr>
        <w:spacing w:after="272" w:line="250" w:lineRule="auto"/>
        <w:ind w:right="11" w:hanging="360"/>
        <w:jc w:val="both"/>
        <w:rPr>
          <w:rFonts w:ascii="Verdana" w:hAnsi="Verdana"/>
        </w:rPr>
      </w:pPr>
      <w:r w:rsidRPr="005B5CB6">
        <w:rPr>
          <w:rFonts w:ascii="Verdana" w:eastAsia="Verdana" w:hAnsi="Verdana" w:cs="Verdana"/>
        </w:rPr>
        <w:t xml:space="preserve">Digital radio and its visual/screen are a unique and excellent way of giving sections of the population, i.e. disabled groups of people, people who do not speak the language at all or very well a chance to be informed and engage fully in the debate, widening the process. This cannot happen with analogue radio. </w:t>
      </w:r>
    </w:p>
    <w:p w:rsidR="00FB0B24" w:rsidRPr="005B5CB6" w:rsidP="003255A4">
      <w:pPr>
        <w:spacing w:after="270" w:line="250" w:lineRule="auto"/>
        <w:ind w:left="23" w:right="11" w:hanging="8"/>
        <w:jc w:val="both"/>
        <w:rPr>
          <w:rFonts w:ascii="Verdana" w:hAnsi="Verdana"/>
        </w:rPr>
      </w:pPr>
      <w:r w:rsidRPr="005B5CB6">
        <w:rPr>
          <w:rFonts w:ascii="Verdana" w:eastAsia="Verdana" w:hAnsi="Verdana" w:cs="Verdana"/>
        </w:rPr>
        <w:t xml:space="preserve">In conclusion we think that democracy in an integrated, convergent advance technological society could be enhanced by a few visionary decisions: </w:t>
      </w:r>
    </w:p>
    <w:p w:rsidR="00FB0B24" w:rsidRPr="005B5CB6" w:rsidP="003255A4">
      <w:pPr>
        <w:numPr>
          <w:ilvl w:val="0"/>
          <w:numId w:val="16"/>
        </w:numPr>
        <w:spacing w:after="5" w:line="250" w:lineRule="auto"/>
        <w:ind w:right="11" w:hanging="360"/>
        <w:jc w:val="both"/>
        <w:rPr>
          <w:rFonts w:ascii="Verdana" w:hAnsi="Verdana"/>
        </w:rPr>
      </w:pPr>
      <w:r w:rsidRPr="005B5CB6">
        <w:rPr>
          <w:rFonts w:ascii="Verdana" w:eastAsia="Verdana" w:hAnsi="Verdana" w:cs="Verdana"/>
        </w:rPr>
        <w:t xml:space="preserve">Recommend digital radio as a main platform for enhancing and deepening democracy in the country. DRM could easily complement DAB and ensure full coverage of the entire country including Scotland and Wales supporting OFCOM and broadcasters, like the BBC, in relaying a rich content bouquet (audio and visual) to the remotest parts of the UK and providing equal access for all.  </w:t>
      </w:r>
    </w:p>
    <w:p w:rsidR="00FB0B24" w:rsidRPr="005B5CB6" w:rsidP="003255A4">
      <w:pPr>
        <w:spacing w:after="0"/>
        <w:ind w:left="722"/>
        <w:jc w:val="both"/>
        <w:rPr>
          <w:rFonts w:ascii="Verdana" w:hAnsi="Verdana"/>
        </w:rPr>
      </w:pPr>
      <w:r w:rsidRPr="005B5CB6">
        <w:rPr>
          <w:rFonts w:ascii="Verdana" w:eastAsia="Verdana" w:hAnsi="Verdana" w:cs="Verdana"/>
        </w:rPr>
        <w:t xml:space="preserve"> </w:t>
      </w:r>
    </w:p>
    <w:p w:rsidR="00FB0B24" w:rsidRPr="005B5CB6" w:rsidP="003255A4">
      <w:pPr>
        <w:numPr>
          <w:ilvl w:val="0"/>
          <w:numId w:val="16"/>
        </w:numPr>
        <w:spacing w:after="5" w:line="250" w:lineRule="auto"/>
        <w:ind w:right="11" w:hanging="360"/>
        <w:jc w:val="both"/>
        <w:rPr>
          <w:rFonts w:ascii="Verdana" w:hAnsi="Verdana"/>
        </w:rPr>
      </w:pPr>
      <w:r w:rsidRPr="005B5CB6">
        <w:rPr>
          <w:rFonts w:ascii="Verdana" w:eastAsia="Verdana" w:hAnsi="Verdana" w:cs="Verdana"/>
        </w:rPr>
        <w:t xml:space="preserve">Chipsets and modules supporting both DRM and DAB standards exist already, as do receivers. And it would be a pity if old entrenched ideas, narrow commercial interests were to impede the adoption of new solutions. After all the aim of any review and political decision must be to future-proof radio in the UK and ensure its digital future (no matter which platforms and technologies will be deployed) strengthening the democratic benefits this brings to all UK listeners/citizens.  </w:t>
      </w:r>
    </w:p>
    <w:p w:rsidR="00FB0B24" w:rsidRPr="005B5CB6" w:rsidP="003255A4">
      <w:pPr>
        <w:spacing w:after="0"/>
        <w:ind w:left="722"/>
        <w:jc w:val="both"/>
        <w:rPr>
          <w:rFonts w:ascii="Verdana" w:hAnsi="Verdana"/>
        </w:rPr>
      </w:pPr>
      <w:r w:rsidRPr="005B5CB6">
        <w:rPr>
          <w:rFonts w:ascii="Verdana" w:eastAsia="Verdana" w:hAnsi="Verdana" w:cs="Verdana"/>
        </w:rPr>
        <w:t xml:space="preserve"> </w:t>
      </w:r>
    </w:p>
    <w:p w:rsidR="00FB0B24" w:rsidRPr="005B5CB6" w:rsidP="003255A4">
      <w:pPr>
        <w:numPr>
          <w:ilvl w:val="0"/>
          <w:numId w:val="16"/>
        </w:numPr>
        <w:spacing w:after="5" w:line="250" w:lineRule="auto"/>
        <w:ind w:right="11" w:hanging="360"/>
        <w:jc w:val="both"/>
        <w:rPr>
          <w:rFonts w:ascii="Verdana" w:hAnsi="Verdana"/>
        </w:rPr>
      </w:pPr>
      <w:r w:rsidRPr="005B5CB6">
        <w:rPr>
          <w:rFonts w:ascii="Verdana" w:eastAsia="Verdana" w:hAnsi="Verdana" w:cs="Verdana"/>
        </w:rPr>
        <w:t xml:space="preserve">Enforcing the role of radio in the pursuit of genuine democracy would offer another counterweight to “false and quick news”, adding a dose of thought and real engagement on the part of the citizens. </w:t>
      </w:r>
    </w:p>
    <w:p w:rsidR="00FB0B24" w:rsidRPr="005B5CB6" w:rsidP="003255A4">
      <w:pPr>
        <w:spacing w:after="0"/>
        <w:ind w:left="722"/>
        <w:jc w:val="both"/>
        <w:rPr>
          <w:rFonts w:ascii="Verdana" w:hAnsi="Verdana"/>
        </w:rPr>
      </w:pPr>
      <w:r w:rsidRPr="005B5CB6">
        <w:rPr>
          <w:rFonts w:ascii="Verdana" w:eastAsia="Verdana" w:hAnsi="Verdana" w:cs="Verdana"/>
        </w:rPr>
        <w:t xml:space="preserve"> </w:t>
      </w:r>
    </w:p>
    <w:p w:rsidR="00FB0B24" w:rsidRPr="005B5CB6" w:rsidP="003255A4">
      <w:pPr>
        <w:numPr>
          <w:ilvl w:val="0"/>
          <w:numId w:val="16"/>
        </w:numPr>
        <w:spacing w:after="5" w:line="250" w:lineRule="auto"/>
        <w:ind w:right="11" w:hanging="360"/>
        <w:jc w:val="both"/>
        <w:rPr>
          <w:rFonts w:ascii="Verdana" w:hAnsi="Verdana"/>
        </w:rPr>
      </w:pPr>
      <w:r w:rsidRPr="005B5CB6">
        <w:rPr>
          <w:rFonts w:ascii="Verdana" w:eastAsia="Verdana" w:hAnsi="Verdana" w:cs="Verdana"/>
        </w:rPr>
        <w:t xml:space="preserve">Use digital/visual radio as a way of curating best internet and social media information and reactions (RSS feeds can be put on the wider digital screens) </w:t>
      </w:r>
    </w:p>
    <w:p w:rsidR="00FB0B24" w:rsidRPr="005B5CB6" w:rsidP="003255A4">
      <w:pPr>
        <w:spacing w:after="0"/>
        <w:ind w:left="722"/>
        <w:jc w:val="both"/>
        <w:rPr>
          <w:rFonts w:ascii="Verdana" w:hAnsi="Verdana"/>
        </w:rPr>
      </w:pPr>
      <w:r w:rsidRPr="005B5CB6">
        <w:rPr>
          <w:rFonts w:ascii="Verdana" w:eastAsia="Verdana" w:hAnsi="Verdana" w:cs="Verdana"/>
        </w:rPr>
        <w:t xml:space="preserve"> </w:t>
      </w:r>
    </w:p>
    <w:p w:rsidR="00FB0B24" w:rsidRPr="005B5CB6" w:rsidP="003255A4">
      <w:pPr>
        <w:numPr>
          <w:ilvl w:val="0"/>
          <w:numId w:val="16"/>
        </w:numPr>
        <w:spacing w:after="5" w:line="250" w:lineRule="auto"/>
        <w:ind w:right="11" w:hanging="360"/>
        <w:jc w:val="both"/>
        <w:rPr>
          <w:rFonts w:ascii="Verdana" w:hAnsi="Verdana"/>
        </w:rPr>
      </w:pPr>
      <w:r w:rsidRPr="005B5CB6">
        <w:rPr>
          <w:rFonts w:ascii="Verdana" w:eastAsia="Verdana" w:hAnsi="Verdana" w:cs="Verdana"/>
        </w:rPr>
        <w:t xml:space="preserve">Create a digital radio parliamentary channel with regional and local optouts, giving every listener a chance to be part of the “UK townhall debate” </w:t>
      </w:r>
    </w:p>
    <w:p w:rsidR="00FB0B24" w:rsidRPr="005B5CB6" w:rsidP="003255A4">
      <w:pPr>
        <w:spacing w:after="0"/>
        <w:ind w:left="720"/>
        <w:jc w:val="both"/>
        <w:rPr>
          <w:rFonts w:ascii="Verdana" w:hAnsi="Verdana"/>
        </w:rPr>
      </w:pPr>
      <w:r w:rsidRPr="005B5CB6">
        <w:rPr>
          <w:rFonts w:ascii="Verdana" w:eastAsia="Verdana" w:hAnsi="Verdana" w:cs="Verdana"/>
        </w:rPr>
        <w:t xml:space="preserve"> </w:t>
      </w:r>
    </w:p>
    <w:p w:rsidR="00FB0B24" w:rsidRPr="005B5CB6" w:rsidP="003255A4">
      <w:pPr>
        <w:numPr>
          <w:ilvl w:val="0"/>
          <w:numId w:val="16"/>
        </w:numPr>
        <w:spacing w:after="270" w:line="250" w:lineRule="auto"/>
        <w:ind w:right="11" w:hanging="360"/>
        <w:jc w:val="both"/>
        <w:rPr>
          <w:rFonts w:ascii="Verdana" w:hAnsi="Verdana"/>
        </w:rPr>
      </w:pPr>
      <w:r w:rsidRPr="005B5CB6">
        <w:rPr>
          <w:rFonts w:ascii="Verdana" w:eastAsia="Verdana" w:hAnsi="Verdana" w:cs="Verdana"/>
        </w:rPr>
        <w:t xml:space="preserve">Support digital radio and not “one digital radio technology” for the UK and make receivers with wide screen available to schools, hospitals, communities all over the country </w:t>
      </w:r>
    </w:p>
    <w:p w:rsidR="00FB0B24" w:rsidRPr="005B5CB6" w:rsidP="003255A4">
      <w:pPr>
        <w:spacing w:after="270" w:line="250" w:lineRule="auto"/>
        <w:ind w:left="23" w:right="11" w:hanging="8"/>
        <w:jc w:val="both"/>
        <w:rPr>
          <w:rFonts w:ascii="Verdana" w:hAnsi="Verdana"/>
        </w:rPr>
      </w:pPr>
      <w:r w:rsidRPr="005B5CB6">
        <w:rPr>
          <w:rFonts w:ascii="Verdana" w:eastAsia="Verdana" w:hAnsi="Verdana" w:cs="Verdana"/>
        </w:rPr>
        <w:t xml:space="preserve">We would be very happy to make presentations, answer questions, demonstrate the advantages of DRM, its versality and suitability and contribution to an enhanced, healthy UK democracy. </w:t>
      </w:r>
    </w:p>
    <w:p w:rsidR="00FB0B24" w:rsidRPr="005B5CB6" w:rsidP="003255A4">
      <w:pPr>
        <w:spacing w:after="270" w:line="250" w:lineRule="auto"/>
        <w:ind w:left="23" w:right="11" w:hanging="8"/>
        <w:jc w:val="both"/>
        <w:rPr>
          <w:rFonts w:ascii="Verdana" w:hAnsi="Verdana"/>
        </w:rPr>
      </w:pPr>
      <w:r w:rsidRPr="005B5CB6">
        <w:rPr>
          <w:rFonts w:ascii="Verdana" w:eastAsia="Verdana" w:hAnsi="Verdana" w:cs="Verdana"/>
        </w:rPr>
        <w:t xml:space="preserve">* Digital Radio Mondiale™ (DRM) standard is the global, all frequency broadcasting bands, green, cost and spectrum efficient, and openly standardised digital broadcasting system. DRM is the complete, internationally recognised solution for digitising radio recommended by both international organisations such as ITU and ETSI.  </w:t>
      </w:r>
    </w:p>
    <w:p w:rsidR="00FB0B24" w:rsidRPr="005B5CB6" w:rsidP="003255A4">
      <w:pPr>
        <w:spacing w:after="111" w:line="250" w:lineRule="auto"/>
        <w:ind w:left="23" w:right="11" w:hanging="8"/>
        <w:jc w:val="both"/>
        <w:rPr>
          <w:rFonts w:ascii="Verdana" w:hAnsi="Verdana"/>
        </w:rPr>
      </w:pPr>
      <w:r w:rsidRPr="005B5CB6">
        <w:rPr>
          <w:rFonts w:ascii="Verdana" w:eastAsia="Verdana" w:hAnsi="Verdana" w:cs="Verdana"/>
        </w:rPr>
        <w:t xml:space="preserve">The main objective of the DRM Consortium is to make the global and open DRM digital radio standard accepted and used at local, regional, national and international level (more details at our website: </w:t>
      </w:r>
      <w:r>
        <w:fldChar w:fldCharType="begin"/>
      </w:r>
      <w:r>
        <w:instrText xml:space="preserve"> HYPERLINK "http://www.drm.org/" </w:instrText>
      </w:r>
      <w:r>
        <w:fldChar w:fldCharType="separate"/>
      </w:r>
      <w:r w:rsidRPr="005B5CB6">
        <w:rPr>
          <w:rFonts w:ascii="Verdana" w:eastAsia="Verdana" w:hAnsi="Verdana" w:cs="Verdana"/>
          <w:b/>
          <w:color w:val="0000FF"/>
          <w:u w:val="single" w:color="0000FF"/>
        </w:rPr>
        <w:t>www.drm.org</w:t>
      </w:r>
      <w:r>
        <w:fldChar w:fldCharType="end"/>
      </w:r>
      <w:r>
        <w:fldChar w:fldCharType="begin"/>
      </w:r>
      <w:r>
        <w:instrText xml:space="preserve"> HYPERLINK "http://www.drm.org/"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3255A4">
      <w:pPr>
        <w:spacing w:after="231" w:line="250" w:lineRule="auto"/>
        <w:ind w:left="23" w:right="11" w:hanging="8"/>
        <w:jc w:val="both"/>
        <w:rPr>
          <w:rFonts w:ascii="Verdana" w:hAnsi="Verdana"/>
        </w:rPr>
      </w:pPr>
      <w:r w:rsidRPr="005B5CB6">
        <w:rPr>
          <w:rFonts w:ascii="Verdana" w:eastAsia="Verdana" w:hAnsi="Verdana" w:cs="Verdana"/>
        </w:rPr>
        <w:t xml:space="preserve">The DRM (Digital Radio Mondiale) Consortium is an international </w:t>
      </w:r>
      <w:r w:rsidRPr="005B5CB6">
        <w:rPr>
          <w:rFonts w:ascii="Verdana" w:eastAsia="Verdana" w:hAnsi="Verdana" w:cs="Verdana"/>
          <w:b/>
        </w:rPr>
        <w:t>not-for-profit</w:t>
      </w:r>
      <w:r w:rsidRPr="005B5CB6">
        <w:rPr>
          <w:rFonts w:ascii="Verdana" w:eastAsia="Verdana" w:hAnsi="Verdana" w:cs="Verdana"/>
        </w:rPr>
        <w:t xml:space="preserve"> organisation made up of over 100 members, including broadcasters (BBC – broadcasting externally in DRM, too, Radio France, All India Radio, Pakistan Broadcasting Corporation, Radio Republik Indonesia, Voice of Nigeria etc.), network providers (Encompass Media Services in the UK, Sentech in South Africa, BECIL in India), transmitter and receiver manufacturers (Ampegon, Nautel, RFmondial, Communications Systems Inc.), universities, broadcasting unions and research Institutes (such as Fraunhofer IIS in Germany, the Technical University Budapest), and many more.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jc w:val="both"/>
        <w:rPr>
          <w:rFonts w:ascii="Verdana" w:hAnsi="Verdana"/>
        </w:rPr>
        <w:sectPr w:rsidSect="00057933">
          <w:headerReference w:type="even" r:id="rId60"/>
          <w:headerReference w:type="default" r:id="rId61"/>
          <w:footerReference w:type="even" r:id="rId62"/>
          <w:footerReference w:type="default" r:id="rId63"/>
          <w:headerReference w:type="first" r:id="rId64"/>
          <w:footerReference w:type="first" r:id="rId65"/>
          <w:pgSz w:w="11906" w:h="16838"/>
          <w:pgMar w:top="1492" w:right="1449" w:bottom="1457" w:left="1440" w:header="720" w:footer="707" w:gutter="0"/>
          <w:cols w:space="720"/>
        </w:sectPr>
      </w:pPr>
    </w:p>
    <w:p w:rsidR="00FB0B24" w:rsidRPr="005B5CB6" w:rsidP="00A1624B">
      <w:pPr>
        <w:pStyle w:val="Heading1"/>
        <w:rPr>
          <w:sz w:val="22"/>
        </w:rPr>
      </w:pPr>
      <w:bookmarkStart w:id="12" w:name="_Toc44517700"/>
      <w:r w:rsidRPr="005B5CB6">
        <w:rPr>
          <w:sz w:val="22"/>
        </w:rPr>
        <w:t>Mr John Harding – written evidence (DAD0016)</w:t>
      </w:r>
      <w:bookmarkEnd w:id="12"/>
      <w:r w:rsidRPr="005B5CB6">
        <w:rPr>
          <w:sz w:val="22"/>
        </w:rPr>
        <w:t xml:space="preserve"> </w:t>
      </w:r>
    </w:p>
    <w:p w:rsidR="00FB0B24" w:rsidRPr="005B5CB6" w:rsidP="003255A4">
      <w:pPr>
        <w:spacing w:after="188" w:line="249" w:lineRule="auto"/>
        <w:ind w:left="9" w:hanging="10"/>
        <w:jc w:val="both"/>
        <w:rPr>
          <w:rFonts w:ascii="Verdana" w:hAnsi="Verdana"/>
        </w:rPr>
      </w:pPr>
      <w:r w:rsidRPr="005B5CB6">
        <w:rPr>
          <w:rFonts w:ascii="Verdana" w:eastAsia="Verdana" w:hAnsi="Verdana" w:cs="Verdana"/>
          <w:b/>
          <w:i/>
        </w:rPr>
        <w:t>Observational Comment:</w:t>
      </w:r>
      <w:r w:rsidRPr="005B5CB6">
        <w:rPr>
          <w:rFonts w:ascii="Verdana" w:eastAsia="Verdana" w:hAnsi="Verdana" w:cs="Verdana"/>
        </w:rPr>
        <w:t xml:space="preserve"> </w:t>
      </w:r>
    </w:p>
    <w:p w:rsidR="00FB0B24" w:rsidRPr="005B5CB6" w:rsidP="003255A4">
      <w:pPr>
        <w:spacing w:after="191" w:line="250" w:lineRule="auto"/>
        <w:ind w:left="23" w:right="11" w:hanging="8"/>
        <w:jc w:val="both"/>
        <w:rPr>
          <w:rFonts w:ascii="Verdana" w:hAnsi="Verdana"/>
        </w:rPr>
      </w:pPr>
      <w:r w:rsidRPr="005B5CB6">
        <w:rPr>
          <w:rFonts w:ascii="Verdana" w:eastAsia="Verdana" w:hAnsi="Verdana" w:cs="Verdana"/>
        </w:rPr>
        <w:t xml:space="preserve">C.1 </w:t>
      </w:r>
      <w:r w:rsidRPr="005B5CB6">
        <w:rPr>
          <w:rFonts w:ascii="Verdana" w:eastAsia="Verdana" w:hAnsi="Verdana" w:cs="Verdana"/>
        </w:rPr>
        <w:tab/>
        <w:t xml:space="preserve">Your questionnaire appear to be based to a generation privileged to have been educated in digital technology attending standard or higher education academia and not from an older generation who studied at Secondary Modern Education. A generation who did not have the luxury of digital technology who are, at best, </w:t>
      </w:r>
      <w:r w:rsidRPr="005B5CB6">
        <w:rPr>
          <w:rFonts w:ascii="Verdana" w:eastAsia="Verdana" w:hAnsi="Verdana" w:cs="Verdana"/>
          <w:i/>
        </w:rPr>
        <w:t>‘self-taught’</w:t>
      </w:r>
      <w:r w:rsidRPr="005B5CB6">
        <w:rPr>
          <w:rFonts w:ascii="Verdana" w:eastAsia="Verdana" w:hAnsi="Verdana" w:cs="Verdana"/>
        </w:rPr>
        <w:t xml:space="preserve"> in this area that had basic skills education of reading, writing and mathematics, to get a job and survive using </w:t>
      </w:r>
      <w:r w:rsidRPr="005B5CB6">
        <w:rPr>
          <w:rFonts w:ascii="Verdana" w:eastAsia="Verdana" w:hAnsi="Verdana" w:cs="Verdana"/>
          <w:i/>
        </w:rPr>
        <w:t>‘life education to progress’</w:t>
      </w:r>
      <w:r w:rsidRPr="005B5CB6">
        <w:rPr>
          <w:rFonts w:ascii="Verdana" w:eastAsia="Verdana" w:hAnsi="Verdana" w:cs="Verdana"/>
        </w:rPr>
        <w:t xml:space="preserve"> if you were not fortunate or financially supported to move onto higher education of college or university where real life education started when you left the comfort zone of childhood school education, who were taught to use </w:t>
      </w:r>
      <w:r w:rsidRPr="005B5CB6">
        <w:rPr>
          <w:rFonts w:ascii="Verdana" w:eastAsia="Verdana" w:hAnsi="Verdana" w:cs="Verdana"/>
          <w:i/>
        </w:rPr>
        <w:t>‘basic need skills’</w:t>
      </w:r>
      <w:r w:rsidRPr="005B5CB6">
        <w:rPr>
          <w:rFonts w:ascii="Verdana" w:eastAsia="Verdana" w:hAnsi="Verdana" w:cs="Verdana"/>
        </w:rPr>
        <w:t xml:space="preserve">, below, to fit into society: </w:t>
      </w:r>
    </w:p>
    <w:p w:rsidR="00FB0B24" w:rsidRPr="005B5CB6" w:rsidP="003255A4">
      <w:pPr>
        <w:spacing w:after="264" w:line="249" w:lineRule="auto"/>
        <w:ind w:left="10" w:hanging="10"/>
        <w:jc w:val="both"/>
        <w:rPr>
          <w:rFonts w:ascii="Verdana" w:hAnsi="Verdana"/>
        </w:rPr>
      </w:pPr>
      <w:r w:rsidRPr="005B5CB6">
        <w:rPr>
          <w:rFonts w:ascii="Verdana" w:eastAsia="Verdana" w:hAnsi="Verdana" w:cs="Verdana"/>
          <w:i/>
        </w:rPr>
        <w:t xml:space="preserve">Basic skills: </w:t>
      </w:r>
    </w:p>
    <w:p w:rsidR="00FB0B24" w:rsidRPr="005B5CB6" w:rsidP="003255A4">
      <w:pPr>
        <w:numPr>
          <w:ilvl w:val="0"/>
          <w:numId w:val="17"/>
        </w:numPr>
        <w:spacing w:after="5" w:line="249" w:lineRule="auto"/>
        <w:ind w:right="11" w:hanging="360"/>
        <w:jc w:val="both"/>
        <w:rPr>
          <w:rFonts w:ascii="Verdana" w:hAnsi="Verdana"/>
        </w:rPr>
      </w:pPr>
      <w:r w:rsidRPr="005B5CB6">
        <w:rPr>
          <w:rFonts w:ascii="Verdana" w:eastAsia="Verdana" w:hAnsi="Verdana" w:cs="Verdana"/>
        </w:rPr>
        <w:t xml:space="preserve">C.1a Life-skills </w:t>
      </w:r>
      <w:r w:rsidRPr="005B5CB6">
        <w:rPr>
          <w:rFonts w:ascii="Verdana" w:eastAsia="Verdana" w:hAnsi="Verdana" w:cs="Verdana"/>
          <w:i/>
        </w:rPr>
        <w:t>(reading, writing, arithmetic, hands-on tasks, metalwork, woodwork, art, cooking, religion, team sports depending on gender, discipline and respect).</w:t>
      </w:r>
      <w:r w:rsidRPr="005B5CB6">
        <w:rPr>
          <w:rFonts w:ascii="Verdana" w:eastAsia="Verdana" w:hAnsi="Verdana" w:cs="Verdana"/>
        </w:rPr>
        <w:t xml:space="preserve">  </w:t>
      </w:r>
    </w:p>
    <w:p w:rsidR="00FB0B24" w:rsidRPr="005B5CB6" w:rsidP="003255A4">
      <w:pPr>
        <w:numPr>
          <w:ilvl w:val="0"/>
          <w:numId w:val="17"/>
        </w:numPr>
        <w:spacing w:after="5" w:line="250" w:lineRule="auto"/>
        <w:ind w:right="11" w:hanging="360"/>
        <w:jc w:val="both"/>
        <w:rPr>
          <w:rFonts w:ascii="Verdana" w:hAnsi="Verdana"/>
        </w:rPr>
      </w:pPr>
      <w:r w:rsidRPr="005B5CB6">
        <w:rPr>
          <w:rFonts w:ascii="Verdana" w:eastAsia="Verdana" w:hAnsi="Verdana" w:cs="Verdana"/>
        </w:rPr>
        <w:t xml:space="preserve">C.1b Common sense. </w:t>
      </w:r>
    </w:p>
    <w:p w:rsidR="00FB0B24" w:rsidRPr="005B5CB6" w:rsidP="003255A4">
      <w:pPr>
        <w:numPr>
          <w:ilvl w:val="0"/>
          <w:numId w:val="17"/>
        </w:numPr>
        <w:spacing w:after="5" w:line="250" w:lineRule="auto"/>
        <w:ind w:right="11" w:hanging="360"/>
        <w:jc w:val="both"/>
        <w:rPr>
          <w:rFonts w:ascii="Verdana" w:hAnsi="Verdana"/>
        </w:rPr>
      </w:pPr>
      <w:r w:rsidRPr="005B5CB6">
        <w:rPr>
          <w:rFonts w:ascii="Verdana" w:eastAsia="Verdana" w:hAnsi="Verdana" w:cs="Verdana"/>
        </w:rPr>
        <w:t xml:space="preserve">C.1c Logic. </w:t>
      </w:r>
    </w:p>
    <w:p w:rsidR="00FB0B24" w:rsidRPr="005B5CB6" w:rsidP="003255A4">
      <w:pPr>
        <w:numPr>
          <w:ilvl w:val="0"/>
          <w:numId w:val="17"/>
        </w:numPr>
        <w:spacing w:after="5" w:line="250" w:lineRule="auto"/>
        <w:ind w:right="11" w:hanging="360"/>
        <w:jc w:val="both"/>
        <w:rPr>
          <w:rFonts w:ascii="Verdana" w:hAnsi="Verdana"/>
        </w:rPr>
      </w:pPr>
      <w:r w:rsidRPr="005B5CB6">
        <w:rPr>
          <w:rFonts w:ascii="Verdana" w:eastAsia="Verdana" w:hAnsi="Verdana" w:cs="Verdana"/>
        </w:rPr>
        <w:t xml:space="preserve">C.1d Respect by discipline. </w:t>
      </w:r>
    </w:p>
    <w:p w:rsidR="00FB0B24" w:rsidRPr="005B5CB6" w:rsidP="003255A4">
      <w:pPr>
        <w:numPr>
          <w:ilvl w:val="0"/>
          <w:numId w:val="17"/>
        </w:numPr>
        <w:spacing w:after="284" w:line="250" w:lineRule="auto"/>
        <w:ind w:right="11" w:hanging="360"/>
        <w:jc w:val="both"/>
        <w:rPr>
          <w:rFonts w:ascii="Verdana" w:hAnsi="Verdana"/>
        </w:rPr>
      </w:pPr>
      <w:r w:rsidRPr="005B5CB6">
        <w:rPr>
          <w:rFonts w:ascii="Verdana" w:eastAsia="Verdana" w:hAnsi="Verdana" w:cs="Verdana"/>
        </w:rPr>
        <w:t xml:space="preserve">C.1e To problem solve by going back to the beginning to overcome any problem created before the problem became a problem. </w:t>
      </w:r>
    </w:p>
    <w:p w:rsidR="00FB0B24" w:rsidRPr="005B5CB6" w:rsidP="003255A4">
      <w:pPr>
        <w:spacing w:after="267" w:line="250" w:lineRule="auto"/>
        <w:ind w:left="23" w:right="11" w:hanging="8"/>
        <w:jc w:val="both"/>
        <w:rPr>
          <w:rFonts w:ascii="Verdana" w:hAnsi="Verdana"/>
        </w:rPr>
      </w:pPr>
      <w:r w:rsidRPr="005B5CB6">
        <w:rPr>
          <w:rFonts w:ascii="Verdana" w:eastAsia="Verdana" w:hAnsi="Verdana" w:cs="Verdana"/>
        </w:rPr>
        <w:t xml:space="preserve">C.2 </w:t>
      </w:r>
      <w:r w:rsidRPr="005B5CB6">
        <w:rPr>
          <w:rFonts w:ascii="Verdana" w:eastAsia="Verdana" w:hAnsi="Verdana" w:cs="Verdana"/>
        </w:rPr>
        <w:tab/>
        <w:t>I can confidently state problem solving today is a common situation in today’s society regarding day to day living requirements using technology for, politics, medical, education or scientific formats where many individuals blame something else, blame someone, scaremonger or are chasing the problem rather than fixing or preventing the problem from happening in the beginning.</w:t>
      </w:r>
      <w:r w:rsidRPr="005B5CB6">
        <w:rPr>
          <w:rFonts w:ascii="Verdana" w:eastAsia="Verdana" w:hAnsi="Verdana" w:cs="Verdana"/>
          <w:i/>
        </w:rPr>
        <w:t xml:space="preserve"> </w:t>
      </w:r>
      <w:r w:rsidRPr="005B5CB6">
        <w:rPr>
          <w:rFonts w:ascii="Verdana" w:eastAsia="Verdana" w:hAnsi="Verdana" w:cs="Verdana"/>
        </w:rPr>
        <w:t xml:space="preserve">Many problems are self-created within many areas of all sciences or academia that are never questioned becoming anomalies or more important the higher academia hierarchy will never listen they may be wrong by generations of the same repartition of incorrect information within education. </w:t>
      </w:r>
      <w:r w:rsidRPr="005B5CB6">
        <w:rPr>
          <w:rFonts w:ascii="Verdana" w:eastAsia="Verdana" w:hAnsi="Verdana" w:cs="Verdana"/>
          <w:i/>
        </w:rPr>
        <w:t xml:space="preserve">(Medical science is a prime example; more information comes later within question 3, Education). </w:t>
      </w:r>
      <w:r w:rsidRPr="005B5CB6">
        <w:rPr>
          <w:rFonts w:ascii="Verdana" w:eastAsia="Verdana" w:hAnsi="Verdana" w:cs="Verdana"/>
        </w:rPr>
        <w:t xml:space="preserve">Please consider within your questionnaire: </w:t>
      </w:r>
    </w:p>
    <w:p w:rsidR="00FB0B24" w:rsidRPr="005B5CB6" w:rsidP="003255A4">
      <w:pPr>
        <w:numPr>
          <w:ilvl w:val="0"/>
          <w:numId w:val="17"/>
        </w:numPr>
        <w:spacing w:after="284" w:line="250" w:lineRule="auto"/>
        <w:ind w:right="11" w:hanging="360"/>
        <w:jc w:val="both"/>
        <w:rPr>
          <w:rFonts w:ascii="Verdana" w:hAnsi="Verdana"/>
        </w:rPr>
      </w:pPr>
      <w:r w:rsidRPr="005B5CB6">
        <w:rPr>
          <w:rFonts w:ascii="Verdana" w:eastAsia="Verdana" w:hAnsi="Verdana" w:cs="Verdana"/>
        </w:rPr>
        <w:t xml:space="preserve">C.2a A generation of regular voters are pre-technology and were not brought up with, educated or use digital social media technology on a daily basis which too many are still taboo or not understood at all. </w:t>
      </w:r>
    </w:p>
    <w:p w:rsidR="00FB0B24" w:rsidRPr="005B5CB6" w:rsidP="003255A4">
      <w:pPr>
        <w:tabs>
          <w:tab w:val="center" w:pos="1026"/>
        </w:tabs>
        <w:spacing w:after="189" w:line="250" w:lineRule="auto"/>
        <w:jc w:val="both"/>
        <w:rPr>
          <w:rFonts w:ascii="Verdana" w:hAnsi="Verdana"/>
        </w:rPr>
      </w:pPr>
      <w:r w:rsidRPr="005B5CB6">
        <w:rPr>
          <w:rFonts w:ascii="Verdana" w:eastAsia="Verdana" w:hAnsi="Verdana" w:cs="Verdana"/>
        </w:rPr>
        <w:t xml:space="preserve">C.3 </w:t>
      </w:r>
      <w:r w:rsidRPr="005B5CB6">
        <w:rPr>
          <w:rFonts w:ascii="Verdana" w:eastAsia="Verdana" w:hAnsi="Verdana" w:cs="Verdana"/>
        </w:rPr>
        <w:tab/>
        <w:t xml:space="preserve">Why? </w:t>
      </w:r>
    </w:p>
    <w:p w:rsidR="00FB0B24" w:rsidRPr="005B5CB6" w:rsidP="003255A4">
      <w:pPr>
        <w:numPr>
          <w:ilvl w:val="0"/>
          <w:numId w:val="17"/>
        </w:numPr>
        <w:spacing w:after="5" w:line="250" w:lineRule="auto"/>
        <w:ind w:right="11" w:hanging="360"/>
        <w:jc w:val="both"/>
        <w:rPr>
          <w:rFonts w:ascii="Verdana" w:hAnsi="Verdana"/>
        </w:rPr>
      </w:pPr>
      <w:r w:rsidRPr="005B5CB6">
        <w:rPr>
          <w:rFonts w:ascii="Verdana" w:eastAsia="Verdana" w:hAnsi="Verdana" w:cs="Verdana"/>
        </w:rPr>
        <w:t xml:space="preserve">C.3a This mature generation were taught to read, to read about the product, to expect any new product purchased came with an </w:t>
      </w:r>
      <w:r w:rsidRPr="005B5CB6">
        <w:rPr>
          <w:rFonts w:ascii="Verdana" w:eastAsia="Verdana" w:hAnsi="Verdana" w:cs="Verdana"/>
          <w:i/>
        </w:rPr>
        <w:t xml:space="preserve">‘instruction book/manual’ </w:t>
      </w:r>
      <w:r w:rsidRPr="005B5CB6">
        <w:rPr>
          <w:rFonts w:ascii="Verdana" w:eastAsia="Verdana" w:hAnsi="Verdana" w:cs="Verdana"/>
        </w:rPr>
        <w:t xml:space="preserve">to learn how to switch it on and operate where today any digital technology bought, people of any age are expected to know how to use any new digital technology by randomly pressing buttons with the premise that no harm will be done to the product which causes more confusion and trepidation if you do not know which button to press. </w:t>
      </w:r>
    </w:p>
    <w:p w:rsidR="00FB0B24" w:rsidRPr="005B5CB6" w:rsidP="003255A4">
      <w:pPr>
        <w:numPr>
          <w:ilvl w:val="1"/>
          <w:numId w:val="20"/>
        </w:numPr>
        <w:spacing w:after="198" w:line="250" w:lineRule="auto"/>
        <w:ind w:left="23" w:right="11" w:hanging="8"/>
        <w:jc w:val="both"/>
        <w:rPr>
          <w:rFonts w:ascii="Verdana" w:hAnsi="Verdana"/>
        </w:rPr>
      </w:pPr>
      <w:r w:rsidRPr="005B5CB6">
        <w:rPr>
          <w:rFonts w:ascii="Verdana" w:eastAsia="Verdana" w:hAnsi="Verdana" w:cs="Verdana"/>
        </w:rPr>
        <w:t xml:space="preserve">I will interpret the questions to how I assume the direction of the answer is requested. </w:t>
      </w:r>
    </w:p>
    <w:p w:rsidR="00FB0B24" w:rsidRPr="005B5CB6" w:rsidP="003255A4">
      <w:pPr>
        <w:numPr>
          <w:ilvl w:val="1"/>
          <w:numId w:val="20"/>
        </w:numPr>
        <w:spacing w:after="195" w:line="250" w:lineRule="auto"/>
        <w:ind w:left="23" w:right="11" w:hanging="8"/>
        <w:jc w:val="both"/>
        <w:rPr>
          <w:rFonts w:ascii="Verdana" w:hAnsi="Verdana"/>
        </w:rPr>
      </w:pPr>
      <w:r w:rsidRPr="005B5CB6">
        <w:rPr>
          <w:rFonts w:ascii="Verdana" w:eastAsia="Verdana" w:hAnsi="Verdana" w:cs="Verdana"/>
        </w:rPr>
        <w:t xml:space="preserve">Minor adjustments were made to your questionnaire, part re-worded for correct grammar and spelling. </w:t>
      </w:r>
    </w:p>
    <w:p w:rsidR="00FB0B24" w:rsidRPr="005B5CB6" w:rsidP="003255A4">
      <w:pPr>
        <w:numPr>
          <w:ilvl w:val="1"/>
          <w:numId w:val="20"/>
        </w:numPr>
        <w:spacing w:after="197" w:line="250" w:lineRule="auto"/>
        <w:ind w:left="23" w:right="11" w:hanging="8"/>
        <w:jc w:val="both"/>
        <w:rPr>
          <w:rFonts w:ascii="Verdana" w:hAnsi="Verdana"/>
        </w:rPr>
      </w:pPr>
      <w:r w:rsidRPr="005B5CB6">
        <w:rPr>
          <w:rFonts w:ascii="Verdana" w:eastAsia="Verdana" w:hAnsi="Verdana" w:cs="Verdana"/>
        </w:rPr>
        <w:t xml:space="preserve">Replies are as you presented the questionnaire in original format with answers or comments, in blue, where you asked for a numeric reference for every paragraph, interpreted as follows, ie: Comment: C.1, Question: Q3.4, Summary: S.10, Final Comment: FC.9, Bullet points: C9b &amp; Q3.3d etc, etc. C.7 </w:t>
      </w:r>
      <w:r w:rsidRPr="005B5CB6">
        <w:rPr>
          <w:rFonts w:ascii="Verdana" w:eastAsia="Verdana" w:hAnsi="Verdana" w:cs="Verdana"/>
        </w:rPr>
        <w:tab/>
        <w:t xml:space="preserve">However a query: You ask in question 2 regarding: </w:t>
      </w:r>
      <w:r w:rsidRPr="005B5CB6">
        <w:rPr>
          <w:rFonts w:ascii="Verdana" w:eastAsia="Verdana" w:hAnsi="Verdana" w:cs="Verdana"/>
          <w:i/>
        </w:rPr>
        <w:t>'Algorithms':</w:t>
      </w:r>
      <w:r w:rsidRPr="005B5CB6">
        <w:rPr>
          <w:rFonts w:ascii="Verdana" w:eastAsia="Verdana" w:hAnsi="Verdana" w:cs="Verdana"/>
        </w:rPr>
        <w:t xml:space="preserve"> </w:t>
      </w:r>
    </w:p>
    <w:p w:rsidR="00FB0B24" w:rsidRPr="005B5CB6" w:rsidP="003255A4">
      <w:pPr>
        <w:spacing w:after="211" w:line="305" w:lineRule="auto"/>
        <w:ind w:left="23" w:right="506" w:hanging="8"/>
        <w:jc w:val="both"/>
        <w:rPr>
          <w:rFonts w:ascii="Verdana" w:hAnsi="Verdana"/>
        </w:rPr>
      </w:pPr>
      <w:r w:rsidRPr="005B5CB6">
        <w:rPr>
          <w:rFonts w:ascii="Verdana" w:eastAsia="Verdana" w:hAnsi="Verdana" w:cs="Verdana"/>
        </w:rPr>
        <w:t xml:space="preserve">C.8 </w:t>
      </w:r>
      <w:r w:rsidRPr="005B5CB6">
        <w:rPr>
          <w:rFonts w:ascii="Verdana" w:eastAsia="Verdana" w:hAnsi="Verdana" w:cs="Verdana"/>
        </w:rPr>
        <w:tab/>
        <w:t xml:space="preserve">You assume everyone are conversant to your technical terminology, however, for those that may not understand or use within daily conversation with </w:t>
      </w:r>
      <w:r w:rsidRPr="005B5CB6">
        <w:rPr>
          <w:rFonts w:ascii="Verdana" w:eastAsia="Verdana" w:hAnsi="Verdana" w:cs="Verdana"/>
          <w:i/>
        </w:rPr>
        <w:t>‘techno-speak’</w:t>
      </w:r>
      <w:r w:rsidRPr="005B5CB6">
        <w:rPr>
          <w:rFonts w:ascii="Verdana" w:eastAsia="Verdana" w:hAnsi="Verdana" w:cs="Verdana"/>
        </w:rPr>
        <w:t xml:space="preserve"> may I first ask the question: C.9 </w:t>
      </w:r>
      <w:r w:rsidRPr="005B5CB6">
        <w:rPr>
          <w:rFonts w:ascii="Verdana" w:eastAsia="Verdana" w:hAnsi="Verdana" w:cs="Verdana"/>
        </w:rPr>
        <w:tab/>
        <w:t xml:space="preserve">What is an Algorithm? Answer: </w:t>
      </w:r>
    </w:p>
    <w:p w:rsidR="00FB0B24" w:rsidRPr="005B5CB6" w:rsidP="003255A4">
      <w:pPr>
        <w:numPr>
          <w:ilvl w:val="0"/>
          <w:numId w:val="17"/>
        </w:numPr>
        <w:spacing w:after="187" w:line="322" w:lineRule="auto"/>
        <w:ind w:right="11" w:hanging="360"/>
        <w:jc w:val="both"/>
        <w:rPr>
          <w:rFonts w:ascii="Verdana" w:hAnsi="Verdana"/>
        </w:rPr>
      </w:pPr>
      <w:r w:rsidRPr="005B5CB6">
        <w:rPr>
          <w:rFonts w:ascii="Verdana" w:eastAsia="Verdana" w:hAnsi="Verdana" w:cs="Verdana"/>
        </w:rPr>
        <w:t xml:space="preserve">C.9a A process or set of rules to be followed in calculations or other problem solving operations, especially by a computer or hand-held digital technology device. C.10 This means: </w:t>
      </w:r>
    </w:p>
    <w:p w:rsidR="00FB0B24" w:rsidRPr="005B5CB6" w:rsidP="003255A4">
      <w:pPr>
        <w:numPr>
          <w:ilvl w:val="0"/>
          <w:numId w:val="17"/>
        </w:numPr>
        <w:spacing w:after="5" w:line="250" w:lineRule="auto"/>
        <w:ind w:right="11" w:hanging="360"/>
        <w:jc w:val="both"/>
        <w:rPr>
          <w:rFonts w:ascii="Verdana" w:hAnsi="Verdana"/>
        </w:rPr>
      </w:pPr>
      <w:r w:rsidRPr="005B5CB6">
        <w:rPr>
          <w:rFonts w:ascii="Verdana" w:eastAsia="Verdana" w:hAnsi="Verdana" w:cs="Verdana"/>
        </w:rPr>
        <w:t xml:space="preserve">C.10a An algorithm can only be considered if the correct calculation was included in the first place by the operator or programmer who has full control of installing into the computer programme algorithm the required questions to a questionnaire to be clear and concise to obtain the correct information required to format a general consensus opinion answer. </w:t>
      </w:r>
    </w:p>
    <w:p w:rsidR="00FB0B24" w:rsidRPr="005B5CB6" w:rsidP="003255A4">
      <w:pPr>
        <w:numPr>
          <w:ilvl w:val="0"/>
          <w:numId w:val="17"/>
        </w:numPr>
        <w:spacing w:after="272" w:line="250" w:lineRule="auto"/>
        <w:ind w:right="11" w:hanging="360"/>
        <w:jc w:val="both"/>
        <w:rPr>
          <w:rFonts w:ascii="Verdana" w:hAnsi="Verdana"/>
        </w:rPr>
      </w:pPr>
      <w:r w:rsidRPr="005B5CB6">
        <w:rPr>
          <w:rFonts w:ascii="Verdana" w:eastAsia="Verdana" w:hAnsi="Verdana" w:cs="Verdana"/>
        </w:rPr>
        <w:t xml:space="preserve">C.10b Many operator generated algorithm questionnaires from many areas of all sciences require a yes-no or a 1 to 10 answer to formulate a percentage calculated estimated answer to a digital literacy created opinion. Not a clever democratic way of finding out how people really think or feel if there is no space or place for explanation or comment of why </w:t>
      </w:r>
      <w:r w:rsidRPr="005B5CB6">
        <w:rPr>
          <w:rFonts w:ascii="Verdana" w:eastAsia="Verdana" w:hAnsi="Verdana" w:cs="Verdana"/>
          <w:i/>
        </w:rPr>
        <w:t>'a yes'</w:t>
      </w:r>
      <w:r w:rsidRPr="005B5CB6">
        <w:rPr>
          <w:rFonts w:ascii="Verdana" w:eastAsia="Verdana" w:hAnsi="Verdana" w:cs="Verdana"/>
        </w:rPr>
        <w:t xml:space="preserve"> or </w:t>
      </w:r>
      <w:r w:rsidRPr="005B5CB6">
        <w:rPr>
          <w:rFonts w:ascii="Verdana" w:eastAsia="Verdana" w:hAnsi="Verdana" w:cs="Verdana"/>
          <w:i/>
        </w:rPr>
        <w:t xml:space="preserve">'a no' </w:t>
      </w:r>
      <w:r w:rsidRPr="005B5CB6">
        <w:rPr>
          <w:rFonts w:ascii="Verdana" w:eastAsia="Verdana" w:hAnsi="Verdana" w:cs="Verdana"/>
        </w:rPr>
        <w:t xml:space="preserve">was highlighted in the first place. Confusion is then created by both parties to what the desired answer or opinion is required or interpreted if the question is flawed and not fool-proof in understanding implicitly the question from the beginning regarding the answers you desire. </w:t>
      </w:r>
    </w:p>
    <w:p w:rsidR="00FB0B24" w:rsidRPr="005B5CB6" w:rsidP="003255A4">
      <w:pPr>
        <w:numPr>
          <w:ilvl w:val="1"/>
          <w:numId w:val="18"/>
        </w:numPr>
        <w:spacing w:after="184" w:line="250" w:lineRule="auto"/>
        <w:ind w:right="47" w:hanging="720"/>
        <w:jc w:val="both"/>
        <w:rPr>
          <w:rFonts w:ascii="Verdana" w:hAnsi="Verdana"/>
        </w:rPr>
      </w:pPr>
      <w:r w:rsidRPr="005B5CB6">
        <w:rPr>
          <w:rFonts w:ascii="Verdana" w:eastAsia="Verdana" w:hAnsi="Verdana" w:cs="Verdana"/>
        </w:rPr>
        <w:t xml:space="preserve">Otherwise: </w:t>
      </w:r>
    </w:p>
    <w:p w:rsidR="00FB0B24" w:rsidRPr="005B5CB6" w:rsidP="003255A4">
      <w:pPr>
        <w:numPr>
          <w:ilvl w:val="1"/>
          <w:numId w:val="18"/>
        </w:numPr>
        <w:spacing w:after="210" w:line="299" w:lineRule="auto"/>
        <w:ind w:right="47" w:hanging="720"/>
        <w:jc w:val="both"/>
        <w:rPr>
          <w:rFonts w:ascii="Verdana" w:hAnsi="Verdana"/>
        </w:rPr>
      </w:pPr>
      <w:r w:rsidRPr="005B5CB6">
        <w:rPr>
          <w:rFonts w:ascii="Verdana" w:eastAsia="Verdana" w:hAnsi="Verdana" w:cs="Verdana"/>
        </w:rPr>
        <w:t xml:space="preserve">If no comment space is made available, then the algorithm final equation calculation answer is flawed or inconclusive becoming an </w:t>
      </w:r>
      <w:r w:rsidRPr="005B5CB6">
        <w:rPr>
          <w:rFonts w:ascii="Verdana" w:eastAsia="Verdana" w:hAnsi="Verdana" w:cs="Verdana"/>
          <w:i/>
        </w:rPr>
        <w:t>’anomaly’</w:t>
      </w:r>
      <w:r w:rsidRPr="005B5CB6">
        <w:rPr>
          <w:rFonts w:ascii="Verdana" w:eastAsia="Verdana" w:hAnsi="Verdana" w:cs="Verdana"/>
        </w:rPr>
        <w:t xml:space="preserve"> that will help no-one making any conclusive or rational decisions to the questionnaire. C.13 What is an anomaly? </w:t>
      </w:r>
    </w:p>
    <w:p w:rsidR="00FB0B24" w:rsidRPr="005B5CB6" w:rsidP="003255A4">
      <w:pPr>
        <w:numPr>
          <w:ilvl w:val="0"/>
          <w:numId w:val="17"/>
        </w:numPr>
        <w:spacing w:after="5" w:line="250" w:lineRule="auto"/>
        <w:ind w:right="11" w:hanging="360"/>
        <w:jc w:val="both"/>
        <w:rPr>
          <w:rFonts w:ascii="Verdana" w:hAnsi="Verdana"/>
        </w:rPr>
      </w:pPr>
      <w:r w:rsidRPr="005B5CB6">
        <w:rPr>
          <w:rFonts w:ascii="Verdana" w:eastAsia="Verdana" w:hAnsi="Verdana" w:cs="Verdana"/>
        </w:rPr>
        <w:t xml:space="preserve">C.13a The word </w:t>
      </w:r>
      <w:r w:rsidRPr="005B5CB6">
        <w:rPr>
          <w:rFonts w:ascii="Verdana" w:eastAsia="Verdana" w:hAnsi="Verdana" w:cs="Verdana"/>
          <w:i/>
        </w:rPr>
        <w:t>‘anomaly’</w:t>
      </w:r>
      <w:r w:rsidRPr="005B5CB6">
        <w:rPr>
          <w:rFonts w:ascii="Verdana" w:eastAsia="Verdana" w:hAnsi="Verdana" w:cs="Verdana"/>
        </w:rPr>
        <w:t xml:space="preserve"> is self-created by scientific stupidity within a narrow, fragmented scientific lens syndrome attitude meaning the problem cannot be proved or disproved within their own science, however using logic; if you include all sciences a solution is guaranteed every time. </w:t>
      </w:r>
    </w:p>
    <w:p w:rsidR="00FB0B24" w:rsidRPr="005B5CB6" w:rsidP="003255A4">
      <w:pPr>
        <w:numPr>
          <w:ilvl w:val="0"/>
          <w:numId w:val="17"/>
        </w:numPr>
        <w:spacing w:after="5" w:line="250" w:lineRule="auto"/>
        <w:ind w:right="11" w:hanging="360"/>
        <w:jc w:val="both"/>
        <w:rPr>
          <w:rFonts w:ascii="Verdana" w:hAnsi="Verdana"/>
        </w:rPr>
      </w:pPr>
      <w:r w:rsidRPr="005B5CB6">
        <w:rPr>
          <w:rFonts w:ascii="Verdana" w:eastAsia="Verdana" w:hAnsi="Verdana" w:cs="Verdana"/>
        </w:rPr>
        <w:t xml:space="preserve">C.13b All problems whether scientific, academia education or life in general can be solved if you go back to the beginning before the problem became a problem always created by the stupidity of mankind’s ignorance. </w:t>
      </w:r>
    </w:p>
    <w:p w:rsidR="00FB0B24" w:rsidRPr="005B5CB6" w:rsidP="003255A4">
      <w:pPr>
        <w:numPr>
          <w:ilvl w:val="0"/>
          <w:numId w:val="17"/>
        </w:numPr>
        <w:spacing w:after="270" w:line="250" w:lineRule="auto"/>
        <w:ind w:right="11" w:hanging="360"/>
        <w:jc w:val="both"/>
        <w:rPr>
          <w:rFonts w:ascii="Verdana" w:hAnsi="Verdana"/>
        </w:rPr>
      </w:pPr>
      <w:r w:rsidRPr="005B5CB6">
        <w:rPr>
          <w:rFonts w:ascii="Verdana" w:eastAsia="Verdana" w:hAnsi="Verdana" w:cs="Verdana"/>
        </w:rPr>
        <w:t xml:space="preserve">C.13.c It is human nature to blame something or blame someone to any problem or crisis as long as it is not you. </w:t>
      </w:r>
    </w:p>
    <w:p w:rsidR="00FB0B24" w:rsidRPr="005B5CB6" w:rsidP="003255A4">
      <w:pPr>
        <w:spacing w:after="266" w:line="250" w:lineRule="auto"/>
        <w:ind w:left="23" w:right="11" w:hanging="8"/>
        <w:jc w:val="both"/>
        <w:rPr>
          <w:rFonts w:ascii="Verdana" w:hAnsi="Verdana"/>
        </w:rPr>
      </w:pPr>
      <w:r w:rsidRPr="005B5CB6">
        <w:rPr>
          <w:rFonts w:ascii="Verdana" w:eastAsia="Verdana" w:hAnsi="Verdana" w:cs="Verdana"/>
        </w:rPr>
        <w:t xml:space="preserve">C.14 I was told at a very early age of my working career the following: </w:t>
      </w:r>
    </w:p>
    <w:p w:rsidR="00FB0B24" w:rsidRPr="005B5CB6" w:rsidP="003255A4">
      <w:pPr>
        <w:numPr>
          <w:ilvl w:val="0"/>
          <w:numId w:val="17"/>
        </w:numPr>
        <w:spacing w:after="270" w:line="249" w:lineRule="auto"/>
        <w:ind w:right="11" w:hanging="360"/>
        <w:jc w:val="both"/>
        <w:rPr>
          <w:rFonts w:ascii="Verdana" w:hAnsi="Verdana"/>
        </w:rPr>
      </w:pPr>
      <w:r w:rsidRPr="005B5CB6">
        <w:rPr>
          <w:rFonts w:ascii="Verdana" w:eastAsia="Verdana" w:hAnsi="Verdana" w:cs="Verdana"/>
        </w:rPr>
        <w:t xml:space="preserve">C.14a </w:t>
      </w:r>
      <w:r w:rsidRPr="005B5CB6">
        <w:rPr>
          <w:rFonts w:ascii="Verdana" w:eastAsia="Verdana" w:hAnsi="Verdana" w:cs="Verdana"/>
          <w:i/>
        </w:rPr>
        <w:t>”When asking or replying to any question or debate always explain as if everybody is an idiot, then everyone will understand the question or the reply”.</w:t>
      </w:r>
      <w:r w:rsidRPr="005B5CB6">
        <w:rPr>
          <w:rFonts w:ascii="Verdana" w:eastAsia="Verdana" w:hAnsi="Verdana" w:cs="Verdana"/>
        </w:rPr>
        <w:t xml:space="preserve"> </w:t>
      </w:r>
    </w:p>
    <w:p w:rsidR="00FB0B24" w:rsidRPr="005B5CB6" w:rsidP="003255A4">
      <w:pPr>
        <w:numPr>
          <w:ilvl w:val="1"/>
          <w:numId w:val="19"/>
        </w:numPr>
        <w:spacing w:after="270" w:line="250" w:lineRule="auto"/>
        <w:ind w:right="11" w:hanging="720"/>
        <w:jc w:val="both"/>
        <w:rPr>
          <w:rFonts w:ascii="Verdana" w:hAnsi="Verdana"/>
        </w:rPr>
      </w:pPr>
      <w:r w:rsidRPr="005B5CB6">
        <w:rPr>
          <w:rFonts w:ascii="Verdana" w:eastAsia="Verdana" w:hAnsi="Verdana" w:cs="Verdana"/>
        </w:rPr>
        <w:t xml:space="preserve">One statement from a very wise old man has put me in good stead all my life which you may wish to adopt within some of your questions that may be incomplete or flawed in some way within the wording. </w:t>
      </w:r>
    </w:p>
    <w:p w:rsidR="00FB0B24" w:rsidRPr="005B5CB6" w:rsidP="003255A4">
      <w:pPr>
        <w:numPr>
          <w:ilvl w:val="1"/>
          <w:numId w:val="19"/>
        </w:numPr>
        <w:spacing w:after="266" w:line="250" w:lineRule="auto"/>
        <w:ind w:right="11" w:hanging="720"/>
        <w:jc w:val="both"/>
        <w:rPr>
          <w:rFonts w:ascii="Verdana" w:hAnsi="Verdana"/>
        </w:rPr>
      </w:pPr>
      <w:r w:rsidRPr="005B5CB6">
        <w:rPr>
          <w:rFonts w:ascii="Verdana" w:eastAsia="Verdana" w:hAnsi="Verdana" w:cs="Verdana"/>
        </w:rPr>
        <w:t xml:space="preserve">One observation relating to hand-held digital technology: </w:t>
      </w:r>
    </w:p>
    <w:p w:rsidR="00FB0B24" w:rsidRPr="005B5CB6" w:rsidP="003255A4">
      <w:pPr>
        <w:numPr>
          <w:ilvl w:val="0"/>
          <w:numId w:val="17"/>
        </w:numPr>
        <w:spacing w:after="5" w:line="250" w:lineRule="auto"/>
        <w:ind w:right="11" w:hanging="360"/>
        <w:jc w:val="both"/>
        <w:rPr>
          <w:rFonts w:ascii="Verdana" w:hAnsi="Verdana"/>
        </w:rPr>
      </w:pPr>
      <w:r w:rsidRPr="005B5CB6">
        <w:rPr>
          <w:rFonts w:ascii="Verdana" w:eastAsia="Verdana" w:hAnsi="Verdana" w:cs="Verdana"/>
        </w:rPr>
        <w:t xml:space="preserve">C.16a Regardless of social standing if the person is destitute, they still own and can afford a phone where one would have thought it being a luxury rather than a necessity for those that use </w:t>
      </w:r>
      <w:r w:rsidRPr="005B5CB6">
        <w:rPr>
          <w:rFonts w:ascii="Verdana" w:eastAsia="Verdana" w:hAnsi="Verdana" w:cs="Verdana"/>
          <w:i/>
        </w:rPr>
        <w:t>‘food banks’</w:t>
      </w:r>
      <w:r w:rsidRPr="005B5CB6">
        <w:rPr>
          <w:rFonts w:ascii="Verdana" w:eastAsia="Verdana" w:hAnsi="Verdana" w:cs="Verdana"/>
        </w:rPr>
        <w:t xml:space="preserve">. </w:t>
      </w:r>
    </w:p>
    <w:p w:rsidR="00FB0B24" w:rsidRPr="005B5CB6" w:rsidP="003255A4">
      <w:pPr>
        <w:numPr>
          <w:ilvl w:val="0"/>
          <w:numId w:val="17"/>
        </w:numPr>
        <w:spacing w:after="275" w:line="250" w:lineRule="auto"/>
        <w:ind w:right="11" w:hanging="360"/>
        <w:jc w:val="both"/>
        <w:rPr>
          <w:rFonts w:ascii="Verdana" w:hAnsi="Verdana"/>
        </w:rPr>
      </w:pPr>
      <w:r w:rsidRPr="005B5CB6">
        <w:rPr>
          <w:rFonts w:ascii="Verdana" w:eastAsia="Verdana" w:hAnsi="Verdana" w:cs="Verdana"/>
        </w:rPr>
        <w:t xml:space="preserve">C.16b The elderly may or may not have the budget to buy or continue with monthly payments to own a personal computer, tablet or phone unless a cheap version could be supplied and educated to use at a certain age i.e. 65 including free broadband and/or monthly payment costs. </w:t>
      </w:r>
    </w:p>
    <w:p w:rsidR="00FB0B24" w:rsidRPr="005B5CB6" w:rsidP="003255A4">
      <w:pPr>
        <w:spacing w:after="175"/>
        <w:ind w:left="80"/>
        <w:jc w:val="both"/>
        <w:rPr>
          <w:rFonts w:ascii="Verdana" w:hAnsi="Verdana"/>
        </w:rPr>
      </w:pPr>
      <w:r w:rsidRPr="005B5CB6">
        <w:rPr>
          <w:rFonts w:ascii="Verdana" w:eastAsia="Verdana" w:hAnsi="Verdana" w:cs="Verdana"/>
        </w:rPr>
        <w:t xml:space="preserve"> </w:t>
      </w:r>
    </w:p>
    <w:p w:rsidR="00FB0B24" w:rsidRPr="005B5CB6" w:rsidP="003255A4">
      <w:pPr>
        <w:spacing w:after="187" w:line="249" w:lineRule="auto"/>
        <w:ind w:left="251" w:right="235" w:hanging="10"/>
        <w:jc w:val="both"/>
        <w:rPr>
          <w:rFonts w:ascii="Verdana" w:hAnsi="Verdana"/>
        </w:rPr>
      </w:pPr>
      <w:r w:rsidRPr="005B5CB6">
        <w:rPr>
          <w:rFonts w:ascii="Verdana" w:eastAsia="Verdana" w:hAnsi="Verdana" w:cs="Verdana"/>
        </w:rPr>
        <w:t xml:space="preserve">The Committee is seeking input on the following questions: </w:t>
      </w:r>
    </w:p>
    <w:p w:rsidR="00FB0B24" w:rsidRPr="005B5CB6" w:rsidP="003255A4">
      <w:pPr>
        <w:spacing w:after="184" w:line="250" w:lineRule="auto"/>
        <w:ind w:left="11" w:hanging="10"/>
        <w:jc w:val="both"/>
        <w:rPr>
          <w:rFonts w:ascii="Verdana" w:hAnsi="Verdana"/>
        </w:rPr>
      </w:pPr>
      <w:r w:rsidRPr="005B5CB6">
        <w:rPr>
          <w:rFonts w:ascii="Verdana" w:eastAsia="Verdana" w:hAnsi="Verdana" w:cs="Verdana"/>
          <w:b/>
        </w:rPr>
        <w:t xml:space="preserve">General. </w:t>
      </w:r>
    </w:p>
    <w:p w:rsidR="00FB0B24" w:rsidRPr="005B5CB6" w:rsidP="003255A4">
      <w:pPr>
        <w:numPr>
          <w:ilvl w:val="0"/>
          <w:numId w:val="21"/>
        </w:numPr>
        <w:spacing w:after="188" w:line="249" w:lineRule="auto"/>
        <w:ind w:hanging="10"/>
        <w:jc w:val="both"/>
        <w:rPr>
          <w:rFonts w:ascii="Verdana" w:hAnsi="Verdana"/>
        </w:rPr>
      </w:pPr>
      <w:r w:rsidRPr="005B5CB6">
        <w:rPr>
          <w:rFonts w:ascii="Verdana" w:eastAsia="Verdana" w:hAnsi="Verdana" w:cs="Verdana"/>
          <w:b/>
          <w:i/>
        </w:rPr>
        <w:t xml:space="preserve">How has digital technology changed the way that democracy works in the UK and has this been a net positive or negative effect? </w:t>
      </w:r>
    </w:p>
    <w:p w:rsidR="00FB0B24" w:rsidRPr="005B5CB6" w:rsidP="003255A4">
      <w:pPr>
        <w:spacing w:after="268" w:line="250" w:lineRule="auto"/>
        <w:ind w:left="23" w:right="11" w:hanging="8"/>
        <w:jc w:val="both"/>
        <w:rPr>
          <w:rFonts w:ascii="Verdana" w:hAnsi="Verdana"/>
        </w:rPr>
      </w:pPr>
      <w:r w:rsidRPr="005B5CB6">
        <w:rPr>
          <w:rFonts w:ascii="Verdana" w:eastAsia="Verdana" w:hAnsi="Verdana" w:cs="Verdana"/>
        </w:rPr>
        <w:t xml:space="preserve">Q1.1 No, digital technology has not changed democracy and has no positive effect to a subject of democracy that is personal and unique to the individual. Are you referring to </w:t>
      </w:r>
      <w:r w:rsidRPr="005B5CB6">
        <w:rPr>
          <w:rFonts w:ascii="Verdana" w:eastAsia="Verdana" w:hAnsi="Verdana" w:cs="Verdana"/>
          <w:i/>
        </w:rPr>
        <w:t>‘social media’</w:t>
      </w:r>
      <w:r w:rsidRPr="005B5CB6">
        <w:rPr>
          <w:rFonts w:ascii="Verdana" w:eastAsia="Verdana" w:hAnsi="Verdana" w:cs="Verdana"/>
        </w:rPr>
        <w:t xml:space="preserve"> digital technology influencing or affecting political democracy which may lead to the following comments? </w:t>
      </w:r>
    </w:p>
    <w:p w:rsidR="00FB0B24" w:rsidRPr="005B5CB6" w:rsidP="003255A4">
      <w:pPr>
        <w:numPr>
          <w:ilvl w:val="1"/>
          <w:numId w:val="21"/>
        </w:numPr>
        <w:spacing w:after="266" w:line="250" w:lineRule="auto"/>
        <w:ind w:right="11" w:hanging="360"/>
        <w:jc w:val="both"/>
        <w:rPr>
          <w:rFonts w:ascii="Verdana" w:hAnsi="Verdana"/>
        </w:rPr>
      </w:pPr>
      <w:r w:rsidRPr="005B5CB6">
        <w:rPr>
          <w:rFonts w:ascii="Verdana" w:eastAsia="Verdana" w:hAnsi="Verdana" w:cs="Verdana"/>
        </w:rPr>
        <w:t xml:space="preserve">Q1.1a Social media is governed by how big your ego is or your wallet. </w:t>
      </w:r>
    </w:p>
    <w:p w:rsidR="00FB0B24" w:rsidRPr="005B5CB6" w:rsidP="003255A4">
      <w:pPr>
        <w:numPr>
          <w:ilvl w:val="1"/>
          <w:numId w:val="21"/>
        </w:numPr>
        <w:spacing w:after="5" w:line="250" w:lineRule="auto"/>
        <w:ind w:right="11" w:hanging="360"/>
        <w:jc w:val="both"/>
        <w:rPr>
          <w:rFonts w:ascii="Verdana" w:hAnsi="Verdana"/>
        </w:rPr>
      </w:pPr>
      <w:r w:rsidRPr="005B5CB6">
        <w:rPr>
          <w:rFonts w:ascii="Verdana" w:eastAsia="Verdana" w:hAnsi="Verdana" w:cs="Verdana"/>
        </w:rPr>
        <w:t xml:space="preserve">Q1.1b Social media due to the success of digital technology, can and does influence </w:t>
      </w:r>
      <w:r w:rsidRPr="005B5CB6">
        <w:rPr>
          <w:rFonts w:ascii="Verdana" w:eastAsia="Verdana" w:hAnsi="Verdana" w:cs="Verdana"/>
          <w:i/>
        </w:rPr>
        <w:t>(brainwash)</w:t>
      </w:r>
      <w:r w:rsidRPr="005B5CB6">
        <w:rPr>
          <w:rFonts w:ascii="Verdana" w:eastAsia="Verdana" w:hAnsi="Verdana" w:cs="Verdana"/>
        </w:rPr>
        <w:t xml:space="preserve"> a new cross section breed of users in society although allegedly well educated, </w:t>
      </w:r>
      <w:r w:rsidRPr="005B5CB6">
        <w:rPr>
          <w:rFonts w:ascii="Verdana" w:eastAsia="Verdana" w:hAnsi="Verdana" w:cs="Verdana"/>
          <w:i/>
        </w:rPr>
        <w:t>(my apologies, please excuse my description)</w:t>
      </w:r>
      <w:r w:rsidRPr="005B5CB6">
        <w:rPr>
          <w:rFonts w:ascii="Verdana" w:eastAsia="Verdana" w:hAnsi="Verdana" w:cs="Verdana"/>
        </w:rPr>
        <w:t xml:space="preserve"> </w:t>
      </w:r>
      <w:r w:rsidRPr="005B5CB6">
        <w:rPr>
          <w:rFonts w:ascii="Verdana" w:eastAsia="Verdana" w:hAnsi="Verdana" w:cs="Verdana"/>
          <w:b/>
          <w:i/>
        </w:rPr>
        <w:t>“a cult brain-dead sheep like existence en-masse following who do no research to prove otherwise of any post or comment"</w:t>
      </w:r>
      <w:r w:rsidRPr="005B5CB6">
        <w:rPr>
          <w:rFonts w:ascii="Verdana" w:eastAsia="Verdana" w:hAnsi="Verdana" w:cs="Verdana"/>
        </w:rPr>
        <w:t xml:space="preserve"> like, ie; followers of Presidents, Politicians, Leaders, Celebrities, Entrepreneurs, Charity </w:t>
      </w:r>
      <w:r w:rsidRPr="005B5CB6">
        <w:rPr>
          <w:rFonts w:ascii="Verdana" w:eastAsia="Verdana" w:hAnsi="Verdana" w:cs="Verdana"/>
          <w:i/>
        </w:rPr>
        <w:t>(influenced by greed)</w:t>
      </w:r>
      <w:r w:rsidRPr="005B5CB6">
        <w:rPr>
          <w:rFonts w:ascii="Verdana" w:eastAsia="Verdana" w:hAnsi="Verdana" w:cs="Verdana"/>
        </w:rPr>
        <w:t xml:space="preserve"> Organisations, </w:t>
      </w:r>
    </w:p>
    <w:p w:rsidR="00FB0B24" w:rsidRPr="005B5CB6" w:rsidP="003255A4">
      <w:pPr>
        <w:spacing w:after="5" w:line="249" w:lineRule="auto"/>
        <w:ind w:left="251" w:right="126" w:hanging="10"/>
        <w:jc w:val="both"/>
        <w:rPr>
          <w:rFonts w:ascii="Verdana" w:hAnsi="Verdana"/>
        </w:rPr>
      </w:pPr>
      <w:r w:rsidRPr="005B5CB6">
        <w:rPr>
          <w:rFonts w:ascii="Verdana" w:eastAsia="Verdana" w:hAnsi="Verdana" w:cs="Verdana"/>
        </w:rPr>
        <w:t xml:space="preserve">Climate Change Lobbyists, Environmental Lobbyists, Scaremongering </w:t>
      </w:r>
    </w:p>
    <w:p w:rsidR="00FB0B24" w:rsidRPr="005B5CB6" w:rsidP="003255A4">
      <w:pPr>
        <w:spacing w:after="5" w:line="250" w:lineRule="auto"/>
        <w:ind w:left="731" w:right="11" w:hanging="8"/>
        <w:jc w:val="both"/>
        <w:rPr>
          <w:rFonts w:ascii="Verdana" w:hAnsi="Verdana"/>
        </w:rPr>
      </w:pPr>
      <w:r w:rsidRPr="005B5CB6">
        <w:rPr>
          <w:rFonts w:ascii="Verdana" w:eastAsia="Verdana" w:hAnsi="Verdana" w:cs="Verdana"/>
        </w:rPr>
        <w:t xml:space="preserve">Charities and many, many others who use social media to sway opinion </w:t>
      </w:r>
    </w:p>
    <w:p w:rsidR="00FB0B24" w:rsidRPr="005B5CB6" w:rsidP="003255A4">
      <w:pPr>
        <w:spacing w:after="271" w:line="250" w:lineRule="auto"/>
        <w:ind w:left="730" w:right="11" w:hanging="8"/>
        <w:jc w:val="both"/>
        <w:rPr>
          <w:rFonts w:ascii="Verdana" w:hAnsi="Verdana"/>
        </w:rPr>
      </w:pPr>
      <w:r w:rsidRPr="005B5CB6">
        <w:rPr>
          <w:rFonts w:ascii="Verdana" w:eastAsia="Verdana" w:hAnsi="Verdana" w:cs="Verdana"/>
        </w:rPr>
        <w:t xml:space="preserve">for their own agenda, personal or financial gain quite successfully from the descriptive brain dead masses suggested. I can understand the anger of the few who like me cannot be heard with factual information who stay away from repetitive social media rubbish where a backlash is always guaranteed causing abuse, </w:t>
      </w:r>
      <w:r w:rsidRPr="005B5CB6">
        <w:rPr>
          <w:rFonts w:ascii="Verdana" w:eastAsia="Verdana" w:hAnsi="Verdana" w:cs="Verdana"/>
          <w:i/>
        </w:rPr>
        <w:t>again, my apologies.</w:t>
      </w:r>
      <w:r w:rsidRPr="005B5CB6">
        <w:rPr>
          <w:rFonts w:ascii="Verdana" w:eastAsia="Verdana" w:hAnsi="Verdana" w:cs="Verdana"/>
        </w:rPr>
        <w:t xml:space="preserve"> </w:t>
      </w:r>
    </w:p>
    <w:p w:rsidR="00FB0B24" w:rsidRPr="005B5CB6" w:rsidP="003255A4">
      <w:pPr>
        <w:numPr>
          <w:ilvl w:val="1"/>
          <w:numId w:val="21"/>
        </w:numPr>
        <w:spacing w:after="270" w:line="250" w:lineRule="auto"/>
        <w:ind w:right="11" w:hanging="360"/>
        <w:jc w:val="both"/>
        <w:rPr>
          <w:rFonts w:ascii="Verdana" w:hAnsi="Verdana"/>
        </w:rPr>
      </w:pPr>
      <w:r w:rsidRPr="005B5CB6">
        <w:rPr>
          <w:rFonts w:ascii="Verdana" w:eastAsia="Verdana" w:hAnsi="Verdana" w:cs="Verdana"/>
        </w:rPr>
        <w:t xml:space="preserve">Q1.1c Social media create a repartition reaction to: </w:t>
      </w:r>
      <w:r w:rsidRPr="005B5CB6">
        <w:rPr>
          <w:rFonts w:ascii="Verdana" w:eastAsia="Verdana" w:hAnsi="Verdana" w:cs="Verdana"/>
          <w:i/>
        </w:rPr>
        <w:t xml:space="preserve">’Retweet' </w:t>
      </w:r>
      <w:r w:rsidRPr="005B5CB6">
        <w:rPr>
          <w:rFonts w:ascii="Verdana" w:eastAsia="Verdana" w:hAnsi="Verdana" w:cs="Verdana"/>
        </w:rPr>
        <w:t xml:space="preserve">or </w:t>
      </w:r>
      <w:r w:rsidRPr="005B5CB6">
        <w:rPr>
          <w:rFonts w:ascii="Verdana" w:eastAsia="Verdana" w:hAnsi="Verdana" w:cs="Verdana"/>
          <w:i/>
        </w:rPr>
        <w:t>'like'</w:t>
      </w:r>
      <w:r w:rsidRPr="005B5CB6">
        <w:rPr>
          <w:rFonts w:ascii="Verdana" w:eastAsia="Verdana" w:hAnsi="Verdana" w:cs="Verdana"/>
        </w:rPr>
        <w:t xml:space="preserve"> where no research is considered or done by the user to immediately </w:t>
      </w:r>
      <w:r w:rsidRPr="005B5CB6">
        <w:rPr>
          <w:rFonts w:ascii="Verdana" w:eastAsia="Verdana" w:hAnsi="Verdana" w:cs="Verdana"/>
          <w:i/>
        </w:rPr>
        <w:t>‘re-tweet'</w:t>
      </w:r>
      <w:r w:rsidRPr="005B5CB6">
        <w:rPr>
          <w:rFonts w:ascii="Verdana" w:eastAsia="Verdana" w:hAnsi="Verdana" w:cs="Verdana"/>
        </w:rPr>
        <w:t xml:space="preserve"> or </w:t>
      </w:r>
      <w:r w:rsidRPr="005B5CB6">
        <w:rPr>
          <w:rFonts w:ascii="Verdana" w:eastAsia="Verdana" w:hAnsi="Verdana" w:cs="Verdana"/>
          <w:i/>
        </w:rPr>
        <w:t xml:space="preserve">'like' </w:t>
      </w:r>
      <w:r w:rsidRPr="005B5CB6">
        <w:rPr>
          <w:rFonts w:ascii="Verdana" w:eastAsia="Verdana" w:hAnsi="Verdana" w:cs="Verdana"/>
        </w:rPr>
        <w:t xml:space="preserve">whether the information is correct, incorrect or even </w:t>
      </w:r>
      <w:r w:rsidRPr="005B5CB6">
        <w:rPr>
          <w:rFonts w:ascii="Verdana" w:eastAsia="Verdana" w:hAnsi="Verdana" w:cs="Verdana"/>
          <w:i/>
        </w:rPr>
        <w:t>‘thought through rationally’</w:t>
      </w:r>
      <w:r w:rsidRPr="005B5CB6">
        <w:rPr>
          <w:rFonts w:ascii="Verdana" w:eastAsia="Verdana" w:hAnsi="Verdana" w:cs="Verdana"/>
        </w:rPr>
        <w:t xml:space="preserve"> by using a </w:t>
      </w:r>
      <w:r w:rsidRPr="005B5CB6">
        <w:rPr>
          <w:rFonts w:ascii="Verdana" w:eastAsia="Verdana" w:hAnsi="Verdana" w:cs="Verdana"/>
          <w:i/>
        </w:rPr>
        <w:t xml:space="preserve">‘gut reaction’ </w:t>
      </w:r>
      <w:r w:rsidRPr="005B5CB6">
        <w:rPr>
          <w:rFonts w:ascii="Verdana" w:eastAsia="Verdana" w:hAnsi="Verdana" w:cs="Verdana"/>
        </w:rPr>
        <w:t xml:space="preserve">response which then is too late to change or remove and then used as a barometer by Politics and TV/Radio media to judge public opinion. How wrong! </w:t>
      </w:r>
    </w:p>
    <w:p w:rsidR="00FB0B24" w:rsidRPr="005B5CB6" w:rsidP="003255A4">
      <w:pPr>
        <w:numPr>
          <w:ilvl w:val="1"/>
          <w:numId w:val="21"/>
        </w:numPr>
        <w:spacing w:after="270" w:line="250" w:lineRule="auto"/>
        <w:ind w:right="11" w:hanging="360"/>
        <w:jc w:val="both"/>
        <w:rPr>
          <w:rFonts w:ascii="Verdana" w:hAnsi="Verdana"/>
        </w:rPr>
      </w:pPr>
      <w:r w:rsidRPr="005B5CB6">
        <w:rPr>
          <w:rFonts w:ascii="Verdana" w:eastAsia="Verdana" w:hAnsi="Verdana" w:cs="Verdana"/>
        </w:rPr>
        <w:t xml:space="preserve">Q1.1d Social media does not create or have the ability to debate at great length or replicate the passion created in The House of Commons for a sensible debate/reply conclusion regardless how archaic the system of The House of Commons appears to the general public of the UK but revered by foreign government politicians who envy our political democratic system. </w:t>
      </w:r>
    </w:p>
    <w:p w:rsidR="00FB0B24" w:rsidRPr="005B5CB6" w:rsidP="003255A4">
      <w:pPr>
        <w:numPr>
          <w:ilvl w:val="1"/>
          <w:numId w:val="21"/>
        </w:numPr>
        <w:spacing w:after="270" w:line="250" w:lineRule="auto"/>
        <w:ind w:right="11" w:hanging="360"/>
        <w:jc w:val="both"/>
        <w:rPr>
          <w:rFonts w:ascii="Verdana" w:hAnsi="Verdana"/>
        </w:rPr>
      </w:pPr>
      <w:r w:rsidRPr="005B5CB6">
        <w:rPr>
          <w:rFonts w:ascii="Verdana" w:eastAsia="Verdana" w:hAnsi="Verdana" w:cs="Verdana"/>
        </w:rPr>
        <w:t xml:space="preserve">Q1.1e Social media does not consider emotion of the sender or the receiver which can and does appear to be sharp, blunt and/or abusive. Perhaps by poor education it is easier to abuse than use the English language correctly. </w:t>
      </w:r>
    </w:p>
    <w:p w:rsidR="00FB0B24" w:rsidRPr="005B5CB6" w:rsidP="003255A4">
      <w:pPr>
        <w:numPr>
          <w:ilvl w:val="1"/>
          <w:numId w:val="21"/>
        </w:numPr>
        <w:spacing w:after="270" w:line="250" w:lineRule="auto"/>
        <w:ind w:right="11" w:hanging="360"/>
        <w:jc w:val="both"/>
        <w:rPr>
          <w:rFonts w:ascii="Verdana" w:hAnsi="Verdana"/>
        </w:rPr>
      </w:pPr>
      <w:r w:rsidRPr="005B5CB6">
        <w:rPr>
          <w:rFonts w:ascii="Verdana" w:eastAsia="Verdana" w:hAnsi="Verdana" w:cs="Verdana"/>
        </w:rPr>
        <w:t xml:space="preserve">Q1.1f Social media create more arguments than any other medium due to poor grammar, bad spelling or abbreviated </w:t>
      </w:r>
      <w:r w:rsidRPr="005B5CB6">
        <w:rPr>
          <w:rFonts w:ascii="Verdana" w:eastAsia="Verdana" w:hAnsi="Verdana" w:cs="Verdana"/>
          <w:i/>
        </w:rPr>
        <w:t xml:space="preserve">'cyber texts speak' </w:t>
      </w:r>
      <w:r w:rsidRPr="005B5CB6">
        <w:rPr>
          <w:rFonts w:ascii="Verdana" w:eastAsia="Verdana" w:hAnsi="Verdana" w:cs="Verdana"/>
        </w:rPr>
        <w:t xml:space="preserve">causing an abuse of the English language that </w:t>
      </w:r>
      <w:r w:rsidRPr="005B5CB6">
        <w:rPr>
          <w:rFonts w:ascii="Verdana" w:eastAsia="Verdana" w:hAnsi="Verdana" w:cs="Verdana"/>
          <w:i/>
        </w:rPr>
        <w:t>‘if it is not broke don’t try and fix it’</w:t>
      </w:r>
      <w:r w:rsidRPr="005B5CB6">
        <w:rPr>
          <w:rFonts w:ascii="Verdana" w:eastAsia="Verdana" w:hAnsi="Verdana" w:cs="Verdana"/>
        </w:rPr>
        <w:t xml:space="preserve"> scenario</w:t>
      </w:r>
      <w:r w:rsidRPr="005B5CB6">
        <w:rPr>
          <w:rFonts w:ascii="Verdana" w:eastAsia="Verdana" w:hAnsi="Verdana" w:cs="Verdana"/>
          <w:i/>
        </w:rPr>
        <w:t>,</w:t>
      </w:r>
      <w:r w:rsidRPr="005B5CB6">
        <w:rPr>
          <w:rFonts w:ascii="Verdana" w:eastAsia="Verdana" w:hAnsi="Verdana" w:cs="Verdana"/>
        </w:rPr>
        <w:t xml:space="preserve"> is now moving into daily life conversation or regretfully into the English Dictionary due to repartition on social media. </w:t>
      </w:r>
    </w:p>
    <w:p w:rsidR="00FB0B24" w:rsidRPr="005B5CB6" w:rsidP="003255A4">
      <w:pPr>
        <w:spacing w:after="186" w:line="250" w:lineRule="auto"/>
        <w:ind w:left="23" w:right="11" w:hanging="8"/>
        <w:jc w:val="both"/>
        <w:rPr>
          <w:rFonts w:ascii="Verdana" w:hAnsi="Verdana"/>
        </w:rPr>
      </w:pPr>
      <w:r w:rsidRPr="005B5CB6">
        <w:rPr>
          <w:rFonts w:ascii="Verdana" w:eastAsia="Verdana" w:hAnsi="Verdana" w:cs="Verdana"/>
        </w:rPr>
        <w:t xml:space="preserve">Q1.2 Therefore all the above dictates a negative or inconclusive affect, unless Parliament can instil confidence to the masses for the use within a Parliamentary Platform, see new question 15. </w:t>
      </w:r>
    </w:p>
    <w:p w:rsidR="00FB0B24" w:rsidRPr="005B5CB6" w:rsidP="003255A4">
      <w:pPr>
        <w:numPr>
          <w:ilvl w:val="0"/>
          <w:numId w:val="21"/>
        </w:numPr>
        <w:spacing w:after="188" w:line="249" w:lineRule="auto"/>
        <w:ind w:hanging="10"/>
        <w:jc w:val="both"/>
        <w:rPr>
          <w:rFonts w:ascii="Verdana" w:hAnsi="Verdana"/>
        </w:rPr>
      </w:pPr>
      <w:r w:rsidRPr="005B5CB6">
        <w:rPr>
          <w:rFonts w:ascii="Verdana" w:eastAsia="Verdana" w:hAnsi="Verdana" w:cs="Verdana"/>
          <w:b/>
          <w:i/>
        </w:rPr>
        <w:t xml:space="preserve">How have the designs of algorithms used by social media platforms shaped democratic debate?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Q2.1 Algorithm’s in my life, anyone I know or interviewed has not shaped or formed a political debate opinion platform. Common sense and logic dictates individual opinion without social media intrusion. </w:t>
      </w:r>
    </w:p>
    <w:p w:rsidR="00FB0B24" w:rsidRPr="005B5CB6" w:rsidP="003255A4">
      <w:pPr>
        <w:spacing w:after="188" w:line="249" w:lineRule="auto"/>
        <w:ind w:left="10" w:hanging="10"/>
        <w:jc w:val="both"/>
        <w:rPr>
          <w:rFonts w:ascii="Verdana" w:hAnsi="Verdana"/>
        </w:rPr>
      </w:pPr>
      <w:r w:rsidRPr="005B5CB6">
        <w:rPr>
          <w:rFonts w:ascii="Verdana" w:eastAsia="Verdana" w:hAnsi="Verdana" w:cs="Verdana"/>
          <w:i/>
        </w:rPr>
        <w:t>Q2.</w:t>
      </w:r>
      <w:r w:rsidRPr="005B5CB6">
        <w:rPr>
          <w:rFonts w:ascii="Verdana" w:eastAsia="Verdana" w:hAnsi="Verdana" w:cs="Verdana"/>
        </w:rPr>
        <w:t>2</w:t>
      </w:r>
      <w:r w:rsidRPr="005B5CB6">
        <w:rPr>
          <w:rFonts w:ascii="Verdana" w:eastAsia="Verdana" w:hAnsi="Verdana" w:cs="Verdana"/>
          <w:i/>
        </w:rPr>
        <w:t xml:space="preserve"> (Is question 2 worded correctly, perhaps an example to prove your point, which may prove my point stated in C1, C5, C8, C9, C10, C14, C15 within ‘observational comments’?)</w:t>
      </w:r>
      <w:r w:rsidRPr="005B5CB6">
        <w:rPr>
          <w:rFonts w:ascii="Verdana" w:eastAsia="Verdana" w:hAnsi="Verdana" w:cs="Verdana"/>
        </w:rPr>
        <w:t xml:space="preserv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To what extent should there be greater accountability for the design of these algorithms? </w:t>
      </w:r>
    </w:p>
    <w:p w:rsidR="00FB0B24" w:rsidRPr="005B5CB6" w:rsidP="003255A4">
      <w:pPr>
        <w:spacing w:after="5" w:line="249" w:lineRule="auto"/>
        <w:ind w:left="10" w:hanging="10"/>
        <w:jc w:val="both"/>
        <w:rPr>
          <w:rFonts w:ascii="Verdana" w:hAnsi="Verdana"/>
        </w:rPr>
      </w:pPr>
      <w:r w:rsidRPr="005B5CB6">
        <w:rPr>
          <w:rFonts w:ascii="Verdana" w:eastAsia="Verdana" w:hAnsi="Verdana" w:cs="Verdana"/>
        </w:rPr>
        <w:t xml:space="preserve">Q2.3 If the design is wrong then please refer to </w:t>
      </w:r>
      <w:r w:rsidRPr="005B5CB6">
        <w:rPr>
          <w:rFonts w:ascii="Verdana" w:eastAsia="Verdana" w:hAnsi="Verdana" w:cs="Verdana"/>
          <w:i/>
        </w:rPr>
        <w:t>‘observational comments’</w:t>
      </w:r>
      <w:r w:rsidRPr="005B5CB6">
        <w:rPr>
          <w:rFonts w:ascii="Verdana" w:eastAsia="Verdana" w:hAnsi="Verdana" w:cs="Verdana"/>
        </w:rPr>
        <w:t xml:space="preserve"> and answers to </w:t>
      </w:r>
      <w:r w:rsidRPr="005B5CB6">
        <w:rPr>
          <w:rFonts w:ascii="Verdana" w:eastAsia="Verdana" w:hAnsi="Verdana" w:cs="Verdana"/>
          <w:i/>
        </w:rPr>
        <w:t>question 1 above in Q2.2 specifically C.9 and C10.</w:t>
      </w:r>
      <w:r w:rsidRPr="005B5CB6">
        <w:rPr>
          <w:rFonts w:ascii="Verdana" w:eastAsia="Verdana" w:hAnsi="Verdana" w:cs="Verdana"/>
        </w:rPr>
        <w:t xml:space="preserv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Q2.4 Are you asking should the questions have a yes/no answer or be more explicit?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Q2.5 The algorithms are only as good and accurate as the designer of the programmer’s questionnaire. </w:t>
      </w:r>
    </w:p>
    <w:p w:rsidR="00FB0B24" w:rsidRPr="005B5CB6" w:rsidP="003255A4">
      <w:pPr>
        <w:spacing w:after="184" w:line="250" w:lineRule="auto"/>
        <w:ind w:left="23" w:right="11" w:hanging="8"/>
        <w:jc w:val="both"/>
        <w:rPr>
          <w:rFonts w:ascii="Verdana" w:hAnsi="Verdana"/>
        </w:rPr>
      </w:pPr>
      <w:r w:rsidRPr="005B5CB6">
        <w:rPr>
          <w:rFonts w:ascii="Verdana" w:eastAsia="Verdana" w:hAnsi="Verdana" w:cs="Verdana"/>
        </w:rPr>
        <w:t xml:space="preserve">Q2.6 Algorithms should be completely transparent and understandable. </w:t>
      </w:r>
    </w:p>
    <w:p w:rsidR="00FB0B24" w:rsidRPr="005B5CB6" w:rsidP="003255A4">
      <w:pPr>
        <w:spacing w:after="191" w:line="250" w:lineRule="auto"/>
        <w:ind w:left="23" w:right="11" w:hanging="8"/>
        <w:jc w:val="both"/>
        <w:rPr>
          <w:rFonts w:ascii="Verdana" w:hAnsi="Verdana"/>
        </w:rPr>
      </w:pPr>
      <w:r w:rsidRPr="005B5CB6">
        <w:rPr>
          <w:rFonts w:ascii="Verdana" w:eastAsia="Verdana" w:hAnsi="Verdana" w:cs="Verdana"/>
        </w:rPr>
        <w:t xml:space="preserve">Q2.7 Again, is the question worded correctly to achieve the answers you require; perhaps a further example would help to ascertain the answer or opinion you desire. </w:t>
      </w:r>
    </w:p>
    <w:p w:rsidR="00FB0B24" w:rsidRPr="005B5CB6" w:rsidP="003255A4">
      <w:pPr>
        <w:spacing w:after="182" w:line="250" w:lineRule="auto"/>
        <w:ind w:left="11" w:hanging="10"/>
        <w:jc w:val="both"/>
        <w:rPr>
          <w:rFonts w:ascii="Verdana" w:hAnsi="Verdana"/>
        </w:rPr>
      </w:pPr>
      <w:r w:rsidRPr="005B5CB6">
        <w:rPr>
          <w:rFonts w:ascii="Verdana" w:eastAsia="Verdana" w:hAnsi="Verdana" w:cs="Verdana"/>
          <w:b/>
        </w:rPr>
        <w:t xml:space="preserve">Education  </w:t>
      </w:r>
    </w:p>
    <w:p w:rsidR="00FB0B24" w:rsidRPr="005B5CB6" w:rsidP="003255A4">
      <w:pPr>
        <w:spacing w:after="188" w:line="249" w:lineRule="auto"/>
        <w:ind w:left="9" w:hanging="10"/>
        <w:jc w:val="both"/>
        <w:rPr>
          <w:rFonts w:ascii="Verdana" w:hAnsi="Verdana"/>
        </w:rPr>
      </w:pPr>
      <w:r w:rsidRPr="005B5CB6">
        <w:rPr>
          <w:rFonts w:ascii="Verdana" w:eastAsia="Verdana" w:hAnsi="Verdana" w:cs="Verdana"/>
          <w:b/>
          <w:i/>
        </w:rPr>
        <w:t xml:space="preserve">3. What role should every stage of education play in helping to create a healthy, active, digitally literate democracy?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Q3.1 Education and learning will never stop from our first breath to our last. Digital technology is here to stay and should be embraced, to a point of moderation, although without, I would not have written, 10 years ago, my first book using Microsoft Word or follow-up book, pending publication </w:t>
      </w:r>
      <w:r w:rsidRPr="005B5CB6">
        <w:rPr>
          <w:rFonts w:ascii="Verdana" w:eastAsia="Verdana" w:hAnsi="Verdana" w:cs="Verdana"/>
          <w:i/>
        </w:rPr>
        <w:t>(a little bit hypocritical on my part by not being a big user or fan of social media).</w:t>
      </w:r>
      <w:r w:rsidRPr="005B5CB6">
        <w:rPr>
          <w:rFonts w:ascii="Verdana" w:eastAsia="Verdana" w:hAnsi="Verdana" w:cs="Verdana"/>
        </w:rPr>
        <w:t xml:space="preserve"> However: There is no healthy or active digital technology democracy to play any part in early education where the </w:t>
      </w:r>
      <w:r w:rsidRPr="005B5CB6">
        <w:rPr>
          <w:rFonts w:ascii="Verdana" w:eastAsia="Verdana" w:hAnsi="Verdana" w:cs="Verdana"/>
          <w:i/>
        </w:rPr>
        <w:t xml:space="preserve">‘pen’ </w:t>
      </w:r>
      <w:r w:rsidRPr="005B5CB6">
        <w:rPr>
          <w:rFonts w:ascii="Verdana" w:eastAsia="Verdana" w:hAnsi="Verdana" w:cs="Verdana"/>
        </w:rPr>
        <w:t xml:space="preserve">should never be replaced except educating at an early age in using digital technology as a reference tool or research tool to then use to prove information given is correct proving the argument by your own ability to confirm or prove otherwise by checking physically or calculating rather than accepting what you have read as factual digital technology information. Education is an important part of all of our lives and controls how successful we are in any area of science, academia or commerce at any age on a daily basis during your life, as Michelangelo said on his death bed: </w:t>
      </w:r>
      <w:r w:rsidRPr="005B5CB6">
        <w:rPr>
          <w:rFonts w:ascii="Verdana" w:eastAsia="Verdana" w:hAnsi="Verdana" w:cs="Verdana"/>
          <w:i/>
        </w:rPr>
        <w:t>“I am still learning”.</w:t>
      </w:r>
      <w:r w:rsidRPr="005B5CB6">
        <w:rPr>
          <w:rFonts w:ascii="Verdana" w:eastAsia="Verdana" w:hAnsi="Verdana" w:cs="Verdana"/>
        </w:rPr>
        <w:t xml:space="preserve"> One point if I may: </w:t>
      </w:r>
      <w:r w:rsidRPr="005B5CB6">
        <w:rPr>
          <w:rFonts w:ascii="Verdana" w:eastAsia="Verdana" w:hAnsi="Verdana" w:cs="Verdana"/>
          <w:i/>
        </w:rPr>
        <w:t>‘Sceptics are those that do not understand and do no research to prove otherwise except complain you are wrong’.</w:t>
      </w:r>
      <w:r w:rsidRPr="005B5CB6">
        <w:rPr>
          <w:rFonts w:ascii="Verdana" w:eastAsia="Verdana" w:hAnsi="Verdana" w:cs="Verdana"/>
        </w:rPr>
        <w:t xml:space="preserve"> This point may become clearer as you read the following answers and comments to your questionnaire.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Q3.2 The human brain is a very important powerful organ of the human body which in itself is a great problem solver that technology will never and should never replace. The human brain has evolved over millennia and has not reached its full potential of invention, design, problem solving, mathematics, language, sciences or the most important un-tapped source, natural phenomenon, that new research proves conclusively the human body lost the use of a</w:t>
      </w:r>
      <w:r w:rsidRPr="005B5CB6">
        <w:rPr>
          <w:rFonts w:ascii="Verdana" w:eastAsia="Verdana" w:hAnsi="Verdana" w:cs="Verdana"/>
          <w:i/>
        </w:rPr>
        <w:t xml:space="preserve"> ‘sensory organ’ </w:t>
      </w:r>
      <w:r w:rsidRPr="005B5CB6">
        <w:rPr>
          <w:rFonts w:ascii="Verdana" w:eastAsia="Verdana" w:hAnsi="Verdana" w:cs="Verdana"/>
        </w:rPr>
        <w:t xml:space="preserve">through time to </w:t>
      </w:r>
      <w:r w:rsidRPr="005B5CB6">
        <w:rPr>
          <w:rFonts w:ascii="Verdana" w:eastAsia="Verdana" w:hAnsi="Verdana" w:cs="Verdana"/>
          <w:i/>
        </w:rPr>
        <w:t>‘sense</w:t>
      </w:r>
      <w:r w:rsidRPr="005B5CB6">
        <w:rPr>
          <w:rFonts w:ascii="Verdana" w:eastAsia="Verdana" w:hAnsi="Verdana" w:cs="Verdana"/>
        </w:rPr>
        <w:t xml:space="preserve"> </w:t>
      </w:r>
      <w:r w:rsidRPr="005B5CB6">
        <w:rPr>
          <w:rFonts w:ascii="Verdana" w:eastAsia="Verdana" w:hAnsi="Verdana" w:cs="Verdana"/>
          <w:i/>
        </w:rPr>
        <w:t>harmful natural phenomena</w:t>
      </w:r>
      <w:r w:rsidRPr="005B5CB6">
        <w:rPr>
          <w:rFonts w:ascii="Verdana" w:eastAsia="Verdana" w:hAnsi="Verdana" w:cs="Verdana"/>
        </w:rPr>
        <w:t xml:space="preserve">’ as we became more intelligent through millennia. I can also confirm medical science does not always have the answers to today’s problems to be found within a microscope laboratory environment using the finest minds available with a bottomless pit of funding which new research confirms conclusively </w:t>
      </w:r>
      <w:r w:rsidRPr="005B5CB6">
        <w:rPr>
          <w:rFonts w:ascii="Verdana" w:eastAsia="Verdana" w:hAnsi="Verdana" w:cs="Verdana"/>
          <w:b/>
          <w:i/>
        </w:rPr>
        <w:t>‘all the money in the world will not find a cure to prevent serious illness, like Cancer’</w:t>
      </w:r>
      <w:r w:rsidRPr="005B5CB6">
        <w:rPr>
          <w:rFonts w:ascii="Verdana" w:eastAsia="Verdana" w:hAnsi="Verdana" w:cs="Verdana"/>
          <w:i/>
        </w:rPr>
        <w:t xml:space="preserve"> </w:t>
      </w:r>
      <w:r w:rsidRPr="005B5CB6">
        <w:rPr>
          <w:rFonts w:ascii="Verdana" w:eastAsia="Verdana" w:hAnsi="Verdana" w:cs="Verdana"/>
        </w:rPr>
        <w:t xml:space="preserve">if medical sciences pursue its current path. Education of all sources of research whether private or academia led should be considered, please refer to FC.8 for clarification.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Q3.3 The particular natural phenomenon mentioned in my submission will never disappear or run out of for billions of years, completely overlooked for everyday life by all sciences </w:t>
      </w:r>
      <w:r w:rsidRPr="005B5CB6">
        <w:rPr>
          <w:rFonts w:ascii="Verdana" w:eastAsia="Verdana" w:hAnsi="Verdana" w:cs="Verdana"/>
          <w:i/>
        </w:rPr>
        <w:t>(except NASA)</w:t>
      </w:r>
      <w:r w:rsidRPr="005B5CB6">
        <w:rPr>
          <w:rFonts w:ascii="Verdana" w:eastAsia="Verdana" w:hAnsi="Verdana" w:cs="Verdana"/>
        </w:rPr>
        <w:t xml:space="preserve"> for the following that would improve mankind’s existence and is very relevant to the debate to create an alternative situation and a new use for digital technology to harness energy and prevent illness: </w:t>
      </w:r>
    </w:p>
    <w:p w:rsidR="00FB0B24" w:rsidRPr="005B5CB6" w:rsidP="003255A4">
      <w:pPr>
        <w:numPr>
          <w:ilvl w:val="0"/>
          <w:numId w:val="22"/>
        </w:numPr>
        <w:spacing w:after="5" w:line="250" w:lineRule="auto"/>
        <w:ind w:right="11" w:hanging="360"/>
        <w:jc w:val="both"/>
        <w:rPr>
          <w:rFonts w:ascii="Verdana" w:hAnsi="Verdana"/>
        </w:rPr>
      </w:pPr>
      <w:r w:rsidRPr="005B5CB6">
        <w:rPr>
          <w:rFonts w:ascii="Verdana" w:eastAsia="Verdana" w:hAnsi="Verdana" w:cs="Verdana"/>
        </w:rPr>
        <w:t xml:space="preserve">Q3.3a Cheap or Free Energy using a natural phenomenon which has never been tapped but is available using technology already proved 100 years ago however money and greed stopped the process, perhaps now is the time to resurrect old proven technology using today’s new wireless digital technology. </w:t>
      </w:r>
    </w:p>
    <w:p w:rsidR="00FB0B24" w:rsidRPr="005B5CB6" w:rsidP="003255A4">
      <w:pPr>
        <w:spacing w:after="0"/>
        <w:ind w:left="722"/>
        <w:jc w:val="both"/>
        <w:rPr>
          <w:rFonts w:ascii="Verdana" w:hAnsi="Verdana"/>
        </w:rPr>
      </w:pPr>
      <w:r w:rsidRPr="005B5CB6">
        <w:rPr>
          <w:rFonts w:ascii="Verdana" w:eastAsia="Verdana" w:hAnsi="Verdana" w:cs="Verdana"/>
        </w:rPr>
        <w:t xml:space="preserve"> </w:t>
      </w:r>
    </w:p>
    <w:p w:rsidR="00FB0B24" w:rsidRPr="005B5CB6" w:rsidP="003255A4">
      <w:pPr>
        <w:numPr>
          <w:ilvl w:val="0"/>
          <w:numId w:val="22"/>
        </w:numPr>
        <w:spacing w:after="5" w:line="250" w:lineRule="auto"/>
        <w:ind w:right="11" w:hanging="360"/>
        <w:jc w:val="both"/>
        <w:rPr>
          <w:rFonts w:ascii="Verdana" w:hAnsi="Verdana"/>
        </w:rPr>
      </w:pPr>
      <w:r w:rsidRPr="005B5CB6">
        <w:rPr>
          <w:rFonts w:ascii="Verdana" w:eastAsia="Verdana" w:hAnsi="Verdana" w:cs="Verdana"/>
        </w:rPr>
        <w:t xml:space="preserve">Q3.3b </w:t>
      </w:r>
      <w:r w:rsidRPr="005B5CB6">
        <w:rPr>
          <w:rFonts w:ascii="Verdana" w:eastAsia="Verdana" w:hAnsi="Verdana" w:cs="Verdana"/>
          <w:i/>
        </w:rPr>
        <w:t>‘Preventing illness’</w:t>
      </w:r>
      <w:r w:rsidRPr="005B5CB6">
        <w:rPr>
          <w:rFonts w:ascii="Verdana" w:eastAsia="Verdana" w:hAnsi="Verdana" w:cs="Verdana"/>
        </w:rPr>
        <w:t xml:space="preserve"> with </w:t>
      </w:r>
      <w:r w:rsidRPr="005B5CB6">
        <w:rPr>
          <w:rFonts w:ascii="Verdana" w:eastAsia="Verdana" w:hAnsi="Verdana" w:cs="Verdana"/>
          <w:i/>
        </w:rPr>
        <w:t>‘new private research’</w:t>
      </w:r>
      <w:r w:rsidRPr="005B5CB6">
        <w:rPr>
          <w:rFonts w:ascii="Verdana" w:eastAsia="Verdana" w:hAnsi="Verdana" w:cs="Verdana"/>
        </w:rPr>
        <w:t xml:space="preserve"> that is conclusive and finite using new </w:t>
      </w:r>
      <w:r w:rsidRPr="005B5CB6">
        <w:rPr>
          <w:rFonts w:ascii="Verdana" w:eastAsia="Verdana" w:hAnsi="Verdana" w:cs="Verdana"/>
          <w:i/>
        </w:rPr>
        <w:t xml:space="preserve">‘Digital Artificial Intelligence Formula’ </w:t>
      </w:r>
      <w:r w:rsidRPr="005B5CB6">
        <w:rPr>
          <w:rFonts w:ascii="Verdana" w:eastAsia="Verdana" w:hAnsi="Verdana" w:cs="Verdana"/>
        </w:rPr>
        <w:t xml:space="preserve">(AI) hand-held device, built, developed and designed to the author’s specific strict specifications converting into an ‘APP’ using digital technology as a carrying devise/tool.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0"/>
          <w:numId w:val="22"/>
        </w:numPr>
        <w:spacing w:after="5" w:line="250" w:lineRule="auto"/>
        <w:ind w:right="11" w:hanging="360"/>
        <w:jc w:val="both"/>
        <w:rPr>
          <w:rFonts w:ascii="Verdana" w:hAnsi="Verdana"/>
        </w:rPr>
      </w:pPr>
      <w:r w:rsidRPr="005B5CB6">
        <w:rPr>
          <w:rFonts w:ascii="Verdana" w:eastAsia="Verdana" w:hAnsi="Verdana" w:cs="Verdana"/>
        </w:rPr>
        <w:t xml:space="preserve">Q3.3c The same digital technology hand-held device will </w:t>
      </w:r>
      <w:r w:rsidRPr="005B5CB6">
        <w:rPr>
          <w:rFonts w:ascii="Verdana" w:eastAsia="Verdana" w:hAnsi="Verdana" w:cs="Verdana"/>
          <w:i/>
        </w:rPr>
        <w:t>‘highlight to prevent’</w:t>
      </w:r>
      <w:r w:rsidRPr="005B5CB6">
        <w:rPr>
          <w:rFonts w:ascii="Verdana" w:eastAsia="Verdana" w:hAnsi="Verdana" w:cs="Verdana"/>
        </w:rPr>
        <w:t xml:space="preserve"> the cause, </w:t>
      </w:r>
      <w:r w:rsidRPr="005B5CB6">
        <w:rPr>
          <w:rFonts w:ascii="Verdana" w:eastAsia="Verdana" w:hAnsi="Verdana" w:cs="Verdana"/>
          <w:i/>
        </w:rPr>
        <w:t>‘the trigger</w:t>
      </w:r>
      <w:r w:rsidRPr="005B5CB6">
        <w:rPr>
          <w:rFonts w:ascii="Verdana" w:eastAsia="Verdana" w:hAnsi="Verdana" w:cs="Verdana"/>
        </w:rPr>
        <w:t xml:space="preserve">’ that stimulates the cell to mutate and manifest into a cancerous growth, tumour and/or other serious illness like, ie: Parkinson’s, Alzheimer’s, Depression, Obesity, Mental Health, Sleep Deprivation, Metastasis, Miscarriage, Still-born, Cot-death and much, much more that are today all anomalies to medical science. Proving using new research is now </w:t>
      </w:r>
      <w:r w:rsidRPr="005B5CB6">
        <w:rPr>
          <w:rFonts w:ascii="Verdana" w:eastAsia="Verdana" w:hAnsi="Verdana" w:cs="Verdana"/>
          <w:i/>
        </w:rPr>
        <w:t>‘outside their field of expertise to prevent or cure illness’</w:t>
      </w:r>
      <w:r w:rsidRPr="005B5CB6">
        <w:rPr>
          <w:rFonts w:ascii="Verdana" w:eastAsia="Verdana" w:hAnsi="Verdana" w:cs="Verdana"/>
        </w:rPr>
        <w:t xml:space="preserve"> being forced to use an out-dated Victorian era protocol that is used and has not changed to the present day. Unless all sciences are involved and including natural phenomena which the author can conclusively prove without any doubt answers to medical science anomalies will never be found.</w:t>
      </w:r>
      <w:r w:rsidRPr="005B5CB6">
        <w:rPr>
          <w:rFonts w:ascii="Verdana" w:eastAsia="Verdana" w:hAnsi="Verdana" w:cs="Verdana"/>
          <w:i/>
        </w:rPr>
        <w:t xml:space="preserve"> ‘Please consider a world without the above illnesses using digital technology’. </w:t>
      </w:r>
      <w:r w:rsidRPr="005B5CB6">
        <w:rPr>
          <w:rFonts w:ascii="Verdana" w:eastAsia="Verdana" w:hAnsi="Verdana" w:cs="Verdana"/>
        </w:rPr>
        <w:t xml:space="preserve">Not possible? Think again, why do you think some people get ill and die, although have a healthy lifestyle and some people do not get ill abusing their body through life and die much later in old age. New research proves conclusively why some die early and some die in later life. There is a reason for longevity as found in other civilisations and indigenous people that the Western World laugh at because we no longer appreciate or can use by legislation how natural sciences work with the human body on Planet Earth. You have a lot to learn about basic facts of the survival needs of humanity. </w:t>
      </w:r>
    </w:p>
    <w:p w:rsidR="00FB0B24" w:rsidRPr="005B5CB6" w:rsidP="003255A4">
      <w:pPr>
        <w:spacing w:after="0"/>
        <w:ind w:left="724"/>
        <w:jc w:val="both"/>
        <w:rPr>
          <w:rFonts w:ascii="Verdana" w:hAnsi="Verdana"/>
        </w:rPr>
      </w:pPr>
      <w:r w:rsidRPr="005B5CB6">
        <w:rPr>
          <w:rFonts w:ascii="Verdana" w:eastAsia="Verdana" w:hAnsi="Verdana" w:cs="Verdana"/>
        </w:rPr>
        <w:t xml:space="preserve"> </w:t>
      </w:r>
    </w:p>
    <w:p w:rsidR="00FB0B24" w:rsidRPr="005B5CB6" w:rsidP="003255A4">
      <w:pPr>
        <w:numPr>
          <w:ilvl w:val="0"/>
          <w:numId w:val="22"/>
        </w:numPr>
        <w:spacing w:after="5" w:line="250" w:lineRule="auto"/>
        <w:ind w:right="11" w:hanging="360"/>
        <w:jc w:val="both"/>
        <w:rPr>
          <w:rFonts w:ascii="Verdana" w:hAnsi="Verdana"/>
        </w:rPr>
      </w:pPr>
      <w:r w:rsidRPr="005B5CB6">
        <w:rPr>
          <w:rFonts w:ascii="Verdana" w:eastAsia="Verdana" w:hAnsi="Verdana" w:cs="Verdana"/>
        </w:rPr>
        <w:t xml:space="preserve">Q3.3d A new law needs to be </w:t>
      </w:r>
      <w:r w:rsidRPr="005B5CB6">
        <w:rPr>
          <w:rFonts w:ascii="Verdana" w:eastAsia="Verdana" w:hAnsi="Verdana" w:cs="Verdana"/>
          <w:i/>
        </w:rPr>
        <w:t xml:space="preserve">‘enforced’ </w:t>
      </w:r>
      <w:r w:rsidRPr="005B5CB6">
        <w:rPr>
          <w:rFonts w:ascii="Verdana" w:eastAsia="Verdana" w:hAnsi="Verdana" w:cs="Verdana"/>
        </w:rPr>
        <w:t xml:space="preserve">onto medical science to achieve the above and change an out-dated attitude to an out-dated Victorian era protocol. </w:t>
      </w:r>
    </w:p>
    <w:p w:rsidR="00FB0B24" w:rsidRPr="005B5CB6" w:rsidP="003255A4">
      <w:pPr>
        <w:spacing w:after="17"/>
        <w:ind w:left="724"/>
        <w:jc w:val="both"/>
        <w:rPr>
          <w:rFonts w:ascii="Verdana" w:hAnsi="Verdana"/>
        </w:rPr>
      </w:pPr>
      <w:r w:rsidRPr="005B5CB6">
        <w:rPr>
          <w:rFonts w:ascii="Verdana" w:eastAsia="Verdana" w:hAnsi="Verdana" w:cs="Verdana"/>
        </w:rPr>
        <w:t xml:space="preserve"> </w:t>
      </w:r>
    </w:p>
    <w:p w:rsidR="00FB0B24" w:rsidRPr="005B5CB6" w:rsidP="003255A4">
      <w:pPr>
        <w:numPr>
          <w:ilvl w:val="0"/>
          <w:numId w:val="22"/>
        </w:numPr>
        <w:spacing w:after="5" w:line="250" w:lineRule="auto"/>
        <w:ind w:right="11" w:hanging="360"/>
        <w:jc w:val="both"/>
        <w:rPr>
          <w:rFonts w:ascii="Verdana" w:hAnsi="Verdana"/>
        </w:rPr>
      </w:pPr>
      <w:r w:rsidRPr="005B5CB6">
        <w:rPr>
          <w:rFonts w:ascii="Verdana" w:eastAsia="Verdana" w:hAnsi="Verdana" w:cs="Verdana"/>
        </w:rPr>
        <w:t xml:space="preserve">Q3.3e The same new law will also solve the self-created problem to supply Cannabis Oil in the UK for those that suffer from Seizures or Arthritis who have to travel abroad to obtain then have the problem of illegal entry into the country. I realise a law was passed last November to allow banned substances to be used for medicinal purposes but that does not give authorisation to the Pharmaceutical Industry or the NHS to supply Cannabis Oil which is governed and controlled by the same out-dated protocol. A crazy self-created medical situation has evolved by the stupidity of an out-dated protocol that must change. </w:t>
      </w:r>
    </w:p>
    <w:p w:rsidR="00FB0B24" w:rsidRPr="005B5CB6" w:rsidP="003255A4">
      <w:pPr>
        <w:spacing w:after="0"/>
        <w:ind w:left="725"/>
        <w:jc w:val="both"/>
        <w:rPr>
          <w:rFonts w:ascii="Verdana" w:hAnsi="Verdana"/>
        </w:rPr>
      </w:pPr>
      <w:r w:rsidRPr="005B5CB6">
        <w:rPr>
          <w:rFonts w:ascii="Verdana" w:eastAsia="Verdana" w:hAnsi="Verdana" w:cs="Verdana"/>
        </w:rPr>
        <w:t xml:space="preserve"> </w:t>
      </w:r>
    </w:p>
    <w:p w:rsidR="00FB0B24" w:rsidRPr="005B5CB6" w:rsidP="003255A4">
      <w:pPr>
        <w:numPr>
          <w:ilvl w:val="0"/>
          <w:numId w:val="22"/>
        </w:numPr>
        <w:spacing w:after="5" w:line="250" w:lineRule="auto"/>
        <w:ind w:right="11" w:hanging="360"/>
        <w:jc w:val="both"/>
        <w:rPr>
          <w:rFonts w:ascii="Verdana" w:hAnsi="Verdana"/>
        </w:rPr>
      </w:pPr>
      <w:r w:rsidRPr="005B5CB6">
        <w:rPr>
          <w:rFonts w:ascii="Verdana" w:eastAsia="Verdana" w:hAnsi="Verdana" w:cs="Verdana"/>
        </w:rPr>
        <w:t xml:space="preserve">Q3.3f The very same law would solve another self-inflicted problem of Resistant Anti-biotic’s where again you have to go back to the beginning in 1928 when Alexander Fleming first made the accidental discovery of Penicillin to understand why, then you will realise a solution is possible. </w:t>
      </w:r>
    </w:p>
    <w:p w:rsidR="00FB0B24" w:rsidRPr="005B5CB6" w:rsidP="003255A4">
      <w:pPr>
        <w:spacing w:after="0"/>
        <w:ind w:left="722"/>
        <w:jc w:val="both"/>
        <w:rPr>
          <w:rFonts w:ascii="Verdana" w:hAnsi="Verdana"/>
        </w:rPr>
      </w:pPr>
      <w:r w:rsidRPr="005B5CB6">
        <w:rPr>
          <w:rFonts w:ascii="Verdana" w:eastAsia="Verdana" w:hAnsi="Verdana" w:cs="Verdana"/>
        </w:rPr>
        <w:t xml:space="preserve"> </w:t>
      </w:r>
    </w:p>
    <w:p w:rsidR="00FB0B24" w:rsidRPr="005B5CB6" w:rsidP="003255A4">
      <w:pPr>
        <w:numPr>
          <w:ilvl w:val="0"/>
          <w:numId w:val="22"/>
        </w:numPr>
        <w:spacing w:after="5" w:line="250" w:lineRule="auto"/>
        <w:ind w:right="11" w:hanging="360"/>
        <w:jc w:val="both"/>
        <w:rPr>
          <w:rFonts w:ascii="Verdana" w:hAnsi="Verdana"/>
        </w:rPr>
      </w:pPr>
      <w:r w:rsidRPr="005B5CB6">
        <w:rPr>
          <w:rFonts w:ascii="Verdana" w:eastAsia="Verdana" w:hAnsi="Verdana" w:cs="Verdana"/>
        </w:rPr>
        <w:t>Q3.3g At the moment medical science have no answers and are not able to consider by an out-dated protocol, and yet,</w:t>
      </w:r>
      <w:r w:rsidRPr="005B5CB6">
        <w:rPr>
          <w:rFonts w:ascii="Verdana" w:eastAsia="Verdana" w:hAnsi="Verdana" w:cs="Verdana"/>
          <w:b/>
          <w:i/>
        </w:rPr>
        <w:t xml:space="preserve"> </w:t>
      </w:r>
      <w:r w:rsidRPr="005B5CB6">
        <w:rPr>
          <w:rFonts w:ascii="Verdana" w:eastAsia="Verdana" w:hAnsi="Verdana" w:cs="Verdana"/>
          <w:i/>
        </w:rPr>
        <w:t xml:space="preserve">’new private conclusive, finite research’ </w:t>
      </w:r>
      <w:r w:rsidRPr="005B5CB6">
        <w:rPr>
          <w:rFonts w:ascii="Verdana" w:eastAsia="Verdana" w:hAnsi="Verdana" w:cs="Verdana"/>
        </w:rPr>
        <w:t xml:space="preserve">using, I repeat; new designed digital technology artificial intelligence (AI) developed to the authors specification would reduce the patient throughput to the NHS saving billions of pounds to the NHS and the economy and more important saving lives. </w:t>
      </w:r>
    </w:p>
    <w:p w:rsidR="00FB0B24" w:rsidRPr="005B5CB6" w:rsidP="003255A4">
      <w:pPr>
        <w:spacing w:after="5" w:line="250" w:lineRule="auto"/>
        <w:ind w:left="731" w:right="11" w:hanging="8"/>
        <w:jc w:val="both"/>
        <w:rPr>
          <w:rFonts w:ascii="Verdana" w:hAnsi="Verdana"/>
        </w:rPr>
      </w:pPr>
      <w:r w:rsidRPr="005B5CB6">
        <w:rPr>
          <w:rFonts w:ascii="Verdana" w:eastAsia="Verdana" w:hAnsi="Verdana" w:cs="Verdana"/>
        </w:rPr>
        <w:t xml:space="preserve">. </w:t>
      </w:r>
    </w:p>
    <w:p w:rsidR="00FB0B24" w:rsidRPr="005B5CB6" w:rsidP="003255A4">
      <w:pPr>
        <w:numPr>
          <w:ilvl w:val="0"/>
          <w:numId w:val="22"/>
        </w:numPr>
        <w:spacing w:after="5" w:line="249" w:lineRule="auto"/>
        <w:ind w:right="11" w:hanging="360"/>
        <w:jc w:val="both"/>
        <w:rPr>
          <w:rFonts w:ascii="Verdana" w:hAnsi="Verdana"/>
        </w:rPr>
      </w:pPr>
      <w:r w:rsidRPr="005B5CB6">
        <w:rPr>
          <w:rFonts w:ascii="Verdana" w:eastAsia="Verdana" w:hAnsi="Verdana" w:cs="Verdana"/>
        </w:rPr>
        <w:t xml:space="preserve">Q3.3h </w:t>
      </w:r>
      <w:r w:rsidRPr="005B5CB6">
        <w:rPr>
          <w:rFonts w:ascii="Verdana" w:eastAsia="Verdana" w:hAnsi="Verdana" w:cs="Verdana"/>
          <w:i/>
        </w:rPr>
        <w:t>The author needs to be interviewed and heard by the highest authority on these points alone who can authorise a new law to further discuss the development and manufacture of AI for medical science which can be used to solve other self-created issues manufactured by mankind. Science has always said: “If you find the answer to one problem you indirectly find the answer to another”; some would say an opposite answer, but fact.</w:t>
      </w:r>
      <w:r w:rsidRPr="005B5CB6">
        <w:rPr>
          <w:rFonts w:ascii="Verdana" w:eastAsia="Verdana" w:hAnsi="Verdana" w:cs="Verdana"/>
        </w:rPr>
        <w:t xml:space="preserve">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0"/>
          <w:numId w:val="22"/>
        </w:numPr>
        <w:spacing w:after="5" w:line="250" w:lineRule="auto"/>
        <w:ind w:right="11" w:hanging="360"/>
        <w:jc w:val="both"/>
        <w:rPr>
          <w:rFonts w:ascii="Verdana" w:hAnsi="Verdana"/>
        </w:rPr>
      </w:pPr>
      <w:r w:rsidRPr="005B5CB6">
        <w:rPr>
          <w:rFonts w:ascii="Verdana" w:eastAsia="Verdana" w:hAnsi="Verdana" w:cs="Verdana"/>
        </w:rPr>
        <w:t xml:space="preserve">Q3.3i Natural phenomenon can solve all the above plus many anomalies within other sciences, including our current Climate Change that has through a </w:t>
      </w:r>
      <w:r w:rsidRPr="005B5CB6">
        <w:rPr>
          <w:rFonts w:ascii="Verdana" w:eastAsia="Verdana" w:hAnsi="Verdana" w:cs="Verdana"/>
          <w:i/>
        </w:rPr>
        <w:t>‘money making charity cult following’</w:t>
      </w:r>
      <w:r w:rsidRPr="005B5CB6">
        <w:rPr>
          <w:rFonts w:ascii="Verdana" w:eastAsia="Verdana" w:hAnsi="Verdana" w:cs="Verdana"/>
        </w:rPr>
        <w:t xml:space="preserve"> has scare-mongered the masses for donations and confused many including Politicians and Governments around the world creating the Paris Agreement where little research is done and science is split from those </w:t>
      </w:r>
      <w:r w:rsidRPr="005B5CB6">
        <w:rPr>
          <w:rFonts w:ascii="Verdana" w:eastAsia="Verdana" w:hAnsi="Verdana" w:cs="Verdana"/>
          <w:i/>
        </w:rPr>
        <w:t xml:space="preserve">that know </w:t>
      </w:r>
      <w:r w:rsidRPr="005B5CB6">
        <w:rPr>
          <w:rFonts w:ascii="Verdana" w:eastAsia="Verdana" w:hAnsi="Verdana" w:cs="Verdana"/>
        </w:rPr>
        <w:t xml:space="preserve">and those </w:t>
      </w:r>
      <w:r w:rsidRPr="005B5CB6">
        <w:rPr>
          <w:rFonts w:ascii="Verdana" w:eastAsia="Verdana" w:hAnsi="Verdana" w:cs="Verdana"/>
          <w:i/>
        </w:rPr>
        <w:t>that think they know</w:t>
      </w:r>
      <w:r w:rsidRPr="005B5CB6">
        <w:rPr>
          <w:rFonts w:ascii="Verdana" w:eastAsia="Verdana" w:hAnsi="Verdana" w:cs="Verdana"/>
        </w:rPr>
        <w:t xml:space="preserve"> who tend to get heard more-so via social media, however Natural science, Wildlife, Astro-physicist and Geologist can prove conclusively 100% the reason for the confusion that happens on a regular basis in the life of Planet Earth as our Solar System orbit The Milky Way every 225 million years. Again, repartition over 40 years has brainwashed opinions with no-one confirming or doing any research to verify the original claim of political agenda and gain from the very beginning of the in-phrase of </w:t>
      </w:r>
      <w:r w:rsidRPr="005B5CB6">
        <w:rPr>
          <w:rFonts w:ascii="Verdana" w:eastAsia="Verdana" w:hAnsi="Verdana" w:cs="Verdana"/>
          <w:i/>
        </w:rPr>
        <w:t xml:space="preserve">‘Global Warming’ </w:t>
      </w:r>
      <w:r w:rsidRPr="005B5CB6">
        <w:rPr>
          <w:rFonts w:ascii="Verdana" w:eastAsia="Verdana" w:hAnsi="Verdana" w:cs="Verdana"/>
        </w:rPr>
        <w:t xml:space="preserve">and why and how it became popular. </w:t>
      </w:r>
    </w:p>
    <w:p w:rsidR="00FB0B24" w:rsidRPr="005B5CB6" w:rsidP="003255A4">
      <w:pPr>
        <w:spacing w:after="0"/>
        <w:ind w:left="724"/>
        <w:jc w:val="both"/>
        <w:rPr>
          <w:rFonts w:ascii="Verdana" w:hAnsi="Verdana"/>
        </w:rPr>
      </w:pPr>
      <w:r w:rsidRPr="005B5CB6">
        <w:rPr>
          <w:rFonts w:ascii="Verdana" w:eastAsia="Verdana" w:hAnsi="Verdana" w:cs="Verdana"/>
        </w:rPr>
        <w:t xml:space="preserve"> </w:t>
      </w:r>
    </w:p>
    <w:p w:rsidR="00FB0B24" w:rsidRPr="005B5CB6" w:rsidP="003255A4">
      <w:pPr>
        <w:numPr>
          <w:ilvl w:val="0"/>
          <w:numId w:val="22"/>
        </w:numPr>
        <w:spacing w:after="5" w:line="250" w:lineRule="auto"/>
        <w:ind w:right="11" w:hanging="360"/>
        <w:jc w:val="both"/>
        <w:rPr>
          <w:rFonts w:ascii="Verdana" w:hAnsi="Verdana"/>
        </w:rPr>
      </w:pPr>
      <w:r w:rsidRPr="005B5CB6">
        <w:rPr>
          <w:rFonts w:ascii="Verdana" w:eastAsia="Verdana" w:hAnsi="Verdana" w:cs="Verdana"/>
        </w:rPr>
        <w:t xml:space="preserve">Q3.3j Indirectly, part of the same phenomena is the reason and cause for the </w:t>
      </w:r>
      <w:r w:rsidRPr="005B5CB6">
        <w:rPr>
          <w:rFonts w:ascii="Verdana" w:eastAsia="Verdana" w:hAnsi="Verdana" w:cs="Verdana"/>
          <w:i/>
        </w:rPr>
        <w:t>‘Honeybee Demise in man’s care’</w:t>
      </w:r>
      <w:r w:rsidRPr="005B5CB6">
        <w:rPr>
          <w:rFonts w:ascii="Verdana" w:eastAsia="Verdana" w:hAnsi="Verdana" w:cs="Verdana"/>
        </w:rPr>
        <w:t xml:space="preserve"> which the author can prove without doubt by placing beehives within acres and acres of Neo-nicotinoids Rapeseed Oil fields crops </w:t>
      </w:r>
      <w:r w:rsidRPr="005B5CB6">
        <w:rPr>
          <w:rFonts w:ascii="Verdana" w:eastAsia="Verdana" w:hAnsi="Verdana" w:cs="Verdana"/>
          <w:i/>
        </w:rPr>
        <w:t>(pesticides)</w:t>
      </w:r>
      <w:r w:rsidRPr="005B5CB6">
        <w:rPr>
          <w:rFonts w:ascii="Verdana" w:eastAsia="Verdana" w:hAnsi="Verdana" w:cs="Verdana"/>
        </w:rPr>
        <w:t xml:space="preserve"> will </w:t>
      </w:r>
      <w:r w:rsidRPr="005B5CB6">
        <w:rPr>
          <w:rFonts w:ascii="Verdana" w:eastAsia="Verdana" w:hAnsi="Verdana" w:cs="Verdana"/>
          <w:b/>
          <w:i/>
        </w:rPr>
        <w:t xml:space="preserve">NOT </w:t>
      </w:r>
      <w:r w:rsidRPr="005B5CB6">
        <w:rPr>
          <w:rFonts w:ascii="Verdana" w:eastAsia="Verdana" w:hAnsi="Verdana" w:cs="Verdana"/>
        </w:rPr>
        <w:t xml:space="preserve">die out if placed under the guidance instructions of the author, the honeybee colonies will thrive for many years, an example below, producing 2 to 3 times greater crop of honey, which proves Neo-nic’s are </w:t>
      </w:r>
      <w:r w:rsidRPr="005B5CB6">
        <w:rPr>
          <w:rFonts w:ascii="Verdana" w:eastAsia="Verdana" w:hAnsi="Verdana" w:cs="Verdana"/>
          <w:b/>
          <w:i/>
        </w:rPr>
        <w:t>NOT</w:t>
      </w:r>
      <w:r w:rsidRPr="005B5CB6">
        <w:rPr>
          <w:rFonts w:ascii="Verdana" w:eastAsia="Verdana" w:hAnsi="Verdana" w:cs="Verdana"/>
        </w:rPr>
        <w:t xml:space="preserve"> the cause for the death of honeybees in man’s care worldwide and yet, an invisible phenomena is the cause overlooked by science and beekeepers.  </w:t>
      </w:r>
    </w:p>
    <w:p w:rsidR="00FB0B24" w:rsidRPr="005B5CB6" w:rsidP="003255A4">
      <w:pPr>
        <w:spacing w:after="17"/>
        <w:ind w:left="724"/>
        <w:jc w:val="both"/>
        <w:rPr>
          <w:rFonts w:ascii="Verdana" w:hAnsi="Verdana"/>
        </w:rPr>
      </w:pPr>
      <w:r w:rsidRPr="005B5CB6">
        <w:rPr>
          <w:rFonts w:ascii="Verdana" w:eastAsia="Verdana" w:hAnsi="Verdana" w:cs="Verdana"/>
        </w:rPr>
        <w:t xml:space="preserve"> </w:t>
      </w:r>
    </w:p>
    <w:p w:rsidR="00FB0B24" w:rsidRPr="005B5CB6" w:rsidP="003255A4">
      <w:pPr>
        <w:numPr>
          <w:ilvl w:val="0"/>
          <w:numId w:val="22"/>
        </w:numPr>
        <w:spacing w:after="5" w:line="250" w:lineRule="auto"/>
        <w:ind w:right="11" w:hanging="360"/>
        <w:jc w:val="both"/>
        <w:rPr>
          <w:rFonts w:ascii="Verdana" w:hAnsi="Verdana"/>
        </w:rPr>
      </w:pPr>
      <w:r w:rsidRPr="005B5CB6">
        <w:rPr>
          <w:rFonts w:ascii="Verdana" w:eastAsia="Verdana" w:hAnsi="Verdana" w:cs="Verdana"/>
        </w:rPr>
        <w:t xml:space="preserve">Q3.3k New research proves conclusively the average life of a honeybee colony in man’s care is approximately 4 years before it dies out by mite infestation using chemicals during that time to combat the parasitic mite called Varroa where-as using the authors discovery of natural phenomena </w:t>
      </w:r>
      <w:r w:rsidRPr="005B5CB6">
        <w:rPr>
          <w:rFonts w:ascii="Verdana" w:eastAsia="Verdana" w:hAnsi="Verdana" w:cs="Verdana"/>
        </w:rPr>
        <w:t xml:space="preserve">combining with the natural survival needs of the honeybee colony now lives for 20 + healthy years ongoing without using any chemicals. A significant difference of guaranteed proof.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Q3.4 Natural phenomena using AI, we know very little of or realise how much we use in everyday life that keeps humanity alive daily that we, mankind, evolved with over millennia although an invisible part of the human eye this natural phenomena is harmful and does affect our brain while we sleep causing serious illnesses, like cancer, however new private research proves conclusively using Artificial Intelligence (AI) will detect from the beginning to prevent all serious illnesses. When the hand-held devise and/or APP including simple to understand instructions are more freely available self-diagnosis is possible to do individually, giving healthy longevity to all plus further research also confirms keeping away from harmful natural phenomenon helps to improve the immune system to increase the healing process to create more </w:t>
      </w:r>
      <w:r w:rsidRPr="005B5CB6">
        <w:rPr>
          <w:rFonts w:ascii="Verdana" w:eastAsia="Verdana" w:hAnsi="Verdana" w:cs="Verdana"/>
          <w:i/>
        </w:rPr>
        <w:t>‘good cells’</w:t>
      </w:r>
      <w:r w:rsidRPr="005B5CB6">
        <w:rPr>
          <w:rFonts w:ascii="Verdana" w:eastAsia="Verdana" w:hAnsi="Verdana" w:cs="Verdana"/>
        </w:rPr>
        <w:t xml:space="preserve"> to combat and kill bad cells for those already diagnosed with illness.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Q3.5 Digital technology must never replace the pen, the written word or the process of permanent storage as a book or printed document so that others will benefit in the future if or when digital technology is not available where the system has no signal or crashed or interfered with by foreign countries in warfare situations, this must be considered to safe-guard our future.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Q3.6 Digital technology is only successful and reliant on mankind's stupidity of keeping peace with fellow mankind. </w:t>
      </w:r>
    </w:p>
    <w:p w:rsidR="00FB0B24" w:rsidRPr="005B5CB6" w:rsidP="003255A4">
      <w:pPr>
        <w:spacing w:after="186" w:line="250" w:lineRule="auto"/>
        <w:ind w:left="23" w:right="11" w:hanging="8"/>
        <w:jc w:val="both"/>
        <w:rPr>
          <w:rFonts w:ascii="Verdana" w:hAnsi="Verdana"/>
        </w:rPr>
      </w:pPr>
      <w:r w:rsidRPr="005B5CB6">
        <w:rPr>
          <w:rFonts w:ascii="Verdana" w:eastAsia="Verdana" w:hAnsi="Verdana" w:cs="Verdana"/>
        </w:rPr>
        <w:t xml:space="preserve">Q3.7 Digital technology is the new warfare weapon to expose, intimidate, crash or hack systems of security, industry, financial or countries that will never be able to prevent due to the fast pace technology is moving.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Q3.8 Digital technology does not take into account natural phenomena </w:t>
      </w:r>
      <w:r w:rsidRPr="005B5CB6">
        <w:rPr>
          <w:rFonts w:ascii="Verdana" w:eastAsia="Verdana" w:hAnsi="Verdana" w:cs="Verdana"/>
          <w:i/>
        </w:rPr>
        <w:t>(earthquakes, tsunamis and volcanoes)</w:t>
      </w:r>
      <w:r w:rsidRPr="005B5CB6">
        <w:rPr>
          <w:rFonts w:ascii="Verdana" w:eastAsia="Verdana" w:hAnsi="Verdana" w:cs="Verdana"/>
        </w:rPr>
        <w:t xml:space="preserve"> that are increasing and part the reason of our changing world that will in due course change how mankind live and survive if history repeats itself in causing a super volcano by the year 2100 if my monitoring calculations are correct where digital technology will disappear in the northern hemisphere. The natural world is dictating this very fact of Geological history and natural repartition of Planet Earth which can be proved where natural events do repeat themselves although hundreds of thousands of years apart unfortunately sciences do not talk to each other or share information that are </w:t>
      </w:r>
      <w:r w:rsidRPr="005B5CB6">
        <w:rPr>
          <w:rFonts w:ascii="Verdana" w:eastAsia="Verdana" w:hAnsi="Verdana" w:cs="Verdana"/>
          <w:b/>
          <w:i/>
        </w:rPr>
        <w:t>‘all’</w:t>
      </w:r>
      <w:r w:rsidRPr="005B5CB6">
        <w:rPr>
          <w:rFonts w:ascii="Verdana" w:eastAsia="Verdana" w:hAnsi="Verdana" w:cs="Verdana"/>
        </w:rPr>
        <w:t xml:space="preserve"> interconnected like hexagon honeycomb, the most natural build format structure of the universe where many compounds, like ie, carbon, when under a microscope are hexagonal shape and design, the strongest known structure to man that we ignore.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Q3.9 Education needs to be prepared for many eventualities including how to survive without digital technology putting one day aside in Pre-schools, Primary schools, Secondary or Grammar schools, Colleges, Universities or Training facilities by locking away digital technology without the use of, calling it a</w:t>
      </w:r>
      <w:r w:rsidRPr="005B5CB6">
        <w:rPr>
          <w:rFonts w:ascii="Verdana" w:eastAsia="Verdana" w:hAnsi="Verdana" w:cs="Verdana"/>
          <w:i/>
        </w:rPr>
        <w:t xml:space="preserve"> ‘Day Without Digital’ (DWD) </w:t>
      </w:r>
      <w:r w:rsidRPr="005B5CB6">
        <w:rPr>
          <w:rFonts w:ascii="Verdana" w:eastAsia="Verdana" w:hAnsi="Verdana" w:cs="Verdana"/>
        </w:rPr>
        <w:t xml:space="preserve">which could then be used to enhance the brain by reading a book, referencing in how to use a dictionary or a library, simple arithmetic (+-x%,\’) used in everyday life or use the body for sporting activity creating an </w:t>
      </w:r>
      <w:r w:rsidRPr="005B5CB6">
        <w:rPr>
          <w:rFonts w:ascii="Verdana" w:eastAsia="Verdana" w:hAnsi="Verdana" w:cs="Verdana"/>
        </w:rPr>
        <w:t>individual sport interest or a team environment interest at the same time keeping the body and brain fit</w:t>
      </w:r>
      <w:r w:rsidRPr="005B5CB6">
        <w:rPr>
          <w:rFonts w:ascii="Verdana" w:eastAsia="Verdana" w:hAnsi="Verdana" w:cs="Verdana"/>
          <w:i/>
        </w:rPr>
        <w:t>.</w:t>
      </w: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Q3.10 The younger generation today are obsessed with hand-held technology a new limb of the body, and yet, if the process continues, when they are older, they will be completely dependent upon which will be mankind's downfall. </w:t>
      </w:r>
    </w:p>
    <w:p w:rsidR="00FB0B24" w:rsidRPr="005B5CB6" w:rsidP="003255A4">
      <w:pPr>
        <w:spacing w:after="191" w:line="250" w:lineRule="auto"/>
        <w:ind w:left="23" w:right="11" w:hanging="8"/>
        <w:jc w:val="both"/>
        <w:rPr>
          <w:rFonts w:ascii="Verdana" w:hAnsi="Verdana"/>
        </w:rPr>
      </w:pPr>
      <w:r w:rsidRPr="005B5CB6">
        <w:rPr>
          <w:rFonts w:ascii="Verdana" w:eastAsia="Verdana" w:hAnsi="Verdana" w:cs="Verdana"/>
        </w:rPr>
        <w:t xml:space="preserve">Q3.11 Education needs to exclude digital technology from certain lessons, see Q3.9 to educate and relax the human brain to problem solve for itself. (See </w:t>
      </w:r>
      <w:r w:rsidRPr="005B5CB6">
        <w:rPr>
          <w:rFonts w:ascii="Verdana" w:eastAsia="Verdana" w:hAnsi="Verdana" w:cs="Verdana"/>
          <w:i/>
        </w:rPr>
        <w:t>further research regarding interviewee’s thoughts, comments and ideas within Summary at the end).</w:t>
      </w:r>
      <w:r w:rsidRPr="005B5CB6">
        <w:rPr>
          <w:rFonts w:ascii="Verdana" w:eastAsia="Verdana" w:hAnsi="Verdana" w:cs="Verdana"/>
        </w:rPr>
        <w:t xml:space="preserve"> </w:t>
      </w:r>
    </w:p>
    <w:p w:rsidR="00FB0B24" w:rsidRPr="005B5CB6" w:rsidP="003255A4">
      <w:pPr>
        <w:spacing w:after="184" w:line="250" w:lineRule="auto"/>
        <w:ind w:left="11" w:hanging="10"/>
        <w:jc w:val="both"/>
        <w:rPr>
          <w:rFonts w:ascii="Verdana" w:hAnsi="Verdana"/>
        </w:rPr>
      </w:pPr>
      <w:r w:rsidRPr="005B5CB6">
        <w:rPr>
          <w:rFonts w:ascii="Verdana" w:eastAsia="Verdana" w:hAnsi="Verdana" w:cs="Verdana"/>
          <w:b/>
        </w:rPr>
        <w:t xml:space="preserve">Online campaigning </w:t>
      </w:r>
    </w:p>
    <w:p w:rsidR="00FB0B24" w:rsidRPr="005B5CB6" w:rsidP="003255A4">
      <w:pPr>
        <w:spacing w:after="188" w:line="249" w:lineRule="auto"/>
        <w:ind w:left="9" w:hanging="10"/>
        <w:jc w:val="both"/>
        <w:rPr>
          <w:rFonts w:ascii="Verdana" w:hAnsi="Verdana"/>
        </w:rPr>
      </w:pPr>
      <w:r w:rsidRPr="005B5CB6">
        <w:rPr>
          <w:rFonts w:ascii="Verdana" w:eastAsia="Verdana" w:hAnsi="Verdana" w:cs="Verdana"/>
          <w:b/>
          <w:i/>
        </w:rPr>
        <w:t xml:space="preserve">4. Would greater transparency in the online spending and campaigning of political groups improve the electoral process in the UK by ensuring accountability, and if so what should this transparency look like?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Q4.1 Campaigning transparency is a </w:t>
      </w:r>
      <w:r w:rsidRPr="005B5CB6">
        <w:rPr>
          <w:rFonts w:ascii="Verdana" w:eastAsia="Verdana" w:hAnsi="Verdana" w:cs="Verdana"/>
          <w:i/>
        </w:rPr>
        <w:t>‘must have requirement’</w:t>
      </w:r>
      <w:r w:rsidRPr="005B5CB6">
        <w:rPr>
          <w:rFonts w:ascii="Verdana" w:eastAsia="Verdana" w:hAnsi="Verdana" w:cs="Verdana"/>
        </w:rPr>
        <w:t xml:space="preserve"> with any political group for any spending as we have witnessed in the past by finding out much later whether months or years you will be found out.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Q4.2 You say </w:t>
      </w:r>
      <w:r w:rsidRPr="005B5CB6">
        <w:rPr>
          <w:rFonts w:ascii="Verdana" w:eastAsia="Verdana" w:hAnsi="Verdana" w:cs="Verdana"/>
          <w:i/>
        </w:rPr>
        <w:t xml:space="preserve">‘greater transparency’. </w:t>
      </w:r>
      <w:r w:rsidRPr="005B5CB6">
        <w:rPr>
          <w:rFonts w:ascii="Verdana" w:eastAsia="Verdana" w:hAnsi="Verdana" w:cs="Verdana"/>
        </w:rPr>
        <w:t xml:space="preserve">Are you serious about question 4? Are you implying or condoning </w:t>
      </w:r>
      <w:r w:rsidRPr="005B5CB6">
        <w:rPr>
          <w:rFonts w:ascii="Verdana" w:eastAsia="Verdana" w:hAnsi="Verdana" w:cs="Verdana"/>
          <w:i/>
        </w:rPr>
        <w:t>‘a little</w:t>
      </w:r>
      <w:r w:rsidRPr="005B5CB6">
        <w:rPr>
          <w:rFonts w:ascii="Verdana" w:eastAsia="Verdana" w:hAnsi="Verdana" w:cs="Verdana"/>
        </w:rPr>
        <w:t xml:space="preserve"> </w:t>
      </w:r>
      <w:r w:rsidRPr="005B5CB6">
        <w:rPr>
          <w:rFonts w:ascii="Verdana" w:eastAsia="Verdana" w:hAnsi="Verdana" w:cs="Verdana"/>
          <w:i/>
        </w:rPr>
        <w:t xml:space="preserve">transparency </w:t>
      </w:r>
      <w:r w:rsidRPr="005B5CB6">
        <w:rPr>
          <w:rFonts w:ascii="Verdana" w:eastAsia="Verdana" w:hAnsi="Verdana" w:cs="Verdana"/>
        </w:rPr>
        <w:t xml:space="preserve">within political campaigning? I repeat: All spending and campaigning in the electoral process must be transparent. </w:t>
      </w:r>
    </w:p>
    <w:p w:rsidR="00FB0B24" w:rsidRPr="005B5CB6" w:rsidP="003255A4">
      <w:pPr>
        <w:spacing w:after="186" w:line="250" w:lineRule="auto"/>
        <w:ind w:left="23" w:right="11" w:hanging="8"/>
        <w:jc w:val="both"/>
        <w:rPr>
          <w:rFonts w:ascii="Verdana" w:hAnsi="Verdana"/>
        </w:rPr>
      </w:pPr>
      <w:r w:rsidRPr="005B5CB6">
        <w:rPr>
          <w:rFonts w:ascii="Verdana" w:eastAsia="Verdana" w:hAnsi="Verdana" w:cs="Verdana"/>
        </w:rPr>
        <w:t xml:space="preserve">Q4.3 </w:t>
      </w:r>
      <w:r w:rsidRPr="005B5CB6">
        <w:rPr>
          <w:rFonts w:ascii="Verdana" w:eastAsia="Verdana" w:hAnsi="Verdana" w:cs="Verdana"/>
          <w:i/>
        </w:rPr>
        <w:t xml:space="preserve">‘Transparency is being honest’, </w:t>
      </w:r>
      <w:r w:rsidRPr="005B5CB6">
        <w:rPr>
          <w:rFonts w:ascii="Verdana" w:eastAsia="Verdana" w:hAnsi="Verdana" w:cs="Verdana"/>
        </w:rPr>
        <w:t xml:space="preserve">I realise this human action might be difficult for politicians </w:t>
      </w:r>
      <w:r w:rsidRPr="005B5CB6">
        <w:rPr>
          <w:rFonts w:ascii="Verdana" w:eastAsia="Verdana" w:hAnsi="Verdana" w:cs="Verdana"/>
          <w:i/>
        </w:rPr>
        <w:t>(sorry couldn’t resist, I’m being flippant)</w:t>
      </w:r>
      <w:r w:rsidRPr="005B5CB6">
        <w:rPr>
          <w:rFonts w:ascii="Verdana" w:eastAsia="Verdana" w:hAnsi="Verdana" w:cs="Verdana"/>
        </w:rPr>
        <w:t xml:space="preserve"> but then how do you expect to achieve accountability?</w:t>
      </w:r>
      <w:r w:rsidRPr="005B5CB6">
        <w:rPr>
          <w:rFonts w:ascii="Verdana" w:eastAsia="Verdana" w:hAnsi="Verdana" w:cs="Verdana"/>
          <w:i/>
        </w:rPr>
        <w:t xml:space="preserve"> </w:t>
      </w:r>
      <w:r w:rsidRPr="005B5CB6">
        <w:rPr>
          <w:rFonts w:ascii="Verdana" w:eastAsia="Verdana" w:hAnsi="Verdana" w:cs="Verdana"/>
        </w:rPr>
        <w:t xml:space="preserve">The public opinion normally will only get told on a </w:t>
      </w:r>
      <w:r w:rsidRPr="005B5CB6">
        <w:rPr>
          <w:rFonts w:ascii="Verdana" w:eastAsia="Verdana" w:hAnsi="Verdana" w:cs="Verdana"/>
          <w:i/>
        </w:rPr>
        <w:t>‘need to know basis’</w:t>
      </w:r>
      <w:r w:rsidRPr="005B5CB6">
        <w:rPr>
          <w:rFonts w:ascii="Verdana" w:eastAsia="Verdana" w:hAnsi="Verdana" w:cs="Verdana"/>
        </w:rPr>
        <w:t xml:space="preserve"> of what you want us to believe and Government will not allow the public to think for themselves. People thought for themselves once and look what is happening, ie: Referendum 2016. Politics will never allow the same situation to happen in the future but then after the next general election Parliament will never be the same. </w:t>
      </w:r>
    </w:p>
    <w:p w:rsidR="00FB0B24" w:rsidRPr="005B5CB6" w:rsidP="003255A4">
      <w:pPr>
        <w:spacing w:after="186" w:line="250" w:lineRule="auto"/>
        <w:ind w:left="23" w:right="11" w:hanging="8"/>
        <w:jc w:val="both"/>
        <w:rPr>
          <w:rFonts w:ascii="Verdana" w:hAnsi="Verdana"/>
        </w:rPr>
      </w:pPr>
      <w:r w:rsidRPr="005B5CB6">
        <w:rPr>
          <w:rFonts w:ascii="Verdana" w:eastAsia="Verdana" w:hAnsi="Verdana" w:cs="Verdana"/>
        </w:rPr>
        <w:t xml:space="preserve">Q4.4 This very action of </w:t>
      </w:r>
      <w:r w:rsidRPr="005B5CB6">
        <w:rPr>
          <w:rFonts w:ascii="Verdana" w:eastAsia="Verdana" w:hAnsi="Verdana" w:cs="Verdana"/>
          <w:i/>
        </w:rPr>
        <w:t xml:space="preserve">‘Fake News’ </w:t>
      </w:r>
      <w:r w:rsidRPr="005B5CB6">
        <w:rPr>
          <w:rFonts w:ascii="Verdana" w:eastAsia="Verdana" w:hAnsi="Verdana" w:cs="Verdana"/>
        </w:rPr>
        <w:t>accountability</w:t>
      </w:r>
      <w:r w:rsidRPr="005B5CB6">
        <w:rPr>
          <w:rFonts w:ascii="Verdana" w:eastAsia="Verdana" w:hAnsi="Verdana" w:cs="Verdana"/>
          <w:i/>
        </w:rPr>
        <w:t xml:space="preserve"> </w:t>
      </w:r>
      <w:r w:rsidRPr="005B5CB6">
        <w:rPr>
          <w:rFonts w:ascii="Verdana" w:eastAsia="Verdana" w:hAnsi="Verdana" w:cs="Verdana"/>
        </w:rPr>
        <w:t xml:space="preserve">transparency is happening today creating a cult mentality in many areas of social media users by repartition, the user believing everything they are told is true and doing no research to prove otherwise. </w:t>
      </w:r>
    </w:p>
    <w:p w:rsidR="00FB0B24" w:rsidRPr="005B5CB6" w:rsidP="003255A4">
      <w:pPr>
        <w:spacing w:after="188" w:line="249" w:lineRule="auto"/>
        <w:ind w:left="9" w:hanging="10"/>
        <w:jc w:val="both"/>
        <w:rPr>
          <w:rFonts w:ascii="Verdana" w:hAnsi="Verdana"/>
        </w:rPr>
      </w:pPr>
      <w:r w:rsidRPr="005B5CB6">
        <w:rPr>
          <w:rFonts w:ascii="Verdana" w:eastAsia="Verdana" w:hAnsi="Verdana" w:cs="Verdana"/>
          <w:b/>
          <w:i/>
        </w:rPr>
        <w:t xml:space="preserve">5. What effect does an online targeted advertising have on the political process, and what effects could it have in the future?  </w:t>
      </w:r>
    </w:p>
    <w:p w:rsidR="00FB0B24" w:rsidRPr="005B5CB6" w:rsidP="003255A4">
      <w:pPr>
        <w:spacing w:after="186" w:line="250" w:lineRule="auto"/>
        <w:ind w:left="23" w:right="11" w:hanging="8"/>
        <w:jc w:val="both"/>
        <w:rPr>
          <w:rFonts w:ascii="Verdana" w:hAnsi="Verdana"/>
        </w:rPr>
      </w:pPr>
      <w:r w:rsidRPr="005B5CB6">
        <w:rPr>
          <w:rFonts w:ascii="Verdana" w:eastAsia="Verdana" w:hAnsi="Verdana" w:cs="Verdana"/>
        </w:rPr>
        <w:t xml:space="preserve">Q5.1 There is no effect whatsoever when most targeted advertising is considered </w:t>
      </w:r>
      <w:r w:rsidRPr="005B5CB6">
        <w:rPr>
          <w:rFonts w:ascii="Verdana" w:eastAsia="Verdana" w:hAnsi="Verdana" w:cs="Verdana"/>
          <w:i/>
        </w:rPr>
        <w:t xml:space="preserve">‘spam’ </w:t>
      </w:r>
      <w:r w:rsidRPr="005B5CB6">
        <w:rPr>
          <w:rFonts w:ascii="Verdana" w:eastAsia="Verdana" w:hAnsi="Verdana" w:cs="Verdana"/>
        </w:rPr>
        <w:t xml:space="preserve">that moves by at the flick of a finger. Do you not see any effects or reasons for abuse to the individual politician if localised targeted advertising was used?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Q5.2 Do you mean </w:t>
      </w:r>
      <w:r w:rsidRPr="005B5CB6">
        <w:rPr>
          <w:rFonts w:ascii="Verdana" w:eastAsia="Verdana" w:hAnsi="Verdana" w:cs="Verdana"/>
          <w:i/>
        </w:rPr>
        <w:t xml:space="preserve">‘online politically targeted advertising’ </w:t>
      </w:r>
      <w:r w:rsidRPr="005B5CB6">
        <w:rPr>
          <w:rFonts w:ascii="Verdana" w:eastAsia="Verdana" w:hAnsi="Verdana" w:cs="Verdana"/>
        </w:rPr>
        <w:t xml:space="preserve">to recruit voters from areas of other parties or those voters </w:t>
      </w:r>
      <w:r w:rsidRPr="005B5CB6">
        <w:rPr>
          <w:rFonts w:ascii="Verdana" w:eastAsia="Verdana" w:hAnsi="Verdana" w:cs="Verdana"/>
          <w:i/>
        </w:rPr>
        <w:t xml:space="preserve">‘on the fence’ </w:t>
      </w:r>
      <w:r w:rsidRPr="005B5CB6">
        <w:rPr>
          <w:rFonts w:ascii="Verdana" w:eastAsia="Verdana" w:hAnsi="Verdana" w:cs="Verdana"/>
        </w:rPr>
        <w:t xml:space="preserve">or </w:t>
      </w:r>
      <w:r w:rsidRPr="005B5CB6">
        <w:rPr>
          <w:rFonts w:ascii="Verdana" w:eastAsia="Verdana" w:hAnsi="Verdana" w:cs="Verdana"/>
          <w:i/>
        </w:rPr>
        <w:t>‘undecided’</w:t>
      </w:r>
      <w:r w:rsidRPr="005B5CB6">
        <w:rPr>
          <w:rFonts w:ascii="Verdana" w:eastAsia="Verdana" w:hAnsi="Verdana" w:cs="Verdana"/>
        </w:rPr>
        <w:t xml:space="preserv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Q5.3 Or are you trying to involve outside </w:t>
      </w:r>
      <w:r w:rsidRPr="005B5CB6">
        <w:rPr>
          <w:rFonts w:ascii="Verdana" w:eastAsia="Verdana" w:hAnsi="Verdana" w:cs="Verdana"/>
          <w:i/>
        </w:rPr>
        <w:t>‘Advertisers’</w:t>
      </w:r>
      <w:r w:rsidRPr="005B5CB6">
        <w:rPr>
          <w:rFonts w:ascii="Verdana" w:eastAsia="Verdana" w:hAnsi="Verdana" w:cs="Verdana"/>
        </w:rPr>
        <w:t xml:space="preserve"> to make money for the advertiser to fund your targeted repartition on your online social media.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Q5.4 Repartition brainwashes individuals, a proven fact of repeated slogans before digital technology started. </w:t>
      </w:r>
    </w:p>
    <w:p w:rsidR="00FB0B24" w:rsidRPr="005B5CB6" w:rsidP="003255A4">
      <w:pPr>
        <w:spacing w:after="191" w:line="250" w:lineRule="auto"/>
        <w:ind w:left="23" w:right="11" w:hanging="8"/>
        <w:jc w:val="both"/>
        <w:rPr>
          <w:rFonts w:ascii="Verdana" w:hAnsi="Verdana"/>
        </w:rPr>
      </w:pPr>
      <w:r w:rsidRPr="005B5CB6">
        <w:rPr>
          <w:rFonts w:ascii="Verdana" w:eastAsia="Verdana" w:hAnsi="Verdana" w:cs="Verdana"/>
        </w:rPr>
        <w:t xml:space="preserve">Q5.5 Or like a Presidential race in America donations are sought to finance their campaign?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Should there be additional regulation of political advertising? </w:t>
      </w:r>
    </w:p>
    <w:p w:rsidR="00FB0B24" w:rsidRPr="005B5CB6" w:rsidP="003255A4">
      <w:pPr>
        <w:spacing w:after="191" w:line="250" w:lineRule="auto"/>
        <w:ind w:left="23" w:right="11" w:hanging="8"/>
        <w:jc w:val="both"/>
        <w:rPr>
          <w:rFonts w:ascii="Verdana" w:hAnsi="Verdana"/>
        </w:rPr>
      </w:pPr>
      <w:r w:rsidRPr="005B5CB6">
        <w:rPr>
          <w:rFonts w:ascii="Verdana" w:eastAsia="Verdana" w:hAnsi="Verdana" w:cs="Verdana"/>
        </w:rPr>
        <w:t xml:space="preserve">Q5.7 Yes, 100%, as politics should be impartial and left to the individual to decide especially as some parties are more affluent than others therefore would have the opportunity to influence more voters. Perhaps an idea; </w:t>
      </w:r>
      <w:r w:rsidRPr="005B5CB6">
        <w:rPr>
          <w:rFonts w:ascii="Verdana" w:eastAsia="Verdana" w:hAnsi="Verdana" w:cs="Verdana"/>
          <w:i/>
        </w:rPr>
        <w:t>‘a cap of equal spending might have to be imposed for each party’.</w:t>
      </w:r>
      <w:r w:rsidRPr="005B5CB6">
        <w:rPr>
          <w:rFonts w:ascii="Verdana" w:eastAsia="Verdana" w:hAnsi="Verdana" w:cs="Verdana"/>
        </w:rPr>
        <w:t xml:space="preserve"> A possible unfair process but fair if the political advertising was more stringent or frugal with its transparent spending. </w:t>
      </w:r>
    </w:p>
    <w:p w:rsidR="00FB0B24" w:rsidRPr="005B5CB6" w:rsidP="003255A4">
      <w:pPr>
        <w:spacing w:after="184" w:line="250" w:lineRule="auto"/>
        <w:ind w:left="11" w:hanging="10"/>
        <w:jc w:val="both"/>
        <w:rPr>
          <w:rFonts w:ascii="Verdana" w:hAnsi="Verdana"/>
        </w:rPr>
      </w:pPr>
      <w:r w:rsidRPr="005B5CB6">
        <w:rPr>
          <w:rFonts w:ascii="Verdana" w:eastAsia="Verdana" w:hAnsi="Verdana" w:cs="Verdana"/>
          <w:b/>
        </w:rPr>
        <w:t xml:space="preserve">Privacy and anonymity </w:t>
      </w:r>
    </w:p>
    <w:p w:rsidR="00FB0B24" w:rsidRPr="005B5CB6" w:rsidP="003255A4">
      <w:pPr>
        <w:spacing w:after="188" w:line="249" w:lineRule="auto"/>
        <w:ind w:left="9" w:hanging="10"/>
        <w:jc w:val="both"/>
        <w:rPr>
          <w:rFonts w:ascii="Verdana" w:hAnsi="Verdana"/>
        </w:rPr>
      </w:pPr>
      <w:r w:rsidRPr="005B5CB6">
        <w:rPr>
          <w:rFonts w:ascii="Verdana" w:eastAsia="Verdana" w:hAnsi="Verdana" w:cs="Verdana"/>
          <w:b/>
          <w:i/>
        </w:rPr>
        <w:t xml:space="preserve">6. To what extent does increasing use of encrypted messaging and private groups present a challenge to the democratic process? </w:t>
      </w:r>
    </w:p>
    <w:p w:rsidR="00FB0B24" w:rsidRPr="005B5CB6" w:rsidP="003255A4">
      <w:pPr>
        <w:spacing w:after="186" w:line="250" w:lineRule="auto"/>
        <w:ind w:left="23" w:right="11" w:hanging="8"/>
        <w:jc w:val="both"/>
        <w:rPr>
          <w:rFonts w:ascii="Verdana" w:hAnsi="Verdana"/>
        </w:rPr>
      </w:pPr>
      <w:r w:rsidRPr="005B5CB6">
        <w:rPr>
          <w:rFonts w:ascii="Verdana" w:eastAsia="Verdana" w:hAnsi="Verdana" w:cs="Verdana"/>
        </w:rPr>
        <w:t xml:space="preserve">Q6.1 All information from and to Government should be transparent with no encrypted messaging, anonymity, pseudo-names or private groups should be barred. If they are not happy with that then ignore, block or delete their comments. What is the point of debate if anonymous individuals can pick and choose what they want people to see or read? The only part that needs encryption is the sender’s personal details.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Q6.2 How can you have a private group when the group leader may influence the group creating a cult following as mentioned in Q1.1b and Q6.3 how gullible people are influenced by a stronger more important individual or organisation who may be miss-informed or miss-led by opinion of others as each individual has an opinion and an individual vote when the time comes?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Q6.3 Are you referring to private groups such as; </w:t>
      </w:r>
      <w:r w:rsidRPr="005B5CB6">
        <w:rPr>
          <w:rFonts w:ascii="Verdana" w:eastAsia="Verdana" w:hAnsi="Verdana" w:cs="Verdana"/>
          <w:i/>
        </w:rPr>
        <w:t>'Charity Organisations' (ie; Greenpeace, 38 Degrees, Climate Reality Project, NRDC etc, etc)</w:t>
      </w:r>
      <w:r w:rsidRPr="005B5CB6">
        <w:rPr>
          <w:rFonts w:ascii="Verdana" w:eastAsia="Verdana" w:hAnsi="Verdana" w:cs="Verdana"/>
        </w:rPr>
        <w:t xml:space="preserve"> who scaremonger to get funding by donations from the gullible public to become a cult leadership mentality to influence a sheep like movement, like many, many more individuals who again do no research to prove or substantiate their actions being correct or credible which many causes can be proved inconclusive, a lie or as President Donald Trump puts it as </w:t>
      </w:r>
      <w:r w:rsidRPr="005B5CB6">
        <w:rPr>
          <w:rFonts w:ascii="Verdana" w:eastAsia="Verdana" w:hAnsi="Verdana" w:cs="Verdana"/>
          <w:i/>
        </w:rPr>
        <w:t>'Fake News'</w:t>
      </w: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Q6.4 If you shout long enough and hard enough on a regular basis a onetime ill-informed incorrect opinion through repartition of media or social media become over time social media </w:t>
      </w:r>
      <w:r w:rsidRPr="005B5CB6">
        <w:rPr>
          <w:rFonts w:ascii="Verdana" w:eastAsia="Verdana" w:hAnsi="Verdana" w:cs="Verdana"/>
          <w:i/>
        </w:rPr>
        <w:t>'fact'</w:t>
      </w:r>
      <w:r w:rsidRPr="005B5CB6">
        <w:rPr>
          <w:rFonts w:ascii="Verdana" w:eastAsia="Verdana" w:hAnsi="Verdana" w:cs="Verdana"/>
        </w:rPr>
        <w:t xml:space="preserve"> although it was only an ill-informed opinion in the first place, like </w:t>
      </w:r>
      <w:r w:rsidRPr="005B5CB6">
        <w:rPr>
          <w:rFonts w:ascii="Verdana" w:eastAsia="Verdana" w:hAnsi="Verdana" w:cs="Verdana"/>
          <w:i/>
        </w:rPr>
        <w:t>‘the honeybee demise where scientist overdosed a bee with pesticides in a laboratory environment to prove a point and stated “it is of my opinion that....” which means the scientist does not know. The very same would have happened if a human was given an overdose of paracetamol tablets ending in death’</w:t>
      </w:r>
      <w:r w:rsidRPr="005B5CB6">
        <w:rPr>
          <w:rFonts w:ascii="Verdana" w:eastAsia="Verdana" w:hAnsi="Verdana" w:cs="Verdana"/>
        </w:rPr>
        <w:t xml:space="preserve"> which no-one questioned especially the media or was ever allowed to approach the original person's opinion or read the original experiment report, very dangerous. The very same ‘</w:t>
      </w:r>
      <w:r w:rsidRPr="005B5CB6">
        <w:rPr>
          <w:rFonts w:ascii="Verdana" w:eastAsia="Verdana" w:hAnsi="Verdana" w:cs="Verdana"/>
          <w:i/>
        </w:rPr>
        <w:t>Fake News’</w:t>
      </w:r>
      <w:r w:rsidRPr="005B5CB6">
        <w:rPr>
          <w:rFonts w:ascii="Verdana" w:eastAsia="Verdana" w:hAnsi="Verdana" w:cs="Verdana"/>
        </w:rPr>
        <w:t xml:space="preserve"> is now affecting climate change with no credible evidence which is why President Donald Trump withdrew from the Paris Agreement, yet no-one has asked why and yet our changing climate cannot be stopped, reversed or changed by all the money in the world as natural phenomena </w:t>
      </w:r>
      <w:r w:rsidRPr="005B5CB6">
        <w:rPr>
          <w:rFonts w:ascii="Verdana" w:eastAsia="Verdana" w:hAnsi="Verdana" w:cs="Verdana"/>
        </w:rPr>
        <w:t xml:space="preserve">is taking its course of a natural cycle. Our Sun started its own climate change at the same time as Planet Earth yet lobbyist’s protestors are in denial about a natural cause for our Sun where logic and common sense would indicate what happens on our Sun dictates the same for Planet Earth that can be proved without doubt.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Q6.5 Social media by its own making does not allow anyone to question the person/organisation direct for any post or comment whether correct or otherwise, as the original person who made the post or comment does not have to reply, respond or answer on social media which in a very short space of time gets buried by further comments from other sources which means it has a very short shelf life unless </w:t>
      </w:r>
      <w:r w:rsidRPr="005B5CB6">
        <w:rPr>
          <w:rFonts w:ascii="Verdana" w:eastAsia="Verdana" w:hAnsi="Verdana" w:cs="Verdana"/>
          <w:i/>
        </w:rPr>
        <w:t>‘Re-sent’</w:t>
      </w:r>
      <w:r w:rsidRPr="005B5CB6">
        <w:rPr>
          <w:rFonts w:ascii="Verdana" w:eastAsia="Verdana" w:hAnsi="Verdana" w:cs="Verdana"/>
        </w:rPr>
        <w:t xml:space="preserve"> or </w:t>
      </w:r>
      <w:r w:rsidRPr="005B5CB6">
        <w:rPr>
          <w:rFonts w:ascii="Verdana" w:eastAsia="Verdana" w:hAnsi="Verdana" w:cs="Verdana"/>
          <w:i/>
        </w:rPr>
        <w:t xml:space="preserve">‘Re-Tweeted’ </w:t>
      </w:r>
      <w:r w:rsidRPr="005B5CB6">
        <w:rPr>
          <w:rFonts w:ascii="Verdana" w:eastAsia="Verdana" w:hAnsi="Verdana" w:cs="Verdana"/>
        </w:rPr>
        <w:t xml:space="preserve">by constant repartition and news media coverage therefore the gullible public are constantly brainwashed into thinking </w:t>
      </w:r>
      <w:r w:rsidRPr="005B5CB6">
        <w:rPr>
          <w:rFonts w:ascii="Verdana" w:eastAsia="Verdana" w:hAnsi="Verdana" w:cs="Verdana"/>
          <w:i/>
        </w:rPr>
        <w:t xml:space="preserve">‘an opinion’ </w:t>
      </w:r>
      <w:r w:rsidRPr="005B5CB6">
        <w:rPr>
          <w:rFonts w:ascii="Verdana" w:eastAsia="Verdana" w:hAnsi="Verdana" w:cs="Verdana"/>
        </w:rPr>
        <w:t>is true</w:t>
      </w:r>
      <w:r w:rsidRPr="005B5CB6">
        <w:rPr>
          <w:rFonts w:ascii="Verdana" w:eastAsia="Verdana" w:hAnsi="Verdana" w:cs="Verdana"/>
          <w:i/>
        </w:rPr>
        <w:t xml:space="preserve"> </w:t>
      </w:r>
      <w:r w:rsidRPr="005B5CB6">
        <w:rPr>
          <w:rFonts w:ascii="Verdana" w:eastAsia="Verdana" w:hAnsi="Verdana" w:cs="Verdana"/>
        </w:rPr>
        <w:t>and factual when it is not</w:t>
      </w:r>
      <w:r w:rsidRPr="005B5CB6">
        <w:rPr>
          <w:rFonts w:ascii="Verdana" w:eastAsia="Verdana" w:hAnsi="Verdana" w:cs="Verdana"/>
          <w:i/>
        </w:rPr>
        <w:t>.</w:t>
      </w:r>
      <w:r w:rsidRPr="005B5CB6">
        <w:rPr>
          <w:rFonts w:ascii="Verdana" w:eastAsia="Verdana" w:hAnsi="Verdana" w:cs="Verdana"/>
        </w:rPr>
        <w:t xml:space="preserve"> </w:t>
      </w:r>
    </w:p>
    <w:p w:rsidR="00FB0B24" w:rsidRPr="005B5CB6" w:rsidP="003255A4">
      <w:pPr>
        <w:spacing w:after="188" w:line="249" w:lineRule="auto"/>
        <w:ind w:left="9" w:hanging="10"/>
        <w:jc w:val="both"/>
        <w:rPr>
          <w:rFonts w:ascii="Verdana" w:hAnsi="Verdana"/>
        </w:rPr>
      </w:pPr>
      <w:r w:rsidRPr="005B5CB6">
        <w:rPr>
          <w:rFonts w:ascii="Verdana" w:eastAsia="Verdana" w:hAnsi="Verdana" w:cs="Verdana"/>
          <w:b/>
          <w:i/>
        </w:rPr>
        <w:t xml:space="preserve">7. What are the positive or negative effects of anonymity on online democratic discourse?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Q7.1 Sorry if you want to be anonymous, you have no back-bone; your view should be ignored or deleted. </w:t>
      </w:r>
    </w:p>
    <w:p w:rsidR="00FB0B24" w:rsidRPr="005B5CB6" w:rsidP="003255A4">
      <w:pPr>
        <w:spacing w:after="186" w:line="250" w:lineRule="auto"/>
        <w:ind w:left="23" w:right="11" w:hanging="8"/>
        <w:jc w:val="both"/>
        <w:rPr>
          <w:rFonts w:ascii="Verdana" w:hAnsi="Verdana"/>
        </w:rPr>
      </w:pPr>
      <w:r w:rsidRPr="005B5CB6">
        <w:rPr>
          <w:rFonts w:ascii="Verdana" w:eastAsia="Verdana" w:hAnsi="Verdana" w:cs="Verdana"/>
        </w:rPr>
        <w:t xml:space="preserve">Q7.2 Too many comments from anonymous persons create animosity towards social media which is difficult to ignore as a form of abuse or bullying when directed to the individual personal site and it hurts.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Q7.3 If anonymous persons are brave enough to want to make a comment then they should be brave enough to put a name to it verified by the social media site or other guaranteed source. </w:t>
      </w:r>
    </w:p>
    <w:p w:rsidR="00FB0B24" w:rsidRPr="005B5CB6" w:rsidP="003255A4">
      <w:pPr>
        <w:spacing w:after="191" w:line="250" w:lineRule="auto"/>
        <w:ind w:left="23" w:right="11" w:hanging="8"/>
        <w:jc w:val="both"/>
        <w:rPr>
          <w:rFonts w:ascii="Verdana" w:hAnsi="Verdana"/>
        </w:rPr>
      </w:pPr>
      <w:r w:rsidRPr="005B5CB6">
        <w:rPr>
          <w:rFonts w:ascii="Verdana" w:eastAsia="Verdana" w:hAnsi="Verdana" w:cs="Verdana"/>
        </w:rPr>
        <w:t xml:space="preserve">Q7.4 Social media checking facilities must be adhered to verify every person’s name so that any abuse can be dealt with in accordance with the law. </w:t>
      </w:r>
    </w:p>
    <w:p w:rsidR="00FB0B24" w:rsidRPr="005B5CB6" w:rsidP="003255A4">
      <w:pPr>
        <w:spacing w:after="184" w:line="250" w:lineRule="auto"/>
        <w:ind w:left="11" w:hanging="10"/>
        <w:jc w:val="both"/>
        <w:rPr>
          <w:rFonts w:ascii="Verdana" w:hAnsi="Verdana"/>
        </w:rPr>
      </w:pPr>
      <w:r w:rsidRPr="005B5CB6">
        <w:rPr>
          <w:rFonts w:ascii="Verdana" w:eastAsia="Verdana" w:hAnsi="Verdana" w:cs="Verdana"/>
          <w:b/>
        </w:rPr>
        <w:t xml:space="preserve">Democratic debate </w:t>
      </w:r>
    </w:p>
    <w:p w:rsidR="00FB0B24" w:rsidRPr="005B5CB6" w:rsidP="003255A4">
      <w:pPr>
        <w:numPr>
          <w:ilvl w:val="0"/>
          <w:numId w:val="23"/>
        </w:numPr>
        <w:spacing w:after="188" w:line="249" w:lineRule="auto"/>
        <w:ind w:hanging="10"/>
        <w:jc w:val="both"/>
        <w:rPr>
          <w:rFonts w:ascii="Verdana" w:hAnsi="Verdana"/>
        </w:rPr>
      </w:pPr>
      <w:r w:rsidRPr="005B5CB6">
        <w:rPr>
          <w:rFonts w:ascii="Verdana" w:eastAsia="Verdana" w:hAnsi="Verdana" w:cs="Verdana"/>
          <w:b/>
          <w:i/>
        </w:rPr>
        <w:t xml:space="preserve">To what extent does a social medium negatively shape public debate, either through encouraging polarisation or through abuse deterring individuals from engaging in public life?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Q8.1 It is for this very reason why social media cannot be used for serious debate due to the brain-dead, sheep-like, repartition mentality of persons who cannot think for themselves hence using </w:t>
      </w:r>
      <w:r w:rsidRPr="005B5CB6">
        <w:rPr>
          <w:rFonts w:ascii="Verdana" w:eastAsia="Verdana" w:hAnsi="Verdana" w:cs="Verdana"/>
          <w:b/>
          <w:i/>
        </w:rPr>
        <w:t xml:space="preserve">abuse </w:t>
      </w:r>
      <w:r w:rsidRPr="005B5CB6">
        <w:rPr>
          <w:rFonts w:ascii="Verdana" w:eastAsia="Verdana" w:hAnsi="Verdana" w:cs="Verdana"/>
        </w:rPr>
        <w:t xml:space="preserve">to undermine and discredit serious opinion hiding behind a pseudo-name or other confirming they are weak people who should be banned from any discussion or debate. </w:t>
      </w:r>
    </w:p>
    <w:p w:rsidR="00FB0B24" w:rsidRPr="005B5CB6" w:rsidP="003255A4">
      <w:pPr>
        <w:numPr>
          <w:ilvl w:val="0"/>
          <w:numId w:val="23"/>
        </w:numPr>
        <w:spacing w:after="188" w:line="249" w:lineRule="auto"/>
        <w:ind w:hanging="10"/>
        <w:jc w:val="both"/>
        <w:rPr>
          <w:rFonts w:ascii="Verdana" w:hAnsi="Verdana"/>
        </w:rPr>
      </w:pPr>
      <w:r w:rsidRPr="005B5CB6">
        <w:rPr>
          <w:rFonts w:ascii="Verdana" w:eastAsia="Verdana" w:hAnsi="Verdana" w:cs="Verdana"/>
          <w:b/>
          <w:i/>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Q9.1 There are those who have a big ego and a big bank balance who shout the most on social media using a social media junior employee to post messages therefore undermining and leading persons who are unsure of or to rely on powerful persons who may not be a politician who think they can trust where no </w:t>
      </w:r>
      <w:r w:rsidRPr="005B5CB6">
        <w:rPr>
          <w:rFonts w:ascii="Verdana" w:eastAsia="Verdana" w:hAnsi="Verdana" w:cs="Verdana"/>
        </w:rPr>
        <w:t xml:space="preserve">research is ever done or considered to verify the post on social media. It is also too easy to clone a celebrity therefore misleading the user. </w:t>
      </w:r>
    </w:p>
    <w:p w:rsidR="00FB0B24" w:rsidRPr="005B5CB6" w:rsidP="003255A4">
      <w:pPr>
        <w:spacing w:after="184" w:line="250" w:lineRule="auto"/>
        <w:ind w:left="23" w:right="11" w:hanging="8"/>
        <w:jc w:val="both"/>
        <w:rPr>
          <w:rFonts w:ascii="Verdana" w:hAnsi="Verdana"/>
        </w:rPr>
      </w:pPr>
      <w:r w:rsidRPr="005B5CB6">
        <w:rPr>
          <w:rFonts w:ascii="Verdana" w:eastAsia="Verdana" w:hAnsi="Verdana" w:cs="Verdana"/>
        </w:rPr>
        <w:t xml:space="preserve">Q9.2 I repeat: Brainwashing is easy to do by repartition constantly. </w:t>
      </w:r>
    </w:p>
    <w:p w:rsidR="00FB0B24" w:rsidRPr="005B5CB6" w:rsidP="003255A4">
      <w:pPr>
        <w:spacing w:after="190" w:line="250" w:lineRule="auto"/>
        <w:ind w:left="23" w:right="11" w:hanging="8"/>
        <w:jc w:val="both"/>
        <w:rPr>
          <w:rFonts w:ascii="Verdana" w:hAnsi="Verdana"/>
        </w:rPr>
      </w:pPr>
      <w:r w:rsidRPr="005B5CB6">
        <w:rPr>
          <w:rFonts w:ascii="Verdana" w:eastAsia="Verdana" w:hAnsi="Verdana" w:cs="Verdana"/>
        </w:rPr>
        <w:t xml:space="preserve">Q9.3 Democracy is only strengthened by actions of MP's asked for by the electorate which if ignored will be voted out of office. Watch this space in the next general election; do not believe your own egos or think you are safe or have a right to be a Member of Parliament but then MP’s are dispensable whereas the </w:t>
      </w:r>
      <w:r w:rsidRPr="005B5CB6">
        <w:rPr>
          <w:rFonts w:ascii="Verdana" w:eastAsia="Verdana" w:hAnsi="Verdana" w:cs="Verdana"/>
          <w:i/>
        </w:rPr>
        <w:t>‘Civil Service’</w:t>
      </w:r>
      <w:r w:rsidRPr="005B5CB6">
        <w:rPr>
          <w:rFonts w:ascii="Verdana" w:eastAsia="Verdana" w:hAnsi="Verdana" w:cs="Verdana"/>
        </w:rPr>
        <w:t xml:space="preserve"> is not.  </w:t>
      </w:r>
    </w:p>
    <w:p w:rsidR="00FB0B24" w:rsidRPr="005B5CB6" w:rsidP="003255A4">
      <w:pPr>
        <w:spacing w:after="184" w:line="250" w:lineRule="auto"/>
        <w:ind w:left="11" w:hanging="10"/>
        <w:jc w:val="both"/>
        <w:rPr>
          <w:rFonts w:ascii="Verdana" w:hAnsi="Verdana"/>
        </w:rPr>
      </w:pPr>
      <w:r w:rsidRPr="005B5CB6">
        <w:rPr>
          <w:rFonts w:ascii="Verdana" w:eastAsia="Verdana" w:hAnsi="Verdana" w:cs="Verdana"/>
          <w:b/>
        </w:rPr>
        <w:t xml:space="preserve">Misinformation </w:t>
      </w:r>
    </w:p>
    <w:p w:rsidR="00FB0B24" w:rsidRPr="005B5CB6" w:rsidP="003255A4">
      <w:pPr>
        <w:numPr>
          <w:ilvl w:val="0"/>
          <w:numId w:val="24"/>
        </w:numPr>
        <w:spacing w:after="188" w:line="249" w:lineRule="auto"/>
        <w:ind w:hanging="10"/>
        <w:jc w:val="both"/>
        <w:rPr>
          <w:rFonts w:ascii="Verdana" w:hAnsi="Verdana"/>
        </w:rPr>
      </w:pPr>
      <w:r w:rsidRPr="005B5CB6">
        <w:rPr>
          <w:rFonts w:ascii="Verdana" w:eastAsia="Verdana" w:hAnsi="Verdana" w:cs="Verdana"/>
          <w:b/>
          <w:i/>
        </w:rPr>
        <w:t xml:space="preserve">What might be the best ways of reducing the effects of misinformation on social media platforms? </w:t>
      </w:r>
    </w:p>
    <w:p w:rsidR="00FB0B24" w:rsidRPr="005B5CB6" w:rsidP="003255A4">
      <w:pPr>
        <w:spacing w:after="191" w:line="250" w:lineRule="auto"/>
        <w:ind w:left="23" w:right="11" w:hanging="8"/>
        <w:jc w:val="both"/>
        <w:rPr>
          <w:rFonts w:ascii="Verdana" w:hAnsi="Verdana"/>
        </w:rPr>
      </w:pPr>
      <w:r w:rsidRPr="005B5CB6">
        <w:rPr>
          <w:rFonts w:ascii="Verdana" w:eastAsia="Verdana" w:hAnsi="Verdana" w:cs="Verdana"/>
        </w:rPr>
        <w:t xml:space="preserve">Q10.1 </w:t>
      </w:r>
      <w:r w:rsidRPr="005B5CB6">
        <w:rPr>
          <w:rFonts w:ascii="Verdana" w:eastAsia="Verdana" w:hAnsi="Verdana" w:cs="Verdana"/>
          <w:i/>
        </w:rPr>
        <w:t>If misinformation is posted it is by definition too late.</w:t>
      </w:r>
      <w:r w:rsidRPr="005B5CB6">
        <w:rPr>
          <w:rFonts w:ascii="Verdana" w:eastAsia="Verdana" w:hAnsi="Verdana" w:cs="Verdana"/>
        </w:rPr>
        <w:t xml:space="preserve"> An impossible request where every comment would have to be read, adjudicated or managed by a moderator, similar to or like,</w:t>
      </w:r>
      <w:r w:rsidRPr="005B5CB6">
        <w:rPr>
          <w:rFonts w:ascii="Verdana" w:eastAsia="Verdana" w:hAnsi="Verdana" w:cs="Verdana"/>
          <w:i/>
        </w:rPr>
        <w:t xml:space="preserve"> LinkedIn, </w:t>
      </w:r>
      <w:r w:rsidRPr="005B5CB6">
        <w:rPr>
          <w:rFonts w:ascii="Verdana" w:eastAsia="Verdana" w:hAnsi="Verdana" w:cs="Verdana"/>
        </w:rPr>
        <w:t xml:space="preserve">who do not post anything until the adjudicator/moderator, who may or may not be experienced or qualified to question or act on the original comment to delete or disregard the comment although relevant to the debate unless the misinformation on social media platforms was under your own control of your own moderator but then that too would be under scrutiny. </w:t>
      </w:r>
    </w:p>
    <w:p w:rsidR="00FB0B24" w:rsidRPr="005B5CB6" w:rsidP="003255A4">
      <w:pPr>
        <w:spacing w:after="182" w:line="250" w:lineRule="auto"/>
        <w:ind w:left="11" w:hanging="10"/>
        <w:jc w:val="both"/>
        <w:rPr>
          <w:rFonts w:ascii="Verdana" w:hAnsi="Verdana"/>
        </w:rPr>
      </w:pPr>
      <w:r w:rsidRPr="005B5CB6">
        <w:rPr>
          <w:rFonts w:ascii="Verdana" w:eastAsia="Verdana" w:hAnsi="Verdana" w:cs="Verdana"/>
          <w:b/>
        </w:rPr>
        <w:t xml:space="preserve">Moderation  </w:t>
      </w:r>
    </w:p>
    <w:p w:rsidR="00FB0B24" w:rsidRPr="005B5CB6" w:rsidP="003255A4">
      <w:pPr>
        <w:numPr>
          <w:ilvl w:val="0"/>
          <w:numId w:val="24"/>
        </w:numPr>
        <w:spacing w:after="188" w:line="249" w:lineRule="auto"/>
        <w:ind w:hanging="10"/>
        <w:jc w:val="both"/>
        <w:rPr>
          <w:rFonts w:ascii="Verdana" w:hAnsi="Verdana"/>
        </w:rPr>
      </w:pPr>
      <w:r w:rsidRPr="005B5CB6">
        <w:rPr>
          <w:rFonts w:ascii="Verdana" w:eastAsia="Verdana" w:hAnsi="Verdana" w:cs="Verdana"/>
          <w:b/>
          <w:i/>
        </w:rPr>
        <w:t xml:space="preserve">How could the moderation processes of large technology companies be improved to better tackle abuse and misinformation, as well as helping public debate flourish?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Q11.1 Are you referring to </w:t>
      </w:r>
      <w:r w:rsidRPr="005B5CB6">
        <w:rPr>
          <w:rFonts w:ascii="Verdana" w:eastAsia="Verdana" w:hAnsi="Verdana" w:cs="Verdana"/>
          <w:i/>
        </w:rPr>
        <w:t>Facebook</w:t>
      </w:r>
      <w:r w:rsidRPr="005B5CB6">
        <w:rPr>
          <w:rFonts w:ascii="Verdana" w:eastAsia="Verdana" w:hAnsi="Verdana" w:cs="Verdana"/>
        </w:rPr>
        <w:t xml:space="preserve"> and </w:t>
      </w:r>
      <w:r w:rsidRPr="005B5CB6">
        <w:rPr>
          <w:rFonts w:ascii="Verdana" w:eastAsia="Verdana" w:hAnsi="Verdana" w:cs="Verdana"/>
          <w:i/>
        </w:rPr>
        <w:t xml:space="preserve">Twitter </w:t>
      </w:r>
      <w:r w:rsidRPr="005B5CB6">
        <w:rPr>
          <w:rFonts w:ascii="Verdana" w:eastAsia="Verdana" w:hAnsi="Verdana" w:cs="Verdana"/>
        </w:rPr>
        <w:t xml:space="preserve">who cannot at present be trusted which is why many do not post sensitive information? </w:t>
      </w:r>
      <w:r w:rsidRPr="005B5CB6">
        <w:rPr>
          <w:rFonts w:ascii="Verdana" w:eastAsia="Verdana" w:hAnsi="Verdana" w:cs="Verdana"/>
          <w:i/>
        </w:rPr>
        <w:t>Comment:</w:t>
      </w:r>
      <w:r w:rsidRPr="005B5CB6">
        <w:rPr>
          <w:rFonts w:ascii="Verdana" w:eastAsia="Verdana" w:hAnsi="Verdana" w:cs="Verdana"/>
        </w:rPr>
        <w:t xml:space="preserve"> A thief or burglar has a perfect hunting ground and people wonder why they were burgled or targeted, why are people so stupid and crazy to trust social media?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Q11.2 Abuse and Misinformation is an almost impossible situation unless every comment is sent to you as the moderator then you can re-post, resend or delete. </w:t>
      </w:r>
    </w:p>
    <w:p w:rsidR="00FB0B24" w:rsidRPr="005B5CB6" w:rsidP="003255A4">
      <w:pPr>
        <w:spacing w:after="184" w:line="250" w:lineRule="auto"/>
        <w:ind w:left="23" w:right="11" w:hanging="8"/>
        <w:jc w:val="both"/>
        <w:rPr>
          <w:rFonts w:ascii="Verdana" w:hAnsi="Verdana"/>
        </w:rPr>
      </w:pPr>
      <w:r w:rsidRPr="005B5CB6">
        <w:rPr>
          <w:rFonts w:ascii="Verdana" w:eastAsia="Verdana" w:hAnsi="Verdana" w:cs="Verdana"/>
        </w:rPr>
        <w:t xml:space="preserve">Q11.3 Or are you referring to other large companies: </w:t>
      </w:r>
    </w:p>
    <w:p w:rsidR="00FB0B24" w:rsidRPr="005B5CB6" w:rsidP="003255A4">
      <w:pPr>
        <w:spacing w:after="185" w:line="250" w:lineRule="auto"/>
        <w:ind w:left="23" w:right="11" w:hanging="8"/>
        <w:jc w:val="both"/>
        <w:rPr>
          <w:rFonts w:ascii="Verdana" w:hAnsi="Verdana"/>
        </w:rPr>
      </w:pPr>
      <w:r w:rsidRPr="005B5CB6">
        <w:rPr>
          <w:rFonts w:ascii="Verdana" w:eastAsia="Verdana" w:hAnsi="Verdana" w:cs="Verdana"/>
        </w:rPr>
        <w:t xml:space="preserve">QII.4 Large companies tend to railroad individuals by repartition where individuals have a difficult situation in being heard anyway. </w:t>
      </w:r>
    </w:p>
    <w:p w:rsidR="00FB0B24" w:rsidRPr="005B5CB6" w:rsidP="003255A4">
      <w:pPr>
        <w:spacing w:after="185" w:line="250" w:lineRule="auto"/>
        <w:ind w:left="23" w:right="11" w:hanging="8"/>
        <w:jc w:val="both"/>
        <w:rPr>
          <w:rFonts w:ascii="Verdana" w:hAnsi="Verdana"/>
        </w:rPr>
      </w:pPr>
      <w:r w:rsidRPr="005B5CB6">
        <w:rPr>
          <w:rFonts w:ascii="Verdana" w:eastAsia="Verdana" w:hAnsi="Verdana" w:cs="Verdana"/>
        </w:rPr>
        <w:t xml:space="preserve">Q11.5 Large companies are not the voice of the masses and should be banned from the process of debate.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Q11.6 Large companies have the funds to buy social media space and the personnel who may or may not be genuine to the cause of the debate.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Q11.7 Perhaps large companies should be banned from debate after-all and I repeat; a general election is controlled and decided by individuals with a single vote.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Q11.8 We have witnessed in The House of Commons how Party Leadership can and does influence voting of the whole party regardless of the individual MP point of view or more important the view of the Party and not the constituency who voted them into parliament where many MP's will not be voted in on the next general election.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 xml:space="preserve">Technology and democratic engagement </w:t>
      </w:r>
    </w:p>
    <w:p w:rsidR="00FB0B24" w:rsidRPr="005B5CB6" w:rsidP="003255A4">
      <w:pPr>
        <w:numPr>
          <w:ilvl w:val="0"/>
          <w:numId w:val="25"/>
        </w:numPr>
        <w:spacing w:after="188" w:line="249" w:lineRule="auto"/>
        <w:ind w:hanging="10"/>
        <w:jc w:val="both"/>
        <w:rPr>
          <w:rFonts w:ascii="Verdana" w:hAnsi="Verdana"/>
        </w:rPr>
      </w:pPr>
      <w:r w:rsidRPr="005B5CB6">
        <w:rPr>
          <w:rFonts w:ascii="Verdana" w:eastAsia="Verdana" w:hAnsi="Verdana" w:cs="Verdana"/>
          <w:b/>
          <w:i/>
        </w:rPr>
        <w:t xml:space="preserve">How could the Government better support the positive work of civil society organisations using technology to facilitate engagement with democratic processes? </w:t>
      </w:r>
    </w:p>
    <w:p w:rsidR="00FB0B24" w:rsidRPr="005B5CB6" w:rsidP="003255A4">
      <w:pPr>
        <w:spacing w:after="191" w:line="250" w:lineRule="auto"/>
        <w:ind w:left="23" w:right="11" w:hanging="8"/>
        <w:jc w:val="both"/>
        <w:rPr>
          <w:rFonts w:ascii="Verdana" w:hAnsi="Verdana"/>
        </w:rPr>
      </w:pPr>
      <w:r w:rsidRPr="005B5CB6">
        <w:rPr>
          <w:rFonts w:ascii="Verdana" w:eastAsia="Verdana" w:hAnsi="Verdana" w:cs="Verdana"/>
        </w:rPr>
        <w:t xml:space="preserve">Q12.1 Your question needs rewording or better explanation. Please refer to new question number, 15. </w:t>
      </w:r>
    </w:p>
    <w:p w:rsidR="00FB0B24" w:rsidRPr="005B5CB6" w:rsidP="003255A4">
      <w:pPr>
        <w:spacing w:after="184" w:line="250" w:lineRule="auto"/>
        <w:ind w:left="23" w:right="11" w:hanging="8"/>
        <w:jc w:val="both"/>
        <w:rPr>
          <w:rFonts w:ascii="Verdana" w:hAnsi="Verdana"/>
        </w:rPr>
      </w:pPr>
      <w:r w:rsidRPr="005B5CB6">
        <w:rPr>
          <w:rFonts w:ascii="Verdana" w:eastAsia="Verdana" w:hAnsi="Verdana" w:cs="Verdana"/>
        </w:rPr>
        <w:t xml:space="preserve">Q12.2 Are you referring to the Civil Service? </w:t>
      </w:r>
    </w:p>
    <w:p w:rsidR="00FB0B24" w:rsidRPr="005B5CB6" w:rsidP="003255A4">
      <w:pPr>
        <w:spacing w:after="184" w:line="250" w:lineRule="auto"/>
        <w:ind w:left="23" w:right="11" w:hanging="8"/>
        <w:jc w:val="both"/>
        <w:rPr>
          <w:rFonts w:ascii="Verdana" w:hAnsi="Verdana"/>
        </w:rPr>
      </w:pPr>
      <w:r w:rsidRPr="005B5CB6">
        <w:rPr>
          <w:rFonts w:ascii="Verdana" w:eastAsia="Verdana" w:hAnsi="Verdana" w:cs="Verdana"/>
        </w:rPr>
        <w:t xml:space="preserve">Q12.3 Are you asking if technology can be used on voting day?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Q12.4 If you are referring to voting then yes, however a foolproof algorithm would have to convince the public voting is transparent yet keeping the voting right completely secret. </w:t>
      </w:r>
    </w:p>
    <w:p w:rsidR="00FB0B24" w:rsidRPr="005B5CB6" w:rsidP="003255A4">
      <w:pPr>
        <w:numPr>
          <w:ilvl w:val="0"/>
          <w:numId w:val="25"/>
        </w:numPr>
        <w:spacing w:after="188" w:line="249" w:lineRule="auto"/>
        <w:ind w:hanging="10"/>
        <w:jc w:val="both"/>
        <w:rPr>
          <w:rFonts w:ascii="Verdana" w:hAnsi="Verdana"/>
        </w:rPr>
      </w:pPr>
      <w:r w:rsidRPr="005B5CB6">
        <w:rPr>
          <w:rFonts w:ascii="Verdana" w:eastAsia="Verdana" w:hAnsi="Verdana" w:cs="Verdana"/>
          <w:b/>
          <w:i/>
        </w:rPr>
        <w:t xml:space="preserve">How can elected representatives use technology to engage with the public in local and national decision making?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Q13.1 All constituents should be able to contact any MP regardless of where they live which will need your Parliamentary protocol to change, so that if an issue is being debated by a Committee Chair or a Committee Member a direct contact should be available which it is not at present, I have tried on many occasions, rather than go through your local MP who may not attend the debate especially if you do not have full confidence or trust in your local MP ability to forward a different viewpoint or any message or information relating to any Committee Debate. </w:t>
      </w:r>
    </w:p>
    <w:p w:rsidR="00FB0B24" w:rsidRPr="005B5CB6" w:rsidP="003255A4">
      <w:pPr>
        <w:spacing w:after="187" w:line="250" w:lineRule="auto"/>
        <w:ind w:left="23" w:right="11" w:hanging="8"/>
        <w:jc w:val="both"/>
        <w:rPr>
          <w:rFonts w:ascii="Verdana" w:hAnsi="Verdana"/>
        </w:rPr>
      </w:pPr>
      <w:r w:rsidRPr="005B5CB6">
        <w:rPr>
          <w:rFonts w:ascii="Verdana" w:eastAsia="Verdana" w:hAnsi="Verdana" w:cs="Verdana"/>
        </w:rPr>
        <w:t xml:space="preserve">Q13.2 As a guide may I suggest you check the 'inbox' of any MP?  </w:t>
      </w:r>
    </w:p>
    <w:p w:rsidR="00FB0B24" w:rsidRPr="005B5CB6" w:rsidP="003255A4">
      <w:pPr>
        <w:spacing w:after="184" w:line="250" w:lineRule="auto"/>
        <w:ind w:left="23" w:right="11" w:hanging="8"/>
        <w:jc w:val="both"/>
        <w:rPr>
          <w:rFonts w:ascii="Verdana" w:hAnsi="Verdana"/>
        </w:rPr>
      </w:pPr>
      <w:r w:rsidRPr="005B5CB6">
        <w:rPr>
          <w:rFonts w:ascii="Verdana" w:eastAsia="Verdana" w:hAnsi="Verdana" w:cs="Verdana"/>
        </w:rPr>
        <w:t xml:space="preserve">Q13.3 Why? </w:t>
      </w:r>
    </w:p>
    <w:p w:rsidR="00FB0B24" w:rsidRPr="005B5CB6" w:rsidP="003255A4">
      <w:pPr>
        <w:spacing w:after="186" w:line="250" w:lineRule="auto"/>
        <w:ind w:left="23" w:right="11" w:hanging="8"/>
        <w:jc w:val="both"/>
        <w:rPr>
          <w:rFonts w:ascii="Verdana" w:hAnsi="Verdana"/>
        </w:rPr>
      </w:pPr>
      <w:r w:rsidRPr="005B5CB6">
        <w:rPr>
          <w:rFonts w:ascii="Verdana" w:eastAsia="Verdana" w:hAnsi="Verdana" w:cs="Verdana"/>
        </w:rPr>
        <w:t xml:space="preserve">Q13.4 MP's send out a computer generated electronic reply when contacted by a member of the public as an acknowledgement with a zero follow-up in many cases if you are not a local constituent.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Q13.5 How do you expect MP's to react to social media replies when they cannot respond to emails that social media posts may be personal to the individual who may not want their comment or views seen by the masses on social media as the MP will not </w:t>
      </w:r>
      <w:r w:rsidRPr="005B5CB6">
        <w:rPr>
          <w:rFonts w:ascii="Verdana" w:eastAsia="Verdana" w:hAnsi="Verdana" w:cs="Verdana"/>
          <w:i/>
        </w:rPr>
        <w:t xml:space="preserve">‘Direct Message (DM) </w:t>
      </w:r>
      <w:r w:rsidRPr="005B5CB6">
        <w:rPr>
          <w:rFonts w:ascii="Verdana" w:eastAsia="Verdana" w:hAnsi="Verdana" w:cs="Verdana"/>
        </w:rPr>
        <w:t>the individual that may or may not require a personal response, but then, an automatic response may replace personal communication</w:t>
      </w:r>
      <w:r w:rsidRPr="005B5CB6">
        <w:rPr>
          <w:rFonts w:ascii="Verdana" w:eastAsia="Verdana" w:hAnsi="Verdana" w:cs="Verdana"/>
          <w:i/>
        </w:rPr>
        <w:t>.</w:t>
      </w:r>
      <w:r w:rsidRPr="005B5CB6">
        <w:rPr>
          <w:rFonts w:ascii="Verdana" w:eastAsia="Verdana" w:hAnsi="Verdana" w:cs="Verdana"/>
        </w:rPr>
        <w:t xml:space="preserve"> </w:t>
      </w:r>
    </w:p>
    <w:p w:rsidR="00FB0B24" w:rsidRPr="005B5CB6" w:rsidP="003255A4">
      <w:pPr>
        <w:spacing w:after="188" w:line="249" w:lineRule="auto"/>
        <w:ind w:left="9" w:hanging="10"/>
        <w:jc w:val="both"/>
        <w:rPr>
          <w:rFonts w:ascii="Verdana" w:hAnsi="Verdana"/>
        </w:rPr>
      </w:pPr>
      <w:r w:rsidRPr="005B5CB6">
        <w:rPr>
          <w:rFonts w:ascii="Verdana" w:eastAsia="Verdana" w:hAnsi="Verdana" w:cs="Verdana"/>
          <w:b/>
          <w:i/>
        </w:rPr>
        <w:t xml:space="preserve">What can Parliament and Government do to better use technology to support democratic engagement and ensure the efficacy of the democratic process? </w:t>
      </w:r>
    </w:p>
    <w:p w:rsidR="00FB0B24" w:rsidRPr="005B5CB6" w:rsidP="003255A4">
      <w:pPr>
        <w:spacing w:after="187" w:line="250" w:lineRule="auto"/>
        <w:ind w:left="23" w:right="11" w:hanging="8"/>
        <w:jc w:val="both"/>
        <w:rPr>
          <w:rFonts w:ascii="Verdana" w:hAnsi="Verdana"/>
        </w:rPr>
      </w:pPr>
      <w:r w:rsidRPr="005B5CB6">
        <w:rPr>
          <w:rFonts w:ascii="Verdana" w:eastAsia="Verdana" w:hAnsi="Verdana" w:cs="Verdana"/>
        </w:rPr>
        <w:t xml:space="preserve">Q14.1 Only use a fail-safe algorithm technology for voting day. </w:t>
      </w:r>
    </w:p>
    <w:p w:rsidR="00FB0B24" w:rsidRPr="005B5CB6" w:rsidP="003255A4">
      <w:pPr>
        <w:spacing w:after="182" w:line="250" w:lineRule="auto"/>
        <w:ind w:left="23" w:right="11" w:hanging="8"/>
        <w:jc w:val="both"/>
        <w:rPr>
          <w:rFonts w:ascii="Verdana" w:hAnsi="Verdana"/>
        </w:rPr>
      </w:pPr>
      <w:r w:rsidRPr="005B5CB6">
        <w:rPr>
          <w:rFonts w:ascii="Verdana" w:eastAsia="Verdana" w:hAnsi="Verdana" w:cs="Verdana"/>
        </w:rPr>
        <w:t xml:space="preserve">Q14.2 You must ask: Is that technology available?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Q14.3 This action will ensure a greater percentage of mature voters returning or new voters to voting from all ages to the ballot box albeit virtual.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Q14.4 However please refer to new question 15 that may answer this question </w:t>
      </w:r>
    </w:p>
    <w:p w:rsidR="00FB0B24" w:rsidRPr="005B5CB6" w:rsidP="003255A4">
      <w:pPr>
        <w:numPr>
          <w:ilvl w:val="0"/>
          <w:numId w:val="26"/>
        </w:numPr>
        <w:spacing w:after="188" w:line="249" w:lineRule="auto"/>
        <w:ind w:hanging="10"/>
        <w:jc w:val="both"/>
        <w:rPr>
          <w:rFonts w:ascii="Verdana" w:hAnsi="Verdana"/>
        </w:rPr>
      </w:pPr>
      <w:r w:rsidRPr="005B5CB6">
        <w:rPr>
          <w:rFonts w:ascii="Verdana" w:eastAsia="Verdana" w:hAnsi="Verdana" w:cs="Verdana"/>
          <w:b/>
          <w:i/>
        </w:rPr>
        <w:t xml:space="preserve">What positive examples are there of technology being used to enhance democracy?  </w:t>
      </w:r>
    </w:p>
    <w:p w:rsidR="00FB0B24" w:rsidRPr="005B5CB6" w:rsidP="003255A4">
      <w:pPr>
        <w:spacing w:after="186" w:line="250" w:lineRule="auto"/>
        <w:ind w:left="23" w:right="11" w:hanging="8"/>
        <w:jc w:val="both"/>
        <w:rPr>
          <w:rFonts w:ascii="Verdana" w:hAnsi="Verdana"/>
        </w:rPr>
      </w:pPr>
      <w:r w:rsidRPr="005B5CB6">
        <w:rPr>
          <w:rFonts w:ascii="Verdana" w:eastAsia="Verdana" w:hAnsi="Verdana" w:cs="Verdana"/>
        </w:rPr>
        <w:t xml:space="preserve">Q14.1 Technology must be used with a fail-safe error free application, specifically at voting time, will give: </w:t>
      </w:r>
    </w:p>
    <w:p w:rsidR="00FB0B24" w:rsidRPr="005B5CB6" w:rsidP="003255A4">
      <w:pPr>
        <w:numPr>
          <w:ilvl w:val="1"/>
          <w:numId w:val="27"/>
        </w:numPr>
        <w:spacing w:after="5" w:line="250" w:lineRule="auto"/>
        <w:ind w:right="11" w:hanging="360"/>
        <w:jc w:val="both"/>
        <w:rPr>
          <w:rFonts w:ascii="Verdana" w:hAnsi="Verdana"/>
        </w:rPr>
      </w:pPr>
      <w:r w:rsidRPr="005B5CB6">
        <w:rPr>
          <w:rFonts w:ascii="Verdana" w:eastAsia="Verdana" w:hAnsi="Verdana" w:cs="Verdana"/>
        </w:rPr>
        <w:t xml:space="preserve">Q14.1a     Increased voters who do not normally vote or get to a Polling Station. </w:t>
      </w:r>
    </w:p>
    <w:p w:rsidR="00FB0B24" w:rsidRPr="005B5CB6" w:rsidP="003255A4">
      <w:pPr>
        <w:spacing w:after="0"/>
        <w:ind w:left="722"/>
        <w:jc w:val="both"/>
        <w:rPr>
          <w:rFonts w:ascii="Verdana" w:hAnsi="Verdana"/>
        </w:rPr>
      </w:pPr>
      <w:r w:rsidRPr="005B5CB6">
        <w:rPr>
          <w:rFonts w:ascii="Verdana" w:eastAsia="Verdana" w:hAnsi="Verdana" w:cs="Verdana"/>
        </w:rPr>
        <w:t xml:space="preserve"> </w:t>
      </w:r>
    </w:p>
    <w:p w:rsidR="00FB0B24" w:rsidRPr="005B5CB6" w:rsidP="003255A4">
      <w:pPr>
        <w:numPr>
          <w:ilvl w:val="1"/>
          <w:numId w:val="27"/>
        </w:numPr>
        <w:spacing w:after="5" w:line="249" w:lineRule="auto"/>
        <w:ind w:right="11" w:hanging="360"/>
        <w:jc w:val="both"/>
        <w:rPr>
          <w:rFonts w:ascii="Verdana" w:hAnsi="Verdana"/>
        </w:rPr>
      </w:pPr>
      <w:r w:rsidRPr="005B5CB6">
        <w:rPr>
          <w:rFonts w:ascii="Verdana" w:eastAsia="Verdana" w:hAnsi="Verdana" w:cs="Verdana"/>
        </w:rPr>
        <w:t xml:space="preserve">Q14.1b     Increased democratic response to all parties from the masses creating a higher more accurate voting base of how the country feels.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1"/>
          <w:numId w:val="27"/>
        </w:numPr>
        <w:spacing w:after="5" w:line="250" w:lineRule="auto"/>
        <w:ind w:right="11" w:hanging="360"/>
        <w:jc w:val="both"/>
        <w:rPr>
          <w:rFonts w:ascii="Verdana" w:hAnsi="Verdana"/>
        </w:rPr>
      </w:pPr>
      <w:r w:rsidRPr="005B5CB6">
        <w:rPr>
          <w:rFonts w:ascii="Verdana" w:eastAsia="Verdana" w:hAnsi="Verdana" w:cs="Verdana"/>
        </w:rPr>
        <w:t xml:space="preserve">Q14.1c     Increased elderly voting, when trained, who were not educated with digital technology.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1"/>
          <w:numId w:val="27"/>
        </w:numPr>
        <w:spacing w:after="5" w:line="250" w:lineRule="auto"/>
        <w:ind w:right="11" w:hanging="360"/>
        <w:jc w:val="both"/>
        <w:rPr>
          <w:rFonts w:ascii="Verdana" w:hAnsi="Verdana"/>
        </w:rPr>
      </w:pPr>
      <w:r w:rsidRPr="005B5CB6">
        <w:rPr>
          <w:rFonts w:ascii="Verdana" w:eastAsia="Verdana" w:hAnsi="Verdana" w:cs="Verdana"/>
        </w:rPr>
        <w:t xml:space="preserve">Q14.1d     Increased voting from younger people who cannot live without digital technology and find voting in a cubicle at a Polling Station very outdated.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1"/>
          <w:numId w:val="27"/>
        </w:numPr>
        <w:spacing w:after="157" w:line="250" w:lineRule="auto"/>
        <w:ind w:right="11" w:hanging="360"/>
        <w:jc w:val="both"/>
        <w:rPr>
          <w:rFonts w:ascii="Verdana" w:hAnsi="Verdana"/>
        </w:rPr>
      </w:pPr>
      <w:r w:rsidRPr="005B5CB6">
        <w:rPr>
          <w:rFonts w:ascii="Verdana" w:eastAsia="Verdana" w:hAnsi="Verdana" w:cs="Verdana"/>
        </w:rPr>
        <w:t xml:space="preserve">Q14.1e     Increased majority for major parties.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Q14.2 A more accurate assessment is obtained of how the country feels so that MP’s will know how to act or vote in Parliament on behalf of their constituents rather than self-preservation within their own party. </w:t>
      </w:r>
    </w:p>
    <w:p w:rsidR="00FB0B24" w:rsidRPr="005B5CB6" w:rsidP="003255A4">
      <w:pPr>
        <w:spacing w:after="188" w:line="250" w:lineRule="auto"/>
        <w:ind w:left="23" w:right="11" w:hanging="8"/>
        <w:jc w:val="both"/>
        <w:rPr>
          <w:rFonts w:ascii="Verdana" w:hAnsi="Verdana"/>
        </w:rPr>
      </w:pPr>
      <w:r w:rsidRPr="005B5CB6">
        <w:rPr>
          <w:rFonts w:ascii="Verdana" w:eastAsia="Verdana" w:hAnsi="Verdana" w:cs="Verdana"/>
        </w:rPr>
        <w:t xml:space="preserve">Q14.3 A positive wake-up call will be assured who for some MP’s consider their position by right rather than their constituents vote who put them there in the first place, a very ignorant, arrogant and short-sighted attitude. </w:t>
      </w:r>
    </w:p>
    <w:p w:rsidR="00FB0B24" w:rsidRPr="005B5CB6" w:rsidP="003255A4">
      <w:pPr>
        <w:spacing w:after="184" w:line="250" w:lineRule="auto"/>
        <w:ind w:left="23" w:right="11" w:hanging="8"/>
        <w:jc w:val="both"/>
        <w:rPr>
          <w:rFonts w:ascii="Verdana" w:hAnsi="Verdana"/>
        </w:rPr>
      </w:pPr>
      <w:r w:rsidRPr="005B5CB6">
        <w:rPr>
          <w:rFonts w:ascii="Verdana" w:eastAsia="Verdana" w:hAnsi="Verdana" w:cs="Verdana"/>
        </w:rPr>
        <w:t xml:space="preserve">One extra question: </w:t>
      </w:r>
    </w:p>
    <w:p w:rsidR="00FB0B24" w:rsidRPr="005B5CB6" w:rsidP="003255A4">
      <w:pPr>
        <w:numPr>
          <w:ilvl w:val="0"/>
          <w:numId w:val="26"/>
        </w:numPr>
        <w:spacing w:after="188" w:line="249" w:lineRule="auto"/>
        <w:ind w:hanging="10"/>
        <w:jc w:val="both"/>
        <w:rPr>
          <w:rFonts w:ascii="Verdana" w:hAnsi="Verdana"/>
        </w:rPr>
      </w:pPr>
      <w:r w:rsidRPr="005B5CB6">
        <w:rPr>
          <w:rFonts w:ascii="Verdana" w:eastAsia="Verdana" w:hAnsi="Verdana" w:cs="Verdana"/>
          <w:b/>
          <w:i/>
        </w:rPr>
        <w:t xml:space="preserve">What can Parliament do to instil confidence to use digital technology? </w:t>
      </w:r>
    </w:p>
    <w:p w:rsidR="00FB0B24" w:rsidRPr="005B5CB6" w:rsidP="003255A4">
      <w:pPr>
        <w:spacing w:after="184" w:line="250" w:lineRule="auto"/>
        <w:ind w:left="23" w:right="11" w:hanging="8"/>
        <w:jc w:val="both"/>
        <w:rPr>
          <w:rFonts w:ascii="Verdana" w:hAnsi="Verdana"/>
        </w:rPr>
      </w:pPr>
      <w:r w:rsidRPr="005B5CB6">
        <w:rPr>
          <w:rFonts w:ascii="Verdana" w:eastAsia="Verdana" w:hAnsi="Verdana" w:cs="Verdana"/>
        </w:rPr>
        <w:t xml:space="preserve">Q15.1 Confidence starts at home. </w:t>
      </w:r>
    </w:p>
    <w:p w:rsidR="00FB0B24" w:rsidRPr="005B5CB6" w:rsidP="003255A4">
      <w:pPr>
        <w:spacing w:after="189" w:line="250" w:lineRule="auto"/>
        <w:ind w:left="23" w:right="11" w:hanging="8"/>
        <w:jc w:val="both"/>
        <w:rPr>
          <w:rFonts w:ascii="Verdana" w:hAnsi="Verdana"/>
        </w:rPr>
      </w:pPr>
      <w:r w:rsidRPr="005B5CB6">
        <w:rPr>
          <w:rFonts w:ascii="Verdana" w:eastAsia="Verdana" w:hAnsi="Verdana" w:cs="Verdana"/>
        </w:rPr>
        <w:t xml:space="preserve">Q15.2 The House of Commons could install monitors in every MP's seating position similar to </w:t>
      </w:r>
      <w:r w:rsidRPr="005B5CB6">
        <w:rPr>
          <w:rFonts w:ascii="Verdana" w:eastAsia="Verdana" w:hAnsi="Verdana" w:cs="Verdana"/>
          <w:i/>
        </w:rPr>
        <w:t xml:space="preserve">‘conference call meetings’ </w:t>
      </w:r>
      <w:r w:rsidRPr="005B5CB6">
        <w:rPr>
          <w:rFonts w:ascii="Verdana" w:eastAsia="Verdana" w:hAnsi="Verdana" w:cs="Verdana"/>
        </w:rPr>
        <w:t xml:space="preserve">to prove the effectiveness and prove that digital technology can be scrutinised within a democratic democracy of political debate, discussion and Parliamentary voting campaigns. Why? </w:t>
      </w:r>
    </w:p>
    <w:p w:rsidR="00FB0B24" w:rsidRPr="005B5CB6" w:rsidP="003255A4">
      <w:pPr>
        <w:numPr>
          <w:ilvl w:val="1"/>
          <w:numId w:val="30"/>
        </w:numPr>
        <w:spacing w:after="5" w:line="250" w:lineRule="auto"/>
        <w:ind w:right="11" w:hanging="360"/>
        <w:jc w:val="both"/>
        <w:rPr>
          <w:rFonts w:ascii="Verdana" w:hAnsi="Verdana"/>
        </w:rPr>
      </w:pPr>
      <w:r w:rsidRPr="005B5CB6">
        <w:rPr>
          <w:rFonts w:ascii="Verdana" w:eastAsia="Verdana" w:hAnsi="Verdana" w:cs="Verdana"/>
        </w:rPr>
        <w:t xml:space="preserve">Q15.2a     Many debates have very few MP's in the chamber due to travel or other commitments.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1"/>
          <w:numId w:val="30"/>
        </w:numPr>
        <w:spacing w:after="5" w:line="250" w:lineRule="auto"/>
        <w:ind w:right="11" w:hanging="360"/>
        <w:jc w:val="both"/>
        <w:rPr>
          <w:rFonts w:ascii="Verdana" w:hAnsi="Verdana"/>
        </w:rPr>
      </w:pPr>
      <w:r w:rsidRPr="005B5CB6">
        <w:rPr>
          <w:rFonts w:ascii="Verdana" w:eastAsia="Verdana" w:hAnsi="Verdana" w:cs="Verdana"/>
        </w:rPr>
        <w:t xml:space="preserve">Q15.2b     Using digital technology MP's only need to log on to their allotted monitor.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1"/>
          <w:numId w:val="30"/>
        </w:numPr>
        <w:spacing w:after="5" w:line="250" w:lineRule="auto"/>
        <w:ind w:right="11" w:hanging="360"/>
        <w:jc w:val="both"/>
        <w:rPr>
          <w:rFonts w:ascii="Verdana" w:hAnsi="Verdana"/>
        </w:rPr>
      </w:pPr>
      <w:r w:rsidRPr="005B5CB6">
        <w:rPr>
          <w:rFonts w:ascii="Verdana" w:eastAsia="Verdana" w:hAnsi="Verdana" w:cs="Verdana"/>
        </w:rPr>
        <w:t xml:space="preserve">Q15.2c     The Speaker of the House or associates will be notified by their absence showing their face on the monitor. </w:t>
      </w:r>
    </w:p>
    <w:p w:rsidR="00FB0B24" w:rsidRPr="005B5CB6" w:rsidP="003255A4">
      <w:pPr>
        <w:spacing w:after="0"/>
        <w:ind w:left="724"/>
        <w:jc w:val="both"/>
        <w:rPr>
          <w:rFonts w:ascii="Verdana" w:hAnsi="Verdana"/>
        </w:rPr>
      </w:pPr>
      <w:r w:rsidRPr="005B5CB6">
        <w:rPr>
          <w:rFonts w:ascii="Verdana" w:eastAsia="Verdana" w:hAnsi="Verdana" w:cs="Verdana"/>
        </w:rPr>
        <w:t xml:space="preserve"> </w:t>
      </w:r>
    </w:p>
    <w:p w:rsidR="00FB0B24" w:rsidRPr="005B5CB6" w:rsidP="003255A4">
      <w:pPr>
        <w:numPr>
          <w:ilvl w:val="1"/>
          <w:numId w:val="30"/>
        </w:numPr>
        <w:spacing w:after="5" w:line="250" w:lineRule="auto"/>
        <w:ind w:right="11" w:hanging="360"/>
        <w:jc w:val="both"/>
        <w:rPr>
          <w:rFonts w:ascii="Verdana" w:hAnsi="Verdana"/>
        </w:rPr>
      </w:pPr>
      <w:r w:rsidRPr="005B5CB6">
        <w:rPr>
          <w:rFonts w:ascii="Verdana" w:eastAsia="Verdana" w:hAnsi="Verdana" w:cs="Verdana"/>
        </w:rPr>
        <w:t xml:space="preserve">Q15.2d     This action will allow monitor MP's to debate in the normal way of leading the presentation or </w:t>
      </w:r>
      <w:r w:rsidRPr="005B5CB6">
        <w:rPr>
          <w:rFonts w:ascii="Verdana" w:eastAsia="Verdana" w:hAnsi="Verdana" w:cs="Verdana"/>
          <w:i/>
        </w:rPr>
        <w:t>'giving way'</w:t>
      </w:r>
      <w:r w:rsidRPr="005B5CB6">
        <w:rPr>
          <w:rFonts w:ascii="Verdana" w:eastAsia="Verdana" w:hAnsi="Verdana" w:cs="Verdana"/>
        </w:rPr>
        <w:t xml:space="preserve"> using a light notification to the Speaker of the House team. </w:t>
      </w:r>
    </w:p>
    <w:p w:rsidR="00FB0B24" w:rsidRPr="005B5CB6" w:rsidP="003255A4">
      <w:pPr>
        <w:spacing w:after="0"/>
        <w:ind w:left="724"/>
        <w:jc w:val="both"/>
        <w:rPr>
          <w:rFonts w:ascii="Verdana" w:hAnsi="Verdana"/>
        </w:rPr>
      </w:pPr>
      <w:r w:rsidRPr="005B5CB6">
        <w:rPr>
          <w:rFonts w:ascii="Verdana" w:eastAsia="Verdana" w:hAnsi="Verdana" w:cs="Verdana"/>
        </w:rPr>
        <w:t xml:space="preserve"> </w:t>
      </w:r>
    </w:p>
    <w:p w:rsidR="00FB0B24" w:rsidRPr="005B5CB6" w:rsidP="003255A4">
      <w:pPr>
        <w:jc w:val="both"/>
        <w:rPr>
          <w:rFonts w:ascii="Verdana" w:hAnsi="Verdana"/>
        </w:rPr>
        <w:sectPr w:rsidSect="00057933">
          <w:headerReference w:type="even" r:id="rId66"/>
          <w:headerReference w:type="default" r:id="rId67"/>
          <w:footerReference w:type="even" r:id="rId68"/>
          <w:footerReference w:type="default" r:id="rId69"/>
          <w:headerReference w:type="first" r:id="rId70"/>
          <w:footerReference w:type="first" r:id="rId71"/>
          <w:pgSz w:w="11906" w:h="16838"/>
          <w:pgMar w:top="1492" w:right="1441" w:bottom="1453" w:left="1438" w:header="720" w:footer="709" w:gutter="0"/>
          <w:cols w:space="720"/>
        </w:sectPr>
      </w:pPr>
    </w:p>
    <w:p w:rsidR="00FB0B24" w:rsidRPr="005B5CB6" w:rsidP="003255A4">
      <w:pPr>
        <w:spacing w:after="5" w:line="250" w:lineRule="auto"/>
        <w:ind w:left="728" w:right="11" w:hanging="8"/>
        <w:jc w:val="both"/>
        <w:rPr>
          <w:rFonts w:ascii="Verdana" w:hAnsi="Verdana"/>
        </w:rPr>
      </w:pPr>
      <w:r w:rsidRPr="005B5CB6">
        <w:rPr>
          <w:rFonts w:ascii="Verdana" w:eastAsia="Verdana" w:hAnsi="Verdana" w:cs="Verdana"/>
        </w:rPr>
        <w:t xml:space="preserve">Q15.2e     A major reduction would be incurred in costs to the tax-payer reducing travel expenses and living allowances. </w:t>
      </w:r>
    </w:p>
    <w:p w:rsidR="00FB0B24" w:rsidRPr="005B5CB6" w:rsidP="003255A4">
      <w:pPr>
        <w:spacing w:after="0"/>
        <w:ind w:left="720"/>
        <w:jc w:val="both"/>
        <w:rPr>
          <w:rFonts w:ascii="Verdana" w:hAnsi="Verdana"/>
        </w:rPr>
      </w:pPr>
      <w:r w:rsidRPr="005B5CB6">
        <w:rPr>
          <w:rFonts w:ascii="Verdana" w:eastAsia="Verdana" w:hAnsi="Verdana" w:cs="Verdana"/>
        </w:rPr>
        <w:t xml:space="preserve"> </w:t>
      </w:r>
    </w:p>
    <w:p w:rsidR="00FB0B24" w:rsidRPr="005B5CB6" w:rsidP="003255A4">
      <w:pPr>
        <w:numPr>
          <w:ilvl w:val="1"/>
          <w:numId w:val="30"/>
        </w:numPr>
        <w:spacing w:after="159" w:line="250" w:lineRule="auto"/>
        <w:ind w:right="11" w:hanging="360"/>
        <w:jc w:val="both"/>
        <w:rPr>
          <w:rFonts w:ascii="Verdana" w:hAnsi="Verdana"/>
        </w:rPr>
      </w:pPr>
      <w:r w:rsidRPr="005B5CB6">
        <w:rPr>
          <w:rFonts w:ascii="Verdana" w:eastAsia="Verdana" w:hAnsi="Verdana" w:cs="Verdana"/>
        </w:rPr>
        <w:t xml:space="preserve">Q15.2f      No excuse from MP's to not attend any relevant debate. </w:t>
      </w:r>
    </w:p>
    <w:p w:rsidR="00FB0B24" w:rsidRPr="005B5CB6" w:rsidP="003255A4">
      <w:pPr>
        <w:spacing w:after="191" w:line="250" w:lineRule="auto"/>
        <w:ind w:left="23" w:right="11" w:hanging="8"/>
        <w:jc w:val="both"/>
        <w:rPr>
          <w:rFonts w:ascii="Verdana" w:hAnsi="Verdana"/>
        </w:rPr>
      </w:pPr>
      <w:r w:rsidRPr="005B5CB6">
        <w:rPr>
          <w:rFonts w:ascii="Verdana" w:eastAsia="Verdana" w:hAnsi="Verdana" w:cs="Verdana"/>
        </w:rPr>
        <w:t xml:space="preserve">15.3 If a vote is to be used to carry a motion then attendance in person must be adhered to until at such time a fail-safe security algorithm can be put in place to ensure to the masses social media digital technology is safe to use. </w:t>
      </w:r>
    </w:p>
    <w:p w:rsidR="00FB0B24" w:rsidRPr="005B5CB6" w:rsidP="003255A4">
      <w:pPr>
        <w:spacing w:after="175"/>
        <w:jc w:val="both"/>
        <w:rPr>
          <w:rFonts w:ascii="Verdana" w:hAnsi="Verdana"/>
        </w:rPr>
      </w:pPr>
      <w:r w:rsidRPr="005B5CB6">
        <w:rPr>
          <w:rFonts w:ascii="Verdana" w:eastAsia="Verdana" w:hAnsi="Verdana" w:cs="Verdana"/>
        </w:rPr>
        <w:t xml:space="preserve"> </w:t>
      </w:r>
    </w:p>
    <w:p w:rsidR="00FB0B24" w:rsidRPr="005B5CB6" w:rsidP="003255A4">
      <w:pPr>
        <w:spacing w:after="187"/>
        <w:ind w:right="4"/>
        <w:jc w:val="both"/>
        <w:rPr>
          <w:rFonts w:ascii="Verdana" w:hAnsi="Verdana"/>
        </w:rPr>
      </w:pPr>
      <w:r w:rsidRPr="005B5CB6">
        <w:rPr>
          <w:rFonts w:ascii="Verdana" w:eastAsia="Verdana" w:hAnsi="Verdana" w:cs="Verdana"/>
          <w:b/>
          <w:u w:val="single" w:color="000000"/>
        </w:rPr>
        <w:t>Summary</w:t>
      </w:r>
      <w:r w:rsidRPr="005B5CB6">
        <w:rPr>
          <w:rFonts w:ascii="Verdana" w:eastAsia="Verdana" w:hAnsi="Verdana" w:cs="Verdana"/>
          <w:b/>
        </w:rPr>
        <w:t xml:space="preserve">   </w:t>
      </w:r>
    </w:p>
    <w:p w:rsidR="00FB0B24" w:rsidRPr="005B5CB6" w:rsidP="003255A4">
      <w:pPr>
        <w:numPr>
          <w:ilvl w:val="1"/>
          <w:numId w:val="28"/>
        </w:numPr>
        <w:spacing w:after="198" w:line="250" w:lineRule="auto"/>
        <w:ind w:left="23" w:right="11" w:hanging="8"/>
        <w:jc w:val="both"/>
        <w:rPr>
          <w:rFonts w:ascii="Verdana" w:hAnsi="Verdana"/>
        </w:rPr>
      </w:pPr>
      <w:r w:rsidRPr="005B5CB6">
        <w:rPr>
          <w:rFonts w:ascii="Verdana" w:eastAsia="Verdana" w:hAnsi="Verdana" w:cs="Verdana"/>
        </w:rPr>
        <w:t xml:space="preserve">The short time of having this questionnaire in my possession general interviews from all ages have been carried out to find the following: Why? </w:t>
      </w:r>
    </w:p>
    <w:p w:rsidR="00FB0B24" w:rsidRPr="005B5CB6" w:rsidP="003255A4">
      <w:pPr>
        <w:numPr>
          <w:ilvl w:val="1"/>
          <w:numId w:val="28"/>
        </w:numPr>
        <w:spacing w:after="186" w:line="250" w:lineRule="auto"/>
        <w:ind w:left="23" w:right="11" w:hanging="8"/>
        <w:jc w:val="both"/>
        <w:rPr>
          <w:rFonts w:ascii="Verdana" w:hAnsi="Verdana"/>
        </w:rPr>
      </w:pPr>
      <w:r w:rsidRPr="005B5CB6">
        <w:rPr>
          <w:rFonts w:ascii="Verdana" w:eastAsia="Verdana" w:hAnsi="Verdana" w:cs="Verdana"/>
        </w:rPr>
        <w:t xml:space="preserve">I repeat: Digital technology is here to stay and should be embraced in moderation but used to enhance human existence by new ways suggested to prevent illness, see, Q3.3; however conscious underlying psychological issues are becoming very apparent from a personal observational view and from a cross section of comments from all ages and gender shown below.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S.2a Algorithms does not reward or show any kindness. </w:t>
      </w:r>
    </w:p>
    <w:p w:rsidR="00FB0B24" w:rsidRPr="005B5CB6" w:rsidP="003255A4">
      <w:pPr>
        <w:spacing w:after="0"/>
        <w:ind w:left="720"/>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S.2b Users are looking for friendship although </w:t>
      </w:r>
      <w:r w:rsidRPr="005B5CB6">
        <w:rPr>
          <w:rFonts w:ascii="Verdana" w:eastAsia="Verdana" w:hAnsi="Verdana" w:cs="Verdana"/>
          <w:i/>
        </w:rPr>
        <w:t xml:space="preserve">‘cyber friendship’ </w:t>
      </w:r>
      <w:r w:rsidRPr="005B5CB6">
        <w:rPr>
          <w:rFonts w:ascii="Verdana" w:eastAsia="Verdana" w:hAnsi="Verdana" w:cs="Verdana"/>
        </w:rPr>
        <w:t>from people they will possibly never meet</w:t>
      </w:r>
      <w:r w:rsidRPr="005B5CB6">
        <w:rPr>
          <w:rFonts w:ascii="Verdana" w:eastAsia="Verdana" w:hAnsi="Verdana" w:cs="Verdana"/>
          <w:i/>
        </w:rPr>
        <w:t>.</w:t>
      </w:r>
      <w:r w:rsidRPr="005B5CB6">
        <w:rPr>
          <w:rFonts w:ascii="Verdana" w:eastAsia="Verdana" w:hAnsi="Verdana" w:cs="Verdana"/>
        </w:rPr>
        <w:t xml:space="preserve"> And yes, you could refer today’s technology to the, in my day,</w:t>
      </w:r>
      <w:r w:rsidRPr="005B5CB6">
        <w:rPr>
          <w:rFonts w:ascii="Verdana" w:eastAsia="Verdana" w:hAnsi="Verdana" w:cs="Verdana"/>
          <w:i/>
        </w:rPr>
        <w:t xml:space="preserve"> ‘pen pals’ </w:t>
      </w:r>
      <w:r w:rsidRPr="005B5CB6">
        <w:rPr>
          <w:rFonts w:ascii="Verdana" w:eastAsia="Verdana" w:hAnsi="Verdana" w:cs="Verdana"/>
        </w:rPr>
        <w:t xml:space="preserve">who wrote to each other on a regular basis using the Royal Mail postal service that took weeks rather than seconds for a reply. How time moves on, the question is where-to and is it for the better? </w:t>
      </w:r>
    </w:p>
    <w:p w:rsidR="00FB0B24" w:rsidRPr="005B5CB6" w:rsidP="003255A4">
      <w:pPr>
        <w:spacing w:after="0"/>
        <w:ind w:left="720"/>
        <w:jc w:val="both"/>
        <w:rPr>
          <w:rFonts w:ascii="Verdana" w:hAnsi="Verdana"/>
        </w:rPr>
      </w:pPr>
      <w:r w:rsidRPr="005B5CB6">
        <w:rPr>
          <w:rFonts w:ascii="Verdana" w:eastAsia="Verdana" w:hAnsi="Verdana" w:cs="Verdana"/>
          <w:i/>
        </w:rPr>
        <w:t xml:space="preserve">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S.2c Users are looking for the need to feel loved </w:t>
      </w:r>
      <w:r w:rsidRPr="005B5CB6">
        <w:rPr>
          <w:rFonts w:ascii="Verdana" w:eastAsia="Verdana" w:hAnsi="Verdana" w:cs="Verdana"/>
          <w:i/>
        </w:rPr>
        <w:t>(liked).</w:t>
      </w:r>
      <w:r w:rsidRPr="005B5CB6">
        <w:rPr>
          <w:rFonts w:ascii="Verdana" w:eastAsia="Verdana" w:hAnsi="Verdana" w:cs="Verdana"/>
        </w:rPr>
        <w:t xml:space="preserve"> The more we use digital technology the less human contact there is. A witnessed example: </w:t>
      </w:r>
      <w:r w:rsidRPr="005B5CB6">
        <w:rPr>
          <w:rFonts w:ascii="Verdana" w:eastAsia="Verdana" w:hAnsi="Verdana" w:cs="Verdana"/>
          <w:i/>
        </w:rPr>
        <w:t>“3 young women were sat side by side in a local pub talking to each other by text rather than make voice or eye contact.”</w:t>
      </w:r>
      <w:r w:rsidRPr="005B5CB6">
        <w:rPr>
          <w:rFonts w:ascii="Verdana" w:eastAsia="Verdana" w:hAnsi="Verdana" w:cs="Verdana"/>
        </w:rPr>
        <w:t xml:space="preserve"> When questioned: They were arguing and did not want to make a scene. The techno world has officially gone mad.</w:t>
      </w:r>
      <w:r w:rsidRPr="005B5CB6">
        <w:rPr>
          <w:rFonts w:ascii="Verdana" w:eastAsia="Verdana" w:hAnsi="Verdana" w:cs="Verdana"/>
          <w:i/>
        </w:rPr>
        <w:t xml:space="preserve"> </w:t>
      </w:r>
    </w:p>
    <w:p w:rsidR="00FB0B24" w:rsidRPr="005B5CB6" w:rsidP="003255A4">
      <w:pPr>
        <w:spacing w:after="0"/>
        <w:ind w:left="721"/>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S.2d Users are judged by how many </w:t>
      </w:r>
      <w:r w:rsidRPr="005B5CB6">
        <w:rPr>
          <w:rFonts w:ascii="Verdana" w:eastAsia="Verdana" w:hAnsi="Verdana" w:cs="Verdana"/>
          <w:i/>
        </w:rPr>
        <w:t xml:space="preserve">’followers’ </w:t>
      </w:r>
      <w:r w:rsidRPr="005B5CB6">
        <w:rPr>
          <w:rFonts w:ascii="Verdana" w:eastAsia="Verdana" w:hAnsi="Verdana" w:cs="Verdana"/>
        </w:rPr>
        <w:t xml:space="preserve">they can accrue. </w:t>
      </w:r>
    </w:p>
    <w:p w:rsidR="00FB0B24" w:rsidRPr="005B5CB6" w:rsidP="003255A4">
      <w:pPr>
        <w:spacing w:after="0"/>
        <w:ind w:left="721"/>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S.2e Users are judged by how many </w:t>
      </w:r>
      <w:r w:rsidRPr="005B5CB6">
        <w:rPr>
          <w:rFonts w:ascii="Verdana" w:eastAsia="Verdana" w:hAnsi="Verdana" w:cs="Verdana"/>
          <w:i/>
        </w:rPr>
        <w:t xml:space="preserve">‘friends’ </w:t>
      </w:r>
      <w:r w:rsidRPr="005B5CB6">
        <w:rPr>
          <w:rFonts w:ascii="Verdana" w:eastAsia="Verdana" w:hAnsi="Verdana" w:cs="Verdana"/>
        </w:rPr>
        <w:t xml:space="preserve">they have, albeit </w:t>
      </w:r>
      <w:r w:rsidRPr="005B5CB6">
        <w:rPr>
          <w:rFonts w:ascii="Verdana" w:eastAsia="Verdana" w:hAnsi="Verdana" w:cs="Verdana"/>
          <w:i/>
        </w:rPr>
        <w:t>’cyber friends’.</w:t>
      </w:r>
      <w:r w:rsidRPr="005B5CB6">
        <w:rPr>
          <w:rFonts w:ascii="Verdana" w:eastAsia="Verdana" w:hAnsi="Verdana" w:cs="Verdana"/>
        </w:rPr>
        <w:t xml:space="preserve"> </w:t>
      </w:r>
    </w:p>
    <w:p w:rsidR="00FB0B24" w:rsidRPr="005B5CB6" w:rsidP="003255A4">
      <w:pPr>
        <w:spacing w:after="0"/>
        <w:ind w:left="721"/>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S.2f Users are judged by how many </w:t>
      </w:r>
      <w:r w:rsidRPr="005B5CB6">
        <w:rPr>
          <w:rFonts w:ascii="Verdana" w:eastAsia="Verdana" w:hAnsi="Verdana" w:cs="Verdana"/>
          <w:i/>
        </w:rPr>
        <w:t xml:space="preserve">‘likes’ </w:t>
      </w:r>
      <w:r w:rsidRPr="005B5CB6">
        <w:rPr>
          <w:rFonts w:ascii="Verdana" w:eastAsia="Verdana" w:hAnsi="Verdana" w:cs="Verdana"/>
        </w:rPr>
        <w:t xml:space="preserve">they get by each post or reply. </w:t>
      </w:r>
    </w:p>
    <w:p w:rsidR="00FB0B24" w:rsidRPr="005B5CB6" w:rsidP="003255A4">
      <w:pPr>
        <w:spacing w:after="17"/>
        <w:ind w:left="721"/>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S.2g Users find they have less control on their lives being controlled by alleged followers or friends. </w:t>
      </w:r>
    </w:p>
    <w:p w:rsidR="00FB0B24" w:rsidRPr="005B5CB6" w:rsidP="003255A4">
      <w:pPr>
        <w:spacing w:after="17"/>
        <w:ind w:left="721"/>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S.2h Users are easily </w:t>
      </w:r>
      <w:r w:rsidRPr="005B5CB6">
        <w:rPr>
          <w:rFonts w:ascii="Verdana" w:eastAsia="Verdana" w:hAnsi="Verdana" w:cs="Verdana"/>
          <w:i/>
        </w:rPr>
        <w:t xml:space="preserve">‘abused’ </w:t>
      </w:r>
      <w:r w:rsidRPr="005B5CB6">
        <w:rPr>
          <w:rFonts w:ascii="Verdana" w:eastAsia="Verdana" w:hAnsi="Verdana" w:cs="Verdana"/>
        </w:rPr>
        <w:t xml:space="preserve">by pseudo-names or anonymous named scum </w:t>
      </w:r>
      <w:r w:rsidRPr="005B5CB6">
        <w:rPr>
          <w:rFonts w:ascii="Verdana" w:eastAsia="Verdana" w:hAnsi="Verdana" w:cs="Verdana"/>
          <w:i/>
        </w:rPr>
        <w:t>(my apologies, but true)</w:t>
      </w:r>
      <w:r w:rsidRPr="005B5CB6">
        <w:rPr>
          <w:rFonts w:ascii="Verdana" w:eastAsia="Verdana" w:hAnsi="Verdana" w:cs="Verdana"/>
        </w:rPr>
        <w:t xml:space="preserve">. </w:t>
      </w:r>
    </w:p>
    <w:p w:rsidR="00FB0B24" w:rsidRPr="005B5CB6" w:rsidP="003255A4">
      <w:pPr>
        <w:spacing w:after="0"/>
        <w:ind w:left="722"/>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728" w:right="11" w:hanging="8"/>
        <w:jc w:val="both"/>
        <w:rPr>
          <w:rFonts w:ascii="Verdana" w:hAnsi="Verdana"/>
        </w:rPr>
      </w:pPr>
      <w:r w:rsidRPr="005B5CB6">
        <w:rPr>
          <w:rFonts w:ascii="Verdana" w:eastAsia="Verdana" w:hAnsi="Verdana" w:cs="Verdana"/>
        </w:rPr>
        <w:t xml:space="preserve">S.2i Some interviewees found it difficult to switch the device off or losing a limb rather than lose their phone. </w:t>
      </w:r>
    </w:p>
    <w:p w:rsidR="00FB0B24" w:rsidRPr="005B5CB6" w:rsidP="003255A4">
      <w:pPr>
        <w:spacing w:after="17"/>
        <w:ind w:left="720"/>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S.2j Users were easily angered if </w:t>
      </w:r>
      <w:r w:rsidRPr="005B5CB6">
        <w:rPr>
          <w:rFonts w:ascii="Verdana" w:eastAsia="Verdana" w:hAnsi="Verdana" w:cs="Verdana"/>
          <w:i/>
        </w:rPr>
        <w:t xml:space="preserve">‘no signal’ </w:t>
      </w:r>
      <w:r w:rsidRPr="005B5CB6">
        <w:rPr>
          <w:rFonts w:ascii="Verdana" w:eastAsia="Verdana" w:hAnsi="Verdana" w:cs="Verdana"/>
        </w:rPr>
        <w:t xml:space="preserve">was available. </w:t>
      </w:r>
    </w:p>
    <w:p w:rsidR="00FB0B24" w:rsidRPr="005B5CB6" w:rsidP="003255A4">
      <w:pPr>
        <w:spacing w:after="17"/>
        <w:ind w:left="720"/>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S.2k Users were also angered if when meeting someone for a night out their friend’s device was constantly in use ignoring who they were with. </w:t>
      </w:r>
    </w:p>
    <w:p w:rsidR="00FB0B24" w:rsidRPr="005B5CB6" w:rsidP="003255A4">
      <w:pPr>
        <w:spacing w:after="17"/>
        <w:ind w:left="721"/>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S.2l Older Users were angered by receiving </w:t>
      </w:r>
      <w:r w:rsidRPr="005B5CB6">
        <w:rPr>
          <w:rFonts w:ascii="Verdana" w:eastAsia="Verdana" w:hAnsi="Verdana" w:cs="Verdana"/>
          <w:i/>
        </w:rPr>
        <w:t xml:space="preserve">‘texts speak’ </w:t>
      </w:r>
      <w:r w:rsidRPr="005B5CB6">
        <w:rPr>
          <w:rFonts w:ascii="Verdana" w:eastAsia="Verdana" w:hAnsi="Verdana" w:cs="Verdana"/>
        </w:rPr>
        <w:t xml:space="preserve">and the lack of use of the English language causing confusion within the message creating an argument. </w:t>
      </w:r>
    </w:p>
    <w:p w:rsidR="00FB0B24" w:rsidRPr="005B5CB6" w:rsidP="003255A4">
      <w:pPr>
        <w:spacing w:after="17"/>
        <w:ind w:left="721"/>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S.2m Users found their </w:t>
      </w:r>
      <w:r w:rsidRPr="005B5CB6">
        <w:rPr>
          <w:rFonts w:ascii="Verdana" w:eastAsia="Verdana" w:hAnsi="Verdana" w:cs="Verdana"/>
          <w:i/>
        </w:rPr>
        <w:t xml:space="preserve">‘will power’ </w:t>
      </w:r>
      <w:r w:rsidRPr="005B5CB6">
        <w:rPr>
          <w:rFonts w:ascii="Verdana" w:eastAsia="Verdana" w:hAnsi="Verdana" w:cs="Verdana"/>
        </w:rPr>
        <w:t xml:space="preserve">became difficult to control, to life in general, in making a decision more confusing or trusting your own beliefs. </w:t>
      </w:r>
    </w:p>
    <w:p w:rsidR="00FB0B24" w:rsidRPr="005B5CB6" w:rsidP="003255A4">
      <w:pPr>
        <w:spacing w:after="17"/>
        <w:ind w:left="721"/>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S.2n Users found while sleeping the slightest sound or screen light disturbed their sleep pattern making the user anxious. </w:t>
      </w:r>
    </w:p>
    <w:p w:rsidR="00FB0B24" w:rsidRPr="005B5CB6" w:rsidP="003255A4">
      <w:pPr>
        <w:spacing w:after="20"/>
        <w:ind w:left="721"/>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5" w:line="250" w:lineRule="auto"/>
        <w:ind w:right="11" w:hanging="360"/>
        <w:jc w:val="both"/>
        <w:rPr>
          <w:rFonts w:ascii="Verdana" w:hAnsi="Verdana"/>
        </w:rPr>
      </w:pPr>
      <w:r w:rsidRPr="005B5CB6">
        <w:rPr>
          <w:rFonts w:ascii="Verdana" w:eastAsia="Verdana" w:hAnsi="Verdana" w:cs="Verdana"/>
        </w:rPr>
        <w:t xml:space="preserve">S.2o Users could not imagine if the battery was discharged or ran out of power without notice and no charger at hand creating panic or </w:t>
      </w:r>
      <w:r w:rsidRPr="005B5CB6">
        <w:rPr>
          <w:rFonts w:ascii="Verdana" w:eastAsia="Verdana" w:hAnsi="Verdana" w:cs="Verdana"/>
          <w:i/>
        </w:rPr>
        <w:t>‘what do I do’</w:t>
      </w:r>
      <w:r w:rsidRPr="005B5CB6">
        <w:rPr>
          <w:rFonts w:ascii="Verdana" w:eastAsia="Verdana" w:hAnsi="Verdana" w:cs="Verdana"/>
        </w:rPr>
        <w:t xml:space="preserve"> scenario. </w:t>
      </w:r>
    </w:p>
    <w:p w:rsidR="00FB0B24" w:rsidRPr="005B5CB6" w:rsidP="003255A4">
      <w:pPr>
        <w:spacing w:after="17"/>
        <w:ind w:left="721"/>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197" w:line="250" w:lineRule="auto"/>
        <w:ind w:right="11" w:hanging="360"/>
        <w:jc w:val="both"/>
        <w:rPr>
          <w:rFonts w:ascii="Verdana" w:hAnsi="Verdana"/>
        </w:rPr>
      </w:pPr>
      <w:r w:rsidRPr="005B5CB6">
        <w:rPr>
          <w:rFonts w:ascii="Verdana" w:eastAsia="Verdana" w:hAnsi="Verdana" w:cs="Verdana"/>
        </w:rPr>
        <w:t xml:space="preserve">S.2p I am sure by asking around the office everyone has a reason to panic about digital technology in how it is taking over our lives that we can no longer do or live without. </w:t>
      </w:r>
    </w:p>
    <w:p w:rsidR="00FB0B24" w:rsidRPr="005B5CB6" w:rsidP="003255A4">
      <w:pPr>
        <w:numPr>
          <w:ilvl w:val="1"/>
          <w:numId w:val="29"/>
        </w:numPr>
        <w:spacing w:after="199" w:line="250" w:lineRule="auto"/>
        <w:ind w:left="23" w:right="11" w:hanging="8"/>
        <w:jc w:val="both"/>
        <w:rPr>
          <w:rFonts w:ascii="Verdana" w:hAnsi="Verdana"/>
        </w:rPr>
      </w:pPr>
      <w:r w:rsidRPr="005B5CB6">
        <w:rPr>
          <w:rFonts w:ascii="Verdana" w:eastAsia="Verdana" w:hAnsi="Verdana" w:cs="Verdana"/>
        </w:rPr>
        <w:t xml:space="preserve">I think you will agree the above can and does take control of your life and I do </w:t>
      </w:r>
      <w:r w:rsidRPr="005B5CB6">
        <w:rPr>
          <w:rFonts w:ascii="Verdana" w:eastAsia="Verdana" w:hAnsi="Verdana" w:cs="Verdana"/>
          <w:b/>
          <w:i/>
        </w:rPr>
        <w:t>not</w:t>
      </w:r>
      <w:r w:rsidRPr="005B5CB6">
        <w:rPr>
          <w:rFonts w:ascii="Verdana" w:eastAsia="Verdana" w:hAnsi="Verdana" w:cs="Verdana"/>
        </w:rPr>
        <w:t xml:space="preserve"> mean year by year, month by month, week by week, hour by hour </w:t>
      </w:r>
      <w:r w:rsidRPr="005B5CB6">
        <w:rPr>
          <w:rFonts w:ascii="Verdana" w:eastAsia="Verdana" w:hAnsi="Verdana" w:cs="Verdana"/>
          <w:b/>
          <w:i/>
        </w:rPr>
        <w:t xml:space="preserve">BUT </w:t>
      </w:r>
      <w:r w:rsidRPr="005B5CB6">
        <w:rPr>
          <w:rFonts w:ascii="Verdana" w:eastAsia="Verdana" w:hAnsi="Verdana" w:cs="Verdana"/>
        </w:rPr>
        <w:t xml:space="preserve">minute by minute to a point that their hand-held device is now an extra limb of the human body that the user can no longer do without causing physiological effects for later in life or sooner. </w:t>
      </w:r>
    </w:p>
    <w:p w:rsidR="00FB0B24" w:rsidRPr="005B5CB6" w:rsidP="003255A4">
      <w:pPr>
        <w:numPr>
          <w:ilvl w:val="1"/>
          <w:numId w:val="29"/>
        </w:numPr>
        <w:spacing w:after="199" w:line="250" w:lineRule="auto"/>
        <w:ind w:left="23" w:right="11" w:hanging="8"/>
        <w:jc w:val="both"/>
        <w:rPr>
          <w:rFonts w:ascii="Verdana" w:hAnsi="Verdana"/>
        </w:rPr>
      </w:pPr>
      <w:r w:rsidRPr="005B5CB6">
        <w:rPr>
          <w:rFonts w:ascii="Verdana" w:eastAsia="Verdana" w:hAnsi="Verdana" w:cs="Verdana"/>
        </w:rPr>
        <w:t xml:space="preserve">A very dangerous situation has been created by digital technology although used in moderation can be a benefit and be complimentary to human knowledge but the damage incurred is astronomic and will not be assessed for many years to come or until it is too late where like many self-created problems we end up chasing the problem rather than preventing the problem today, a choice now can be made to prevent. </w:t>
      </w:r>
    </w:p>
    <w:p w:rsidR="00FB0B24" w:rsidRPr="005B5CB6" w:rsidP="003255A4">
      <w:pPr>
        <w:numPr>
          <w:ilvl w:val="1"/>
          <w:numId w:val="29"/>
        </w:numPr>
        <w:spacing w:after="199" w:line="250" w:lineRule="auto"/>
        <w:ind w:left="23" w:right="11" w:hanging="8"/>
        <w:jc w:val="both"/>
        <w:rPr>
          <w:rFonts w:ascii="Verdana" w:hAnsi="Verdana"/>
        </w:rPr>
      </w:pPr>
      <w:r w:rsidRPr="005B5CB6">
        <w:rPr>
          <w:rFonts w:ascii="Verdana" w:eastAsia="Verdana" w:hAnsi="Verdana" w:cs="Verdana"/>
        </w:rPr>
        <w:t xml:space="preserve">Some interviewees felt more at ease when tiredness took control and sleep was inevitable where their phone being the last thing used and the first thing picked up in the morning, where the process started all over again. </w:t>
      </w:r>
    </w:p>
    <w:p w:rsidR="00FB0B24" w:rsidRPr="005B5CB6" w:rsidP="003255A4">
      <w:pPr>
        <w:numPr>
          <w:ilvl w:val="1"/>
          <w:numId w:val="29"/>
        </w:numPr>
        <w:spacing w:after="5" w:line="250" w:lineRule="auto"/>
        <w:ind w:left="23" w:right="11" w:hanging="8"/>
        <w:jc w:val="both"/>
        <w:rPr>
          <w:rFonts w:ascii="Verdana" w:hAnsi="Verdana"/>
        </w:rPr>
      </w:pPr>
      <w:r w:rsidRPr="005B5CB6">
        <w:rPr>
          <w:rFonts w:ascii="Verdana" w:eastAsia="Verdana" w:hAnsi="Verdana" w:cs="Verdana"/>
        </w:rPr>
        <w:t xml:space="preserve">Interviewed users who did have the will power to leave </w:t>
      </w:r>
      <w:r w:rsidRPr="005B5CB6">
        <w:rPr>
          <w:rFonts w:ascii="Verdana" w:eastAsia="Verdana" w:hAnsi="Verdana" w:cs="Verdana"/>
          <w:i/>
        </w:rPr>
        <w:t xml:space="preserve">‘social media sites’ </w:t>
      </w:r>
      <w:r w:rsidRPr="005B5CB6">
        <w:rPr>
          <w:rFonts w:ascii="Verdana" w:eastAsia="Verdana" w:hAnsi="Verdana" w:cs="Verdana"/>
        </w:rPr>
        <w:t xml:space="preserve">found when they did leave they had to </w:t>
      </w:r>
      <w:r w:rsidRPr="005B5CB6">
        <w:rPr>
          <w:rFonts w:ascii="Verdana" w:eastAsia="Verdana" w:hAnsi="Verdana" w:cs="Verdana"/>
          <w:i/>
        </w:rPr>
        <w:t>‘re-learn’</w:t>
      </w:r>
      <w:r w:rsidRPr="005B5CB6">
        <w:rPr>
          <w:rFonts w:ascii="Verdana" w:eastAsia="Verdana" w:hAnsi="Verdana" w:cs="Verdana"/>
        </w:rPr>
        <w:t xml:space="preserve"> how to live, to interact, talk, communicate, look someone in the eye, touch, feel emotion, find out how to be liked again, just because social media had taken over their life more than they had thought or wanted. For these individuals the following was suggested to part-control: </w:t>
      </w:r>
    </w:p>
    <w:p w:rsidR="00FB0B24" w:rsidRPr="005B5CB6" w:rsidP="003255A4">
      <w:pPr>
        <w:spacing w:after="5" w:line="250" w:lineRule="auto"/>
        <w:ind w:left="728" w:right="11" w:hanging="8"/>
        <w:jc w:val="both"/>
        <w:rPr>
          <w:rFonts w:ascii="Verdana" w:hAnsi="Verdana"/>
        </w:rPr>
      </w:pPr>
      <w:r w:rsidRPr="005B5CB6">
        <w:rPr>
          <w:rFonts w:ascii="Verdana" w:eastAsia="Verdana" w:hAnsi="Verdana" w:cs="Verdana"/>
        </w:rPr>
        <w:t xml:space="preserve">S.6a Blocking establishment’s immediate vicinity radius </w:t>
      </w:r>
      <w:r w:rsidRPr="005B5CB6">
        <w:rPr>
          <w:rFonts w:ascii="Verdana" w:eastAsia="Verdana" w:hAnsi="Verdana" w:cs="Verdana"/>
          <w:i/>
        </w:rPr>
        <w:t xml:space="preserve">(50 metres-100 metres) </w:t>
      </w:r>
      <w:r w:rsidRPr="005B5CB6">
        <w:rPr>
          <w:rFonts w:ascii="Verdana" w:eastAsia="Verdana" w:hAnsi="Verdana" w:cs="Verdana"/>
        </w:rPr>
        <w:t xml:space="preserve">at the discretion of the owner or to disarm the technology on entry to be re-engaged on exit. </w:t>
      </w:r>
    </w:p>
    <w:p w:rsidR="00FB0B24" w:rsidRPr="005B5CB6" w:rsidP="003255A4">
      <w:pPr>
        <w:spacing w:after="0"/>
        <w:ind w:left="721"/>
        <w:jc w:val="both"/>
        <w:rPr>
          <w:rFonts w:ascii="Verdana" w:hAnsi="Verdana"/>
        </w:rPr>
      </w:pPr>
      <w:r w:rsidRPr="005B5CB6">
        <w:rPr>
          <w:rFonts w:ascii="Verdana" w:eastAsia="Verdana" w:hAnsi="Verdana" w:cs="Verdana"/>
        </w:rPr>
        <w:t xml:space="preserve"> </w:t>
      </w:r>
    </w:p>
    <w:p w:rsidR="00FB0B24" w:rsidRPr="005B5CB6" w:rsidP="003255A4">
      <w:pPr>
        <w:numPr>
          <w:ilvl w:val="1"/>
          <w:numId w:val="26"/>
        </w:numPr>
        <w:spacing w:after="200" w:line="250" w:lineRule="auto"/>
        <w:ind w:right="11" w:hanging="360"/>
        <w:jc w:val="both"/>
        <w:rPr>
          <w:rFonts w:ascii="Verdana" w:hAnsi="Verdana"/>
        </w:rPr>
      </w:pPr>
      <w:r w:rsidRPr="005B5CB6">
        <w:rPr>
          <w:rFonts w:ascii="Verdana" w:eastAsia="Verdana" w:hAnsi="Verdana" w:cs="Verdana"/>
        </w:rPr>
        <w:t xml:space="preserve">S.6b Areas suggested blocking: Hospitals, Pubs, Restaurants, Inside a Car/Van/Lorry when Driving, Places of Religion or Worship, Prisons, Areas of meditation or relaxation, Me-time, </w:t>
      </w:r>
      <w:r w:rsidRPr="005B5CB6">
        <w:rPr>
          <w:rFonts w:ascii="Verdana" w:eastAsia="Verdana" w:hAnsi="Verdana" w:cs="Verdana"/>
          <w:i/>
        </w:rPr>
        <w:t>(library, gym etc),</w:t>
      </w:r>
      <w:r w:rsidRPr="005B5CB6">
        <w:rPr>
          <w:rFonts w:ascii="Verdana" w:eastAsia="Verdana" w:hAnsi="Verdana" w:cs="Verdana"/>
        </w:rPr>
        <w:t xml:space="preserve"> every one of us has a personal reason for not needing or using a phone/tablet due to the annoyance of owning digital technology we cannot live without</w:t>
      </w:r>
      <w:r w:rsidRPr="005B5CB6">
        <w:rPr>
          <w:rFonts w:ascii="Verdana" w:eastAsia="Verdana" w:hAnsi="Verdana" w:cs="Verdana"/>
          <w:i/>
        </w:rPr>
        <w:t>.</w:t>
      </w:r>
      <w:r w:rsidRPr="005B5CB6">
        <w:rPr>
          <w:rFonts w:ascii="Verdana" w:eastAsia="Verdana" w:hAnsi="Verdana" w:cs="Verdana"/>
        </w:rPr>
        <w:t xml:space="preserve"> </w:t>
      </w:r>
    </w:p>
    <w:p w:rsidR="00FB0B24" w:rsidRPr="005B5CB6" w:rsidP="003255A4">
      <w:pPr>
        <w:numPr>
          <w:ilvl w:val="1"/>
          <w:numId w:val="31"/>
        </w:numPr>
        <w:spacing w:after="197" w:line="249" w:lineRule="auto"/>
        <w:ind w:right="11" w:hanging="10"/>
        <w:jc w:val="both"/>
        <w:rPr>
          <w:rFonts w:ascii="Verdana" w:hAnsi="Verdana"/>
        </w:rPr>
      </w:pPr>
      <w:r w:rsidRPr="005B5CB6">
        <w:rPr>
          <w:rFonts w:ascii="Verdana" w:eastAsia="Verdana" w:hAnsi="Verdana" w:cs="Verdana"/>
          <w:i/>
        </w:rPr>
        <w:t>Yes I know what you are saying, an on/off switch would suffice but not everyone will or has the will power or the respect to comply, please ask yourself the last meeting or wedding you went to, although you knew you would be asked, you did not switch off however you were told on entering to switch off your phone at the venue?</w:t>
      </w:r>
      <w:r w:rsidRPr="005B5CB6">
        <w:rPr>
          <w:rFonts w:ascii="Verdana" w:eastAsia="Verdana" w:hAnsi="Verdana" w:cs="Verdana"/>
        </w:rPr>
        <w:t xml:space="preserve"> </w:t>
      </w:r>
    </w:p>
    <w:p w:rsidR="00FB0B24" w:rsidRPr="005B5CB6" w:rsidP="003255A4">
      <w:pPr>
        <w:numPr>
          <w:ilvl w:val="1"/>
          <w:numId w:val="31"/>
        </w:numPr>
        <w:spacing w:after="199" w:line="250" w:lineRule="auto"/>
        <w:ind w:right="11" w:hanging="10"/>
        <w:jc w:val="both"/>
        <w:rPr>
          <w:rFonts w:ascii="Verdana" w:hAnsi="Verdana"/>
        </w:rPr>
      </w:pPr>
      <w:r w:rsidRPr="005B5CB6">
        <w:rPr>
          <w:rFonts w:ascii="Verdana" w:eastAsia="Verdana" w:hAnsi="Verdana" w:cs="Verdana"/>
        </w:rPr>
        <w:t xml:space="preserve">The suggestion of blocking is contentious in ways that it could become or seen as a weapon of war or taking away the rights of individuals or for those individuals who are on call 24/7. </w:t>
      </w:r>
    </w:p>
    <w:p w:rsidR="00FB0B24" w:rsidRPr="005B5CB6" w:rsidP="003255A4">
      <w:pPr>
        <w:numPr>
          <w:ilvl w:val="1"/>
          <w:numId w:val="31"/>
        </w:numPr>
        <w:spacing w:after="185" w:line="250" w:lineRule="auto"/>
        <w:ind w:right="11" w:hanging="10"/>
        <w:jc w:val="both"/>
        <w:rPr>
          <w:rFonts w:ascii="Verdana" w:hAnsi="Verdana"/>
        </w:rPr>
      </w:pPr>
      <w:r w:rsidRPr="005B5CB6">
        <w:rPr>
          <w:rFonts w:ascii="Verdana" w:eastAsia="Verdana" w:hAnsi="Verdana" w:cs="Verdana"/>
        </w:rPr>
        <w:t xml:space="preserve">There are many attributes to social media digital technology in moderation but we are creating a generation of social media zombies who will later regret this new drug, like any other drug is difficult to stop. </w:t>
      </w:r>
    </w:p>
    <w:p w:rsidR="00FB0B24" w:rsidRPr="005B5CB6" w:rsidP="003255A4">
      <w:pPr>
        <w:numPr>
          <w:ilvl w:val="1"/>
          <w:numId w:val="31"/>
        </w:numPr>
        <w:spacing w:after="186" w:line="250" w:lineRule="auto"/>
        <w:ind w:right="11" w:hanging="10"/>
        <w:jc w:val="both"/>
        <w:rPr>
          <w:rFonts w:ascii="Verdana" w:hAnsi="Verdana"/>
        </w:rPr>
      </w:pPr>
      <w:r w:rsidRPr="005B5CB6">
        <w:rPr>
          <w:rFonts w:ascii="Verdana" w:eastAsia="Verdana" w:hAnsi="Verdana" w:cs="Verdana"/>
        </w:rPr>
        <w:t xml:space="preserve">Consideration must be given to the day when digital technology is not there, difficult to comprehend, I know, but then we are witnessing the new weapons of war, social media control using digital technology and it will happen, one day, in your life-time. How will you prepare? </w:t>
      </w:r>
    </w:p>
    <w:p w:rsidR="00FB0B24" w:rsidRPr="005B5CB6" w:rsidP="003255A4">
      <w:pPr>
        <w:numPr>
          <w:ilvl w:val="1"/>
          <w:numId w:val="31"/>
        </w:numPr>
        <w:spacing w:after="191" w:line="250" w:lineRule="auto"/>
        <w:ind w:right="11" w:hanging="10"/>
        <w:jc w:val="both"/>
        <w:rPr>
          <w:rFonts w:ascii="Verdana" w:hAnsi="Verdana"/>
        </w:rPr>
      </w:pPr>
      <w:r w:rsidRPr="005B5CB6">
        <w:rPr>
          <w:rFonts w:ascii="Verdana" w:eastAsia="Verdana" w:hAnsi="Verdana" w:cs="Verdana"/>
        </w:rPr>
        <w:t xml:space="preserve">Digital technology has become a cheap to buy, replacement market which means all the </w:t>
      </w:r>
      <w:r w:rsidRPr="005B5CB6">
        <w:rPr>
          <w:rFonts w:ascii="Verdana" w:eastAsia="Verdana" w:hAnsi="Verdana" w:cs="Verdana"/>
          <w:i/>
        </w:rPr>
        <w:t xml:space="preserve">‘Lithium’ </w:t>
      </w:r>
      <w:r w:rsidRPr="005B5CB6">
        <w:rPr>
          <w:rFonts w:ascii="Verdana" w:eastAsia="Verdana" w:hAnsi="Verdana" w:cs="Verdana"/>
        </w:rPr>
        <w:t>based products used in manufacture to create</w:t>
      </w:r>
      <w:r w:rsidRPr="005B5CB6">
        <w:rPr>
          <w:rFonts w:ascii="Verdana" w:eastAsia="Verdana" w:hAnsi="Verdana" w:cs="Verdana"/>
          <w:i/>
        </w:rPr>
        <w:t xml:space="preserve"> </w:t>
      </w:r>
      <w:r w:rsidRPr="005B5CB6">
        <w:rPr>
          <w:rFonts w:ascii="Verdana" w:eastAsia="Verdana" w:hAnsi="Verdana" w:cs="Verdana"/>
        </w:rPr>
        <w:t xml:space="preserve">different parts such as; the </w:t>
      </w:r>
      <w:r w:rsidRPr="005B5CB6">
        <w:rPr>
          <w:rFonts w:ascii="Verdana" w:eastAsia="Verdana" w:hAnsi="Verdana" w:cs="Verdana"/>
          <w:i/>
        </w:rPr>
        <w:t xml:space="preserve">‘battery’ </w:t>
      </w:r>
      <w:r w:rsidRPr="005B5CB6">
        <w:rPr>
          <w:rFonts w:ascii="Verdana" w:eastAsia="Verdana" w:hAnsi="Verdana" w:cs="Verdana"/>
        </w:rPr>
        <w:t>which over a 5 mile radius of users</w:t>
      </w:r>
      <w:r w:rsidRPr="005B5CB6">
        <w:rPr>
          <w:rFonts w:ascii="Verdana" w:eastAsia="Verdana" w:hAnsi="Verdana" w:cs="Verdana"/>
          <w:i/>
        </w:rPr>
        <w:t xml:space="preserve"> </w:t>
      </w:r>
      <w:r w:rsidRPr="005B5CB6">
        <w:rPr>
          <w:rFonts w:ascii="Verdana" w:eastAsia="Verdana" w:hAnsi="Verdana" w:cs="Verdana"/>
        </w:rPr>
        <w:t xml:space="preserve">is a colossal amount that needs to be mined and replaced in manufacture. Why? There are few places to take or get repaired but then cost too much or to intricate in getting repaired so replacement is assured. A recycling system must be created by Government to reduce mining natural products like, lithium.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jc w:val="both"/>
        <w:rPr>
          <w:rFonts w:ascii="Verdana" w:hAnsi="Verdana"/>
        </w:rPr>
        <w:sectPr w:rsidSect="006562C6">
          <w:headerReference w:type="even" r:id="rId72"/>
          <w:headerReference w:type="default" r:id="rId73"/>
          <w:footerReference w:type="even" r:id="rId74"/>
          <w:footerReference w:type="default" r:id="rId75"/>
          <w:headerReference w:type="first" r:id="rId76"/>
          <w:footerReference w:type="first" r:id="rId77"/>
          <w:pgSz w:w="11906" w:h="16838"/>
          <w:pgMar w:top="1492" w:right="1439" w:bottom="1818" w:left="1440" w:header="1500" w:footer="709" w:gutter="0"/>
          <w:cols w:space="720"/>
        </w:sectPr>
      </w:pPr>
    </w:p>
    <w:p w:rsidR="00FB0B24" w:rsidRPr="005B5CB6" w:rsidP="00A1624B">
      <w:pPr>
        <w:pStyle w:val="Heading1"/>
        <w:rPr>
          <w:sz w:val="22"/>
        </w:rPr>
      </w:pPr>
      <w:bookmarkStart w:id="13" w:name="_Toc44517701"/>
      <w:r w:rsidRPr="005B5CB6">
        <w:rPr>
          <w:sz w:val="22"/>
        </w:rPr>
        <w:t>Mr Michael La Costa – written evidence (DAD0017)</w:t>
      </w:r>
      <w:bookmarkEnd w:id="13"/>
      <w:r w:rsidRPr="005B5CB6">
        <w:rPr>
          <w:sz w:val="22"/>
        </w:rPr>
        <w:t xml:space="preserve"> </w:t>
      </w:r>
    </w:p>
    <w:p w:rsidR="00FB0B24" w:rsidRPr="005B5CB6" w:rsidP="00951A38">
      <w:pPr>
        <w:tabs>
          <w:tab w:val="center" w:pos="1441"/>
        </w:tabs>
        <w:spacing w:after="5" w:line="250" w:lineRule="auto"/>
        <w:jc w:val="both"/>
        <w:rPr>
          <w:rFonts w:ascii="Verdana" w:hAnsi="Verdana"/>
        </w:rPr>
      </w:pPr>
      <w:r w:rsidRPr="005B5CB6">
        <w:rPr>
          <w:rFonts w:ascii="Verdana" w:eastAsia="Verdana" w:hAnsi="Verdana" w:cs="Verdana"/>
          <w:b/>
        </w:rPr>
        <w:t xml:space="preserve">Preface </w:t>
      </w:r>
      <w:r w:rsidRPr="005B5CB6">
        <w:rPr>
          <w:rFonts w:ascii="Verdana" w:eastAsia="Verdana" w:hAnsi="Verdana" w:cs="Verdana"/>
          <w:b/>
        </w:rPr>
        <w:tab/>
        <w:t xml:space="preserve"> </w:t>
      </w:r>
    </w:p>
    <w:p w:rsidR="00FB0B24" w:rsidRPr="005B5CB6" w:rsidP="00951A38">
      <w:pPr>
        <w:spacing w:after="170" w:line="250" w:lineRule="auto"/>
        <w:ind w:left="1081" w:right="11" w:hanging="720"/>
        <w:jc w:val="both"/>
        <w:rPr>
          <w:rFonts w:ascii="Verdana" w:hAnsi="Verdana"/>
        </w:rPr>
      </w:pPr>
      <w:r w:rsidRPr="005B5CB6">
        <w:rPr>
          <w:rFonts w:ascii="Verdana" w:eastAsia="Verdana" w:hAnsi="Verdana" w:cs="Verdana"/>
        </w:rPr>
        <w:t>1.1</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This paper suggests how new, unique and innovative digital technology could offer significant potential benefits for the support and evolution of democracy whereby every aspect of the current democratic deficit could be properly resolved, specifically:  </w:t>
      </w:r>
    </w:p>
    <w:p w:rsidR="00FB0B24" w:rsidRPr="005B5CB6" w:rsidP="00951A38">
      <w:pPr>
        <w:tabs>
          <w:tab w:val="center" w:pos="1012"/>
          <w:tab w:val="center" w:pos="5246"/>
        </w:tabs>
        <w:spacing w:after="179" w:line="249" w:lineRule="auto"/>
        <w:jc w:val="both"/>
        <w:rPr>
          <w:rFonts w:ascii="Verdana" w:hAnsi="Verdana"/>
        </w:rPr>
      </w:pPr>
      <w:r w:rsidRPr="005B5CB6">
        <w:rPr>
          <w:rFonts w:ascii="Verdana" w:hAnsi="Verdana"/>
        </w:rPr>
        <w:tab/>
      </w:r>
      <w:r w:rsidRPr="005B5CB6">
        <w:rPr>
          <w:rFonts w:ascii="Verdana" w:eastAsia="Verdana" w:hAnsi="Verdana" w:cs="Verdana"/>
        </w:rPr>
        <w:t>1.1.1</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b/>
        </w:rPr>
        <w:t>Participation</w:t>
      </w:r>
      <w:r w:rsidRPr="005B5CB6">
        <w:rPr>
          <w:rFonts w:ascii="Verdana" w:eastAsia="Verdana" w:hAnsi="Verdana" w:cs="Verdana"/>
        </w:rPr>
        <w:t xml:space="preserve"> by any accredited citizen, through engagement </w:t>
      </w:r>
    </w:p>
    <w:p w:rsidR="00FB0B24" w:rsidRPr="005B5CB6" w:rsidP="00951A38">
      <w:pPr>
        <w:tabs>
          <w:tab w:val="center" w:pos="1012"/>
          <w:tab w:val="center" w:pos="4765"/>
        </w:tabs>
        <w:spacing w:after="179" w:line="250" w:lineRule="auto"/>
        <w:jc w:val="both"/>
        <w:rPr>
          <w:rFonts w:ascii="Verdana" w:hAnsi="Verdana"/>
        </w:rPr>
      </w:pPr>
      <w:r w:rsidRPr="005B5CB6">
        <w:rPr>
          <w:rFonts w:ascii="Verdana" w:hAnsi="Verdana"/>
        </w:rPr>
        <w:tab/>
      </w:r>
      <w:r w:rsidRPr="005B5CB6">
        <w:rPr>
          <w:rFonts w:ascii="Verdana" w:eastAsia="Verdana" w:hAnsi="Verdana" w:cs="Verdana"/>
        </w:rPr>
        <w:t>1.1.2</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Universally understandable </w:t>
      </w:r>
      <w:r w:rsidRPr="005B5CB6">
        <w:rPr>
          <w:rFonts w:ascii="Verdana" w:eastAsia="Verdana" w:hAnsi="Verdana" w:cs="Verdana"/>
          <w:b/>
        </w:rPr>
        <w:t>Transparency</w:t>
      </w:r>
      <w:r w:rsidRPr="005B5CB6">
        <w:rPr>
          <w:rFonts w:ascii="Verdana" w:eastAsia="Verdana" w:hAnsi="Verdana" w:cs="Verdana"/>
        </w:rPr>
        <w:t xml:space="preserve"> producing  </w:t>
      </w:r>
    </w:p>
    <w:p w:rsidR="00FB0B24" w:rsidRPr="005B5CB6" w:rsidP="00951A38">
      <w:pPr>
        <w:tabs>
          <w:tab w:val="center" w:pos="1011"/>
          <w:tab w:val="center" w:pos="3617"/>
        </w:tabs>
        <w:spacing w:after="174" w:line="250" w:lineRule="auto"/>
        <w:jc w:val="both"/>
        <w:rPr>
          <w:rFonts w:ascii="Verdana" w:hAnsi="Verdana"/>
        </w:rPr>
      </w:pPr>
      <w:r w:rsidRPr="005B5CB6">
        <w:rPr>
          <w:rFonts w:ascii="Verdana" w:hAnsi="Verdana"/>
        </w:rPr>
        <w:tab/>
      </w:r>
      <w:r w:rsidRPr="005B5CB6">
        <w:rPr>
          <w:rFonts w:ascii="Verdana" w:eastAsia="Verdana" w:hAnsi="Verdana" w:cs="Verdana"/>
        </w:rPr>
        <w:t>1.1.3</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Open and public </w:t>
      </w:r>
      <w:r w:rsidRPr="005B5CB6">
        <w:rPr>
          <w:rFonts w:ascii="Verdana" w:eastAsia="Verdana" w:hAnsi="Verdana" w:cs="Verdana"/>
          <w:b/>
        </w:rPr>
        <w:t>Accountability</w:t>
      </w:r>
      <w:r w:rsidRPr="005B5CB6">
        <w:rPr>
          <w:rFonts w:ascii="Verdana" w:eastAsia="Verdana" w:hAnsi="Verdana" w:cs="Verdana"/>
        </w:rPr>
        <w:t xml:space="preserve"> </w:t>
      </w:r>
    </w:p>
    <w:p w:rsidR="00FB0B24" w:rsidRPr="005B5CB6" w:rsidP="00951A38">
      <w:pPr>
        <w:spacing w:after="170" w:line="250" w:lineRule="auto"/>
        <w:ind w:left="1081" w:right="11" w:hanging="720"/>
        <w:jc w:val="both"/>
        <w:rPr>
          <w:rFonts w:ascii="Verdana" w:hAnsi="Verdana"/>
        </w:rPr>
      </w:pPr>
      <w:r w:rsidRPr="005B5CB6">
        <w:rPr>
          <w:rFonts w:ascii="Verdana" w:eastAsia="Verdana" w:hAnsi="Verdana" w:cs="Verdana"/>
        </w:rPr>
        <w:t>1.2</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This paper is, therefore, confined to questions 12, 13 &amp; 14 of the suggested framework; it does not concern itself with other aspects of democracy listed in the Call for Evidence.  In the absence of any </w:t>
      </w:r>
      <w:r w:rsidRPr="005B5CB6">
        <w:rPr>
          <w:rFonts w:ascii="Verdana" w:eastAsia="Verdana" w:hAnsi="Verdana" w:cs="Verdana"/>
          <w:i/>
        </w:rPr>
        <w:t xml:space="preserve">de </w:t>
      </w:r>
      <w:r w:rsidRPr="005B5CB6">
        <w:rPr>
          <w:rFonts w:ascii="Verdana" w:eastAsia="Verdana" w:hAnsi="Verdana" w:cs="Verdana"/>
        </w:rPr>
        <w:t xml:space="preserve">facto methodology, it is simply a better way to ensure that anyone, or any group, </w:t>
      </w:r>
      <w:r w:rsidRPr="005B5CB6">
        <w:rPr>
          <w:rFonts w:ascii="Verdana" w:eastAsia="Verdana" w:hAnsi="Verdana" w:cs="Verdana"/>
          <w:u w:val="single" w:color="000000"/>
        </w:rPr>
        <w:t>always</w:t>
      </w:r>
      <w:r w:rsidRPr="005B5CB6">
        <w:rPr>
          <w:rFonts w:ascii="Verdana" w:eastAsia="Verdana" w:hAnsi="Verdana" w:cs="Verdana"/>
        </w:rPr>
        <w:t xml:space="preserve"> makes the best choice (</w:t>
      </w:r>
      <w:r w:rsidRPr="005B5CB6">
        <w:rPr>
          <w:rFonts w:ascii="Verdana" w:eastAsia="Verdana" w:hAnsi="Verdana" w:cs="Verdana"/>
          <w:i/>
        </w:rPr>
        <w:t>sic</w:t>
      </w:r>
      <w:r w:rsidRPr="005B5CB6">
        <w:rPr>
          <w:rFonts w:ascii="Verdana" w:eastAsia="Verdana" w:hAnsi="Verdana" w:cs="Verdana"/>
        </w:rPr>
        <w:t xml:space="preserve">), openly and transparently.  </w:t>
      </w:r>
    </w:p>
    <w:p w:rsidR="00FB0B24" w:rsidRPr="005B5CB6" w:rsidP="00951A38">
      <w:pPr>
        <w:spacing w:after="168" w:line="250" w:lineRule="auto"/>
        <w:ind w:left="1081" w:right="11" w:hanging="720"/>
        <w:jc w:val="both"/>
        <w:rPr>
          <w:rFonts w:ascii="Verdana" w:hAnsi="Verdana"/>
        </w:rPr>
      </w:pPr>
      <w:r w:rsidRPr="005B5CB6">
        <w:rPr>
          <w:rFonts w:ascii="Verdana" w:eastAsia="Verdana" w:hAnsi="Verdana" w:cs="Verdana"/>
        </w:rPr>
        <w:t>1.3</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The facility proposed herein is peerless and, in some ways familiar yet radical in other ways.  Nevertheless, it cogently addresses every aspect of the democratic deficit, to produce a much-improved form of democracy, one which could be applied at any level from direct democracy (edemocracy) through deliberative democracy to representative democracy.  More importantly, a consensual form of democracy promoting unity and commitment would emerge, starkly contrasting the present adversarial system. </w:t>
      </w:r>
    </w:p>
    <w:p w:rsidR="00FB0B24" w:rsidRPr="005B5CB6" w:rsidP="00951A38">
      <w:pPr>
        <w:spacing w:after="170" w:line="250" w:lineRule="auto"/>
        <w:ind w:left="1080" w:right="11" w:hanging="720"/>
        <w:jc w:val="both"/>
        <w:rPr>
          <w:rFonts w:ascii="Verdana" w:hAnsi="Verdana"/>
        </w:rPr>
      </w:pPr>
      <w:r w:rsidRPr="005B5CB6">
        <w:rPr>
          <w:rFonts w:ascii="Verdana" w:eastAsia="Verdana" w:hAnsi="Verdana" w:cs="Verdana"/>
        </w:rPr>
        <w:t>1.4</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Empowerment through participation and engagement, enfranchises citizens.  Each ‘voice’ should be heard, equally, properly taken into account, transparently and with full public accountability.  Indeed, the oftobscure ‘will of the people’ could be gauged, accurately and demonstrably. </w:t>
      </w:r>
    </w:p>
    <w:p w:rsidR="00FB0B24" w:rsidRPr="005B5CB6" w:rsidP="00951A38">
      <w:pPr>
        <w:spacing w:after="168" w:line="250" w:lineRule="auto"/>
        <w:ind w:left="1080" w:right="11" w:hanging="720"/>
        <w:jc w:val="both"/>
        <w:rPr>
          <w:rFonts w:ascii="Verdana" w:hAnsi="Verdana"/>
        </w:rPr>
      </w:pPr>
      <w:r w:rsidRPr="005B5CB6">
        <w:rPr>
          <w:rFonts w:ascii="Verdana" w:eastAsia="Verdana" w:hAnsi="Verdana" w:cs="Verdana"/>
        </w:rPr>
        <w:t>1.5</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Moreover, to encourage participation, this suggested facility is to be freely available, easy to use and understand whilst assuring all concerned that the best choice is always made, no matter how many participants may be involved.   </w:t>
      </w:r>
    </w:p>
    <w:p w:rsidR="00FB0B24" w:rsidRPr="005B5CB6" w:rsidP="00951A38">
      <w:pPr>
        <w:spacing w:after="169" w:line="250" w:lineRule="auto"/>
        <w:ind w:left="1080" w:right="11" w:hanging="720"/>
        <w:jc w:val="both"/>
        <w:rPr>
          <w:rFonts w:ascii="Verdana" w:hAnsi="Verdana"/>
        </w:rPr>
      </w:pPr>
      <w:r w:rsidRPr="005B5CB6">
        <w:rPr>
          <w:rFonts w:ascii="Verdana" w:eastAsia="Verdana" w:hAnsi="Verdana" w:cs="Verdana"/>
        </w:rPr>
        <w:t>1.6</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To ensure the facility is beyond reproach, it is also devoid of commercial influences; no vested interests to affect participants’ views unduly. </w:t>
      </w:r>
    </w:p>
    <w:p w:rsidR="00FB0B24" w:rsidRPr="005B5CB6" w:rsidP="00951A38">
      <w:pPr>
        <w:spacing w:after="5" w:line="250" w:lineRule="auto"/>
        <w:ind w:left="1080" w:right="11" w:hanging="720"/>
        <w:jc w:val="both"/>
        <w:rPr>
          <w:rFonts w:ascii="Verdana" w:hAnsi="Verdana"/>
        </w:rPr>
      </w:pPr>
      <w:r w:rsidRPr="005B5CB6">
        <w:rPr>
          <w:rFonts w:ascii="Verdana" w:eastAsia="Verdana" w:hAnsi="Verdana" w:cs="Verdana"/>
        </w:rPr>
        <w:t>1.7</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Such an extension of democracy would invoke the most powerful governor of all, to wit, universally understandable transparency - an allpervading yet benign force and the foundation of real, meaningful, public accountability.</w:t>
      </w:r>
      <w:r w:rsidRPr="005B5CB6">
        <w:rPr>
          <w:rFonts w:ascii="Verdana" w:eastAsia="Verdana" w:hAnsi="Verdana" w:cs="Verdana"/>
          <w:b/>
        </w:rPr>
        <w:t xml:space="preserve"> </w:t>
      </w:r>
    </w:p>
    <w:p w:rsidR="00FB0B24" w:rsidRPr="005B5CB6" w:rsidP="00951A38">
      <w:pPr>
        <w:spacing w:after="151"/>
        <w:ind w:left="1081"/>
        <w:jc w:val="both"/>
        <w:rPr>
          <w:rFonts w:ascii="Verdana" w:hAnsi="Verdana"/>
        </w:rPr>
      </w:pPr>
      <w:r w:rsidRPr="005B5CB6">
        <w:rPr>
          <w:rFonts w:ascii="Verdana" w:eastAsia="Verdana" w:hAnsi="Verdana" w:cs="Verdana"/>
        </w:rPr>
        <w:t xml:space="preserve"> </w:t>
      </w:r>
    </w:p>
    <w:p w:rsidR="00FB0B24" w:rsidRPr="005B5CB6" w:rsidP="00951A38">
      <w:pPr>
        <w:spacing w:after="149"/>
        <w:ind w:left="1081"/>
        <w:jc w:val="both"/>
        <w:rPr>
          <w:rFonts w:ascii="Verdana" w:hAnsi="Verdana"/>
        </w:rPr>
      </w:pPr>
      <w:r w:rsidRPr="005B5CB6">
        <w:rPr>
          <w:rFonts w:ascii="Verdana" w:eastAsia="Verdana" w:hAnsi="Verdana" w:cs="Verdana"/>
          <w:b/>
        </w:rPr>
        <w:t xml:space="preserve"> </w:t>
      </w:r>
    </w:p>
    <w:p w:rsidR="00FB0B24" w:rsidRPr="005B5CB6" w:rsidP="00951A38">
      <w:pPr>
        <w:spacing w:after="161" w:line="250" w:lineRule="auto"/>
        <w:ind w:left="11" w:hanging="10"/>
        <w:jc w:val="both"/>
        <w:rPr>
          <w:rFonts w:ascii="Verdana" w:hAnsi="Verdana"/>
        </w:rPr>
      </w:pPr>
      <w:r w:rsidRPr="005B5CB6">
        <w:rPr>
          <w:rFonts w:ascii="Verdana" w:eastAsia="Verdana" w:hAnsi="Verdana" w:cs="Verdana"/>
          <w:b/>
        </w:rPr>
        <w:t>2.</w:t>
      </w:r>
      <w:r w:rsidRPr="005B5CB6">
        <w:rPr>
          <w:rFonts w:ascii="Verdana" w:eastAsia="Arial" w:hAnsi="Verdana" w:cs="Arial"/>
          <w:b/>
        </w:rPr>
        <w:t xml:space="preserve"> </w:t>
      </w:r>
      <w:r w:rsidRPr="005B5CB6">
        <w:rPr>
          <w:rFonts w:ascii="Verdana" w:eastAsia="Verdana" w:hAnsi="Verdana" w:cs="Verdana"/>
          <w:b/>
        </w:rPr>
        <w:t>Areas of concern</w:t>
      </w:r>
      <w:r w:rsidRPr="005B5CB6">
        <w:rPr>
          <w:rFonts w:ascii="Verdana" w:eastAsia="Verdana" w:hAnsi="Verdana" w:cs="Verdana"/>
        </w:rPr>
        <w:t xml:space="preserve">  </w:t>
      </w:r>
    </w:p>
    <w:p w:rsidR="00FB0B24" w:rsidRPr="005B5CB6" w:rsidP="00951A38">
      <w:pPr>
        <w:pStyle w:val="Heading2"/>
        <w:rPr>
          <w:sz w:val="22"/>
        </w:rPr>
      </w:pPr>
      <w:r w:rsidRPr="005B5CB6">
        <w:rPr>
          <w:b w:val="0"/>
          <w:sz w:val="22"/>
        </w:rPr>
        <w:t xml:space="preserve">2.1     </w:t>
      </w:r>
      <w:r w:rsidRPr="005B5CB6">
        <w:rPr>
          <w:b w:val="0"/>
          <w:sz w:val="22"/>
          <w:u w:val="single" w:color="000000"/>
        </w:rPr>
        <w:t>The challenge/opportunity</w:t>
      </w:r>
      <w:r w:rsidRPr="005B5CB6">
        <w:rPr>
          <w:b w:val="0"/>
          <w:sz w:val="22"/>
        </w:rPr>
        <w:t xml:space="preserve">   </w:t>
      </w:r>
    </w:p>
    <w:p w:rsidR="00FB0B24" w:rsidRPr="005B5CB6" w:rsidP="00951A38">
      <w:pPr>
        <w:spacing w:after="159" w:line="250" w:lineRule="auto"/>
        <w:ind w:left="1101" w:right="11" w:hanging="8"/>
        <w:jc w:val="both"/>
        <w:rPr>
          <w:rFonts w:ascii="Verdana" w:hAnsi="Verdana"/>
        </w:rPr>
      </w:pPr>
      <w:r w:rsidRPr="005B5CB6">
        <w:rPr>
          <w:rFonts w:ascii="Verdana" w:eastAsia="Verdana" w:hAnsi="Verdana" w:cs="Verdana"/>
        </w:rPr>
        <w:t xml:space="preserve">To varying degrees, we are all politicians with wide-ranging views.  At the same time, we are also consumers with varying needs according to our circumstances, but we all make choices in various fields of activity, be they professional, private or public.  In any walk of life, when faced with multiple choices, we strive to choose the best one, but, paradoxically, none of us has been trained </w:t>
      </w:r>
      <w:r w:rsidRPr="005B5CB6">
        <w:rPr>
          <w:rFonts w:ascii="Verdana" w:eastAsia="Verdana" w:hAnsi="Verdana" w:cs="Verdana"/>
          <w:u w:val="single" w:color="000000"/>
        </w:rPr>
        <w:t>how</w:t>
      </w:r>
      <w:r w:rsidRPr="005B5CB6">
        <w:rPr>
          <w:rFonts w:ascii="Verdana" w:eastAsia="Verdana" w:hAnsi="Verdana" w:cs="Verdana"/>
        </w:rPr>
        <w:t xml:space="preserve"> to do this in a way which can be applied to any subject and/or issue, and ensure the best choice is always made, whether alone or jointly with others; there is no </w:t>
      </w:r>
      <w:r w:rsidRPr="005B5CB6">
        <w:rPr>
          <w:rFonts w:ascii="Verdana" w:eastAsia="Verdana" w:hAnsi="Verdana" w:cs="Verdana"/>
          <w:i/>
        </w:rPr>
        <w:t xml:space="preserve">de facto </w:t>
      </w:r>
      <w:r w:rsidRPr="005B5CB6">
        <w:rPr>
          <w:rFonts w:ascii="Verdana" w:eastAsia="Verdana" w:hAnsi="Verdana" w:cs="Verdana"/>
        </w:rPr>
        <w:t xml:space="preserve">methodology.  This affects both sides of the divide, i.e. those making decisions (contributory/active participants) as well as those affected by decisions made in their name (interpretive/passive participants).   </w:t>
      </w:r>
    </w:p>
    <w:p w:rsidR="00FB0B24" w:rsidRPr="005B5CB6" w:rsidP="00951A38">
      <w:pPr>
        <w:spacing w:after="162" w:line="250" w:lineRule="auto"/>
        <w:ind w:left="1101" w:right="11" w:hanging="8"/>
        <w:jc w:val="both"/>
        <w:rPr>
          <w:rFonts w:ascii="Verdana" w:hAnsi="Verdana"/>
        </w:rPr>
      </w:pPr>
      <w:r w:rsidRPr="005B5CB6">
        <w:rPr>
          <w:rFonts w:ascii="Verdana" w:eastAsia="Verdana" w:hAnsi="Verdana" w:cs="Verdana"/>
        </w:rPr>
        <w:t xml:space="preserve">Decision-making everywhere is scientifically inexact and ill-defined, but this can now be resolved with new, innovative technology, thereby giving succour and support to the next evolutionary stage of democracy.  </w:t>
      </w:r>
    </w:p>
    <w:p w:rsidR="00FB0B24" w:rsidRPr="005B5CB6" w:rsidP="00951A38">
      <w:pPr>
        <w:spacing w:after="155" w:line="250" w:lineRule="auto"/>
        <w:ind w:left="23" w:right="11" w:hanging="8"/>
        <w:jc w:val="both"/>
        <w:rPr>
          <w:rFonts w:ascii="Verdana" w:hAnsi="Verdana"/>
        </w:rPr>
      </w:pPr>
      <w:r w:rsidRPr="005B5CB6">
        <w:rPr>
          <w:rFonts w:ascii="Verdana" w:eastAsia="Verdana" w:hAnsi="Verdana" w:cs="Verdana"/>
        </w:rPr>
        <w:t xml:space="preserve">      2.2    </w:t>
      </w:r>
      <w:r w:rsidRPr="005B5CB6">
        <w:rPr>
          <w:rFonts w:ascii="Verdana" w:eastAsia="Verdana" w:hAnsi="Verdana" w:cs="Verdana"/>
          <w:u w:val="single" w:color="000000"/>
        </w:rPr>
        <w:t>Governance</w:t>
      </w:r>
      <w:r w:rsidRPr="005B5CB6">
        <w:rPr>
          <w:rFonts w:ascii="Verdana" w:eastAsia="Verdana" w:hAnsi="Verdana" w:cs="Verdana"/>
        </w:rPr>
        <w:t xml:space="preserve">  </w:t>
      </w:r>
    </w:p>
    <w:p w:rsidR="00FB0B24" w:rsidRPr="005B5CB6" w:rsidP="00951A38">
      <w:pPr>
        <w:spacing w:after="159" w:line="250" w:lineRule="auto"/>
        <w:ind w:left="1101" w:right="11" w:hanging="8"/>
        <w:jc w:val="both"/>
        <w:rPr>
          <w:rFonts w:ascii="Verdana" w:hAnsi="Verdana"/>
        </w:rPr>
      </w:pPr>
      <w:r w:rsidRPr="005B5CB6">
        <w:rPr>
          <w:rFonts w:ascii="Verdana" w:eastAsia="Verdana" w:hAnsi="Verdana" w:cs="Verdana"/>
        </w:rPr>
        <w:t xml:space="preserve">Moreover, decision-making in general is far from transparent and seldom structured.  Any ‘processes’ used often disguise ignorance, incompetence, corruption and nepotism to name but a few dubious aspects.  Nor can we be sure the best choice is always made, especially when many people are involved.  If the </w:t>
      </w:r>
      <w:r w:rsidRPr="005B5CB6">
        <w:rPr>
          <w:rFonts w:ascii="Verdana" w:eastAsia="Verdana" w:hAnsi="Verdana" w:cs="Verdana"/>
          <w:b/>
        </w:rPr>
        <w:t>process</w:t>
      </w:r>
      <w:r w:rsidRPr="005B5CB6">
        <w:rPr>
          <w:rFonts w:ascii="Verdana" w:eastAsia="Verdana" w:hAnsi="Verdana" w:cs="Verdana"/>
        </w:rPr>
        <w:t xml:space="preserve"> is really transparent (we are not talking here about just a simple declaration of financial sources) public accountability can be exacted as well as improving the quality of decision-making all round. </w:t>
      </w:r>
    </w:p>
    <w:p w:rsidR="00FB0B24" w:rsidRPr="005B5CB6" w:rsidP="00951A38">
      <w:pPr>
        <w:spacing w:after="170" w:line="250" w:lineRule="auto"/>
        <w:ind w:left="1101" w:right="11" w:hanging="8"/>
        <w:jc w:val="both"/>
        <w:rPr>
          <w:rFonts w:ascii="Verdana" w:hAnsi="Verdana"/>
        </w:rPr>
      </w:pPr>
      <w:r w:rsidRPr="005B5CB6">
        <w:rPr>
          <w:rFonts w:ascii="Verdana" w:eastAsia="Verdana" w:hAnsi="Verdana" w:cs="Verdana"/>
        </w:rPr>
        <w:t xml:space="preserve">Nothing strengthens governance like transparency – the most powerful, all-pervading, yet benign force.  By lifting the veil on the ‘dark art’ of decision-making everywhere, technology could make a significant contribution to improving democracy itself; we are now on the cusp of achieving this.   </w:t>
      </w:r>
    </w:p>
    <w:p w:rsidR="00FB0B24" w:rsidRPr="005B5CB6" w:rsidP="00951A38">
      <w:pPr>
        <w:pStyle w:val="Heading2"/>
        <w:rPr>
          <w:sz w:val="22"/>
        </w:rPr>
      </w:pPr>
      <w:r w:rsidRPr="005B5CB6">
        <w:rPr>
          <w:rFonts w:eastAsia="Calibri" w:cs="Calibri"/>
          <w:b w:val="0"/>
          <w:sz w:val="22"/>
        </w:rPr>
        <w:tab/>
      </w:r>
      <w:r w:rsidRPr="005B5CB6">
        <w:rPr>
          <w:b w:val="0"/>
          <w:sz w:val="22"/>
        </w:rPr>
        <w:t>2.3</w:t>
      </w:r>
      <w:r w:rsidRPr="005B5CB6">
        <w:rPr>
          <w:rFonts w:eastAsia="Arial" w:cs="Arial"/>
          <w:b w:val="0"/>
          <w:sz w:val="22"/>
        </w:rPr>
        <w:t xml:space="preserve"> </w:t>
      </w:r>
      <w:r w:rsidRPr="005B5CB6">
        <w:rPr>
          <w:rFonts w:eastAsia="Arial" w:cs="Arial"/>
          <w:b w:val="0"/>
          <w:sz w:val="22"/>
        </w:rPr>
        <w:tab/>
      </w:r>
      <w:r w:rsidRPr="005B5CB6">
        <w:rPr>
          <w:b w:val="0"/>
          <w:sz w:val="22"/>
          <w:u w:val="single" w:color="000000"/>
        </w:rPr>
        <w:t>Democratic Deficit</w:t>
      </w:r>
      <w:r w:rsidRPr="005B5CB6">
        <w:rPr>
          <w:b w:val="0"/>
          <w:sz w:val="22"/>
        </w:rPr>
        <w:t xml:space="preserve">  </w:t>
      </w:r>
    </w:p>
    <w:p w:rsidR="00FB0B24" w:rsidRPr="005B5CB6" w:rsidP="00951A38">
      <w:pPr>
        <w:spacing w:after="157" w:line="250" w:lineRule="auto"/>
        <w:ind w:left="1101" w:right="11" w:hanging="8"/>
        <w:jc w:val="both"/>
        <w:rPr>
          <w:rFonts w:ascii="Verdana" w:hAnsi="Verdana"/>
        </w:rPr>
      </w:pPr>
      <w:r w:rsidRPr="005B5CB6">
        <w:rPr>
          <w:rFonts w:ascii="Verdana" w:eastAsia="Verdana" w:hAnsi="Verdana" w:cs="Verdana"/>
        </w:rPr>
        <w:t xml:space="preserve">Any solution which addresses all the foregoing neatly resolves the paucity of three aspects that make up the present democratic deficit: </w:t>
      </w:r>
    </w:p>
    <w:p w:rsidR="00FB0B24" w:rsidRPr="005B5CB6" w:rsidP="00951A38">
      <w:pPr>
        <w:spacing w:after="5" w:line="250" w:lineRule="auto"/>
        <w:ind w:left="1465" w:right="11" w:hanging="720"/>
        <w:jc w:val="both"/>
        <w:rPr>
          <w:rFonts w:ascii="Verdana" w:hAnsi="Verdana"/>
        </w:rPr>
      </w:pPr>
      <w:r w:rsidRPr="005B5CB6">
        <w:rPr>
          <w:rFonts w:ascii="Verdana" w:eastAsia="Verdana" w:hAnsi="Verdana" w:cs="Verdana"/>
        </w:rPr>
        <w:t>2.3.1</w:t>
      </w:r>
      <w:r w:rsidRPr="005B5CB6">
        <w:rPr>
          <w:rFonts w:ascii="Verdana" w:eastAsia="Arial" w:hAnsi="Verdana" w:cs="Arial"/>
        </w:rPr>
        <w:t xml:space="preserve"> </w:t>
      </w:r>
      <w:r w:rsidRPr="005B5CB6">
        <w:rPr>
          <w:rFonts w:ascii="Verdana" w:eastAsia="Verdana" w:hAnsi="Verdana" w:cs="Verdana"/>
        </w:rPr>
        <w:t xml:space="preserve">(Free and unfettered) </w:t>
      </w:r>
      <w:r w:rsidRPr="005B5CB6">
        <w:rPr>
          <w:rFonts w:ascii="Verdana" w:eastAsia="Verdana" w:hAnsi="Verdana" w:cs="Verdana"/>
          <w:b/>
        </w:rPr>
        <w:t>Participation</w:t>
      </w:r>
      <w:r w:rsidRPr="005B5CB6">
        <w:rPr>
          <w:rFonts w:ascii="Verdana" w:eastAsia="Verdana" w:hAnsi="Verdana" w:cs="Verdana"/>
        </w:rPr>
        <w:t xml:space="preserve"> and engagement = empowerment </w:t>
      </w:r>
    </w:p>
    <w:p w:rsidR="00FB0B24" w:rsidRPr="005B5CB6" w:rsidP="00951A38">
      <w:pPr>
        <w:spacing w:after="161" w:line="250" w:lineRule="auto"/>
        <w:ind w:left="753" w:right="11" w:hanging="8"/>
        <w:jc w:val="both"/>
        <w:rPr>
          <w:rFonts w:ascii="Verdana" w:hAnsi="Verdana"/>
        </w:rPr>
      </w:pPr>
      <w:r w:rsidRPr="005B5CB6">
        <w:rPr>
          <w:rFonts w:ascii="Verdana" w:eastAsia="Verdana" w:hAnsi="Verdana" w:cs="Verdana"/>
        </w:rPr>
        <w:t>2.3.2</w:t>
      </w:r>
      <w:r w:rsidRPr="005B5CB6">
        <w:rPr>
          <w:rFonts w:ascii="Verdana" w:eastAsia="Arial" w:hAnsi="Verdana" w:cs="Arial"/>
        </w:rPr>
        <w:t xml:space="preserve"> </w:t>
      </w:r>
      <w:r w:rsidRPr="005B5CB6">
        <w:rPr>
          <w:rFonts w:ascii="Verdana" w:eastAsia="Verdana" w:hAnsi="Verdana" w:cs="Verdana"/>
        </w:rPr>
        <w:t xml:space="preserve">(Simple and universally understandable) </w:t>
      </w:r>
      <w:r w:rsidRPr="005B5CB6">
        <w:rPr>
          <w:rFonts w:ascii="Verdana" w:eastAsia="Verdana" w:hAnsi="Verdana" w:cs="Verdana"/>
          <w:b/>
        </w:rPr>
        <w:t>Transparency</w:t>
      </w:r>
      <w:r w:rsidRPr="005B5CB6">
        <w:rPr>
          <w:rFonts w:ascii="Verdana" w:eastAsia="Verdana" w:hAnsi="Verdana" w:cs="Verdana"/>
        </w:rPr>
        <w:t xml:space="preserve"> leading to </w:t>
      </w:r>
    </w:p>
    <w:p w:rsidR="00FB0B24" w:rsidRPr="005B5CB6" w:rsidP="00951A38">
      <w:pPr>
        <w:spacing w:after="170" w:line="250" w:lineRule="auto"/>
        <w:ind w:left="753" w:right="11" w:hanging="8"/>
        <w:jc w:val="both"/>
        <w:rPr>
          <w:rFonts w:ascii="Verdana" w:hAnsi="Verdana"/>
        </w:rPr>
      </w:pPr>
      <w:r w:rsidRPr="005B5CB6">
        <w:rPr>
          <w:rFonts w:ascii="Verdana" w:eastAsia="Verdana" w:hAnsi="Verdana" w:cs="Verdana"/>
        </w:rPr>
        <w:t>2.3.3</w:t>
      </w:r>
      <w:r w:rsidRPr="005B5CB6">
        <w:rPr>
          <w:rFonts w:ascii="Verdana" w:eastAsia="Arial" w:hAnsi="Verdana" w:cs="Arial"/>
        </w:rPr>
        <w:t xml:space="preserve"> </w:t>
      </w:r>
      <w:r w:rsidRPr="005B5CB6">
        <w:rPr>
          <w:rFonts w:ascii="Verdana" w:eastAsia="Verdana" w:hAnsi="Verdana" w:cs="Verdana"/>
        </w:rPr>
        <w:t xml:space="preserve">(Open and public) </w:t>
      </w:r>
      <w:r w:rsidRPr="005B5CB6">
        <w:rPr>
          <w:rFonts w:ascii="Verdana" w:eastAsia="Verdana" w:hAnsi="Verdana" w:cs="Verdana"/>
          <w:b/>
        </w:rPr>
        <w:t>Accountability</w:t>
      </w:r>
      <w:r w:rsidRPr="005B5CB6">
        <w:rPr>
          <w:rFonts w:ascii="Verdana" w:eastAsia="Verdana" w:hAnsi="Verdana" w:cs="Verdana"/>
        </w:rPr>
        <w:t xml:space="preserve">  </w:t>
      </w:r>
    </w:p>
    <w:p w:rsidR="00FB0B24" w:rsidRPr="005B5CB6" w:rsidP="00951A38">
      <w:pPr>
        <w:pStyle w:val="Heading2"/>
        <w:rPr>
          <w:sz w:val="22"/>
        </w:rPr>
      </w:pPr>
      <w:r w:rsidRPr="005B5CB6">
        <w:rPr>
          <w:rFonts w:eastAsia="Calibri" w:cs="Calibri"/>
          <w:b w:val="0"/>
          <w:sz w:val="22"/>
        </w:rPr>
        <w:tab/>
      </w:r>
      <w:r w:rsidRPr="005B5CB6">
        <w:rPr>
          <w:b w:val="0"/>
          <w:sz w:val="22"/>
        </w:rPr>
        <w:t>2.4</w:t>
      </w:r>
      <w:r w:rsidRPr="005B5CB6">
        <w:rPr>
          <w:rFonts w:eastAsia="Arial" w:cs="Arial"/>
          <w:b w:val="0"/>
          <w:sz w:val="22"/>
        </w:rPr>
        <w:t xml:space="preserve"> </w:t>
      </w:r>
      <w:r w:rsidRPr="005B5CB6">
        <w:rPr>
          <w:rFonts w:eastAsia="Arial" w:cs="Arial"/>
          <w:b w:val="0"/>
          <w:sz w:val="22"/>
        </w:rPr>
        <w:tab/>
      </w:r>
      <w:r w:rsidRPr="005B5CB6">
        <w:rPr>
          <w:b w:val="0"/>
          <w:sz w:val="22"/>
          <w:u w:val="single" w:color="000000"/>
        </w:rPr>
        <w:t xml:space="preserve"> Belated Legislation</w:t>
      </w:r>
      <w:r w:rsidRPr="005B5CB6">
        <w:rPr>
          <w:b w:val="0"/>
          <w:sz w:val="22"/>
        </w:rPr>
        <w:t xml:space="preserve">  </w:t>
      </w:r>
    </w:p>
    <w:p w:rsidR="00FB0B24" w:rsidRPr="005B5CB6" w:rsidP="003255A4">
      <w:pPr>
        <w:spacing w:after="159" w:line="250" w:lineRule="auto"/>
        <w:ind w:left="1465" w:right="11" w:hanging="720"/>
        <w:jc w:val="both"/>
        <w:rPr>
          <w:rFonts w:ascii="Verdana" w:hAnsi="Verdana"/>
        </w:rPr>
      </w:pPr>
      <w:r w:rsidRPr="005B5CB6">
        <w:rPr>
          <w:rFonts w:ascii="Verdana" w:eastAsia="Verdana" w:hAnsi="Verdana" w:cs="Verdana"/>
        </w:rPr>
        <w:t>2.4.1</w:t>
      </w:r>
      <w:r w:rsidRPr="005B5CB6">
        <w:rPr>
          <w:rFonts w:ascii="Verdana" w:eastAsia="Arial" w:hAnsi="Verdana" w:cs="Arial"/>
        </w:rPr>
        <w:t xml:space="preserve"> </w:t>
      </w:r>
      <w:r w:rsidRPr="005B5CB6">
        <w:rPr>
          <w:rFonts w:ascii="Verdana" w:eastAsia="Verdana" w:hAnsi="Verdana" w:cs="Verdana"/>
        </w:rPr>
        <w:t xml:space="preserve">As our world becomes increasingly complex, so regulation, control and legislation are all correspondingly cumbersome and notably laggard and reactionary.  A </w:t>
      </w:r>
      <w:r w:rsidRPr="005B5CB6">
        <w:rPr>
          <w:rFonts w:ascii="Verdana" w:eastAsia="Verdana" w:hAnsi="Verdana" w:cs="Verdana"/>
          <w:i/>
        </w:rPr>
        <w:t>de facto</w:t>
      </w:r>
      <w:r w:rsidRPr="005B5CB6">
        <w:rPr>
          <w:rFonts w:ascii="Verdana" w:eastAsia="Verdana" w:hAnsi="Verdana" w:cs="Verdana"/>
        </w:rPr>
        <w:t xml:space="preserve"> methodology, applied as a precursor to launching any new product/ service could, like a ‘kite-mark’ approval, set standards, codes of conduct, legal aspects, etc. BEFORE THE EVENT and therefore manage our affairs better, for the benefit of all concerned. </w:t>
      </w:r>
    </w:p>
    <w:p w:rsidR="00FB0B24" w:rsidRPr="005B5CB6" w:rsidP="003255A4">
      <w:pPr>
        <w:spacing w:after="152"/>
        <w:ind w:left="1465"/>
        <w:jc w:val="both"/>
        <w:rPr>
          <w:rFonts w:ascii="Verdana" w:hAnsi="Verdana"/>
        </w:rPr>
      </w:pPr>
      <w:r w:rsidRPr="005B5CB6">
        <w:rPr>
          <w:rFonts w:ascii="Verdana" w:eastAsia="Verdana" w:hAnsi="Verdana" w:cs="Verdana"/>
        </w:rPr>
        <w:t xml:space="preserve"> </w:t>
      </w:r>
    </w:p>
    <w:p w:rsidR="00FB0B24" w:rsidRPr="005B5CB6" w:rsidP="003255A4">
      <w:pPr>
        <w:numPr>
          <w:ilvl w:val="0"/>
          <w:numId w:val="32"/>
        </w:numPr>
        <w:spacing w:after="170" w:line="250" w:lineRule="auto"/>
        <w:ind w:hanging="360"/>
        <w:jc w:val="both"/>
        <w:rPr>
          <w:rFonts w:ascii="Verdana" w:hAnsi="Verdana"/>
        </w:rPr>
      </w:pPr>
      <w:r w:rsidRPr="005B5CB6">
        <w:rPr>
          <w:rFonts w:ascii="Verdana" w:eastAsia="Verdana" w:hAnsi="Verdana" w:cs="Verdana"/>
          <w:b/>
        </w:rPr>
        <w:t xml:space="preserve">The facility </w:t>
      </w:r>
    </w:p>
    <w:p w:rsidR="00FB0B24" w:rsidRPr="005B5CB6" w:rsidP="003255A4">
      <w:pPr>
        <w:numPr>
          <w:ilvl w:val="1"/>
          <w:numId w:val="32"/>
        </w:numPr>
        <w:spacing w:after="171" w:line="250" w:lineRule="auto"/>
        <w:ind w:left="1081" w:right="11" w:hanging="720"/>
        <w:jc w:val="both"/>
        <w:rPr>
          <w:rFonts w:ascii="Verdana" w:hAnsi="Verdana"/>
        </w:rPr>
      </w:pPr>
      <w:r w:rsidRPr="005B5CB6">
        <w:rPr>
          <w:rFonts w:ascii="Verdana" w:eastAsia="Verdana" w:hAnsi="Verdana" w:cs="Verdana"/>
        </w:rPr>
        <w:t xml:space="preserve">Democracy is all about choices, the people’s choice, and in representative democracy there is an inherent conflict between the ‘will of the people’ and party politics, making today’s democracy almost self-negating.  The population’s sense of disengagement is thus heightened and, without a universally understandable transparency, true public accountability is ever more distant.  This, in essence, is the democratic deficit which could now be cogently addressed by modern technology through a new, innovative and unique App entitled “Informed Choice – “ic!®”   </w:t>
      </w:r>
    </w:p>
    <w:p w:rsidR="00FB0B24" w:rsidRPr="005B5CB6" w:rsidP="003255A4">
      <w:pPr>
        <w:numPr>
          <w:ilvl w:val="1"/>
          <w:numId w:val="32"/>
        </w:numPr>
        <w:spacing w:after="177" w:line="250" w:lineRule="auto"/>
        <w:ind w:left="1081" w:right="11" w:hanging="720"/>
        <w:jc w:val="both"/>
        <w:rPr>
          <w:rFonts w:ascii="Verdana" w:hAnsi="Verdana"/>
        </w:rPr>
      </w:pPr>
      <w:r w:rsidRPr="005B5CB6">
        <w:rPr>
          <w:rFonts w:ascii="Verdana" w:eastAsia="Verdana" w:hAnsi="Verdana" w:cs="Verdana"/>
        </w:rPr>
        <w:t xml:space="preserve">For brevity, it is referred to as “ic!®” (I see).   </w:t>
      </w:r>
    </w:p>
    <w:p w:rsidR="00FB0B24" w:rsidRPr="005B5CB6" w:rsidP="003255A4">
      <w:pPr>
        <w:numPr>
          <w:ilvl w:val="1"/>
          <w:numId w:val="32"/>
        </w:numPr>
        <w:spacing w:after="168" w:line="250" w:lineRule="auto"/>
        <w:ind w:left="1081" w:right="11" w:hanging="720"/>
        <w:jc w:val="both"/>
        <w:rPr>
          <w:rFonts w:ascii="Verdana" w:hAnsi="Verdana"/>
        </w:rPr>
      </w:pPr>
      <w:r w:rsidRPr="005B5CB6">
        <w:rPr>
          <w:rFonts w:ascii="Verdana" w:eastAsia="Verdana" w:hAnsi="Verdana" w:cs="Verdana"/>
        </w:rPr>
        <w:t xml:space="preserve">“ic!®” initially structures any choice to be made as per the basic anatomy of decisions (criteria, weighting and options), and then further builds on this in two unique, distinct and innovative ways: </w:t>
      </w:r>
    </w:p>
    <w:p w:rsidR="00FB0B24" w:rsidRPr="005B5CB6" w:rsidP="003255A4">
      <w:pPr>
        <w:numPr>
          <w:ilvl w:val="2"/>
          <w:numId w:val="32"/>
        </w:numPr>
        <w:spacing w:after="171" w:line="250" w:lineRule="auto"/>
        <w:ind w:right="11" w:hanging="1080"/>
        <w:jc w:val="both"/>
        <w:rPr>
          <w:rFonts w:ascii="Verdana" w:hAnsi="Verdana"/>
        </w:rPr>
      </w:pPr>
      <w:r w:rsidRPr="005B5CB6">
        <w:rPr>
          <w:rFonts w:ascii="Verdana" w:eastAsia="Verdana" w:hAnsi="Verdana" w:cs="Verdana"/>
        </w:rPr>
        <w:t xml:space="preserve">First, it uses a universally understandable ‘language’ so that participants can express or understand subjective viewpoints.  Expression is for those who actively contribute (the decisionmakers) whereas understanding is for those who passively interpret (those who are affected by decisions made in their name). This is transparency writ large. </w:t>
      </w:r>
    </w:p>
    <w:p w:rsidR="00FB0B24" w:rsidRPr="005B5CB6" w:rsidP="003255A4">
      <w:pPr>
        <w:numPr>
          <w:ilvl w:val="2"/>
          <w:numId w:val="32"/>
        </w:numPr>
        <w:spacing w:after="5" w:line="250" w:lineRule="auto"/>
        <w:ind w:right="11" w:hanging="1080"/>
        <w:jc w:val="both"/>
        <w:rPr>
          <w:rFonts w:ascii="Verdana" w:hAnsi="Verdana"/>
        </w:rPr>
      </w:pPr>
      <w:r w:rsidRPr="005B5CB6">
        <w:rPr>
          <w:rFonts w:ascii="Verdana" w:eastAsia="Verdana" w:hAnsi="Verdana" w:cs="Verdana"/>
        </w:rPr>
        <w:t xml:space="preserve">“ic!®” departs from all conventional thinking - a unique, innovative algorithm </w:t>
      </w:r>
      <w:r w:rsidRPr="005B5CB6">
        <w:rPr>
          <w:rFonts w:ascii="Verdana" w:eastAsia="Verdana" w:hAnsi="Verdana" w:cs="Verdana"/>
          <w:b/>
        </w:rPr>
        <w:t>[1]</w:t>
      </w:r>
      <w:r w:rsidRPr="005B5CB6">
        <w:rPr>
          <w:rFonts w:ascii="Verdana" w:eastAsia="Verdana" w:hAnsi="Verdana" w:cs="Verdana"/>
        </w:rPr>
        <w:t xml:space="preserve"> that always produces the best choice, no matter what the subject or issue, nor how many participants are involved.  Based solely on the views expressed and/or understood by participants, as in 3.2.1 above, all can rest assured, collectively, that the best choice has been made with each of their ‘voices’ properly ‘heard’.  </w:t>
      </w:r>
    </w:p>
    <w:p w:rsidR="00FB0B24" w:rsidRPr="005B5CB6" w:rsidP="003255A4">
      <w:pPr>
        <w:numPr>
          <w:ilvl w:val="1"/>
          <w:numId w:val="32"/>
        </w:numPr>
        <w:spacing w:after="170" w:line="250" w:lineRule="auto"/>
        <w:ind w:left="1081" w:right="11" w:hanging="720"/>
        <w:jc w:val="both"/>
        <w:rPr>
          <w:rFonts w:ascii="Verdana" w:hAnsi="Verdana"/>
        </w:rPr>
      </w:pPr>
      <w:r w:rsidRPr="005B5CB6">
        <w:rPr>
          <w:rFonts w:ascii="Verdana" w:eastAsia="Verdana" w:hAnsi="Verdana" w:cs="Verdana"/>
        </w:rPr>
        <w:t xml:space="preserve">By making “ic!®” available free of charge, (like www.), wide use should be encouraged by both active and passive participants alike.  And, on a website devoid of commercial influences (no advertisements, subscriptions, commissions, donations or sponsorships), it remains beyond reproach, unlike whiffs of suspicion about comparison websites.   </w:t>
      </w:r>
    </w:p>
    <w:p w:rsidR="00FB0B24" w:rsidRPr="005B5CB6" w:rsidP="003255A4">
      <w:pPr>
        <w:numPr>
          <w:ilvl w:val="1"/>
          <w:numId w:val="32"/>
        </w:numPr>
        <w:spacing w:after="171" w:line="250" w:lineRule="auto"/>
        <w:ind w:left="1081" w:right="11" w:hanging="720"/>
        <w:jc w:val="both"/>
        <w:rPr>
          <w:rFonts w:ascii="Verdana" w:hAnsi="Verdana"/>
        </w:rPr>
      </w:pPr>
      <w:r w:rsidRPr="005B5CB6">
        <w:rPr>
          <w:rFonts w:ascii="Verdana" w:eastAsia="Verdana" w:hAnsi="Verdana" w:cs="Verdana"/>
        </w:rPr>
        <w:t xml:space="preserve">And, it must be easy to use and understand.  Whilst early versions of “ic!®” will always be open to improvement, ‘what-if’ facilities are already available to ‘flex’ and ‘test’ the result.  Furthermore, planned development of “ic!®” will enhance matters considerably in due course. For example, a library of decisions/choices is envisaged to provide a basic template for any subject or issue under review (à la Wikipedia, but with attitude) plus a sensitivity analysis to highlight vulnerable areas, and many more. </w:t>
      </w:r>
    </w:p>
    <w:p w:rsidR="00FB0B24" w:rsidRPr="005B5CB6" w:rsidP="003255A4">
      <w:pPr>
        <w:numPr>
          <w:ilvl w:val="1"/>
          <w:numId w:val="32"/>
        </w:numPr>
        <w:spacing w:after="171" w:line="250" w:lineRule="auto"/>
        <w:ind w:left="1081" w:right="11" w:hanging="720"/>
        <w:jc w:val="both"/>
        <w:rPr>
          <w:rFonts w:ascii="Verdana" w:hAnsi="Verdana"/>
        </w:rPr>
      </w:pPr>
      <w:r w:rsidRPr="005B5CB6">
        <w:rPr>
          <w:rFonts w:ascii="Verdana" w:eastAsia="Verdana" w:hAnsi="Verdana" w:cs="Verdana"/>
        </w:rPr>
        <w:t xml:space="preserve">Because “ic!®” applies to any subject or issue, copes with any number of people (whether alone or jointly with others), and always makes the best choice, its ubiquity will, in time, be realised.  Procurement, recruitment, financial services, medicine, corporate governance, etc. are just some areas of application.  So, for choices made professionally, publicly or privately, “ic!®” may well evolve to become the </w:t>
      </w:r>
      <w:r w:rsidRPr="005B5CB6">
        <w:rPr>
          <w:rFonts w:ascii="Verdana" w:eastAsia="Verdana" w:hAnsi="Verdana" w:cs="Verdana"/>
          <w:i/>
        </w:rPr>
        <w:t>de facto</w:t>
      </w:r>
      <w:r w:rsidRPr="005B5CB6">
        <w:rPr>
          <w:rFonts w:ascii="Verdana" w:eastAsia="Verdana" w:hAnsi="Verdana" w:cs="Verdana"/>
        </w:rPr>
        <w:t xml:space="preserve"> methodology.  </w:t>
      </w:r>
    </w:p>
    <w:p w:rsidR="00FB0B24" w:rsidRPr="005B5CB6" w:rsidP="003255A4">
      <w:pPr>
        <w:numPr>
          <w:ilvl w:val="1"/>
          <w:numId w:val="32"/>
        </w:numPr>
        <w:spacing w:after="159" w:line="250" w:lineRule="auto"/>
        <w:ind w:left="1081" w:right="11" w:hanging="720"/>
        <w:jc w:val="both"/>
        <w:rPr>
          <w:rFonts w:ascii="Verdana" w:hAnsi="Verdana"/>
        </w:rPr>
      </w:pPr>
      <w:r w:rsidRPr="005B5CB6">
        <w:rPr>
          <w:rFonts w:ascii="Verdana" w:eastAsia="Verdana" w:hAnsi="Verdana" w:cs="Verdana"/>
        </w:rPr>
        <w:t xml:space="preserve">Finally, “ic!®” always makes the best choice no matter how many participants are involved, ergo unity and commitment.  And, with a universally understandable ‘language’, this form of transparency begets real, meaningful public accountability.  </w:t>
      </w:r>
    </w:p>
    <w:p w:rsidR="00FB0B24" w:rsidRPr="005B5CB6" w:rsidP="003255A4">
      <w:pPr>
        <w:spacing w:after="162" w:line="249" w:lineRule="auto"/>
        <w:ind w:left="10" w:hanging="10"/>
        <w:jc w:val="both"/>
        <w:rPr>
          <w:rFonts w:ascii="Verdana" w:hAnsi="Verdana"/>
        </w:rPr>
      </w:pPr>
      <w:r w:rsidRPr="005B5CB6">
        <w:rPr>
          <w:rFonts w:ascii="Verdana" w:eastAsia="Verdana" w:hAnsi="Verdana" w:cs="Verdana"/>
          <w:b/>
        </w:rPr>
        <w:t xml:space="preserve">[1]   </w:t>
      </w:r>
      <w:r w:rsidRPr="005B5CB6">
        <w:rPr>
          <w:rFonts w:ascii="Verdana" w:eastAsia="Verdana" w:hAnsi="Verdana" w:cs="Verdana"/>
          <w:i/>
        </w:rPr>
        <w:t>subjected to the rigours of Academia and proclaimed by Professors of Decision Theory as “unique and ingeniously simple”</w:t>
      </w:r>
      <w:r w:rsidRPr="005B5CB6">
        <w:rPr>
          <w:rFonts w:ascii="Verdana" w:eastAsia="Verdana" w:hAnsi="Verdana" w:cs="Verdana"/>
        </w:rPr>
        <w:t xml:space="preserve">. </w:t>
      </w:r>
    </w:p>
    <w:p w:rsidR="00FB0B24" w:rsidRPr="005B5CB6" w:rsidP="003255A4">
      <w:pPr>
        <w:numPr>
          <w:ilvl w:val="0"/>
          <w:numId w:val="33"/>
        </w:numPr>
        <w:spacing w:after="220" w:line="250" w:lineRule="auto"/>
        <w:ind w:hanging="360"/>
        <w:jc w:val="both"/>
        <w:rPr>
          <w:rFonts w:ascii="Verdana" w:hAnsi="Verdana"/>
        </w:rPr>
      </w:pPr>
      <w:r w:rsidRPr="005B5CB6">
        <w:rPr>
          <w:rFonts w:ascii="Verdana" w:eastAsia="Verdana" w:hAnsi="Verdana" w:cs="Verdana"/>
          <w:b/>
        </w:rPr>
        <w:t>Informed Choice – ic!</w:t>
      </w:r>
      <w:r w:rsidRPr="005B5CB6">
        <w:rPr>
          <w:rFonts w:ascii="Verdana" w:eastAsia="Verdana" w:hAnsi="Verdana" w:cs="Verdana"/>
        </w:rPr>
        <w:t>®</w:t>
      </w:r>
      <w:r w:rsidRPr="005B5CB6">
        <w:rPr>
          <w:rFonts w:ascii="Verdana" w:eastAsia="Verdana" w:hAnsi="Verdana" w:cs="Verdana"/>
          <w:b/>
        </w:rPr>
        <w:t>”</w:t>
      </w:r>
      <w:r w:rsidRPr="005B5CB6">
        <w:rPr>
          <w:rFonts w:ascii="Verdana" w:eastAsia="Verdana" w:hAnsi="Verdana" w:cs="Verdana"/>
        </w:rPr>
        <w:t xml:space="preserve"> – a working example </w:t>
      </w:r>
    </w:p>
    <w:p w:rsidR="00FB0B24" w:rsidRPr="005B5CB6" w:rsidP="003255A4">
      <w:pPr>
        <w:numPr>
          <w:ilvl w:val="1"/>
          <w:numId w:val="33"/>
        </w:numPr>
        <w:spacing w:after="223" w:line="250" w:lineRule="auto"/>
        <w:ind w:right="11" w:hanging="720"/>
        <w:jc w:val="both"/>
        <w:rPr>
          <w:rFonts w:ascii="Verdana" w:hAnsi="Verdana"/>
        </w:rPr>
      </w:pPr>
      <w:r w:rsidRPr="005B5CB6">
        <w:rPr>
          <w:rFonts w:ascii="Verdana" w:eastAsia="Verdana" w:hAnsi="Verdana" w:cs="Verdana"/>
        </w:rPr>
        <w:t xml:space="preserve">Please visit </w:t>
      </w:r>
      <w:r>
        <w:fldChar w:fldCharType="begin"/>
      </w:r>
      <w:r>
        <w:instrText xml:space="preserve"> HYPERLINK "http://www.eunicorn.uk/" </w:instrText>
      </w:r>
      <w:r>
        <w:fldChar w:fldCharType="separate"/>
      </w:r>
      <w:r w:rsidRPr="005B5CB6">
        <w:rPr>
          <w:rFonts w:ascii="Verdana" w:eastAsia="Verdana" w:hAnsi="Verdana" w:cs="Verdana"/>
          <w:color w:val="0563C1"/>
          <w:u w:val="single" w:color="0563C1"/>
        </w:rPr>
        <w:t>www.eunicorn.uk</w:t>
      </w:r>
      <w:r>
        <w:fldChar w:fldCharType="end"/>
      </w:r>
      <w:r>
        <w:fldChar w:fldCharType="begin"/>
      </w:r>
      <w:r>
        <w:instrText xml:space="preserve"> HYPERLINK "http://www.eunicorn.uk/" </w:instrText>
      </w:r>
      <w:r>
        <w:fldChar w:fldCharType="separate"/>
      </w:r>
      <w:r w:rsidRPr="005B5CB6">
        <w:rPr>
          <w:rFonts w:ascii="Verdana" w:eastAsia="Verdana" w:hAnsi="Verdana" w:cs="Verdana"/>
          <w:color w:val="0563C1"/>
          <w:u w:val="single" w:color="0563C1"/>
        </w:rPr>
        <w:t xml:space="preserve"> </w:t>
      </w:r>
      <w:r>
        <w:fldChar w:fldCharType="end"/>
      </w:r>
      <w:r w:rsidRPr="005B5CB6">
        <w:rPr>
          <w:rFonts w:ascii="Verdana" w:eastAsia="Verdana" w:hAnsi="Verdana" w:cs="Verdana"/>
        </w:rPr>
        <w:t xml:space="preserve">for an example of how the Referendum could have been approached using this new methodology wherein the ‘will of the people’ would have been unequivocally clear instead of open to the vagaries of interpretations.   </w:t>
      </w:r>
    </w:p>
    <w:p w:rsidR="00FB0B24" w:rsidRPr="005B5CB6" w:rsidP="003255A4">
      <w:pPr>
        <w:numPr>
          <w:ilvl w:val="1"/>
          <w:numId w:val="33"/>
        </w:numPr>
        <w:spacing w:after="162" w:line="250" w:lineRule="auto"/>
        <w:ind w:right="11" w:hanging="720"/>
        <w:jc w:val="both"/>
        <w:rPr>
          <w:rFonts w:ascii="Verdana" w:hAnsi="Verdana"/>
        </w:rPr>
      </w:pPr>
      <w:r w:rsidRPr="005B5CB6">
        <w:rPr>
          <w:rFonts w:ascii="Verdana" w:eastAsia="Verdana" w:hAnsi="Verdana" w:cs="Verdana"/>
        </w:rPr>
        <w:t xml:space="preserve">First, you will see the criteria have been clearly defined, both briefly and in depth (click on the chevron next to the relevant criterion).  Note that the prose used for these descriptions is distinctly neutral so as not to influence the user in any way, neither overtly nor covertly.  First, the user expresses how important each criterion is to them, using a percentage scale.   Starting with the most important (100%) – and there may be more than one criterion at 100% - whilst the rest are graded according to their importance to the user, and relative to other criteria, right down to 0% meaning of no importance at all. </w:t>
      </w:r>
    </w:p>
    <w:p w:rsidR="00FB0B24" w:rsidRPr="005B5CB6" w:rsidP="003255A4">
      <w:pPr>
        <w:spacing w:after="5" w:line="249" w:lineRule="auto"/>
        <w:ind w:left="251" w:right="436" w:hanging="10"/>
        <w:jc w:val="both"/>
        <w:rPr>
          <w:rFonts w:ascii="Verdana" w:hAnsi="Verdana"/>
        </w:rPr>
      </w:pPr>
      <w:r w:rsidRPr="005B5CB6">
        <w:rPr>
          <w:rFonts w:ascii="Verdana" w:eastAsia="Verdana" w:hAnsi="Verdana" w:cs="Verdana"/>
        </w:rPr>
        <w:t xml:space="preserve">When completed, save the results and move to the next stage. </w:t>
      </w:r>
    </w:p>
    <w:p w:rsidR="00FB0B24" w:rsidRPr="005B5CB6" w:rsidP="003255A4">
      <w:pPr>
        <w:numPr>
          <w:ilvl w:val="1"/>
          <w:numId w:val="34"/>
        </w:numPr>
        <w:spacing w:after="168" w:line="250" w:lineRule="auto"/>
        <w:ind w:right="11" w:hanging="720"/>
        <w:jc w:val="both"/>
        <w:rPr>
          <w:rFonts w:ascii="Verdana" w:hAnsi="Verdana"/>
        </w:rPr>
      </w:pPr>
      <w:r w:rsidRPr="005B5CB6">
        <w:rPr>
          <w:rFonts w:ascii="Verdana" w:eastAsia="Verdana" w:hAnsi="Verdana" w:cs="Verdana"/>
        </w:rPr>
        <w:t xml:space="preserve">By focusing on each criterion, merit values can be awarded to each option (choice) by way of a universally understandable ‘language’.  Using a personal </w:t>
      </w:r>
      <w:r w:rsidRPr="005B5CB6">
        <w:rPr>
          <w:rFonts w:ascii="Verdana" w:eastAsia="Verdana" w:hAnsi="Verdana" w:cs="Verdana"/>
          <w:b/>
        </w:rPr>
        <w:t>‘yardstick’</w:t>
      </w:r>
      <w:r w:rsidRPr="005B5CB6">
        <w:rPr>
          <w:rFonts w:ascii="Verdana" w:eastAsia="Verdana" w:hAnsi="Verdana" w:cs="Verdana"/>
        </w:rPr>
        <w:t xml:space="preserve"> (the gold bar), this is the user’s ‘ideal’ or standard ‘measure’ of expectation which defies definition or description; it is mostly intuitive and/or conditioned thinking, an opinion or viewpoint.  Against this, </w:t>
      </w:r>
      <w:r w:rsidRPr="005B5CB6">
        <w:rPr>
          <w:rFonts w:ascii="Verdana" w:eastAsia="Verdana" w:hAnsi="Verdana" w:cs="Verdana"/>
        </w:rPr>
        <w:t xml:space="preserve">measure whether the option under review is better or worse than your own </w:t>
      </w:r>
      <w:r w:rsidRPr="005B5CB6">
        <w:rPr>
          <w:rFonts w:ascii="Verdana" w:eastAsia="Verdana" w:hAnsi="Verdana" w:cs="Verdana"/>
          <w:b/>
        </w:rPr>
        <w:t>‘yardstick’</w:t>
      </w:r>
      <w:r w:rsidRPr="005B5CB6">
        <w:rPr>
          <w:rFonts w:ascii="Verdana" w:eastAsia="Verdana" w:hAnsi="Verdana" w:cs="Verdana"/>
        </w:rPr>
        <w:t xml:space="preserve">, and by how much, producing a simple ‘pairwise’ comparison.  This needs to be done for every option against every criterion.  A disciplined and focused thinking on every element of the subject or issue under review and to the exclusion of all other elements, as well as genuinely transparent.  Confusion gives way to clarity of thought. </w:t>
      </w:r>
    </w:p>
    <w:p w:rsidR="00FB0B24" w:rsidRPr="005B5CB6" w:rsidP="003255A4">
      <w:pPr>
        <w:numPr>
          <w:ilvl w:val="1"/>
          <w:numId w:val="34"/>
        </w:numPr>
        <w:spacing w:after="169" w:line="250" w:lineRule="auto"/>
        <w:ind w:right="11" w:hanging="720"/>
        <w:jc w:val="both"/>
        <w:rPr>
          <w:rFonts w:ascii="Verdana" w:hAnsi="Verdana"/>
        </w:rPr>
      </w:pPr>
      <w:r w:rsidRPr="005B5CB6">
        <w:rPr>
          <w:rFonts w:ascii="Verdana" w:eastAsia="Verdana" w:hAnsi="Verdana" w:cs="Verdana"/>
        </w:rPr>
        <w:t xml:space="preserve">When complete, the algorithm calculates the best choice for any participant, whether alone or jointly with others. </w:t>
      </w:r>
    </w:p>
    <w:p w:rsidR="00FB0B24" w:rsidRPr="005B5CB6" w:rsidP="003255A4">
      <w:pPr>
        <w:numPr>
          <w:ilvl w:val="1"/>
          <w:numId w:val="34"/>
        </w:numPr>
        <w:spacing w:after="168" w:line="250" w:lineRule="auto"/>
        <w:ind w:right="11" w:hanging="720"/>
        <w:jc w:val="both"/>
        <w:rPr>
          <w:rFonts w:ascii="Verdana" w:hAnsi="Verdana"/>
        </w:rPr>
      </w:pPr>
      <w:r w:rsidRPr="005B5CB6">
        <w:rPr>
          <w:rFonts w:ascii="Verdana" w:eastAsia="Verdana" w:hAnsi="Verdana" w:cs="Verdana"/>
        </w:rPr>
        <w:t xml:space="preserve">By focusing on the elements of the decision, discrimination evaporates.  Scrutinising any such decision, the background of any participant is not visible.  None of the following characteristics of any participant is revealed - religious persuasion, age, gender, sexual disposition, political proclivity, ‘class’, etc.  Only their ‘voices’, or opinions/views are ‘heard’ and properly taken into account.  Distorting emotive hyperbole and irrelevant rhetoric are thus avoided and unnecessary. </w:t>
      </w:r>
    </w:p>
    <w:p w:rsidR="00FB0B24" w:rsidRPr="005B5CB6" w:rsidP="003255A4">
      <w:pPr>
        <w:numPr>
          <w:ilvl w:val="1"/>
          <w:numId w:val="34"/>
        </w:numPr>
        <w:spacing w:after="173" w:line="250" w:lineRule="auto"/>
        <w:ind w:right="11" w:hanging="720"/>
        <w:jc w:val="both"/>
        <w:rPr>
          <w:rFonts w:ascii="Verdana" w:hAnsi="Verdana"/>
        </w:rPr>
      </w:pPr>
      <w:r w:rsidRPr="005B5CB6">
        <w:rPr>
          <w:rFonts w:ascii="Verdana" w:eastAsia="Verdana" w:hAnsi="Verdana" w:cs="Verdana"/>
        </w:rPr>
        <w:t xml:space="preserve">Coupled with transparency, any dubious aspect of decision-making is either eliminated or revealed. In particular, corruption would be difficult, if not impossible to disguise in pursuit of the best choice for both decisionmakers as well as those affected by the same decisions made in their name.  </w:t>
      </w:r>
    </w:p>
    <w:p w:rsidR="00FB0B24" w:rsidRPr="005B5CB6" w:rsidP="003255A4">
      <w:pPr>
        <w:numPr>
          <w:ilvl w:val="1"/>
          <w:numId w:val="34"/>
        </w:numPr>
        <w:spacing w:after="177" w:line="250" w:lineRule="auto"/>
        <w:ind w:right="11" w:hanging="720"/>
        <w:jc w:val="both"/>
        <w:rPr>
          <w:rFonts w:ascii="Verdana" w:hAnsi="Verdana"/>
        </w:rPr>
      </w:pPr>
      <w:r w:rsidRPr="005B5CB6">
        <w:rPr>
          <w:rFonts w:ascii="Verdana" w:eastAsia="Verdana" w:hAnsi="Verdana" w:cs="Verdana"/>
        </w:rPr>
        <w:t xml:space="preserve">Sunshine is the best disinfectant! </w:t>
      </w:r>
    </w:p>
    <w:p w:rsidR="00FB0B24" w:rsidRPr="005B5CB6" w:rsidP="003255A4">
      <w:pPr>
        <w:numPr>
          <w:ilvl w:val="1"/>
          <w:numId w:val="34"/>
        </w:numPr>
        <w:spacing w:after="5" w:line="250" w:lineRule="auto"/>
        <w:ind w:right="11" w:hanging="720"/>
        <w:jc w:val="both"/>
        <w:rPr>
          <w:rFonts w:ascii="Verdana" w:hAnsi="Verdana"/>
        </w:rPr>
      </w:pPr>
      <w:r w:rsidRPr="005B5CB6">
        <w:rPr>
          <w:rFonts w:ascii="Verdana" w:eastAsia="Verdana" w:hAnsi="Verdana" w:cs="Verdana"/>
        </w:rPr>
        <w:t xml:space="preserve">The software has been thoroughly beta-tested and is available as described above (free of charge on a website devoid of commercial influences) so all we need now is to implement it as a basic procedure, say for Representatives in either or both Houses, or perhaps even for Select Committees (!).   </w:t>
      </w:r>
    </w:p>
    <w:p w:rsidR="00FB0B24" w:rsidRPr="005B5CB6" w:rsidP="003255A4">
      <w:pPr>
        <w:jc w:val="both"/>
        <w:rPr>
          <w:rFonts w:ascii="Verdana" w:hAnsi="Verdana"/>
        </w:rPr>
        <w:sectPr w:rsidSect="00057933">
          <w:headerReference w:type="even" r:id="rId78"/>
          <w:headerReference w:type="default" r:id="rId79"/>
          <w:footerReference w:type="even" r:id="rId80"/>
          <w:footerReference w:type="default" r:id="rId81"/>
          <w:headerReference w:type="first" r:id="rId82"/>
          <w:footerReference w:type="first" r:id="rId83"/>
          <w:pgSz w:w="12240" w:h="15840"/>
          <w:pgMar w:top="1492" w:right="1450" w:bottom="2026" w:left="1439" w:header="720" w:footer="1441" w:gutter="0"/>
          <w:cols w:space="720"/>
        </w:sectPr>
      </w:pPr>
    </w:p>
    <w:p w:rsidR="00FB0B24" w:rsidRPr="005B5CB6" w:rsidP="00A1624B">
      <w:pPr>
        <w:pStyle w:val="Heading1"/>
        <w:rPr>
          <w:sz w:val="22"/>
        </w:rPr>
      </w:pPr>
      <w:bookmarkStart w:id="14" w:name="_Toc44517702"/>
      <w:r w:rsidRPr="005B5CB6">
        <w:rPr>
          <w:sz w:val="22"/>
        </w:rPr>
        <w:t>National Pensioners Convention – written evidence (DAD0018)</w:t>
      </w:r>
      <w:bookmarkEnd w:id="14"/>
      <w:r w:rsidRPr="005B5CB6">
        <w:rPr>
          <w:sz w:val="22"/>
        </w:rPr>
        <w:t xml:space="preserve"> </w:t>
      </w:r>
    </w:p>
    <w:p w:rsidR="00FB0B24" w:rsidRPr="005B5CB6" w:rsidP="00951A38">
      <w:pPr>
        <w:spacing w:after="0"/>
        <w:jc w:val="both"/>
        <w:rPr>
          <w:rFonts w:ascii="Verdana" w:hAnsi="Verdana"/>
        </w:rPr>
      </w:pPr>
      <w:r w:rsidRPr="005B5CB6">
        <w:rPr>
          <w:rFonts w:ascii="Verdana" w:eastAsia="Verdana" w:hAnsi="Verdana" w:cs="Verdana"/>
          <w:b/>
        </w:rPr>
        <w:t xml:space="preserve"> </w:t>
      </w:r>
    </w:p>
    <w:p w:rsidR="00FB0B24" w:rsidRPr="005B5CB6" w:rsidP="00951A38">
      <w:pPr>
        <w:spacing w:after="5" w:line="250" w:lineRule="auto"/>
        <w:ind w:left="11" w:hanging="10"/>
        <w:jc w:val="both"/>
        <w:rPr>
          <w:rFonts w:ascii="Verdana" w:hAnsi="Verdana"/>
        </w:rPr>
      </w:pPr>
      <w:r w:rsidRPr="005B5CB6">
        <w:rPr>
          <w:rFonts w:ascii="Verdana" w:eastAsia="Verdana" w:hAnsi="Verdana" w:cs="Verdana"/>
          <w:b/>
        </w:rPr>
        <w:t xml:space="preserve">Introduction  </w:t>
      </w:r>
    </w:p>
    <w:p w:rsidR="00FB0B24" w:rsidRPr="005B5CB6" w:rsidP="00951A38">
      <w:pPr>
        <w:spacing w:after="0"/>
        <w:jc w:val="both"/>
        <w:rPr>
          <w:rFonts w:ascii="Verdana" w:hAnsi="Verdana"/>
        </w:rPr>
      </w:pPr>
      <w:r w:rsidRPr="005B5CB6">
        <w:rPr>
          <w:rFonts w:ascii="Verdana" w:eastAsia="Verdana" w:hAnsi="Verdana" w:cs="Verdana"/>
          <w:b/>
        </w:rPr>
        <w:t xml:space="preserve"> </w:t>
      </w:r>
    </w:p>
    <w:p w:rsidR="00FB0B24" w:rsidRPr="005B5CB6" w:rsidP="00951A38">
      <w:pPr>
        <w:spacing w:after="5" w:line="249" w:lineRule="auto"/>
        <w:ind w:left="-4" w:hanging="10"/>
        <w:jc w:val="both"/>
        <w:rPr>
          <w:rFonts w:ascii="Verdana" w:hAnsi="Verdana"/>
        </w:rPr>
      </w:pPr>
      <w:r w:rsidRPr="005B5CB6">
        <w:rPr>
          <w:rFonts w:ascii="Verdana" w:eastAsia="Verdana" w:hAnsi="Verdana" w:cs="Verdana"/>
          <w:color w:val="222222"/>
        </w:rPr>
        <w:t xml:space="preserve">The National Pensioners’ Convention (NPC) is Britain’s biggest independent organisation of older people, representing around one thousand local, regional, and national pensioner groups with a total of 1 million members.  We wish to submit views to the Democracy and Digital Select Committee’s Call for Evidence.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spacing w:after="5" w:line="249" w:lineRule="auto"/>
        <w:ind w:left="10" w:right="12" w:hanging="9"/>
        <w:jc w:val="both"/>
        <w:rPr>
          <w:rFonts w:ascii="Verdana" w:hAnsi="Verdana"/>
        </w:rPr>
      </w:pPr>
      <w:r w:rsidRPr="005B5CB6">
        <w:rPr>
          <w:rFonts w:ascii="Verdana" w:eastAsia="Verdana" w:hAnsi="Verdana" w:cs="Verdana"/>
        </w:rPr>
        <w:t xml:space="preserve">The NPC is run by and for pensioners and campaigns for improvements to the income, health and welfare of both today’s and tomorrow’s pensioners and this response is based on the views and experiences of our members as expressed through discussion by our specialist Digital Working Party. </w:t>
      </w:r>
    </w:p>
    <w:p w:rsidR="00FB0B24" w:rsidRPr="005B5CB6" w:rsidP="00951A38">
      <w:pPr>
        <w:spacing w:after="0"/>
        <w:jc w:val="both"/>
        <w:rPr>
          <w:rFonts w:ascii="Verdana" w:hAnsi="Verdana"/>
        </w:rPr>
      </w:pPr>
      <w:r w:rsidRPr="005B5CB6">
        <w:rPr>
          <w:rFonts w:ascii="Verdana" w:eastAsia="Verdana" w:hAnsi="Verdana" w:cs="Verdana"/>
        </w:rPr>
        <w:t xml:space="preserve"> </w:t>
      </w:r>
    </w:p>
    <w:p w:rsidR="00FB0B24" w:rsidRPr="005B5CB6" w:rsidP="00951A38">
      <w:pPr>
        <w:spacing w:after="5" w:line="249" w:lineRule="auto"/>
        <w:ind w:left="-4" w:hanging="10"/>
        <w:jc w:val="both"/>
        <w:rPr>
          <w:rFonts w:ascii="Verdana" w:hAnsi="Verdana"/>
        </w:rPr>
      </w:pPr>
      <w:r w:rsidRPr="005B5CB6">
        <w:rPr>
          <w:rFonts w:ascii="Verdana" w:eastAsia="Verdana" w:hAnsi="Verdana" w:cs="Verdana"/>
          <w:color w:val="222222"/>
        </w:rPr>
        <w:t xml:space="preserve">We note that the Committee wishes to consider the effects of technology on political debates more broadly, and the wider public’s engagement with and participation in political discourse in the digital age.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pStyle w:val="Heading2"/>
        <w:rPr>
          <w:sz w:val="22"/>
        </w:rPr>
      </w:pPr>
      <w:r w:rsidRPr="005B5CB6">
        <w:rPr>
          <w:color w:val="222222"/>
          <w:sz w:val="22"/>
        </w:rPr>
        <w:t xml:space="preserve">The Digital Landscape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spacing w:after="5" w:line="249" w:lineRule="auto"/>
        <w:ind w:left="-4" w:hanging="10"/>
        <w:jc w:val="both"/>
        <w:rPr>
          <w:rFonts w:ascii="Verdana" w:hAnsi="Verdana"/>
        </w:rPr>
      </w:pPr>
      <w:r w:rsidRPr="005B5CB6">
        <w:rPr>
          <w:rFonts w:ascii="Verdana" w:eastAsia="Verdana" w:hAnsi="Verdana" w:cs="Verdana"/>
          <w:color w:val="222222"/>
        </w:rPr>
        <w:t xml:space="preserve">We have looked closely at the questions on which the Committee has invited evidence, but feel that there is a significant omission in considering the issues under scrutiny by not considering the issue of exclusion from participation in online political discourse from non-internet users, particularly amongst elderly people.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spacing w:after="5" w:line="249" w:lineRule="auto"/>
        <w:ind w:left="-4" w:hanging="10"/>
        <w:jc w:val="both"/>
        <w:rPr>
          <w:rFonts w:ascii="Verdana" w:hAnsi="Verdana"/>
        </w:rPr>
      </w:pPr>
      <w:r w:rsidRPr="005B5CB6">
        <w:rPr>
          <w:rFonts w:ascii="Verdana" w:eastAsia="Verdana" w:hAnsi="Verdana" w:cs="Verdana"/>
          <w:color w:val="222222"/>
        </w:rPr>
        <w:t xml:space="preserve">A recent report from the Office of National Statistics “Exploring the UK’s Digital Divide” stated that in 2018 there were still 5.3 million adults in the UK described as internet non-users, representing 10% of the adult UK population.  Our particular focus is on the digital divide affecting older people and we note from the same report that adults over the age of 65 have consistently been the largest proportion of adult non-users, and over half of adult internet non-users were over the age of 75 years.  This confirms that a significant number of adults are excluded from political debate on the internet and other digital platforms such as social media.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spacing w:after="5" w:line="249" w:lineRule="auto"/>
        <w:ind w:left="-4" w:hanging="10"/>
        <w:jc w:val="both"/>
        <w:rPr>
          <w:rFonts w:ascii="Verdana" w:hAnsi="Verdana"/>
        </w:rPr>
      </w:pPr>
      <w:r w:rsidRPr="005B5CB6">
        <w:rPr>
          <w:rFonts w:ascii="Verdana" w:eastAsia="Verdana" w:hAnsi="Verdana" w:cs="Verdana"/>
          <w:color w:val="222222"/>
        </w:rPr>
        <w:t xml:space="preserve">Previous research has confirmed that elderly people are more likely to vote in local and general elections and therefore clearly want to engage in the democratic process.  However, as the political debate is increasingly conducted online elderly people with no access to the internet become excluded from the commentary and debate taking place in the digital world. A further barrier for many elderly people in engaging online is the cost of access to a personal computer or digital tablet, and the on-going costs of a broadband internet service.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spacing w:after="5" w:line="249" w:lineRule="auto"/>
        <w:ind w:left="-4" w:hanging="10"/>
        <w:jc w:val="both"/>
        <w:rPr>
          <w:rFonts w:ascii="Verdana" w:hAnsi="Verdana"/>
        </w:rPr>
      </w:pPr>
      <w:r w:rsidRPr="005B5CB6">
        <w:rPr>
          <w:rFonts w:ascii="Verdana" w:eastAsia="Verdana" w:hAnsi="Verdana" w:cs="Verdana"/>
          <w:color w:val="222222"/>
        </w:rPr>
        <w:t xml:space="preserve">An additional problem is that with the rapid decline of printed newspapers, particularly local newspapers, it is much more difficult for elderly people to gain information and commentary that would be relevant to engaging with the political process either locally or nationally.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pStyle w:val="Heading2"/>
        <w:rPr>
          <w:sz w:val="22"/>
        </w:rPr>
      </w:pPr>
      <w:r w:rsidRPr="005B5CB6">
        <w:rPr>
          <w:color w:val="222222"/>
          <w:sz w:val="22"/>
        </w:rPr>
        <w:t xml:space="preserve">Consultation </w:t>
      </w:r>
    </w:p>
    <w:p w:rsidR="00FB0B24" w:rsidRPr="005B5CB6" w:rsidP="00951A38">
      <w:pPr>
        <w:spacing w:after="0"/>
        <w:jc w:val="both"/>
        <w:rPr>
          <w:rFonts w:ascii="Verdana" w:hAnsi="Verdana"/>
        </w:rPr>
      </w:pPr>
      <w:r w:rsidRPr="005B5CB6">
        <w:rPr>
          <w:rFonts w:ascii="Verdana" w:eastAsia="Verdana" w:hAnsi="Verdana" w:cs="Verdana"/>
          <w:b/>
          <w:color w:val="222222"/>
        </w:rPr>
        <w:t xml:space="preserve"> </w:t>
      </w:r>
    </w:p>
    <w:p w:rsidR="00FB0B24" w:rsidRPr="005B5CB6" w:rsidP="00951A38">
      <w:pPr>
        <w:spacing w:after="5" w:line="250" w:lineRule="auto"/>
        <w:ind w:left="11" w:hanging="10"/>
        <w:jc w:val="both"/>
        <w:rPr>
          <w:rFonts w:ascii="Verdana" w:hAnsi="Verdana"/>
        </w:rPr>
      </w:pPr>
      <w:r w:rsidRPr="005B5CB6">
        <w:rPr>
          <w:rFonts w:ascii="Verdana" w:eastAsia="Verdana" w:hAnsi="Verdana" w:cs="Verdana"/>
          <w:b/>
        </w:rPr>
        <w:t xml:space="preserve">We have confined our responses to those areas we have identified as being most important to, and having most impact, on older people.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spacing w:after="5" w:line="249" w:lineRule="auto"/>
        <w:ind w:left="-5" w:hanging="10"/>
        <w:jc w:val="both"/>
        <w:rPr>
          <w:rFonts w:ascii="Verdana" w:hAnsi="Verdana"/>
        </w:rPr>
      </w:pPr>
      <w:r w:rsidRPr="005B5CB6">
        <w:rPr>
          <w:rFonts w:ascii="Verdana" w:eastAsia="Verdana" w:hAnsi="Verdana" w:cs="Verdana"/>
          <w:b/>
          <w:color w:val="222222"/>
        </w:rPr>
        <w:t>Question 1</w:t>
      </w:r>
      <w:r w:rsidRPr="005B5CB6">
        <w:rPr>
          <w:rFonts w:ascii="Verdana" w:eastAsia="Verdana" w:hAnsi="Verdana" w:cs="Verdana"/>
          <w:color w:val="222222"/>
        </w:rPr>
        <w:t xml:space="preserve"> (</w:t>
      </w:r>
      <w:r w:rsidRPr="005B5CB6">
        <w:rPr>
          <w:rFonts w:ascii="Verdana" w:eastAsia="Verdana" w:hAnsi="Verdana" w:cs="Verdana"/>
          <w:i/>
          <w:color w:val="222222"/>
        </w:rPr>
        <w:t>“How has digital technology changed the way that democracy works in the UK and has this been a net positive or negative effect</w:t>
      </w:r>
      <w:r w:rsidRPr="005B5CB6">
        <w:rPr>
          <w:rFonts w:ascii="Verdana" w:eastAsia="Verdana" w:hAnsi="Verdana" w:cs="Verdana"/>
          <w:color w:val="222222"/>
        </w:rPr>
        <w:t xml:space="preserve">?”). </w:t>
      </w:r>
    </w:p>
    <w:p w:rsidR="00FB0B24" w:rsidRPr="005B5CB6" w:rsidP="00951A38">
      <w:pPr>
        <w:spacing w:after="5" w:line="249" w:lineRule="auto"/>
        <w:ind w:left="-4" w:hanging="10"/>
        <w:jc w:val="both"/>
        <w:rPr>
          <w:rFonts w:ascii="Verdana" w:hAnsi="Verdana"/>
        </w:rPr>
      </w:pPr>
      <w:r w:rsidRPr="005B5CB6">
        <w:rPr>
          <w:rFonts w:ascii="Verdana" w:eastAsia="Verdana" w:hAnsi="Verdana" w:cs="Verdana"/>
          <w:color w:val="222222"/>
        </w:rPr>
        <w:t xml:space="preserve">It is our view that digital technology has had a net negative effect on the way democracy works in the UK.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spacing w:after="5" w:line="249" w:lineRule="auto"/>
        <w:ind w:left="10" w:hanging="10"/>
        <w:jc w:val="both"/>
        <w:rPr>
          <w:rFonts w:ascii="Verdana" w:hAnsi="Verdana"/>
        </w:rPr>
      </w:pPr>
      <w:r w:rsidRPr="005B5CB6">
        <w:rPr>
          <w:rFonts w:ascii="Verdana" w:eastAsia="Verdana" w:hAnsi="Verdana" w:cs="Verdana"/>
          <w:b/>
        </w:rPr>
        <w:t>Question 3</w:t>
      </w:r>
      <w:r w:rsidRPr="005B5CB6">
        <w:rPr>
          <w:rFonts w:ascii="Verdana" w:eastAsia="Verdana" w:hAnsi="Verdana" w:cs="Verdana"/>
        </w:rPr>
        <w:t xml:space="preserve"> (“</w:t>
      </w:r>
      <w:r w:rsidRPr="005B5CB6">
        <w:rPr>
          <w:rFonts w:ascii="Verdana" w:eastAsia="Verdana" w:hAnsi="Verdana" w:cs="Verdana"/>
          <w:i/>
        </w:rPr>
        <w:t>What role should every stage of education play in helping to create a healthy, active, digitally literate democracy?”).</w:t>
      </w:r>
      <w:r w:rsidRPr="005B5CB6">
        <w:rPr>
          <w:rFonts w:ascii="Verdana" w:eastAsia="Verdana" w:hAnsi="Verdana" w:cs="Verdana"/>
        </w:rPr>
        <w:t xml:space="preserve">  </w:t>
      </w:r>
    </w:p>
    <w:p w:rsidR="00FB0B24" w:rsidRPr="005B5CB6" w:rsidP="00951A38">
      <w:pPr>
        <w:spacing w:after="5" w:line="249" w:lineRule="auto"/>
        <w:ind w:left="10" w:right="12" w:hanging="9"/>
        <w:jc w:val="both"/>
        <w:rPr>
          <w:rFonts w:ascii="Verdana" w:hAnsi="Verdana"/>
        </w:rPr>
      </w:pPr>
      <w:r w:rsidRPr="005B5CB6">
        <w:rPr>
          <w:rFonts w:ascii="Verdana" w:eastAsia="Verdana" w:hAnsi="Verdana" w:cs="Verdana"/>
        </w:rPr>
        <w:t xml:space="preserve">We feel that media/data literacy should be part of the National Curriculum. From primary school to university, continuing professional education and Adult Education/Life-Long Learning courses should enable children and adults to learn new digital skills; to receive advice and guidance on ‘staying safe’ online; and to discern, distinguish and guard against ‘false news’.   </w:t>
      </w:r>
    </w:p>
    <w:p w:rsidR="00FB0B24" w:rsidRPr="005B5CB6" w:rsidP="00951A38">
      <w:pPr>
        <w:spacing w:after="0"/>
        <w:jc w:val="both"/>
        <w:rPr>
          <w:rFonts w:ascii="Verdana" w:hAnsi="Verdana"/>
        </w:rPr>
      </w:pPr>
      <w:r w:rsidRPr="005B5CB6">
        <w:rPr>
          <w:rFonts w:ascii="Verdana" w:eastAsia="Verdana" w:hAnsi="Verdana" w:cs="Verdana"/>
        </w:rPr>
        <w:t xml:space="preserve"> </w:t>
      </w:r>
    </w:p>
    <w:p w:rsidR="00FB0B24" w:rsidRPr="005B5CB6" w:rsidP="00951A38">
      <w:pPr>
        <w:spacing w:after="5" w:line="249" w:lineRule="auto"/>
        <w:ind w:left="-5" w:hanging="10"/>
        <w:jc w:val="both"/>
        <w:rPr>
          <w:rFonts w:ascii="Verdana" w:hAnsi="Verdana"/>
        </w:rPr>
      </w:pPr>
      <w:r w:rsidRPr="005B5CB6">
        <w:rPr>
          <w:rFonts w:ascii="Verdana" w:eastAsia="Verdana" w:hAnsi="Verdana" w:cs="Verdana"/>
          <w:b/>
          <w:color w:val="222222"/>
        </w:rPr>
        <w:t>Question 10</w:t>
      </w:r>
      <w:r w:rsidRPr="005B5CB6">
        <w:rPr>
          <w:rFonts w:ascii="Verdana" w:eastAsia="Verdana" w:hAnsi="Verdana" w:cs="Verdana"/>
          <w:color w:val="222222"/>
        </w:rPr>
        <w:t xml:space="preserve"> (“</w:t>
      </w:r>
      <w:r w:rsidRPr="005B5CB6">
        <w:rPr>
          <w:rFonts w:ascii="Verdana" w:eastAsia="Verdana" w:hAnsi="Verdana" w:cs="Verdana"/>
          <w:i/>
          <w:color w:val="222222"/>
        </w:rPr>
        <w:t>What might be the best way of reducing the effects of misinformation on social media platforms</w:t>
      </w:r>
      <w:r w:rsidRPr="005B5CB6">
        <w:rPr>
          <w:rFonts w:ascii="Verdana" w:eastAsia="Verdana" w:hAnsi="Verdana" w:cs="Verdana"/>
          <w:color w:val="222222"/>
        </w:rPr>
        <w:t xml:space="preserve">?”). </w:t>
      </w:r>
    </w:p>
    <w:p w:rsidR="00FB0B24" w:rsidRPr="005B5CB6" w:rsidP="00951A38">
      <w:pPr>
        <w:spacing w:after="5" w:line="249" w:lineRule="auto"/>
        <w:ind w:left="10" w:right="12" w:hanging="9"/>
        <w:jc w:val="both"/>
        <w:rPr>
          <w:rFonts w:ascii="Verdana" w:hAnsi="Verdana"/>
        </w:rPr>
      </w:pPr>
      <w:r w:rsidRPr="005B5CB6">
        <w:rPr>
          <w:rFonts w:ascii="Verdana" w:eastAsia="Verdana" w:hAnsi="Verdana" w:cs="Verdana"/>
          <w:color w:val="222222"/>
        </w:rPr>
        <w:t>We suggest d</w:t>
      </w:r>
      <w:r w:rsidRPr="005B5CB6">
        <w:rPr>
          <w:rFonts w:ascii="Verdana" w:eastAsia="Verdana" w:hAnsi="Verdana" w:cs="Verdana"/>
        </w:rPr>
        <w:t xml:space="preserve">esignating internet companies as publishers would bring them within the remit of contempt of court legislation and existing media law. We agree with the Cairncross review’s recommendation for a ‘News Quality Obligation’: online platforms would be under an obligation or “regulatory supervision” requiring them to improve how users understand the origin of a news article and the trustworthiness of its source. We support the NUJ’s call for a levy on Facebook and Google to fund public-interest journalism.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spacing w:after="2" w:line="249" w:lineRule="auto"/>
        <w:ind w:left="-12" w:right="-10"/>
        <w:jc w:val="both"/>
        <w:rPr>
          <w:rFonts w:ascii="Verdana" w:hAnsi="Verdana"/>
        </w:rPr>
      </w:pPr>
      <w:r w:rsidRPr="005B5CB6">
        <w:rPr>
          <w:rFonts w:ascii="Verdana" w:eastAsia="Verdana" w:hAnsi="Verdana" w:cs="Verdana"/>
          <w:b/>
        </w:rPr>
        <w:t xml:space="preserve">Question 12 </w:t>
      </w:r>
      <w:r w:rsidRPr="005B5CB6">
        <w:rPr>
          <w:rFonts w:ascii="Verdana" w:eastAsia="Verdana" w:hAnsi="Verdana" w:cs="Verdana"/>
        </w:rPr>
        <w:t>(“</w:t>
      </w:r>
      <w:r w:rsidRPr="005B5CB6">
        <w:rPr>
          <w:rFonts w:ascii="Verdana" w:eastAsia="Verdana" w:hAnsi="Verdana" w:cs="Verdana"/>
          <w:i/>
        </w:rPr>
        <w:t xml:space="preserve">How could the Government better support the positive work of civil society organisations using technology to facilitate engagement with democratic processes?”).  </w:t>
      </w:r>
    </w:p>
    <w:p w:rsidR="00FB0B24" w:rsidRPr="005B5CB6" w:rsidP="00951A38">
      <w:pPr>
        <w:spacing w:after="5" w:line="249" w:lineRule="auto"/>
        <w:ind w:left="10" w:right="12" w:hanging="9"/>
        <w:jc w:val="both"/>
        <w:rPr>
          <w:rFonts w:ascii="Verdana" w:hAnsi="Verdana"/>
        </w:rPr>
      </w:pPr>
      <w:r w:rsidRPr="005B5CB6">
        <w:rPr>
          <w:rFonts w:ascii="Verdana" w:eastAsia="Verdana" w:hAnsi="Verdana" w:cs="Verdana"/>
        </w:rPr>
        <w:t xml:space="preserve">We support calls for more funding for digital literacy projects, and wider awareness of locally provided services to help get more older people online on computers and phones, and to provide access and free use of computers in communities.  Over a third of 65-74 year olds are not using the internet (Ofcom report, 25 April 2018).  One specific area requiring improvement is much faster broadband speeds across the whole of the United Kingdom. The failure to tackle poor quality broadband services in rural areas currently acts as a disincentive for people living in those locations to deploy digital technologies as a means of democratic engagement and participation. It is also important that existing nondigital methods of citizen engagement and enrolment must be allowed to continue, particularly for older persons residing in non-private facilities such as care homes. The right to vote in person at polling stations and by postal vote must continue to be safeguarded for the indefinite future to cater for all those who choose to deploy non-digital forms of political engagement. </w:t>
      </w:r>
    </w:p>
    <w:p w:rsidR="00FB0B24" w:rsidRPr="005B5CB6" w:rsidP="00951A38">
      <w:pPr>
        <w:spacing w:after="0"/>
        <w:ind w:left="1"/>
        <w:jc w:val="both"/>
        <w:rPr>
          <w:rFonts w:ascii="Verdana" w:hAnsi="Verdana"/>
        </w:rPr>
      </w:pPr>
      <w:r w:rsidRPr="005B5CB6">
        <w:rPr>
          <w:rFonts w:ascii="Verdana" w:eastAsia="Verdana" w:hAnsi="Verdana" w:cs="Verdana"/>
        </w:rPr>
        <w:t xml:space="preserve"> </w:t>
      </w:r>
    </w:p>
    <w:p w:rsidR="00FB0B24" w:rsidRPr="005B5CB6" w:rsidP="00951A38">
      <w:pPr>
        <w:spacing w:after="5" w:line="250" w:lineRule="auto"/>
        <w:ind w:left="11" w:hanging="10"/>
        <w:jc w:val="both"/>
        <w:rPr>
          <w:rFonts w:ascii="Verdana" w:hAnsi="Verdana"/>
        </w:rPr>
      </w:pPr>
      <w:r w:rsidRPr="005B5CB6">
        <w:rPr>
          <w:rFonts w:ascii="Verdana" w:eastAsia="Verdana" w:hAnsi="Verdana" w:cs="Verdana"/>
          <w:b/>
        </w:rPr>
        <w:t xml:space="preserve">Conclusion </w:t>
      </w:r>
    </w:p>
    <w:p w:rsidR="00FB0B24" w:rsidRPr="005B5CB6" w:rsidP="00951A38">
      <w:pPr>
        <w:spacing w:after="0"/>
        <w:ind w:left="1"/>
        <w:jc w:val="both"/>
        <w:rPr>
          <w:rFonts w:ascii="Verdana" w:hAnsi="Verdana"/>
        </w:rPr>
      </w:pPr>
      <w:r w:rsidRPr="005B5CB6">
        <w:rPr>
          <w:rFonts w:ascii="Verdana" w:eastAsia="Verdana" w:hAnsi="Verdana" w:cs="Verdana"/>
        </w:rPr>
        <w:t xml:space="preserve"> </w:t>
      </w:r>
    </w:p>
    <w:p w:rsidR="00FB0B24" w:rsidRPr="005B5CB6" w:rsidP="00951A38">
      <w:pPr>
        <w:spacing w:after="5" w:line="249" w:lineRule="auto"/>
        <w:ind w:left="-4" w:hanging="10"/>
        <w:jc w:val="both"/>
        <w:rPr>
          <w:rFonts w:ascii="Verdana" w:hAnsi="Verdana"/>
        </w:rPr>
      </w:pPr>
      <w:r w:rsidRPr="005B5CB6">
        <w:rPr>
          <w:rFonts w:ascii="Verdana" w:eastAsia="Verdana" w:hAnsi="Verdana" w:cs="Verdana"/>
          <w:color w:val="222222"/>
        </w:rPr>
        <w:t xml:space="preserve">Whilst we accept that the Committee’s Inquiry is focussed on the impact of digital technologies on the democratic public discourse, we do feel that the Committee should also look into the issue of how elderly people can access information that is currently online and be able to fully participate in the democratic process.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spacing w:after="5" w:line="249" w:lineRule="auto"/>
        <w:ind w:left="-4" w:hanging="10"/>
        <w:jc w:val="both"/>
        <w:rPr>
          <w:rFonts w:ascii="Verdana" w:hAnsi="Verdana"/>
        </w:rPr>
      </w:pPr>
      <w:r w:rsidRPr="005B5CB6">
        <w:rPr>
          <w:rFonts w:ascii="Verdana" w:eastAsia="Verdana" w:hAnsi="Verdana" w:cs="Verdana"/>
          <w:color w:val="222222"/>
        </w:rPr>
        <w:t xml:space="preserve">Technology can help tackle many issues, but at the same time technology and its use should be a choice and people should have access to the same information through all means, whether digital or print. As technologies continue to advance and </w:t>
      </w:r>
      <w:r w:rsidRPr="005B5CB6">
        <w:rPr>
          <w:rFonts w:ascii="Verdana" w:eastAsia="Verdana" w:hAnsi="Verdana" w:cs="Verdana"/>
        </w:rPr>
        <w:t>because of the fast-moving nature of technology</w:t>
      </w:r>
      <w:r w:rsidRPr="005B5CB6">
        <w:rPr>
          <w:rFonts w:ascii="Verdana" w:eastAsia="Verdana" w:hAnsi="Verdana" w:cs="Verdana"/>
          <w:color w:val="222222"/>
        </w:rPr>
        <w:t xml:space="preserve">, it is important that those who either choose not to or are unable to make use of new technologies are not excluded from society and that access via alternative nondigital means are always made easily available and accessible.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spacing w:after="5" w:line="249" w:lineRule="auto"/>
        <w:ind w:left="-4" w:hanging="10"/>
        <w:jc w:val="both"/>
        <w:rPr>
          <w:rFonts w:ascii="Verdana" w:hAnsi="Verdana"/>
        </w:rPr>
      </w:pPr>
      <w:r w:rsidRPr="005B5CB6">
        <w:rPr>
          <w:rFonts w:ascii="Verdana" w:eastAsia="Verdana" w:hAnsi="Verdana" w:cs="Verdana"/>
          <w:color w:val="222222"/>
        </w:rPr>
        <w:t xml:space="preserve">We have attempted to give brief responses to some of the questions posed by the Committee and would be happy to provide further evidence on the digital divide that excludes many elderly people from engaging in the online public discourse.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spacing w:after="5" w:line="249" w:lineRule="auto"/>
        <w:ind w:left="-4" w:hanging="10"/>
        <w:jc w:val="both"/>
        <w:rPr>
          <w:rFonts w:ascii="Verdana" w:hAnsi="Verdana"/>
        </w:rPr>
      </w:pPr>
      <w:r w:rsidRPr="005B5CB6">
        <w:rPr>
          <w:rFonts w:ascii="Verdana" w:eastAsia="Verdana" w:hAnsi="Verdana" w:cs="Verdana"/>
          <w:color w:val="222222"/>
        </w:rPr>
        <w:t xml:space="preserve">Yours sincerely </w:t>
      </w:r>
    </w:p>
    <w:p w:rsidR="00FB0B24" w:rsidRPr="005B5CB6" w:rsidP="00951A38">
      <w:pPr>
        <w:spacing w:after="0"/>
        <w:jc w:val="both"/>
        <w:rPr>
          <w:rFonts w:ascii="Verdana" w:hAnsi="Verdana"/>
        </w:rPr>
      </w:pPr>
      <w:r w:rsidRPr="005B5CB6">
        <w:rPr>
          <w:rFonts w:ascii="Verdana" w:eastAsia="Verdana" w:hAnsi="Verdana" w:cs="Verdana"/>
          <w:color w:val="222222"/>
        </w:rPr>
        <w:t xml:space="preserve"> </w:t>
      </w:r>
    </w:p>
    <w:p w:rsidR="00FB0B24" w:rsidRPr="005B5CB6" w:rsidP="00951A38">
      <w:pPr>
        <w:pStyle w:val="Heading2"/>
        <w:rPr>
          <w:sz w:val="22"/>
        </w:rPr>
      </w:pPr>
      <w:r w:rsidRPr="005B5CB6">
        <w:rPr>
          <w:color w:val="222222"/>
          <w:sz w:val="22"/>
        </w:rPr>
        <w:t xml:space="preserve">Jan Shortt General Secretary  </w:t>
      </w:r>
    </w:p>
    <w:p w:rsidR="00FB0B24" w:rsidRPr="005B5CB6" w:rsidP="003255A4">
      <w:pPr>
        <w:spacing w:after="0"/>
        <w:jc w:val="both"/>
        <w:rPr>
          <w:rFonts w:ascii="Verdana" w:hAnsi="Verdana"/>
        </w:rPr>
      </w:pPr>
      <w:r w:rsidRPr="005B5CB6">
        <w:rPr>
          <w:rFonts w:ascii="Verdana" w:eastAsia="Verdana" w:hAnsi="Verdana" w:cs="Verdana"/>
          <w:color w:val="222222"/>
        </w:rPr>
        <w:t xml:space="preserve">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 xml:space="preserve">References </w:t>
      </w:r>
    </w:p>
    <w:p w:rsidR="00FB0B24" w:rsidRPr="005B5CB6" w:rsidP="003255A4">
      <w:pPr>
        <w:spacing w:after="5" w:line="250" w:lineRule="auto"/>
        <w:ind w:left="23" w:right="11" w:hanging="8"/>
        <w:jc w:val="both"/>
        <w:rPr>
          <w:rFonts w:ascii="Verdana" w:hAnsi="Verdana"/>
        </w:rPr>
      </w:pPr>
      <w:r>
        <w:fldChar w:fldCharType="begin"/>
      </w:r>
      <w:r>
        <w:instrText xml:space="preserve"> HYPERLINK "https://www.ons.gov.uk/peoplepopulationandcommunity/householdcharacteristics/homeinternetandsocialmediausage/articles/exploringtheuksdigitaldivide/2019-03-04" </w:instrText>
      </w:r>
      <w:r>
        <w:fldChar w:fldCharType="separate"/>
      </w:r>
      <w:r w:rsidRPr="005B5CB6" w:rsidR="00A72806">
        <w:rPr>
          <w:rFonts w:ascii="Verdana" w:eastAsia="Verdana" w:hAnsi="Verdana" w:cs="Verdana"/>
        </w:rPr>
        <w:t xml:space="preserve">Exploring the UK’s digital divide - ons.gov.uk </w:t>
      </w:r>
      <w:r>
        <w:fldChar w:fldCharType="end"/>
      </w:r>
    </w:p>
    <w:p w:rsidR="00FB0B24" w:rsidRPr="005B5CB6" w:rsidP="003255A4">
      <w:pPr>
        <w:spacing w:after="0" w:line="240" w:lineRule="auto"/>
        <w:jc w:val="both"/>
        <w:rPr>
          <w:rFonts w:ascii="Verdana" w:hAnsi="Verdana"/>
        </w:rPr>
      </w:pPr>
      <w:r>
        <w:fldChar w:fldCharType="begin"/>
      </w:r>
      <w:r>
        <w:instrText xml:space="preserve"> HYPERLINK "https://www.ons.gov.uk/.../articles/exploringtheuksdigitaldivide/2019-03-04" </w:instrText>
      </w:r>
      <w:r>
        <w:fldChar w:fldCharType="separate"/>
      </w:r>
      <w:r w:rsidRPr="005B5CB6" w:rsidR="00A72806">
        <w:rPr>
          <w:rFonts w:ascii="Verdana" w:eastAsia="Verdana" w:hAnsi="Verdana" w:cs="Verdana"/>
          <w:color w:val="4472C4"/>
          <w:u w:val="single" w:color="4472C4"/>
        </w:rPr>
        <w:t>https://www.ons.gov.uk/.../articles/exploringtheuksdigitaldivide/2019-03-04</w:t>
      </w:r>
      <w:r>
        <w:fldChar w:fldCharType="end"/>
      </w:r>
      <w:r>
        <w:fldChar w:fldCharType="begin"/>
      </w:r>
      <w:r>
        <w:instrText xml:space="preserve"> HYPERLINK "https://www.ons.gov.uk/.../articles/exploringtheuksdigitaldivide/2019-03-04" </w:instrText>
      </w:r>
      <w:r>
        <w:fldChar w:fldCharType="separate"/>
      </w:r>
      <w:r w:rsidRPr="005B5CB6" w:rsidR="00A72806">
        <w:rPr>
          <w:rFonts w:ascii="Verdana" w:eastAsia="Verdana" w:hAnsi="Verdana" w:cs="Verdana"/>
          <w:color w:val="4472C4"/>
        </w:rPr>
        <w:t xml:space="preserve"> </w:t>
      </w:r>
      <w:r>
        <w:fldChar w:fldCharType="end"/>
      </w:r>
      <w:r w:rsidRPr="005B5CB6" w:rsidR="00A72806">
        <w:rPr>
          <w:rFonts w:ascii="Verdana" w:eastAsia="Verdana" w:hAnsi="Verdana" w:cs="Verdana"/>
        </w:rPr>
        <w:t xml:space="preserve">NUJ submission to the Online Harms White Paper  </w:t>
      </w:r>
    </w:p>
    <w:p w:rsidR="00FB0B24" w:rsidRPr="005B5CB6" w:rsidP="003255A4">
      <w:pPr>
        <w:spacing w:after="5" w:line="249" w:lineRule="auto"/>
        <w:ind w:left="-5" w:hanging="10"/>
        <w:jc w:val="both"/>
        <w:rPr>
          <w:rFonts w:ascii="Verdana" w:hAnsi="Verdana"/>
        </w:rPr>
      </w:pPr>
      <w:r>
        <w:fldChar w:fldCharType="begin"/>
      </w:r>
      <w:r>
        <w:instrText xml:space="preserve"> HYPERLINK "https://www.nuj.org.uk/documents/nuj-submission-to-the-online-harms-white-paper/" </w:instrText>
      </w:r>
      <w:r>
        <w:fldChar w:fldCharType="separate"/>
      </w:r>
      <w:r w:rsidRPr="005B5CB6" w:rsidR="00A72806">
        <w:rPr>
          <w:rFonts w:ascii="Verdana" w:eastAsia="Verdana" w:hAnsi="Verdana" w:cs="Verdana"/>
          <w:color w:val="0563C1"/>
          <w:u w:val="single" w:color="0563C1"/>
        </w:rPr>
        <w:t>https://www.nuj.org.uk/documents/nuj-submission-to-the-online-harms-white</w:t>
      </w:r>
      <w:r>
        <w:fldChar w:fldCharType="end"/>
      </w:r>
      <w:r>
        <w:fldChar w:fldCharType="begin"/>
      </w:r>
      <w:r>
        <w:instrText xml:space="preserve"> HYPERLINK "https://www.nuj.org.uk/documents/nuj-submission-to-the-online-harms-white-paper/" </w:instrText>
      </w:r>
      <w:r>
        <w:fldChar w:fldCharType="separate"/>
      </w:r>
      <w:r w:rsidRPr="005B5CB6" w:rsidR="00A72806">
        <w:rPr>
          <w:rFonts w:ascii="Verdana" w:eastAsia="Verdana" w:hAnsi="Verdana" w:cs="Verdana"/>
          <w:color w:val="0563C1"/>
          <w:u w:val="single" w:color="0563C1"/>
        </w:rPr>
        <w:t>paper/</w:t>
      </w:r>
      <w:r>
        <w:fldChar w:fldCharType="end"/>
      </w:r>
      <w:r>
        <w:fldChar w:fldCharType="begin"/>
      </w:r>
      <w:r>
        <w:instrText xml:space="preserve"> HYPERLINK "https://www.nuj.org.uk/documents/nuj-submission-to-the-online-harms-white-paper/" </w:instrText>
      </w:r>
      <w:r>
        <w:fldChar w:fldCharType="separate"/>
      </w:r>
      <w:r w:rsidRPr="005B5CB6" w:rsidR="00A72806">
        <w:rPr>
          <w:rFonts w:ascii="Verdana" w:eastAsia="Verdana" w:hAnsi="Verdana" w:cs="Verdana"/>
        </w:rPr>
        <w:t xml:space="preserve"> </w:t>
      </w:r>
      <w:r>
        <w:fldChar w:fldCharType="end"/>
      </w:r>
    </w:p>
    <w:p w:rsidR="00FB0B24" w:rsidRPr="005B5CB6" w:rsidP="003255A4">
      <w:pPr>
        <w:spacing w:after="5" w:line="249" w:lineRule="auto"/>
        <w:ind w:left="-5" w:hanging="10"/>
        <w:jc w:val="both"/>
        <w:rPr>
          <w:rFonts w:ascii="Verdana" w:hAnsi="Verdana"/>
        </w:rPr>
      </w:pPr>
      <w:r w:rsidRPr="005B5CB6">
        <w:rPr>
          <w:rFonts w:ascii="Verdana" w:eastAsia="Verdana" w:hAnsi="Verdana" w:cs="Verdana"/>
        </w:rPr>
        <w:t xml:space="preserve">The Cairncross Review: a sustainable future for journalism </w:t>
      </w:r>
      <w:r>
        <w:fldChar w:fldCharType="begin"/>
      </w:r>
      <w:r>
        <w:instrText xml:space="preserve"> HYPERLINK "https://www.gov.uk/government/publications/the-cairncross-review-a-sustainable-future-for-journalism" </w:instrText>
      </w:r>
      <w:r>
        <w:fldChar w:fldCharType="separate"/>
      </w:r>
      <w:r w:rsidRPr="005B5CB6">
        <w:rPr>
          <w:rFonts w:ascii="Verdana" w:eastAsia="Verdana" w:hAnsi="Verdana" w:cs="Verdana"/>
          <w:color w:val="0563C1"/>
          <w:u w:val="single" w:color="0563C1"/>
        </w:rPr>
        <w:t>https://www.gov.uk/government/publications/the-cairncross-review-a</w:t>
      </w:r>
      <w:r>
        <w:fldChar w:fldCharType="end"/>
      </w:r>
      <w:r>
        <w:fldChar w:fldCharType="begin"/>
      </w:r>
      <w:r>
        <w:instrText xml:space="preserve"> HYPERLINK "https://www.gov.uk/government/publications/the-cairncross-review-a-sustainable-future-for-journalism" </w:instrText>
      </w:r>
      <w:r>
        <w:fldChar w:fldCharType="separate"/>
      </w:r>
      <w:r w:rsidRPr="005B5CB6">
        <w:rPr>
          <w:rFonts w:ascii="Verdana" w:eastAsia="Verdana" w:hAnsi="Verdana" w:cs="Verdana"/>
          <w:color w:val="0563C1"/>
          <w:u w:val="single" w:color="0563C1"/>
        </w:rPr>
        <w:t>sustainable-future-for-journalism</w:t>
      </w:r>
      <w:r>
        <w:fldChar w:fldCharType="end"/>
      </w:r>
      <w:r>
        <w:fldChar w:fldCharType="begin"/>
      </w:r>
      <w:r>
        <w:instrText xml:space="preserve"> HYPERLINK "https://www.gov.uk/government/publications/the-cairncross-review-a-sustainable-future-for-journalism" </w:instrText>
      </w:r>
      <w:r>
        <w:fldChar w:fldCharType="separate"/>
      </w:r>
      <w:r w:rsidRPr="005B5CB6">
        <w:rPr>
          <w:rFonts w:ascii="Verdana" w:eastAsia="Verdana" w:hAnsi="Verdana" w:cs="Verdana"/>
          <w:color w:val="0563C1"/>
        </w:rPr>
        <w:t xml:space="preserve"> </w:t>
      </w:r>
      <w:r>
        <w:fldChar w:fldCharType="end"/>
      </w: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OFCOM - Adults: Media use and attitudes report 2018 </w:t>
      </w:r>
    </w:p>
    <w:p w:rsidR="00FB0B24" w:rsidRPr="005B5CB6" w:rsidP="003255A4">
      <w:pPr>
        <w:spacing w:after="5" w:line="249" w:lineRule="auto"/>
        <w:ind w:left="-5" w:hanging="10"/>
        <w:jc w:val="both"/>
        <w:rPr>
          <w:rFonts w:ascii="Verdana" w:hAnsi="Verdana"/>
        </w:rPr>
      </w:pPr>
      <w:r>
        <w:fldChar w:fldCharType="begin"/>
      </w:r>
      <w:r>
        <w:instrText xml:space="preserve"> HYPERLINK "https://www.ofcom.org.uk/__data/assets/pdf_file/0011/113222/Adults-Media-Use-and-Attitudes-Report-2018.pdf" </w:instrText>
      </w:r>
      <w:r>
        <w:fldChar w:fldCharType="separate"/>
      </w:r>
      <w:r w:rsidRPr="005B5CB6" w:rsidR="00A72806">
        <w:rPr>
          <w:rFonts w:ascii="Verdana" w:eastAsia="Verdana" w:hAnsi="Verdana" w:cs="Verdana"/>
          <w:color w:val="0563C1"/>
          <w:u w:val="single" w:color="0563C1"/>
        </w:rPr>
        <w:t>https://www.ofcom.org.uk/__data/assets/pdf_file/0011/113222/Adults-Media-</w:t>
      </w:r>
      <w:r>
        <w:fldChar w:fldCharType="end"/>
      </w:r>
    </w:p>
    <w:p w:rsidR="00FB0B24" w:rsidRPr="005B5CB6" w:rsidP="003255A4">
      <w:pPr>
        <w:spacing w:after="5" w:line="249" w:lineRule="auto"/>
        <w:ind w:left="-5" w:hanging="10"/>
        <w:jc w:val="both"/>
        <w:rPr>
          <w:rFonts w:ascii="Verdana" w:hAnsi="Verdana"/>
        </w:rPr>
      </w:pPr>
      <w:r>
        <w:fldChar w:fldCharType="begin"/>
      </w:r>
      <w:r>
        <w:instrText xml:space="preserve"> HYPERLINK "https://www.ofcom.org.uk/__data/assets/pdf_file/0011/113222/Adults-Media-Use-and-Attitudes-Report-2018.pdf" </w:instrText>
      </w:r>
      <w:r>
        <w:fldChar w:fldCharType="separate"/>
      </w:r>
      <w:r w:rsidRPr="005B5CB6" w:rsidR="00A72806">
        <w:rPr>
          <w:rFonts w:ascii="Verdana" w:eastAsia="Verdana" w:hAnsi="Verdana" w:cs="Verdana"/>
          <w:color w:val="0563C1"/>
          <w:u w:val="single" w:color="0563C1"/>
        </w:rPr>
        <w:t>Use-and-Attitudes-Report-2018.pdf</w:t>
      </w:r>
      <w:r>
        <w:fldChar w:fldCharType="end"/>
      </w:r>
      <w:r>
        <w:fldChar w:fldCharType="begin"/>
      </w:r>
      <w:r>
        <w:instrText xml:space="preserve"> HYPERLINK "https://www.ofcom.org.uk/__data/assets/pdf_file/0011/113222/Adults-Media-Use-and-Attitudes-Report-2018.pdf" </w:instrText>
      </w:r>
      <w:r>
        <w:fldChar w:fldCharType="separate"/>
      </w:r>
      <w:r w:rsidRPr="005B5CB6" w:rsidR="00A72806">
        <w:rPr>
          <w:rFonts w:ascii="Verdana" w:eastAsia="Verdana" w:hAnsi="Verdana" w:cs="Verdana"/>
          <w:color w:val="0563C1"/>
        </w:rPr>
        <w:t xml:space="preserve"> </w:t>
      </w:r>
      <w:r>
        <w:fldChar w:fldCharType="end"/>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OFCOM - Adults: Media use and attitudes report 2019 </w:t>
      </w:r>
    </w:p>
    <w:p w:rsidR="00FB0B24" w:rsidRPr="005B5CB6" w:rsidP="003255A4">
      <w:pPr>
        <w:spacing w:after="5" w:line="249" w:lineRule="auto"/>
        <w:ind w:left="-5" w:hanging="10"/>
        <w:jc w:val="both"/>
        <w:rPr>
          <w:rFonts w:ascii="Verdana" w:hAnsi="Verdana"/>
        </w:rPr>
      </w:pPr>
      <w:r>
        <w:fldChar w:fldCharType="begin"/>
      </w:r>
      <w:r>
        <w:instrText xml:space="preserve"> HYPERLINK "https://www.ofcom.org.uk/__data/assets/pdf_file/0021/149124/adults-media-use-and-attitudes-report.pdf" </w:instrText>
      </w:r>
      <w:r>
        <w:fldChar w:fldCharType="separate"/>
      </w:r>
      <w:r w:rsidRPr="005B5CB6" w:rsidR="00A72806">
        <w:rPr>
          <w:rFonts w:ascii="Verdana" w:eastAsia="Verdana" w:hAnsi="Verdana" w:cs="Verdana"/>
          <w:color w:val="0563C1"/>
          <w:u w:val="single" w:color="0563C1"/>
        </w:rPr>
        <w:t>https://www.ofcom.org.uk/__data/assets/pdf_file/0021/149124/adults-media</w:t>
      </w:r>
      <w:r>
        <w:fldChar w:fldCharType="end"/>
      </w:r>
      <w:r>
        <w:fldChar w:fldCharType="begin"/>
      </w:r>
      <w:r>
        <w:instrText xml:space="preserve"> HYPERLINK "https://www.ofcom.org.uk/__data/assets/pdf_file/0021/149124/adults-media-use-and-attitudes-report.pdf" </w:instrText>
      </w:r>
      <w:r>
        <w:fldChar w:fldCharType="separate"/>
      </w:r>
      <w:r w:rsidRPr="005B5CB6" w:rsidR="00A72806">
        <w:rPr>
          <w:rFonts w:ascii="Verdana" w:eastAsia="Verdana" w:hAnsi="Verdana" w:cs="Verdana"/>
          <w:color w:val="0563C1"/>
          <w:u w:val="single" w:color="0563C1"/>
        </w:rPr>
        <w:t>use-and-attitudes-report.pdf</w:t>
      </w:r>
      <w:r>
        <w:fldChar w:fldCharType="end"/>
      </w:r>
      <w:r>
        <w:fldChar w:fldCharType="begin"/>
      </w:r>
      <w:r>
        <w:instrText xml:space="preserve"> HYPERLINK "https://www.ofcom.org.uk/__data/assets/pdf_file/0021/149124/adults-media-use-and-attitudes-report.pdf" </w:instrText>
      </w:r>
      <w:r>
        <w:fldChar w:fldCharType="separate"/>
      </w:r>
      <w:r w:rsidRPr="005B5CB6" w:rsidR="00A72806">
        <w:rPr>
          <w:rFonts w:ascii="Verdana" w:eastAsia="Verdana" w:hAnsi="Verdana" w:cs="Verdana"/>
          <w:color w:val="0563C1"/>
        </w:rPr>
        <w:t xml:space="preserve"> </w:t>
      </w:r>
      <w:r>
        <w:fldChar w:fldCharType="end"/>
      </w:r>
    </w:p>
    <w:p w:rsidR="00FB0B24" w:rsidRPr="005B5CB6" w:rsidP="003255A4">
      <w:pPr>
        <w:spacing w:after="0"/>
        <w:ind w:left="358"/>
        <w:jc w:val="both"/>
        <w:rPr>
          <w:rFonts w:ascii="Verdana" w:hAnsi="Verdana"/>
        </w:rPr>
      </w:pPr>
      <w:r w:rsidRPr="005B5CB6">
        <w:rPr>
          <w:rFonts w:ascii="Verdana" w:eastAsia="Verdana" w:hAnsi="Verdana" w:cs="Verdana"/>
        </w:rPr>
        <w:t xml:space="preserve"> </w:t>
      </w:r>
    </w:p>
    <w:p w:rsidR="00FB0B24" w:rsidRPr="005B5CB6" w:rsidP="003255A4">
      <w:pPr>
        <w:jc w:val="both"/>
        <w:rPr>
          <w:rFonts w:ascii="Verdana" w:hAnsi="Verdana"/>
        </w:rPr>
        <w:sectPr w:rsidSect="00057933">
          <w:headerReference w:type="even" r:id="rId84"/>
          <w:headerReference w:type="default" r:id="rId85"/>
          <w:footerReference w:type="even" r:id="rId86"/>
          <w:footerReference w:type="default" r:id="rId87"/>
          <w:headerReference w:type="first" r:id="rId88"/>
          <w:footerReference w:type="first" r:id="rId89"/>
          <w:pgSz w:w="11906" w:h="16838"/>
          <w:pgMar w:top="1492" w:right="1436" w:bottom="1494" w:left="1440" w:header="720" w:footer="709" w:gutter="0"/>
          <w:cols w:space="720"/>
        </w:sectPr>
      </w:pPr>
    </w:p>
    <w:p w:rsidR="00FB0B24" w:rsidRPr="005B5CB6" w:rsidP="00A1624B">
      <w:pPr>
        <w:pStyle w:val="Heading1"/>
        <w:rPr>
          <w:sz w:val="22"/>
        </w:rPr>
      </w:pPr>
      <w:bookmarkStart w:id="15" w:name="_Toc44517703"/>
      <w:r w:rsidRPr="005B5CB6">
        <w:rPr>
          <w:sz w:val="22"/>
        </w:rPr>
        <w:t>Network for Media and Persuasive Communication Bangor University – written evidence (DAD0019)</w:t>
      </w:r>
      <w:bookmarkEnd w:id="15"/>
      <w:r w:rsidRPr="005B5CB6">
        <w:rPr>
          <w:sz w:val="22"/>
        </w:rPr>
        <w:t xml:space="preserve"> </w:t>
      </w:r>
    </w:p>
    <w:p w:rsidR="00FB0B24" w:rsidRPr="005B5CB6" w:rsidP="00951A38">
      <w:pPr>
        <w:spacing w:after="17"/>
        <w:ind w:left="75"/>
        <w:jc w:val="both"/>
        <w:rPr>
          <w:rFonts w:ascii="Verdana" w:hAnsi="Verdana"/>
        </w:rPr>
      </w:pPr>
      <w:r w:rsidRPr="005B5CB6">
        <w:rPr>
          <w:rFonts w:ascii="Verdana" w:eastAsia="Verdana" w:hAnsi="Verdana" w:cs="Verdana"/>
          <w:b/>
        </w:rPr>
        <w:t xml:space="preserve"> </w:t>
      </w:r>
    </w:p>
    <w:p w:rsidR="00FB0B24" w:rsidRPr="005B5CB6" w:rsidP="00951A38">
      <w:pPr>
        <w:pStyle w:val="Heading2"/>
        <w:rPr>
          <w:sz w:val="22"/>
        </w:rPr>
      </w:pPr>
      <w:r w:rsidRPr="005B5CB6">
        <w:rPr>
          <w:sz w:val="22"/>
        </w:rPr>
        <w:t xml:space="preserve">AGAINST OPACITY, OUTRAGE &amp; DECEPTION: Towards an ethical code of conduct for transparent, explainable, civil &amp; informative digital political campaigns </w:t>
      </w:r>
    </w:p>
    <w:p w:rsidR="00FB0B24" w:rsidRPr="005B5CB6" w:rsidP="00951A38">
      <w:pPr>
        <w:spacing w:after="0"/>
        <w:ind w:left="75"/>
        <w:jc w:val="both"/>
        <w:rPr>
          <w:rFonts w:ascii="Verdana" w:hAnsi="Verdana"/>
        </w:rPr>
      </w:pPr>
      <w:r w:rsidRPr="005B5CB6">
        <w:rPr>
          <w:rFonts w:ascii="Verdana" w:eastAsia="Verdana" w:hAnsi="Verdana" w:cs="Verdana"/>
          <w:b/>
        </w:rPr>
        <w:t xml:space="preserve"> </w:t>
      </w:r>
    </w:p>
    <w:p w:rsidR="00FB0B24" w:rsidRPr="005B5CB6" w:rsidP="00951A38">
      <w:pPr>
        <w:spacing w:after="5" w:line="250" w:lineRule="auto"/>
        <w:ind w:left="117" w:right="11" w:hanging="8"/>
        <w:jc w:val="both"/>
        <w:rPr>
          <w:rFonts w:ascii="Verdana" w:hAnsi="Verdana"/>
        </w:rPr>
      </w:pPr>
      <w:r w:rsidRPr="005B5CB6">
        <w:rPr>
          <w:rFonts w:ascii="Verdana" w:eastAsia="Verdana" w:hAnsi="Verdana" w:cs="Verdana"/>
          <w:b/>
        </w:rPr>
        <w:t>Authors:</w:t>
      </w:r>
      <w:r w:rsidRPr="005B5CB6">
        <w:rPr>
          <w:rFonts w:ascii="Verdana" w:eastAsia="Verdana" w:hAnsi="Verdana" w:cs="Verdana"/>
        </w:rPr>
        <w:t xml:space="preserve">  </w:t>
      </w:r>
      <w:r>
        <w:fldChar w:fldCharType="begin"/>
      </w:r>
      <w:r>
        <w:instrText xml:space="preserve"> HYPERLINK "https://www.bangor.ac.uk/music-and-media/staff/vian-bakir/en" </w:instrText>
      </w:r>
      <w:r>
        <w:fldChar w:fldCharType="separate"/>
      </w:r>
      <w:r w:rsidRPr="005B5CB6">
        <w:rPr>
          <w:rFonts w:ascii="Verdana" w:eastAsia="Verdana" w:hAnsi="Verdana" w:cs="Verdana"/>
          <w:u w:val="single" w:color="000000"/>
        </w:rPr>
        <w:t>Vian Bakir</w:t>
      </w:r>
      <w:r>
        <w:fldChar w:fldCharType="end"/>
      </w:r>
      <w:r>
        <w:fldChar w:fldCharType="begin"/>
      </w:r>
      <w:r>
        <w:instrText xml:space="preserve"> HYPERLINK "https://www.bangor.ac.uk/music-and-media/staff/vian-bakir/en"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Prof. of Journalism &amp; Political Communication (</w:t>
      </w:r>
      <w:r w:rsidRPr="005B5CB6">
        <w:rPr>
          <w:rFonts w:ascii="Verdana" w:eastAsia="Verdana" w:hAnsi="Verdana" w:cs="Verdana"/>
          <w:b/>
        </w:rPr>
        <w:t xml:space="preserve">lead  </w:t>
      </w:r>
      <w:r w:rsidRPr="005B5CB6">
        <w:rPr>
          <w:rFonts w:ascii="Verdana" w:eastAsia="Verdana" w:hAnsi="Verdana" w:cs="Verdana"/>
          <w:b/>
        </w:rPr>
        <w:tab/>
        <w:t>contact</w:t>
      </w:r>
      <w:r w:rsidRPr="005B5CB6">
        <w:rPr>
          <w:rFonts w:ascii="Verdana" w:eastAsia="Verdana" w:hAnsi="Verdana" w:cs="Verdana"/>
        </w:rPr>
        <w:t xml:space="preserve">). Email: </w:t>
      </w:r>
      <w:r w:rsidRPr="005B5CB6">
        <w:rPr>
          <w:rFonts w:ascii="Verdana" w:eastAsia="Verdana" w:hAnsi="Verdana" w:cs="Verdana"/>
          <w:u w:val="single" w:color="000000"/>
        </w:rPr>
        <w:t>v.bakir@bangor.ac.uk</w:t>
      </w:r>
      <w:r w:rsidRPr="005B5CB6">
        <w:rPr>
          <w:rFonts w:ascii="Verdana" w:eastAsia="Verdana" w:hAnsi="Verdana" w:cs="Verdana"/>
        </w:rPr>
        <w:t xml:space="preserve"> </w:t>
      </w:r>
    </w:p>
    <w:p w:rsidR="00FB0B24" w:rsidRPr="005B5CB6" w:rsidP="00951A38">
      <w:pPr>
        <w:spacing w:after="5" w:line="268" w:lineRule="auto"/>
        <w:ind w:left="289" w:right="150" w:hanging="10"/>
        <w:jc w:val="both"/>
        <w:rPr>
          <w:rFonts w:ascii="Verdana" w:hAnsi="Verdana"/>
        </w:rPr>
      </w:pPr>
      <w:r>
        <w:fldChar w:fldCharType="begin"/>
      </w:r>
      <w:r>
        <w:instrText xml:space="preserve"> HYPERLINK "https://www.bangor.ac.uk/music-and-media/staff/andrew-mcstay/en" </w:instrText>
      </w:r>
      <w:r>
        <w:fldChar w:fldCharType="separate"/>
      </w:r>
      <w:r w:rsidRPr="005B5CB6" w:rsidR="00A72806">
        <w:rPr>
          <w:rFonts w:ascii="Verdana" w:eastAsia="Verdana" w:hAnsi="Verdana" w:cs="Verdana"/>
          <w:u w:val="single" w:color="000000"/>
        </w:rPr>
        <w:t>Andrew McStay</w:t>
      </w:r>
      <w:r>
        <w:fldChar w:fldCharType="end"/>
      </w:r>
      <w:r>
        <w:fldChar w:fldCharType="begin"/>
      </w:r>
      <w:r>
        <w:instrText xml:space="preserve"> HYPERLINK "https://www.bangor.ac.uk/music-and-media/staff/andrew-mcstay/en"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Prof. of Digital Life, Email: </w:t>
      </w:r>
      <w:r w:rsidRPr="005B5CB6" w:rsidR="00A72806">
        <w:rPr>
          <w:rFonts w:ascii="Verdana" w:eastAsia="Verdana" w:hAnsi="Verdana" w:cs="Verdana"/>
          <w:u w:val="single" w:color="000000"/>
        </w:rPr>
        <w:t>mcstay@bangor.ac.uk</w:t>
      </w:r>
      <w:r w:rsidRPr="005B5CB6" w:rsidR="00A72806">
        <w:rPr>
          <w:rFonts w:ascii="Verdana" w:eastAsia="Verdana" w:hAnsi="Verdana" w:cs="Verdana"/>
        </w:rPr>
        <w:t xml:space="preserve"> . </w:t>
      </w:r>
    </w:p>
    <w:p w:rsidR="00FB0B24" w:rsidRPr="005B5CB6" w:rsidP="00951A38">
      <w:pPr>
        <w:pStyle w:val="Heading3"/>
        <w:rPr>
          <w:sz w:val="22"/>
        </w:rPr>
      </w:pPr>
      <w:r w:rsidRPr="005B5CB6">
        <w:rPr>
          <w:b w:val="0"/>
          <w:sz w:val="22"/>
        </w:rPr>
        <w:t xml:space="preserve">Both from </w:t>
      </w:r>
      <w:r>
        <w:fldChar w:fldCharType="begin"/>
      </w:r>
      <w:r>
        <w:instrText xml:space="preserve"> HYPERLINK "http://mpc.bangor.ac.uk/projects.php.en" </w:instrText>
      </w:r>
      <w:r>
        <w:fldChar w:fldCharType="separate"/>
      </w:r>
      <w:r w:rsidRPr="005B5CB6">
        <w:rPr>
          <w:b w:val="0"/>
          <w:sz w:val="22"/>
          <w:u w:val="single" w:color="000000"/>
        </w:rPr>
        <w:t>Network for Study of Media &amp; Persuasive</w:t>
      </w:r>
      <w:r>
        <w:fldChar w:fldCharType="end"/>
      </w:r>
      <w:r>
        <w:fldChar w:fldCharType="begin"/>
      </w:r>
      <w:r>
        <w:instrText xml:space="preserve"> HYPERLINK "http://mpc.bangor.ac.uk/projects.php.en" </w:instrText>
      </w:r>
      <w:r>
        <w:fldChar w:fldCharType="separate"/>
      </w:r>
      <w:r w:rsidRPr="005B5CB6">
        <w:rPr>
          <w:b w:val="0"/>
          <w:sz w:val="22"/>
        </w:rPr>
        <w:t xml:space="preserve"> </w:t>
      </w:r>
      <w:r>
        <w:fldChar w:fldCharType="end"/>
      </w:r>
    </w:p>
    <w:p w:rsidR="00FB0B24" w:rsidRPr="005B5CB6" w:rsidP="003255A4">
      <w:pPr>
        <w:spacing w:after="5" w:line="250" w:lineRule="auto"/>
        <w:ind w:left="1396" w:right="11" w:hanging="8"/>
        <w:jc w:val="both"/>
        <w:rPr>
          <w:rFonts w:ascii="Verdana" w:hAnsi="Verdana"/>
        </w:rPr>
      </w:pPr>
      <w:r>
        <w:fldChar w:fldCharType="begin"/>
      </w:r>
      <w:r>
        <w:instrText xml:space="preserve"> HYPERLINK "http://mpc.bangor.ac.uk/projects.php.en" </w:instrText>
      </w:r>
      <w:r>
        <w:fldChar w:fldCharType="separate"/>
      </w:r>
      <w:r w:rsidRPr="005B5CB6" w:rsidR="00A72806">
        <w:rPr>
          <w:rFonts w:ascii="Verdana" w:eastAsia="Verdana" w:hAnsi="Verdana" w:cs="Verdana"/>
          <w:u w:val="single" w:color="000000"/>
        </w:rPr>
        <w:t>Communication</w:t>
      </w:r>
      <w:r>
        <w:fldChar w:fldCharType="end"/>
      </w:r>
      <w:r>
        <w:fldChar w:fldCharType="begin"/>
      </w:r>
      <w:r>
        <w:instrText xml:space="preserve"> HYPERLINK "http://mpc.bangor.ac.uk/projects.php.en"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Bangor University, Wales, UK, and the </w:t>
      </w:r>
      <w:r>
        <w:fldChar w:fldCharType="begin"/>
      </w:r>
      <w:r>
        <w:instrText xml:space="preserve"> HYPERLINK "https://emotionalai.org/" </w:instrText>
      </w:r>
      <w:r>
        <w:fldChar w:fldCharType="separate"/>
      </w:r>
      <w:r w:rsidRPr="005B5CB6" w:rsidR="00A72806">
        <w:rPr>
          <w:rFonts w:ascii="Verdana" w:eastAsia="Verdana" w:hAnsi="Verdana" w:cs="Verdana"/>
          <w:u w:val="single" w:color="000000"/>
        </w:rPr>
        <w:t>Emotional</w:t>
      </w:r>
      <w:r>
        <w:fldChar w:fldCharType="end"/>
      </w:r>
      <w:r>
        <w:fldChar w:fldCharType="begin"/>
      </w:r>
      <w:r>
        <w:instrText xml:space="preserve"> HYPERLINK "https://emotionalai.org/" </w:instrText>
      </w:r>
      <w:r>
        <w:fldChar w:fldCharType="separate"/>
      </w:r>
      <w:r w:rsidRPr="005B5CB6" w:rsidR="00A72806">
        <w:rPr>
          <w:rFonts w:ascii="Verdana" w:eastAsia="Verdana" w:hAnsi="Verdana" w:cs="Verdana"/>
        </w:rPr>
        <w:t xml:space="preserve"> </w:t>
      </w:r>
      <w:r>
        <w:fldChar w:fldCharType="end"/>
      </w:r>
      <w:r>
        <w:fldChar w:fldCharType="begin"/>
      </w:r>
      <w:r>
        <w:instrText xml:space="preserve"> HYPERLINK "https://emotionalai.org/" </w:instrText>
      </w:r>
      <w:r>
        <w:fldChar w:fldCharType="separate"/>
      </w:r>
      <w:r w:rsidRPr="005B5CB6" w:rsidR="00A72806">
        <w:rPr>
          <w:rFonts w:ascii="Verdana" w:eastAsia="Verdana" w:hAnsi="Verdana" w:cs="Verdana"/>
          <w:u w:val="single" w:color="000000"/>
        </w:rPr>
        <w:t>AI Project</w:t>
      </w:r>
      <w:r>
        <w:fldChar w:fldCharType="end"/>
      </w:r>
      <w:r>
        <w:fldChar w:fldCharType="begin"/>
      </w:r>
      <w:r>
        <w:instrText xml:space="preserve"> HYPERLINK "https://emotionalai.org/"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0"/>
          <w:numId w:val="35"/>
        </w:numPr>
        <w:spacing w:after="5" w:line="250" w:lineRule="auto"/>
        <w:ind w:hanging="720"/>
        <w:jc w:val="both"/>
        <w:rPr>
          <w:rFonts w:ascii="Verdana" w:hAnsi="Verdana"/>
        </w:rPr>
      </w:pPr>
      <w:r w:rsidRPr="005B5CB6">
        <w:rPr>
          <w:rFonts w:ascii="Verdana" w:eastAsia="Verdana" w:hAnsi="Verdana" w:cs="Verdana"/>
          <w:b/>
        </w:rPr>
        <w:t xml:space="preserve">Summary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35"/>
        </w:numPr>
        <w:spacing w:after="5" w:line="249" w:lineRule="auto"/>
        <w:ind w:right="11" w:hanging="720"/>
        <w:jc w:val="both"/>
        <w:rPr>
          <w:rFonts w:ascii="Verdana" w:hAnsi="Verdana"/>
        </w:rPr>
      </w:pPr>
      <w:r w:rsidRPr="005B5CB6">
        <w:rPr>
          <w:rFonts w:ascii="Verdana" w:eastAsia="Verdana" w:hAnsi="Verdana" w:cs="Verdana"/>
        </w:rPr>
        <w:t xml:space="preserve">Our submission answers the following </w:t>
      </w:r>
      <w:r w:rsidRPr="005B5CB6">
        <w:rPr>
          <w:rFonts w:ascii="Verdana" w:eastAsia="Verdana" w:hAnsi="Verdana" w:cs="Verdana"/>
          <w:b/>
        </w:rPr>
        <w:t>questions</w:t>
      </w:r>
      <w:r w:rsidRPr="005B5CB6">
        <w:rPr>
          <w:rFonts w:ascii="Verdana" w:eastAsia="Verdana" w:hAnsi="Verdana" w:cs="Verdana"/>
        </w:rPr>
        <w:t xml:space="preserve"> posed by the Select Committee: </w:t>
      </w:r>
      <w:r w:rsidRPr="005B5CB6">
        <w:rPr>
          <w:rFonts w:ascii="Verdana" w:eastAsia="Verdana" w:hAnsi="Verdana" w:cs="Verdana"/>
          <w:i/>
        </w:rPr>
        <w:t xml:space="preserve">How has digital technology changed the way that democracy works in the UK and has this been a net positive or negative effect? </w:t>
      </w:r>
      <w:r w:rsidRPr="005B5CB6">
        <w:rPr>
          <w:rFonts w:ascii="Verdana" w:eastAsia="Verdana" w:hAnsi="Verdana" w:cs="Verdana"/>
        </w:rPr>
        <w:t xml:space="preserve"> </w:t>
      </w:r>
      <w:r w:rsidRPr="005B5CB6">
        <w:rPr>
          <w:rFonts w:ascii="Verdana" w:eastAsia="Verdana" w:hAnsi="Verdana" w:cs="Verdana"/>
          <w:i/>
        </w:rPr>
        <w:t xml:space="preserve">Would greater transparency in the online campaigning of political groups improve the electoral process in the UK by ensuring accountability, and if so what should this transparency look like? </w:t>
      </w:r>
      <w:r w:rsidRPr="005B5CB6">
        <w:rPr>
          <w:rFonts w:ascii="Verdana" w:eastAsia="Verdana" w:hAnsi="Verdana" w:cs="Verdana"/>
        </w:rPr>
        <w:t xml:space="preserve"> </w:t>
      </w:r>
      <w:r w:rsidRPr="005B5CB6">
        <w:rPr>
          <w:rFonts w:ascii="Verdana" w:eastAsia="Verdana" w:hAnsi="Verdana" w:cs="Verdana"/>
          <w:i/>
        </w:rPr>
        <w:t xml:space="preserve">What effect does online targeted advertising have on the political process, and what effects could it have in the future? Should there be additional regulation of political advertising? </w:t>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35"/>
        </w:numPr>
        <w:spacing w:after="5" w:line="250" w:lineRule="auto"/>
        <w:ind w:right="11" w:hanging="720"/>
        <w:jc w:val="both"/>
        <w:rPr>
          <w:rFonts w:ascii="Verdana" w:hAnsi="Verdana"/>
        </w:rPr>
      </w:pPr>
      <w:r w:rsidRPr="005B5CB6">
        <w:rPr>
          <w:rFonts w:ascii="Verdana" w:eastAsia="Verdana" w:hAnsi="Verdana" w:cs="Verdana"/>
        </w:rPr>
        <w:t xml:space="preserve">Use of digital technologies in political campaigning present benefits and harms to the democratic process. To derive and illustrate these, we focus on the various ‘Leave’ groups’ campaigns in the UK’s 2016 Referendum on whether or not to Remain in, or Leave, the European Union (EU). On </w:t>
      </w:r>
      <w:r w:rsidRPr="005B5CB6">
        <w:rPr>
          <w:rFonts w:ascii="Verdana" w:eastAsia="Verdana" w:hAnsi="Verdana" w:cs="Verdana"/>
          <w:b/>
        </w:rPr>
        <w:t>benefits</w:t>
      </w:r>
      <w:r w:rsidRPr="005B5CB6">
        <w:rPr>
          <w:rFonts w:ascii="Verdana" w:eastAsia="Verdana" w:hAnsi="Verdana" w:cs="Verdana"/>
        </w:rPr>
        <w:t xml:space="preserve">, digital political campaigning has the potential to better engage hard-to-reach parts of the electorate; and by enabling officials to tap into voters’ sentiments, it can help politicians identify issues and policies that voters care about, making politicians more responsive to electorates. However, this requires that campaigns are conducted honestly and </w:t>
      </w:r>
      <w:r w:rsidRPr="005B5CB6">
        <w:rPr>
          <w:rFonts w:ascii="Verdana" w:eastAsia="Verdana" w:hAnsi="Verdana" w:cs="Verdana"/>
          <w:i/>
        </w:rPr>
        <w:t>openly</w:t>
      </w:r>
      <w:r w:rsidRPr="005B5CB6">
        <w:rPr>
          <w:rFonts w:ascii="Verdana" w:eastAsia="Verdana" w:hAnsi="Verdana" w:cs="Verdana"/>
        </w:rPr>
        <w:t xml:space="preserve">, otherwise we descend into covert, attempted manipulation of electorates. Unfortunately, digital political campaigning is currently </w:t>
      </w:r>
      <w:r w:rsidRPr="005B5CB6">
        <w:rPr>
          <w:rFonts w:ascii="Verdana" w:eastAsia="Verdana" w:hAnsi="Verdana" w:cs="Verdana"/>
          <w:i/>
        </w:rPr>
        <w:t>opaque</w:t>
      </w:r>
      <w:r w:rsidRPr="005B5CB6">
        <w:rPr>
          <w:rFonts w:ascii="Verdana" w:eastAsia="Verdana" w:hAnsi="Verdana" w:cs="Verdana"/>
        </w:rPr>
        <w:t xml:space="preserve">, presenting many </w:t>
      </w:r>
      <w:r w:rsidRPr="005B5CB6">
        <w:rPr>
          <w:rFonts w:ascii="Verdana" w:eastAsia="Verdana" w:hAnsi="Verdana" w:cs="Verdana"/>
          <w:b/>
        </w:rPr>
        <w:t>harms</w:t>
      </w:r>
      <w:r w:rsidRPr="005B5CB6">
        <w:rPr>
          <w:rFonts w:ascii="Verdana" w:eastAsia="Verdana" w:hAnsi="Verdana" w:cs="Verdana"/>
        </w:rPr>
        <w:t xml:space="preserve">. It has capacity to negatively impact on citizens’ ability to make informed choices; and on their ability to hold political campaigners, and those subsequently elected, to account. It increases the potential for targeted voter suppression. It enables exploitation of people’s psychological vulnerabilities; and leads to unintended exploitation of vulnerabilities as, for instance, children become collateral recipients of online adverts targeted by behaviour rather than age. Finally, opacity increases the potential for societal polarisation through, uncorrected, emotive disinformation targeted at niche audiences, but polluting the entire digital media ecosystem.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35"/>
        </w:numPr>
        <w:spacing w:after="5" w:line="250" w:lineRule="auto"/>
        <w:ind w:right="11" w:hanging="720"/>
        <w:jc w:val="both"/>
        <w:rPr>
          <w:rFonts w:ascii="Verdana" w:hAnsi="Verdana"/>
        </w:rPr>
      </w:pPr>
      <w:r w:rsidRPr="005B5CB6">
        <w:rPr>
          <w:rFonts w:ascii="Verdana" w:eastAsia="Verdana" w:hAnsi="Verdana" w:cs="Verdana"/>
        </w:rPr>
        <w:t xml:space="preserve">Each electoral cycle deploys technological and industry innovations in data-mining and targeting. We argue that we have reached a phase where </w:t>
      </w:r>
      <w:r w:rsidRPr="005B5CB6">
        <w:rPr>
          <w:rFonts w:ascii="Verdana" w:eastAsia="Verdana" w:hAnsi="Verdana" w:cs="Verdana"/>
          <w:b/>
        </w:rPr>
        <w:t xml:space="preserve">opacity in the use of these profiling technologies has become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b/>
        </w:rPr>
        <w:t>problematic</w:t>
      </w:r>
      <w:r w:rsidRPr="005B5CB6">
        <w:rPr>
          <w:rFonts w:ascii="Verdana" w:eastAsia="Verdana" w:hAnsi="Verdana" w:cs="Verdana"/>
        </w:rPr>
        <w:t xml:space="preserve">, and is likely to worsen with increasing use of Artificial Intelligence </w:t>
      </w:r>
    </w:p>
    <w:p w:rsidR="00FB0B24" w:rsidRPr="005B5CB6" w:rsidP="003255A4">
      <w:pPr>
        <w:spacing w:after="5" w:line="249" w:lineRule="auto"/>
        <w:ind w:left="-2" w:hanging="10"/>
        <w:jc w:val="both"/>
        <w:rPr>
          <w:rFonts w:ascii="Verdana" w:hAnsi="Verdana"/>
        </w:rPr>
      </w:pPr>
      <w:r w:rsidRPr="005B5CB6">
        <w:rPr>
          <w:rFonts w:ascii="Verdana" w:eastAsia="Verdana" w:hAnsi="Verdana" w:cs="Verdana"/>
        </w:rPr>
        <w:t xml:space="preserve">(AI) in political campaigning. To combat this, we need a </w:t>
      </w:r>
      <w:r w:rsidRPr="005B5CB6">
        <w:rPr>
          <w:rFonts w:ascii="Verdana" w:eastAsia="Verdana" w:hAnsi="Verdana" w:cs="Verdana"/>
          <w:b/>
        </w:rPr>
        <w:t>code of ethical conduct for political campaigners</w:t>
      </w:r>
      <w:r w:rsidRPr="005B5CB6">
        <w:rPr>
          <w:rFonts w:ascii="Verdana" w:eastAsia="Verdana" w:hAnsi="Verdana" w:cs="Verdana"/>
        </w:rPr>
        <w:t xml:space="preserve"> to conduct</w:t>
      </w:r>
      <w:r w:rsidRPr="005B5CB6">
        <w:rPr>
          <w:rFonts w:ascii="Verdana" w:eastAsia="Verdana" w:hAnsi="Verdana" w:cs="Verdana"/>
          <w:i/>
        </w:rPr>
        <w:t xml:space="preserve"> </w:t>
      </w:r>
      <w:r w:rsidRPr="005B5CB6">
        <w:rPr>
          <w:rFonts w:ascii="Verdana" w:eastAsia="Verdana" w:hAnsi="Verdana" w:cs="Verdana"/>
          <w:b/>
        </w:rPr>
        <w:t xml:space="preserve">transparent, explainable, civil </w:t>
      </w:r>
      <w:r w:rsidRPr="005B5CB6">
        <w:rPr>
          <w:rFonts w:ascii="Verdana" w:eastAsia="Verdana" w:hAnsi="Verdana" w:cs="Verdana"/>
        </w:rPr>
        <w:t>and</w:t>
      </w:r>
      <w:r w:rsidRPr="005B5CB6">
        <w:rPr>
          <w:rFonts w:ascii="Verdana" w:eastAsia="Verdana" w:hAnsi="Verdana" w:cs="Verdana"/>
          <w:b/>
        </w:rPr>
        <w:t xml:space="preserve"> informative </w:t>
      </w:r>
      <w:r w:rsidRPr="005B5CB6">
        <w:rPr>
          <w:rFonts w:ascii="Verdana" w:eastAsia="Verdana" w:hAnsi="Verdana" w:cs="Verdana"/>
        </w:rPr>
        <w:t xml:space="preserve">campaigns.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35"/>
        </w:numPr>
        <w:spacing w:after="5" w:line="250" w:lineRule="auto"/>
        <w:ind w:right="11" w:hanging="720"/>
        <w:jc w:val="both"/>
        <w:rPr>
          <w:rFonts w:ascii="Verdana" w:hAnsi="Verdana"/>
        </w:rPr>
      </w:pPr>
      <w:r w:rsidRPr="005B5CB6">
        <w:rPr>
          <w:rFonts w:ascii="Verdana" w:eastAsia="Verdana" w:hAnsi="Verdana" w:cs="Verdana"/>
          <w:b/>
        </w:rPr>
        <w:t xml:space="preserve">Recommendations to counter opacity, outrage and deception in digital political campaigning </w:t>
      </w:r>
    </w:p>
    <w:p w:rsidR="00FB0B24" w:rsidRPr="005B5CB6" w:rsidP="003255A4">
      <w:pPr>
        <w:numPr>
          <w:ilvl w:val="2"/>
          <w:numId w:val="35"/>
        </w:numPr>
        <w:spacing w:after="5" w:line="250" w:lineRule="auto"/>
        <w:ind w:left="23" w:right="11" w:hanging="8"/>
        <w:jc w:val="both"/>
        <w:rPr>
          <w:rFonts w:ascii="Verdana" w:hAnsi="Verdana"/>
        </w:rPr>
      </w:pPr>
      <w:r w:rsidRPr="005B5CB6">
        <w:rPr>
          <w:rFonts w:ascii="Verdana" w:eastAsia="Verdana" w:hAnsi="Verdana" w:cs="Verdana"/>
        </w:rPr>
        <w:t xml:space="preserve">Put in place (via regulatory requirements) mandatory, publicly available self-evaluations by all political campaign groups following each election and referendum. The self-evaluations should address the criteria of </w:t>
      </w:r>
      <w:r w:rsidRPr="005B5CB6">
        <w:rPr>
          <w:rFonts w:ascii="Verdana" w:eastAsia="Verdana" w:hAnsi="Verdana" w:cs="Verdana"/>
          <w:i/>
        </w:rPr>
        <w:t>transparency</w:t>
      </w:r>
      <w:r w:rsidRPr="005B5CB6">
        <w:rPr>
          <w:rFonts w:ascii="Verdana" w:eastAsia="Verdana" w:hAnsi="Verdana" w:cs="Verdana"/>
        </w:rPr>
        <w:t xml:space="preserve">, </w:t>
      </w:r>
      <w:r w:rsidRPr="005B5CB6">
        <w:rPr>
          <w:rFonts w:ascii="Verdana" w:eastAsia="Verdana" w:hAnsi="Verdana" w:cs="Verdana"/>
          <w:i/>
        </w:rPr>
        <w:t>explainability</w:t>
      </w:r>
      <w:r w:rsidRPr="005B5CB6">
        <w:rPr>
          <w:rFonts w:ascii="Verdana" w:eastAsia="Verdana" w:hAnsi="Verdana" w:cs="Verdana"/>
        </w:rPr>
        <w:t xml:space="preserve">, </w:t>
      </w:r>
      <w:r w:rsidRPr="005B5CB6">
        <w:rPr>
          <w:rFonts w:ascii="Verdana" w:eastAsia="Verdana" w:hAnsi="Verdana" w:cs="Verdana"/>
          <w:i/>
        </w:rPr>
        <w:t>civility</w:t>
      </w:r>
      <w:r w:rsidRPr="005B5CB6">
        <w:rPr>
          <w:rFonts w:ascii="Verdana" w:eastAsia="Verdana" w:hAnsi="Verdana" w:cs="Verdana"/>
        </w:rPr>
        <w:t xml:space="preserve"> and </w:t>
      </w:r>
      <w:r w:rsidRPr="005B5CB6">
        <w:rPr>
          <w:rFonts w:ascii="Verdana" w:eastAsia="Verdana" w:hAnsi="Verdana" w:cs="Verdana"/>
          <w:i/>
        </w:rPr>
        <w:t xml:space="preserve">informativeness, </w:t>
      </w:r>
      <w:r w:rsidRPr="005B5CB6">
        <w:rPr>
          <w:rFonts w:ascii="Verdana" w:eastAsia="Verdana" w:hAnsi="Verdana" w:cs="Verdana"/>
        </w:rPr>
        <w:t xml:space="preserve">these criteria forming a code of ethical conduct for political campaigns. </w:t>
      </w:r>
    </w:p>
    <w:p w:rsidR="00FB0B24" w:rsidRPr="005B5CB6" w:rsidP="003255A4">
      <w:pPr>
        <w:numPr>
          <w:ilvl w:val="2"/>
          <w:numId w:val="35"/>
        </w:numPr>
        <w:spacing w:after="5" w:line="250" w:lineRule="auto"/>
        <w:ind w:left="23" w:right="11" w:hanging="8"/>
        <w:jc w:val="both"/>
        <w:rPr>
          <w:rFonts w:ascii="Verdana" w:hAnsi="Verdana"/>
        </w:rPr>
      </w:pPr>
      <w:r w:rsidRPr="005B5CB6">
        <w:rPr>
          <w:rFonts w:ascii="Verdana" w:eastAsia="Verdana" w:hAnsi="Verdana" w:cs="Verdana"/>
        </w:rPr>
        <w:t xml:space="preserve">Put in place an independent panel of diverse stakeholders (including factcheckers, academics, and campaigners from opposing sides) to verify, and critically comment upon, the self-evaluations. </w:t>
      </w:r>
    </w:p>
    <w:p w:rsidR="00FB0B24" w:rsidRPr="005B5CB6" w:rsidP="003255A4">
      <w:pPr>
        <w:numPr>
          <w:ilvl w:val="2"/>
          <w:numId w:val="35"/>
        </w:numPr>
        <w:spacing w:after="5" w:line="250" w:lineRule="auto"/>
        <w:ind w:left="23" w:right="11" w:hanging="8"/>
        <w:jc w:val="both"/>
        <w:rPr>
          <w:rFonts w:ascii="Verdana" w:hAnsi="Verdana"/>
        </w:rPr>
      </w:pPr>
      <w:r w:rsidRPr="005B5CB6">
        <w:rPr>
          <w:rFonts w:ascii="Verdana" w:eastAsia="Verdana" w:hAnsi="Verdana" w:cs="Verdana"/>
        </w:rPr>
        <w:t xml:space="preserve">Develop a kite-mark system to brand the transparency, explainability, informativeness and civility of the campaigns, to enable comparisons between elections. </w:t>
      </w:r>
    </w:p>
    <w:p w:rsidR="00FB0B24" w:rsidRPr="005B5CB6" w:rsidP="003255A4">
      <w:pPr>
        <w:numPr>
          <w:ilvl w:val="2"/>
          <w:numId w:val="35"/>
        </w:numPr>
        <w:spacing w:after="5" w:line="250" w:lineRule="auto"/>
        <w:ind w:left="23" w:right="11" w:hanging="8"/>
        <w:jc w:val="both"/>
        <w:rPr>
          <w:rFonts w:ascii="Verdana" w:hAnsi="Verdana"/>
        </w:rPr>
      </w:pPr>
      <w:r w:rsidRPr="005B5CB6">
        <w:rPr>
          <w:rFonts w:ascii="Verdana" w:eastAsia="Verdana" w:hAnsi="Verdana" w:cs="Verdana"/>
        </w:rPr>
        <w:t xml:space="preserve">Ensure that the self-evaluations, and verification by the independent panel, are available online in an independent public archive to enable comparisons between elections. </w:t>
      </w:r>
    </w:p>
    <w:p w:rsidR="00FB0B24" w:rsidRPr="005B5CB6" w:rsidP="003255A4">
      <w:pPr>
        <w:numPr>
          <w:ilvl w:val="2"/>
          <w:numId w:val="35"/>
        </w:numPr>
        <w:spacing w:after="5" w:line="250" w:lineRule="auto"/>
        <w:ind w:left="23" w:right="11" w:hanging="8"/>
        <w:jc w:val="both"/>
        <w:rPr>
          <w:rFonts w:ascii="Verdana" w:hAnsi="Verdana"/>
        </w:rPr>
      </w:pPr>
      <w:r w:rsidRPr="005B5CB6">
        <w:rPr>
          <w:rFonts w:ascii="Verdana" w:eastAsia="Verdana" w:hAnsi="Verdana" w:cs="Verdana"/>
        </w:rPr>
        <w:t xml:space="preserve">Place in an independent, searchable public archive all micro-targeted messages deployed in any political campaign. </w:t>
      </w:r>
    </w:p>
    <w:p w:rsidR="00FB0B24" w:rsidRPr="005B5CB6" w:rsidP="003255A4">
      <w:pPr>
        <w:numPr>
          <w:ilvl w:val="2"/>
          <w:numId w:val="35"/>
        </w:numPr>
        <w:spacing w:after="5" w:line="250" w:lineRule="auto"/>
        <w:ind w:left="23" w:right="11" w:hanging="8"/>
        <w:jc w:val="both"/>
        <w:rPr>
          <w:rFonts w:ascii="Verdana" w:hAnsi="Verdana"/>
        </w:rPr>
      </w:pPr>
      <w:r w:rsidRPr="005B5CB6">
        <w:rPr>
          <w:rFonts w:ascii="Verdana" w:eastAsia="Verdana" w:hAnsi="Verdana" w:cs="Verdana"/>
        </w:rPr>
        <w:t xml:space="preserve">Use public information campaigns and citizenship education within schools to widen understanding of the criteria in the code of ethical conduct for political campaigns, and to help people recognise if a campaign contravenes these codes. </w:t>
      </w:r>
    </w:p>
    <w:p w:rsidR="00FB0B24" w:rsidRPr="005B5CB6" w:rsidP="003255A4">
      <w:pPr>
        <w:numPr>
          <w:ilvl w:val="0"/>
          <w:numId w:val="35"/>
        </w:numPr>
        <w:spacing w:after="5" w:line="250" w:lineRule="auto"/>
        <w:ind w:hanging="720"/>
        <w:jc w:val="both"/>
        <w:rPr>
          <w:rFonts w:ascii="Verdana" w:hAnsi="Verdana"/>
        </w:rPr>
      </w:pPr>
      <w:r w:rsidRPr="005B5CB6">
        <w:rPr>
          <w:rFonts w:ascii="Verdana" w:eastAsia="Verdana" w:hAnsi="Verdana" w:cs="Verdana"/>
          <w:b/>
        </w:rPr>
        <w:t xml:space="preserve">Digital technologies in political campaigning: zeroing in on the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 xml:space="preserve">‘Leave’ campaigns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numPr>
          <w:ilvl w:val="1"/>
          <w:numId w:val="35"/>
        </w:numPr>
        <w:spacing w:after="5" w:line="250" w:lineRule="auto"/>
        <w:ind w:right="11" w:hanging="720"/>
        <w:jc w:val="both"/>
        <w:rPr>
          <w:rFonts w:ascii="Verdana" w:hAnsi="Verdana"/>
        </w:rPr>
      </w:pPr>
      <w:r w:rsidRPr="005B5CB6">
        <w:rPr>
          <w:rFonts w:ascii="Verdana" w:eastAsia="Verdana" w:hAnsi="Verdana" w:cs="Verdana"/>
        </w:rPr>
        <w:t xml:space="preserve">Use of digital technologies in political campaigns presents benefits and harms. To derive and illustrate these, we focus on the ‘Leave’ campaigns in the UK’s 2016 Referendum on whether or not to remain in, or leave, the European Union (EU). We focus on the Leave campaigns as they have attracted the most scrutiny. They have been scrutinised by regulatory and criminal investigations in the UK, and by investigative journalists, largely because of their over-spending on their legal limits for campaigning, but also because of their role in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disseminating disinformation in a manner that may have proven decisive, given Leave’s narrow margin of victory. The Leave campaigns have also been the subject of revelations from whistleblowers from the now defunct British data analytics company, Cambridge Analytica (namely, Christopher Wylie, contractor at</w:t>
      </w:r>
      <w:r>
        <w:fldChar w:fldCharType="begin"/>
      </w:r>
      <w:r>
        <w:instrText xml:space="preserve"> HYPERLINK "https://sclgroup.cc/home" </w:instrText>
      </w:r>
      <w:r>
        <w:fldChar w:fldCharType="separate"/>
      </w:r>
      <w:r w:rsidRPr="005B5CB6">
        <w:rPr>
          <w:rFonts w:ascii="Verdana" w:eastAsia="Verdana" w:hAnsi="Verdana" w:cs="Verdana"/>
        </w:rPr>
        <w:t xml:space="preserve"> SCL </w:t>
      </w:r>
      <w:r>
        <w:fldChar w:fldCharType="end"/>
      </w:r>
      <w:r w:rsidRPr="005B5CB6">
        <w:rPr>
          <w:rFonts w:ascii="Verdana" w:eastAsia="Verdana" w:hAnsi="Verdana" w:cs="Verdana"/>
        </w:rPr>
        <w:t>Elections and its subsidiary Cambridge Analytica 2013-14; and Brittany Kaiser, Director of Business Development, Cambridge Analytica, 2015-18) and from the official Leave campaign, ‘Vote Leave’ (Shahmir Sanni, Vote Leave volunteer, 2016). The stated motivations of these whistleblowers is ethical: a growing disgust with the operations in which they were involved.</w:t>
      </w:r>
      <w:r>
        <w:rPr>
          <w:rFonts w:ascii="Verdana" w:eastAsia="Verdana" w:hAnsi="Verdana" w:cs="Verdana"/>
          <w:vertAlign w:val="superscript"/>
        </w:rPr>
        <w:footnoteReference w:id="22"/>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35"/>
        </w:numPr>
        <w:spacing w:after="110" w:line="250" w:lineRule="auto"/>
        <w:ind w:right="11" w:hanging="720"/>
        <w:jc w:val="both"/>
        <w:rPr>
          <w:rFonts w:ascii="Verdana" w:hAnsi="Verdana"/>
        </w:rPr>
      </w:pPr>
      <w:r w:rsidRPr="005B5CB6">
        <w:rPr>
          <w:rFonts w:ascii="Verdana" w:eastAsia="Verdana" w:hAnsi="Verdana" w:cs="Verdana"/>
        </w:rPr>
        <w:t xml:space="preserve">‘Vote Leave’ was the official designated campaign to leave the EU, led by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13212" name="Group 51321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5352" name="Shape 63535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43" style="height:0.6pt;mso-position-horizontal-relative:char;mso-position-vertical-relative:line;width:2in" coordsize="18288,76">
                <v:shape id="_x0000_s1044"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then Conservative Members of Parliament (MPs), Boris Johnson and Michael Gove. There were also unofficial Leave campaigns including youth-oriented campaign group ‘BeLeave’ fronted by Darren Grimes; the ‘Leave.EU’ group founded by Arron Banks and Richard Tice; ‘Veterans for Britain’, and ‘DUP Vote to Leave’.  In many ways, Vote Leave’s digital campaign displayed features entirely commensurate with wider trends in digital political campaigning. However, the various Leave campaigns also display a degree of opacity that troubled regulators, and there is evidence pointing to covert, attempted digital manipulation of populations on the part of Leave.EU. Consideration of the various Leave campaigns allows us to pinpoint the potential benefits and harms to democracy from increasingly granular digital political campaigns, as well as what should be done about this.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tbl>
      <w:tblPr>
        <w:tblW w:w="9077" w:type="dxa"/>
        <w:tblInd w:w="-28" w:type="dxa"/>
        <w:tblCellMar>
          <w:top w:w="52" w:type="dxa"/>
          <w:right w:w="65" w:type="dxa"/>
        </w:tblCellMar>
        <w:tblLook w:val="04A0"/>
      </w:tblPr>
      <w:tblGrid>
        <w:gridCol w:w="4480"/>
        <w:gridCol w:w="4597"/>
      </w:tblGrid>
      <w:tr>
        <w:tblPrEx>
          <w:tblW w:w="9077" w:type="dxa"/>
          <w:tblInd w:w="-28" w:type="dxa"/>
          <w:tblCellMar>
            <w:top w:w="52" w:type="dxa"/>
            <w:right w:w="65" w:type="dxa"/>
          </w:tblCellMar>
          <w:tblLook w:val="04A0"/>
        </w:tblPrEx>
        <w:trPr>
          <w:trHeight w:val="269"/>
        </w:trPr>
        <w:tc>
          <w:tcPr>
            <w:tcW w:w="4480" w:type="dxa"/>
            <w:tcBorders>
              <w:top w:val="nil"/>
              <w:left w:val="nil"/>
              <w:bottom w:val="nil"/>
              <w:right w:val="single" w:sz="53" w:space="0" w:color="FEF9F5"/>
            </w:tcBorders>
          </w:tcPr>
          <w:p w:rsidR="00FB0B24" w:rsidRPr="005B5CB6" w:rsidP="003255A4">
            <w:pPr>
              <w:tabs>
                <w:tab w:val="right" w:pos="4414"/>
              </w:tabs>
              <w:jc w:val="both"/>
              <w:rPr>
                <w:rFonts w:ascii="Verdana" w:hAnsi="Verdana"/>
              </w:rPr>
            </w:pPr>
            <w:r w:rsidRPr="005B5CB6">
              <w:rPr>
                <w:rFonts w:ascii="Verdana" w:eastAsia="Verdana" w:hAnsi="Verdana" w:cs="Verdana"/>
              </w:rPr>
              <w:t xml:space="preserve">2.3 </w:t>
            </w:r>
            <w:r w:rsidRPr="005B5CB6">
              <w:rPr>
                <w:rFonts w:ascii="Verdana" w:eastAsia="Verdana" w:hAnsi="Verdana" w:cs="Verdana"/>
              </w:rPr>
              <w:tab/>
              <w:t xml:space="preserve">Elsewhere, we have detailed the </w:t>
            </w:r>
          </w:p>
        </w:tc>
        <w:tc>
          <w:tcPr>
            <w:tcW w:w="4597" w:type="dxa"/>
            <w:tcBorders>
              <w:top w:val="nil"/>
              <w:left w:val="single" w:sz="53" w:space="0" w:color="FEF9F5"/>
              <w:bottom w:val="nil"/>
              <w:right w:val="nil"/>
            </w:tcBorders>
          </w:tcPr>
          <w:p w:rsidR="00FB0B24" w:rsidRPr="005B5CB6" w:rsidP="003255A4">
            <w:pPr>
              <w:ind w:left="-66"/>
              <w:jc w:val="both"/>
              <w:rPr>
                <w:rFonts w:ascii="Verdana" w:hAnsi="Verdana"/>
              </w:rPr>
            </w:pPr>
            <w:r w:rsidRPr="005B5CB6">
              <w:rPr>
                <w:rFonts w:ascii="Verdana" w:eastAsia="Verdana" w:hAnsi="Verdana" w:cs="Verdana"/>
              </w:rPr>
              <w:t xml:space="preserve">emotive, deceptive, targeted digital </w:t>
            </w:r>
          </w:p>
        </w:tc>
      </w:tr>
      <w:tr>
        <w:tblPrEx>
          <w:tblW w:w="9077" w:type="dxa"/>
          <w:tblInd w:w="-28" w:type="dxa"/>
          <w:tblCellMar>
            <w:top w:w="52" w:type="dxa"/>
            <w:right w:w="65" w:type="dxa"/>
          </w:tblCellMar>
          <w:tblLook w:val="04A0"/>
        </w:tblPrEx>
        <w:trPr>
          <w:trHeight w:val="266"/>
        </w:trPr>
        <w:tc>
          <w:tcPr>
            <w:tcW w:w="9077" w:type="dxa"/>
            <w:gridSpan w:val="2"/>
            <w:tcBorders>
              <w:top w:val="nil"/>
              <w:left w:val="nil"/>
              <w:bottom w:val="nil"/>
              <w:right w:val="nil"/>
            </w:tcBorders>
            <w:shd w:val="clear" w:color="auto" w:fill="FFFFFF"/>
          </w:tcPr>
          <w:p w:rsidR="00FB0B24" w:rsidRPr="005B5CB6" w:rsidP="003255A4">
            <w:pPr>
              <w:ind w:left="29"/>
              <w:jc w:val="both"/>
              <w:rPr>
                <w:rFonts w:ascii="Verdana" w:hAnsi="Verdana"/>
              </w:rPr>
            </w:pPr>
            <w:r w:rsidRPr="005B5CB6">
              <w:rPr>
                <w:rFonts w:ascii="Verdana" w:eastAsia="Verdana" w:hAnsi="Verdana" w:cs="Verdana"/>
              </w:rPr>
              <w:t>information flows in the Leave campaigns.</w:t>
            </w:r>
            <w:r>
              <w:rPr>
                <w:rFonts w:ascii="Verdana" w:eastAsia="Verdana" w:hAnsi="Verdana" w:cs="Verdana"/>
                <w:vertAlign w:val="superscript"/>
              </w:rPr>
              <w:footnoteReference w:id="23"/>
            </w:r>
            <w:r w:rsidRPr="005B5CB6">
              <w:rPr>
                <w:rFonts w:ascii="Verdana" w:eastAsia="Verdana" w:hAnsi="Verdana" w:cs="Verdana"/>
              </w:rPr>
              <w:t xml:space="preserve"> In brief, after winning the EU </w:t>
            </w:r>
          </w:p>
        </w:tc>
      </w:tr>
    </w:tbl>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Referendum, Vote Leave’s campaign director, Dominic Cummings, proclaimed the potency of Vote Leave’s message on: ‘350m / NHS / Turkey’.</w:t>
      </w:r>
      <w:r w:rsidRPr="005B5CB6">
        <w:rPr>
          <w:rFonts w:ascii="Verdana" w:eastAsia="Verdana" w:hAnsi="Verdana" w:cs="Verdana"/>
          <w:vertAlign w:val="superscript"/>
        </w:rPr>
        <w:t>3</w:t>
      </w:r>
      <w:r w:rsidRPr="005B5CB6">
        <w:rPr>
          <w:rFonts w:ascii="Verdana" w:eastAsia="Verdana" w:hAnsi="Verdana" w:cs="Verdana"/>
        </w:rPr>
        <w:t xml:space="preserve">  Respectively,  these messages were that: the UK was spending £350 million a week on the EU, which it could spend on the National Health Service (NHS) if it left the EU; that Turkey, Macedonia, Montenegro, Serbia and Albania were about to join the EU; and that immigration could not be reduced unless the UK left the EU, thereby taking back control of its own destiny. These were the messages in its Facebook adverts seen by the most people. Such messages are </w:t>
      </w:r>
      <w:r w:rsidRPr="005B5CB6">
        <w:rPr>
          <w:rFonts w:ascii="Verdana" w:eastAsia="Verdana" w:hAnsi="Verdana" w:cs="Verdana"/>
          <w:i/>
        </w:rPr>
        <w:t>emotive</w:t>
      </w:r>
      <w:r w:rsidRPr="005B5CB6">
        <w:rPr>
          <w:rFonts w:ascii="Verdana" w:eastAsia="Verdana" w:hAnsi="Verdana" w:cs="Verdana"/>
        </w:rPr>
        <w:t>, invoking fear of hordes of immigrants swamping much cherished, but strained, national resources such as the NHS. Certainly, immigration was a key issue for voters.</w:t>
      </w:r>
      <w:r w:rsidRPr="005B5CB6">
        <w:rPr>
          <w:rFonts w:ascii="Verdana" w:eastAsia="Verdana" w:hAnsi="Verdana" w:cs="Verdana"/>
          <w:vertAlign w:val="superscript"/>
        </w:rPr>
        <w:t>4</w:t>
      </w:r>
      <w:r w:rsidRPr="005B5CB6">
        <w:rPr>
          <w:rFonts w:ascii="Verdana" w:eastAsia="Verdana" w:hAnsi="Verdana" w:cs="Verdana"/>
        </w:rPr>
        <w:t xml:space="preserve"> Such messages are also </w:t>
      </w:r>
      <w:r w:rsidRPr="005B5CB6">
        <w:rPr>
          <w:rFonts w:ascii="Verdana" w:eastAsia="Verdana" w:hAnsi="Verdana" w:cs="Verdana"/>
          <w:i/>
        </w:rPr>
        <w:t>deceptive</w:t>
      </w:r>
      <w:r w:rsidRPr="005B5CB6">
        <w:rPr>
          <w:rFonts w:ascii="Verdana" w:eastAsia="Verdana" w:hAnsi="Verdana" w:cs="Verdana"/>
        </w:rPr>
        <w:t xml:space="preserve">, as seen by post-referendum fact-checks of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Vote Leave’s message on: ‘£350 million’ and ‘Turkey’.</w:t>
      </w:r>
      <w:r>
        <w:rPr>
          <w:rFonts w:ascii="Verdana" w:eastAsia="Verdana" w:hAnsi="Verdana" w:cs="Verdana"/>
          <w:vertAlign w:val="superscript"/>
        </w:rPr>
        <w:footnoteReference w:id="24"/>
      </w:r>
      <w:r w:rsidRPr="005B5CB6">
        <w:rPr>
          <w:rFonts w:ascii="Verdana" w:eastAsia="Verdana" w:hAnsi="Verdana" w:cs="Verdana"/>
        </w:rPr>
        <w:t xml:space="preserve"> Furthermore, Vote Leave’s campaign director, Cummings, made a show during the campaign of refusing to work with Arron Banks (of Leave.EU – one of the unofficial Leave campaigns) while admitting that his campaign relied on their harsh </w:t>
      </w:r>
      <w:r w:rsidRPr="005B5CB6">
        <w:rPr>
          <w:rFonts w:ascii="Verdana" w:eastAsia="Verdana" w:hAnsi="Verdana" w:cs="Verdana"/>
        </w:rPr>
        <w:t>antiimmigration messages.</w:t>
      </w:r>
      <w:r>
        <w:rPr>
          <w:rFonts w:ascii="Verdana" w:eastAsia="Verdana" w:hAnsi="Verdana" w:cs="Verdana"/>
          <w:vertAlign w:val="superscript"/>
        </w:rPr>
        <w:footnoteReference w:id="25"/>
      </w:r>
      <w:r w:rsidRPr="005B5CB6">
        <w:rPr>
          <w:rFonts w:ascii="Verdana" w:eastAsia="Verdana" w:hAnsi="Verdana" w:cs="Verdana"/>
        </w:rPr>
        <w:t xml:space="preserve">  Indeed, in providing testimony to the UK’s Inquiry into </w:t>
      </w:r>
    </w:p>
    <w:p w:rsidR="00FB0B24" w:rsidRPr="005B5CB6" w:rsidP="003255A4">
      <w:pPr>
        <w:spacing w:after="124" w:line="250" w:lineRule="auto"/>
        <w:ind w:left="23" w:right="224" w:hanging="8"/>
        <w:jc w:val="both"/>
        <w:rPr>
          <w:rFonts w:ascii="Verdana" w:hAnsi="Verdana"/>
        </w:rPr>
      </w:pPr>
      <w:r w:rsidRPr="005B5CB6">
        <w:rPr>
          <w:rFonts w:ascii="Verdana" w:eastAsia="Verdana" w:hAnsi="Verdana" w:cs="Verdana"/>
        </w:rPr>
        <w:t>Disinformation and Fake News, Banks highlights the methods with which Leave.EU campaigned: ‘My experience of social media is it is a firestorm that, just like a brush fire, it blows over the thing. Our skill was creating bush fires and then putting a big fan on and making the fan blow’.</w:t>
      </w:r>
      <w:r w:rsidRPr="005B5CB6">
        <w:rPr>
          <w:rFonts w:ascii="Verdana" w:eastAsia="Verdana" w:hAnsi="Verdana" w:cs="Verdana"/>
          <w:vertAlign w:val="superscript"/>
        </w:rPr>
        <w:t>7</w:t>
      </w:r>
      <w:r w:rsidRPr="005B5CB6">
        <w:rPr>
          <w:rFonts w:ascii="Verdana" w:eastAsia="Verdana" w:hAnsi="Verdana" w:cs="Verdana"/>
        </w:rPr>
        <w:t xml:space="preserve"> Banks described the issue of immigration as one that set ‘the wild fires burning’.</w:t>
      </w:r>
      <w:r>
        <w:rPr>
          <w:rFonts w:ascii="Verdana" w:eastAsia="Verdana" w:hAnsi="Verdana" w:cs="Verdana"/>
          <w:vertAlign w:val="superscript"/>
        </w:rPr>
        <w:footnoteReference w:id="26"/>
      </w:r>
      <w:r w:rsidRPr="005B5CB6">
        <w:rPr>
          <w:rFonts w:ascii="Verdana" w:eastAsia="Verdana" w:hAnsi="Verdana" w:cs="Verdana"/>
        </w:rPr>
        <w:t xml:space="preserve"> As reported in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3536" name="Group 51353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354" name="Shape 63535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45" style="height:0.6pt;mso-position-horizontal-relative:char;mso-position-vertical-relative:line;width:2in" coordsize="18288,76">
                <v:shape id="_x0000_s1046"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i/>
        </w:rPr>
        <w:t>The New Yorker</w:t>
      </w:r>
      <w:r w:rsidRPr="005B5CB6">
        <w:rPr>
          <w:rFonts w:ascii="Verdana" w:eastAsia="Verdana" w:hAnsi="Verdana" w:cs="Verdana"/>
        </w:rPr>
        <w:t>: ‘A typical Leave.EU post on Facebook warned voters that “</w:t>
      </w:r>
      <w:r w:rsidRPr="005B5CB6">
        <w:rPr>
          <w:rFonts w:ascii="Verdana" w:eastAsia="Verdana" w:hAnsi="Verdana" w:cs="Verdana"/>
          <w:i/>
        </w:rPr>
        <w:t>immigration without assimilation equals invasion</w:t>
      </w:r>
      <w:r w:rsidRPr="005B5CB6">
        <w:rPr>
          <w:rFonts w:ascii="Verdana" w:eastAsia="Verdana" w:hAnsi="Verdana" w:cs="Verdana"/>
        </w:rPr>
        <w:t>”’.</w:t>
      </w:r>
      <w:r>
        <w:rPr>
          <w:rFonts w:ascii="Verdana" w:eastAsia="Verdana" w:hAnsi="Verdana" w:cs="Verdana"/>
          <w:vertAlign w:val="superscript"/>
        </w:rPr>
        <w:footnoteReference w:id="27"/>
      </w:r>
      <w:r w:rsidRPr="005B5CB6">
        <w:rPr>
          <w:rFonts w:ascii="Verdana" w:eastAsia="Verdana" w:hAnsi="Verdana" w:cs="Verdana"/>
        </w:rPr>
        <w:t xml:space="preserve">  Furthermore, an investigation by Channel 4 News in 2019 revealed that Leave.EU was behind a fake video that went viral, garnering hundreds of thousands of views on Facebook. The video, published by Leave.EU as an ‘undercover investigation’ on Facebook, purported to show how easy it is to smuggle migrants into the UK from across the English Channel. Debunking this video several years later, satellite data, seen by Channel 4 News shows that the footage was filmed in reverse, and that the apparent footage of ‘migrants’ entering the UK were actually filmed before the boat had even left British waters.</w:t>
      </w:r>
      <w:r w:rsidRPr="005B5CB6">
        <w:rPr>
          <w:rFonts w:ascii="Verdana" w:eastAsia="Verdana" w:hAnsi="Verdana" w:cs="Verdana"/>
          <w:vertAlign w:val="superscript"/>
        </w:rPr>
        <w:t>10</w:t>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2.4 </w:t>
      </w:r>
      <w:r w:rsidRPr="005B5CB6">
        <w:rPr>
          <w:rFonts w:ascii="Verdana" w:eastAsia="Verdana" w:hAnsi="Verdana" w:cs="Verdana"/>
        </w:rPr>
        <w:tab/>
        <w:t xml:space="preserve">One might argue that citizens are used to deceptive, emotive political campaigns, and that campaigns such as those conducted by Leave do not merit undue social or political concern. After all, on </w:t>
      </w:r>
      <w:r w:rsidRPr="005B5CB6">
        <w:rPr>
          <w:rFonts w:ascii="Verdana" w:eastAsia="Verdana" w:hAnsi="Verdana" w:cs="Verdana"/>
          <w:i/>
        </w:rPr>
        <w:t>emotive</w:t>
      </w:r>
      <w:r w:rsidRPr="005B5CB6">
        <w:rPr>
          <w:rFonts w:ascii="Verdana" w:eastAsia="Verdana" w:hAnsi="Verdana" w:cs="Verdana"/>
        </w:rPr>
        <w:t xml:space="preserve"> communication, as far back as the era of classical Greek Democracy (5</w:t>
      </w:r>
      <w:r w:rsidRPr="005B5CB6">
        <w:rPr>
          <w:rFonts w:ascii="Verdana" w:eastAsia="Verdana" w:hAnsi="Verdana" w:cs="Verdana"/>
          <w:vertAlign w:val="superscript"/>
        </w:rPr>
        <w:t>th</w:t>
      </w:r>
      <w:r w:rsidRPr="005B5CB6">
        <w:rPr>
          <w:rFonts w:ascii="Verdana" w:eastAsia="Verdana" w:hAnsi="Verdana" w:cs="Verdana"/>
        </w:rPr>
        <w:t xml:space="preserve"> century BC), Aristotle recognised the importance of affect in persuasive communications.</w:t>
      </w:r>
      <w:r>
        <w:rPr>
          <w:rFonts w:ascii="Verdana" w:eastAsia="Verdana" w:hAnsi="Verdana" w:cs="Verdana"/>
          <w:vertAlign w:val="superscript"/>
        </w:rPr>
        <w:footnoteReference w:id="28"/>
      </w:r>
      <w:r w:rsidRPr="005B5CB6">
        <w:rPr>
          <w:rFonts w:ascii="Verdana" w:eastAsia="Verdana" w:hAnsi="Verdana" w:cs="Verdana"/>
        </w:rPr>
        <w:t xml:space="preserve"> Writing in the 21</w:t>
      </w:r>
      <w:r w:rsidRPr="005B5CB6">
        <w:rPr>
          <w:rFonts w:ascii="Verdana" w:eastAsia="Verdana" w:hAnsi="Verdana" w:cs="Verdana"/>
          <w:vertAlign w:val="superscript"/>
        </w:rPr>
        <w:t>st</w:t>
      </w:r>
      <w:r w:rsidRPr="005B5CB6">
        <w:rPr>
          <w:rFonts w:ascii="Verdana" w:eastAsia="Verdana" w:hAnsi="Verdana" w:cs="Verdana"/>
        </w:rPr>
        <w:t xml:space="preserve"> century, influential psychologist Westen argues that issues that arouse emotions have the biggest impact on voting and voter mobilisation: such issues tend to be contentious issues.</w:t>
      </w:r>
      <w:r>
        <w:rPr>
          <w:rFonts w:ascii="Verdana" w:eastAsia="Verdana" w:hAnsi="Verdana" w:cs="Verdana"/>
          <w:vertAlign w:val="superscript"/>
        </w:rPr>
        <w:footnoteReference w:id="29"/>
      </w:r>
      <w:r w:rsidRPr="005B5CB6">
        <w:rPr>
          <w:rFonts w:ascii="Verdana" w:eastAsia="Verdana" w:hAnsi="Verdana" w:cs="Verdana"/>
        </w:rPr>
        <w:t xml:space="preserve"> On </w:t>
      </w:r>
      <w:r w:rsidRPr="005B5CB6">
        <w:rPr>
          <w:rFonts w:ascii="Verdana" w:eastAsia="Verdana" w:hAnsi="Verdana" w:cs="Verdana"/>
          <w:i/>
        </w:rPr>
        <w:t>deception</w:t>
      </w:r>
      <w:r w:rsidRPr="005B5CB6">
        <w:rPr>
          <w:rFonts w:ascii="Verdana" w:eastAsia="Verdana" w:hAnsi="Verdana" w:cs="Verdana"/>
        </w:rPr>
        <w:t xml:space="preserve"> in political campaigns, while this deprives people of the information that they need to make an informed decision, multiple studies document the long-standing use of deception.</w:t>
      </w:r>
      <w:r w:rsidRPr="005B5CB6">
        <w:rPr>
          <w:rFonts w:ascii="Verdana" w:eastAsia="Verdana" w:hAnsi="Verdana" w:cs="Verdana"/>
          <w:vertAlign w:val="superscript"/>
        </w:rPr>
        <w:t>13</w:t>
      </w:r>
      <w:r w:rsidRPr="005B5CB6">
        <w:rPr>
          <w:rFonts w:ascii="Verdana" w:eastAsia="Verdana" w:hAnsi="Verdana" w:cs="Verdana"/>
        </w:rPr>
        <w:t xml:space="preserve"> Neither is </w:t>
      </w:r>
      <w:r w:rsidRPr="005B5CB6">
        <w:rPr>
          <w:rFonts w:ascii="Verdana" w:eastAsia="Verdana" w:hAnsi="Verdana" w:cs="Verdana"/>
          <w:i/>
        </w:rPr>
        <w:t>digital targeting</w:t>
      </w:r>
      <w:r w:rsidRPr="005B5CB6">
        <w:rPr>
          <w:rFonts w:ascii="Verdana" w:eastAsia="Verdana" w:hAnsi="Verdana" w:cs="Verdana"/>
        </w:rPr>
        <w:t xml:space="preserve"> of voters new, as described below. However, each electoral cycle sees deployments of technological and industry innovations in data-mining and targeting.</w:t>
      </w:r>
      <w:r>
        <w:rPr>
          <w:rFonts w:ascii="Verdana" w:eastAsia="Verdana" w:hAnsi="Verdana" w:cs="Verdana"/>
          <w:vertAlign w:val="superscript"/>
        </w:rPr>
        <w:footnoteReference w:id="30"/>
      </w:r>
      <w:r w:rsidRPr="005B5CB6">
        <w:rPr>
          <w:rFonts w:ascii="Verdana" w:eastAsia="Verdana" w:hAnsi="Verdana" w:cs="Verdana"/>
          <w:b/>
        </w:rPr>
        <w:t xml:space="preserve"> </w:t>
      </w:r>
      <w:r w:rsidRPr="005B5CB6">
        <w:rPr>
          <w:rFonts w:ascii="Verdana" w:eastAsia="Verdana" w:hAnsi="Verdana" w:cs="Verdana"/>
        </w:rPr>
        <w:t>We argue that we have reached a phase where</w:t>
      </w:r>
      <w:r w:rsidRPr="005B5CB6">
        <w:rPr>
          <w:rFonts w:ascii="Verdana" w:eastAsia="Verdana" w:hAnsi="Verdana" w:cs="Verdana"/>
          <w:b/>
        </w:rPr>
        <w:t xml:space="preserve"> opacity in the use </w:t>
      </w:r>
      <w:r w:rsidRPr="005B5CB6">
        <w:rPr>
          <w:rFonts w:ascii="Verdana" w:eastAsia="Verdana" w:hAnsi="Verdana" w:cs="Verdana"/>
          <w:b/>
        </w:rPr>
        <w:t>of these profiling technologies has become problematic</w:t>
      </w:r>
      <w:r w:rsidRPr="005B5CB6">
        <w:rPr>
          <w:rFonts w:ascii="Verdana" w:eastAsia="Verdana" w:hAnsi="Verdana" w:cs="Verdana"/>
        </w:rPr>
        <w:t>, and that this is</w:t>
      </w:r>
      <w:r w:rsidRPr="005B5CB6">
        <w:rPr>
          <w:rFonts w:ascii="Verdana" w:eastAsia="Verdana" w:hAnsi="Verdana" w:cs="Verdana"/>
          <w:b/>
        </w:rPr>
        <w:t xml:space="preserve"> likely to get rapidly worse with increasing use of AI in political campaigning. </w:t>
      </w:r>
      <w:r w:rsidRPr="005B5CB6">
        <w:rPr>
          <w:rFonts w:ascii="Verdana" w:eastAsia="Verdana" w:hAnsi="Verdana" w:cs="Verdana"/>
        </w:rPr>
        <w:t>But how did we get here?</w:t>
      </w:r>
      <w:r w:rsidRPr="005B5CB6">
        <w:rPr>
          <w:rFonts w:ascii="Verdana" w:eastAsia="Verdana" w:hAnsi="Verdana" w:cs="Verdana"/>
          <w:b/>
        </w:rPr>
        <w:t xml:space="preserve"> </w:t>
      </w:r>
    </w:p>
    <w:p w:rsidR="00FB0B24" w:rsidRPr="005B5CB6" w:rsidP="003255A4">
      <w:pPr>
        <w:spacing w:after="0"/>
        <w:ind w:left="1"/>
        <w:jc w:val="both"/>
        <w:rPr>
          <w:rFonts w:ascii="Verdana" w:hAnsi="Verdana"/>
        </w:rPr>
      </w:pPr>
      <w:r w:rsidRPr="005B5CB6">
        <w:rPr>
          <w:rFonts w:ascii="Verdana" w:eastAsia="Verdana" w:hAnsi="Verdana" w:cs="Verdana"/>
          <w:b/>
        </w:rPr>
        <w:t xml:space="preserve"> </w:t>
      </w:r>
    </w:p>
    <w:p w:rsidR="00FB0B24" w:rsidRPr="005B5CB6" w:rsidP="003255A4">
      <w:pPr>
        <w:spacing w:after="0"/>
        <w:ind w:left="1"/>
        <w:jc w:val="both"/>
        <w:rPr>
          <w:rFonts w:ascii="Verdana" w:hAnsi="Verdana"/>
        </w:rPr>
      </w:pPr>
      <w:r w:rsidRPr="005B5CB6">
        <w:rPr>
          <w:rFonts w:ascii="Verdana" w:eastAsia="Verdana" w:hAnsi="Verdana" w:cs="Verdana"/>
          <w:b/>
        </w:rPr>
        <w:t xml:space="preserve"> </w:t>
      </w:r>
    </w:p>
    <w:p w:rsidR="00FB0B24" w:rsidRPr="005B5CB6" w:rsidP="003255A4">
      <w:pPr>
        <w:spacing w:after="3233"/>
        <w:ind w:left="1"/>
        <w:jc w:val="both"/>
        <w:rPr>
          <w:rFonts w:ascii="Verdana" w:hAnsi="Verdana"/>
        </w:rPr>
      </w:pPr>
      <w:r w:rsidRPr="005B5CB6">
        <w:rPr>
          <w:rFonts w:ascii="Verdana" w:eastAsia="Arial" w:hAnsi="Verdana" w:cs="Arial"/>
          <w:b/>
        </w:rPr>
        <w:t xml:space="preserve"> </w:t>
      </w:r>
      <w:r w:rsidRPr="005B5CB6">
        <w:rPr>
          <w:rFonts w:ascii="Verdana" w:eastAsia="Arial" w:hAnsi="Verdana" w:cs="Arial"/>
          <w:b/>
        </w:rPr>
        <w:tab/>
      </w:r>
      <w:r w:rsidRPr="005B5CB6">
        <w:rPr>
          <w:rFonts w:ascii="Verdana" w:eastAsia="Verdana" w:hAnsi="Verdana" w:cs="Verdana"/>
          <w:b/>
        </w:rPr>
        <w:t xml:space="preserve">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14105" name="Group 51410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5356" name="Shape 63535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47" style="height:0.6pt;mso-position-horizontal-relative:char;mso-position-vertical-relative:line;width:2in" coordsize="18288,76">
                <v:shape id="_x0000_s1048"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numPr>
          <w:ilvl w:val="0"/>
          <w:numId w:val="36"/>
        </w:numPr>
        <w:spacing w:after="284" w:line="250" w:lineRule="auto"/>
        <w:ind w:hanging="720"/>
        <w:jc w:val="both"/>
        <w:rPr>
          <w:rFonts w:ascii="Verdana" w:hAnsi="Verdana"/>
        </w:rPr>
      </w:pPr>
      <w:r w:rsidRPr="005B5CB6">
        <w:rPr>
          <w:rFonts w:ascii="Verdana" w:eastAsia="Verdana" w:hAnsi="Verdana" w:cs="Verdana"/>
          <w:b/>
        </w:rPr>
        <w:t xml:space="preserve">The rise of digital marketing techniques in political campaigns </w:t>
      </w:r>
    </w:p>
    <w:p w:rsidR="00FB0B24" w:rsidRPr="005B5CB6" w:rsidP="003255A4">
      <w:pPr>
        <w:numPr>
          <w:ilvl w:val="1"/>
          <w:numId w:val="36"/>
        </w:numPr>
        <w:spacing w:after="316" w:line="250" w:lineRule="auto"/>
        <w:ind w:right="11" w:hanging="360"/>
        <w:jc w:val="both"/>
        <w:rPr>
          <w:rFonts w:ascii="Verdana" w:hAnsi="Verdana"/>
        </w:rPr>
      </w:pPr>
      <w:r w:rsidRPr="005B5CB6">
        <w:rPr>
          <w:rFonts w:ascii="Verdana" w:eastAsia="Verdana" w:hAnsi="Verdana" w:cs="Verdana"/>
        </w:rPr>
        <w:t>Across the past decade, political campaigning has increasingly relied on digital marketing techniques to supplement its traditional focus on demographic market segmentation, opinion polling, targeted campaigning and direct marketing.</w:t>
      </w:r>
      <w:r>
        <w:rPr>
          <w:rFonts w:ascii="Verdana" w:eastAsia="Verdana" w:hAnsi="Verdana" w:cs="Verdana"/>
          <w:vertAlign w:val="superscript"/>
        </w:rPr>
        <w:footnoteReference w:id="31"/>
      </w:r>
      <w:r w:rsidRPr="005B5CB6">
        <w:rPr>
          <w:rFonts w:ascii="Verdana" w:eastAsia="Verdana" w:hAnsi="Verdana" w:cs="Verdana"/>
        </w:rPr>
        <w:t xml:space="preserve"> For decades in the USA and UK, opinion polling allowed parties to merge broad demographic data with psychographic insights on how to craft messages that resonated with large parts of the population. In the UK, more targeted campaigning and direct mail developed in the late 1970s and early 1980s.</w:t>
      </w:r>
      <w:r>
        <w:rPr>
          <w:rFonts w:ascii="Verdana" w:eastAsia="Verdana" w:hAnsi="Verdana" w:cs="Verdana"/>
          <w:vertAlign w:val="superscript"/>
        </w:rPr>
        <w:footnoteReference w:id="32"/>
      </w:r>
      <w:r w:rsidRPr="005B5CB6">
        <w:rPr>
          <w:rFonts w:ascii="Verdana" w:eastAsia="Verdana" w:hAnsi="Verdana" w:cs="Verdana"/>
        </w:rPr>
        <w:t xml:space="preserve"> Political campaigns now combine public voter files with commercial information from data brokers to develop detailed, comprehensive voter profiles.</w:t>
      </w:r>
      <w:r>
        <w:rPr>
          <w:rFonts w:ascii="Verdana" w:eastAsia="Verdana" w:hAnsi="Verdana" w:cs="Verdana"/>
          <w:vertAlign w:val="superscript"/>
        </w:rPr>
        <w:footnoteReference w:id="33"/>
      </w:r>
      <w:r w:rsidRPr="005B5CB6">
        <w:rPr>
          <w:rFonts w:ascii="Verdana" w:eastAsia="Verdana" w:hAnsi="Verdana" w:cs="Verdana"/>
        </w:rPr>
        <w:t xml:space="preserve"> This practice rose to prominence in the US with Barack Obama’s 2008 presidential campaign</w:t>
      </w:r>
      <w:r>
        <w:rPr>
          <w:rFonts w:ascii="Verdana" w:eastAsia="Verdana" w:hAnsi="Verdana" w:cs="Verdana"/>
          <w:vertAlign w:val="superscript"/>
        </w:rPr>
        <w:footnoteReference w:id="34"/>
      </w:r>
      <w:r w:rsidRPr="005B5CB6">
        <w:rPr>
          <w:rFonts w:ascii="Verdana" w:eastAsia="Verdana" w:hAnsi="Verdana" w:cs="Verdana"/>
        </w:rPr>
        <w:t xml:space="preserve"> and has been increasing in the UK since 2015.</w:t>
      </w:r>
      <w:r>
        <w:rPr>
          <w:rFonts w:ascii="Verdana" w:eastAsia="Verdana" w:hAnsi="Verdana" w:cs="Verdana"/>
          <w:vertAlign w:val="superscript"/>
        </w:rPr>
        <w:footnoteReference w:id="35"/>
      </w:r>
      <w:r w:rsidRPr="005B5CB6">
        <w:rPr>
          <w:rFonts w:ascii="Verdana" w:eastAsia="Verdana" w:hAnsi="Verdana" w:cs="Verdana"/>
        </w:rPr>
        <w:t xml:space="preserve">  </w:t>
      </w:r>
    </w:p>
    <w:p w:rsidR="00FB0B24" w:rsidRPr="005B5CB6" w:rsidP="003255A4">
      <w:pPr>
        <w:numPr>
          <w:ilvl w:val="1"/>
          <w:numId w:val="36"/>
        </w:numPr>
        <w:spacing w:after="5" w:line="250" w:lineRule="auto"/>
        <w:ind w:right="11" w:hanging="360"/>
        <w:jc w:val="both"/>
        <w:rPr>
          <w:rFonts w:ascii="Verdana" w:hAnsi="Verdana"/>
        </w:rPr>
      </w:pPr>
      <w:r w:rsidRPr="005B5CB6">
        <w:rPr>
          <w:rFonts w:ascii="Verdana" w:eastAsia="Verdana" w:hAnsi="Verdana" w:cs="Verdana"/>
          <w:b/>
        </w:rPr>
        <w:t xml:space="preserve">Core features </w:t>
      </w:r>
      <w:r w:rsidRPr="005B5CB6">
        <w:rPr>
          <w:rFonts w:ascii="Verdana" w:eastAsia="Verdana" w:hAnsi="Verdana" w:cs="Verdana"/>
        </w:rPr>
        <w:t xml:space="preserve">of the use of digital marketing techniques by political campaigns are as follows.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3.2.1</w:t>
      </w:r>
      <w:r w:rsidRPr="005B5CB6">
        <w:rPr>
          <w:rFonts w:ascii="Verdana" w:eastAsia="Verdana" w:hAnsi="Verdana" w:cs="Verdana"/>
          <w:i/>
        </w:rPr>
        <w:t xml:space="preserve"> Increased spending on digital advertising</w:t>
      </w:r>
      <w:r w:rsidRPr="005B5CB6">
        <w:rPr>
          <w:rFonts w:ascii="Verdana" w:eastAsia="Verdana" w:hAnsi="Verdana" w:cs="Verdana"/>
        </w:rPr>
        <w:t>. The proportion of money that UK political campaigners have reported spending on digital advertising as a percentage of their total advertising spend rose sharply in 2015 (2% in 2014, but 24% in 2015). In the 2015 General Election, which the Conservative Party won, its spending on Facebook ads was far higher than its rivals: it spent £1,209,593 on Facebook ads in the 12 months leading up to the General Election compared to the Labour Party’s £16,500. The Conservative Party also spent £312,033 on Google compared to Labour’s tiny amount of £179.</w:t>
      </w:r>
      <w:r>
        <w:rPr>
          <w:rFonts w:ascii="Verdana" w:eastAsia="Verdana" w:hAnsi="Verdana" w:cs="Verdana"/>
          <w:vertAlign w:val="superscript"/>
        </w:rPr>
        <w:footnoteReference w:id="36"/>
      </w:r>
      <w:r w:rsidRPr="005B5CB6">
        <w:rPr>
          <w:rFonts w:ascii="Verdana" w:eastAsia="Verdana" w:hAnsi="Verdana" w:cs="Verdana"/>
        </w:rPr>
        <w:t xml:space="preserve"> The declared spending of UK campaigners on digital advertising has since maintained an upward trend: 32% in 2016, when the EU Referendum was held, and 43% in </w:t>
      </w:r>
    </w:p>
    <w:p w:rsidR="00FB0B24" w:rsidRPr="005B5CB6" w:rsidP="003255A4">
      <w:pPr>
        <w:spacing w:after="243" w:line="250" w:lineRule="auto"/>
        <w:ind w:left="23" w:right="11" w:hanging="8"/>
        <w:jc w:val="both"/>
        <w:rPr>
          <w:rFonts w:ascii="Verdana" w:hAnsi="Verdana"/>
        </w:rPr>
      </w:pPr>
      <w:r w:rsidRPr="005B5CB6">
        <w:rPr>
          <w:rFonts w:ascii="Verdana" w:eastAsia="Verdana" w:hAnsi="Verdana" w:cs="Verdana"/>
        </w:rPr>
        <w:t>2017 when a UK Parliamentary election was held.</w:t>
      </w:r>
      <w:r w:rsidRPr="005B5CB6">
        <w:rPr>
          <w:rFonts w:ascii="Verdana" w:eastAsia="Verdana" w:hAnsi="Verdana" w:cs="Verdana"/>
          <w:vertAlign w:val="superscript"/>
        </w:rPr>
        <w:t xml:space="preserve"> 21</w:t>
      </w:r>
      <w:r w:rsidRPr="005B5CB6">
        <w:rPr>
          <w:rFonts w:ascii="Verdana" w:eastAsia="Verdana" w:hAnsi="Verdana" w:cs="Verdana"/>
        </w:rPr>
        <w:t xml:space="preserve"> In the 2017 General Election, which the Conservative Party also won (although with a reduced majority), its spending on Facebook ads was again higher than its rivals: it spent £2,118,045 on Facebook ads in the 12 months leading up to the General Election compared to the Labour Party’s £577,270. The Conservative Party also spent £562,154 on Google compared to Labour’s smaller amount of £254,516.</w:t>
      </w:r>
      <w:r>
        <w:rPr>
          <w:rFonts w:ascii="Verdana" w:eastAsia="Verdana" w:hAnsi="Verdana" w:cs="Verdana"/>
          <w:vertAlign w:val="superscript"/>
        </w:rPr>
        <w:footnoteReference w:id="37"/>
      </w:r>
      <w:r w:rsidRPr="005B5CB6">
        <w:rPr>
          <w:rFonts w:ascii="Verdana" w:eastAsia="Verdana" w:hAnsi="Verdana" w:cs="Verdana"/>
        </w:rPr>
        <w:t xml:space="preserve"> These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14347" name="Group 51434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5358" name="Shape 63535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49" style="height:0.6pt;mso-position-horizontal-relative:char;mso-position-vertical-relative:line;width:2in" coordsize="18288,76">
                <v:shape id="_x0000_s1050"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270" w:line="250" w:lineRule="auto"/>
        <w:ind w:left="23" w:right="11" w:hanging="8"/>
        <w:jc w:val="both"/>
        <w:rPr>
          <w:rFonts w:ascii="Verdana" w:hAnsi="Verdana"/>
        </w:rPr>
      </w:pPr>
      <w:r w:rsidRPr="005B5CB6">
        <w:rPr>
          <w:rFonts w:ascii="Verdana" w:eastAsia="Verdana" w:hAnsi="Verdana" w:cs="Verdana"/>
        </w:rPr>
        <w:t xml:space="preserve">figures are an underestimate of the importance of digital campaigning, as they do not include organic growth through re-tweets and re-posts, or free exposure via campaigners’ and activists’ social media activity. </w:t>
      </w:r>
    </w:p>
    <w:p w:rsidR="00FB0B24" w:rsidRPr="005B5CB6" w:rsidP="003255A4">
      <w:pPr>
        <w:spacing w:after="384" w:line="250" w:lineRule="auto"/>
        <w:ind w:left="23" w:right="11" w:hanging="8"/>
        <w:jc w:val="both"/>
        <w:rPr>
          <w:rFonts w:ascii="Verdana" w:hAnsi="Verdana"/>
        </w:rPr>
      </w:pPr>
      <w:r w:rsidRPr="005B5CB6">
        <w:rPr>
          <w:rFonts w:ascii="Verdana" w:eastAsia="Verdana" w:hAnsi="Verdana" w:cs="Verdana"/>
        </w:rPr>
        <w:t>3.2.2</w:t>
      </w:r>
      <w:r w:rsidRPr="005B5CB6">
        <w:rPr>
          <w:rFonts w:ascii="Verdana" w:eastAsia="Verdana" w:hAnsi="Verdana" w:cs="Verdana"/>
          <w:i/>
        </w:rPr>
        <w:t xml:space="preserve"> Increased use of data analytics</w:t>
      </w:r>
      <w:r>
        <w:rPr>
          <w:rFonts w:ascii="Verdana" w:eastAsia="Verdana" w:hAnsi="Verdana" w:cs="Verdana"/>
          <w:vertAlign w:val="superscript"/>
        </w:rPr>
        <w:footnoteReference w:id="38"/>
      </w:r>
      <w:r w:rsidRPr="005B5CB6">
        <w:rPr>
          <w:rFonts w:ascii="Verdana" w:eastAsia="Verdana" w:hAnsi="Verdana" w:cs="Verdana"/>
          <w:i/>
        </w:rPr>
        <w:t xml:space="preserve"> and data management approaches in order to profile</w:t>
      </w:r>
      <w:r>
        <w:rPr>
          <w:rFonts w:ascii="Verdana" w:eastAsia="Verdana" w:hAnsi="Verdana" w:cs="Verdana"/>
          <w:vertAlign w:val="superscript"/>
        </w:rPr>
        <w:footnoteReference w:id="39"/>
      </w:r>
      <w:r w:rsidRPr="005B5CB6">
        <w:rPr>
          <w:rFonts w:ascii="Verdana" w:eastAsia="Verdana" w:hAnsi="Verdana" w:cs="Verdana"/>
          <w:i/>
        </w:rPr>
        <w:t xml:space="preserve"> and thereby</w:t>
      </w:r>
      <w:r w:rsidRPr="005B5CB6">
        <w:rPr>
          <w:rFonts w:ascii="Verdana" w:eastAsia="Verdana" w:hAnsi="Verdana" w:cs="Verdana"/>
        </w:rPr>
        <w:t xml:space="preserve"> </w:t>
      </w:r>
      <w:r w:rsidRPr="005B5CB6">
        <w:rPr>
          <w:rFonts w:ascii="Verdana" w:eastAsia="Verdana" w:hAnsi="Verdana" w:cs="Verdana"/>
          <w:i/>
        </w:rPr>
        <w:t xml:space="preserve">identify target audiences, including the ‘persuadables’ and swing voters.  </w:t>
      </w:r>
      <w:r w:rsidRPr="005B5CB6">
        <w:rPr>
          <w:rFonts w:ascii="Verdana" w:eastAsia="Verdana" w:hAnsi="Verdana" w:cs="Verdana"/>
        </w:rPr>
        <w:t>The amount of money that UK political campaigners have reported spending on advertising/data companies and on consultants/strategists has also increased since 2015, with the Conservatives greatly out-spending Labour in both the 2015 and 2017 General Elections. In the 2015 General Election, the Conservative Party spent £384,417 on advertising and data companies compared to Labour’s £150,654; and the Conservative Party spent £429,099 on consultants and strategists compared to Labour’s £223,579. In the 2017 General Election, the Conservative Party spent £481,254 on advertising and data companies compared to Labour’s £300,000; and the Conservative Party spent a huge £822,693 on consultants and strategists compared to Labour’s £337,134.</w:t>
      </w:r>
      <w:r w:rsidRPr="005B5CB6">
        <w:rPr>
          <w:rFonts w:ascii="Verdana" w:eastAsia="Verdana" w:hAnsi="Verdana" w:cs="Verdana"/>
          <w:vertAlign w:val="superscript"/>
        </w:rPr>
        <w:t xml:space="preserve"> </w:t>
      </w:r>
      <w:r>
        <w:rPr>
          <w:rFonts w:ascii="Verdana" w:eastAsia="Verdana" w:hAnsi="Verdana" w:cs="Verdana"/>
          <w:vertAlign w:val="superscript"/>
        </w:rPr>
        <w:footnoteReference w:id="40"/>
      </w:r>
      <w:r w:rsidRPr="005B5CB6">
        <w:rPr>
          <w:rFonts w:ascii="Verdana" w:eastAsia="Verdana" w:hAnsi="Verdana" w:cs="Verdana"/>
          <w:i/>
        </w:rPr>
        <w:t xml:space="preserve"> </w:t>
      </w:r>
      <w:r w:rsidRPr="005B5CB6">
        <w:rPr>
          <w:rFonts w:ascii="Verdana" w:eastAsia="Verdana" w:hAnsi="Verdana" w:cs="Verdana"/>
        </w:rPr>
        <w:t>Notably</w:t>
      </w:r>
      <w:r w:rsidRPr="005B5CB6">
        <w:rPr>
          <w:rFonts w:ascii="Verdana" w:eastAsia="Verdana" w:hAnsi="Verdana" w:cs="Verdana"/>
          <w:i/>
        </w:rPr>
        <w:t xml:space="preserve">, </w:t>
      </w:r>
      <w:r w:rsidRPr="005B5CB6">
        <w:rPr>
          <w:rFonts w:ascii="Verdana" w:eastAsia="Verdana" w:hAnsi="Verdana" w:cs="Verdana"/>
        </w:rPr>
        <w:t xml:space="preserve">both </w:t>
      </w:r>
      <w:r w:rsidRPr="005B5CB6">
        <w:rPr>
          <w:rFonts w:ascii="Verdana" w:eastAsia="Verdana" w:hAnsi="Verdana" w:cs="Verdana"/>
        </w:rPr>
        <w:t>Labour and Conservatives spent substantially more on Experian in 2017 than in 2015 – a company that sells data and profiles on individuals and groups, and that helps match existing individual profiles so that citizens can be targeted with the same message across multiple channels.</w:t>
      </w:r>
      <w:r w:rsidRPr="005B5CB6">
        <w:rPr>
          <w:rFonts w:ascii="Verdana" w:eastAsia="Verdana" w:hAnsi="Verdana" w:cs="Verdana"/>
          <w:vertAlign w:val="superscript"/>
        </w:rPr>
        <w:t xml:space="preserve"> </w:t>
      </w:r>
      <w:r>
        <w:rPr>
          <w:rFonts w:ascii="Verdana" w:eastAsia="Verdana" w:hAnsi="Verdana" w:cs="Verdana"/>
          <w:vertAlign w:val="superscript"/>
        </w:rPr>
        <w:footnoteReference w:id="41"/>
      </w:r>
      <w:r w:rsidRPr="005B5CB6">
        <w:rPr>
          <w:rFonts w:ascii="Verdana" w:eastAsia="Verdana" w:hAnsi="Verdana" w:cs="Verdana"/>
        </w:rPr>
        <w:t xml:space="preserve"> Such developments led to the UK Information Commissioners Office report, </w:t>
      </w:r>
      <w:r w:rsidRPr="005B5CB6">
        <w:rPr>
          <w:rFonts w:ascii="Verdana" w:eastAsia="Verdana" w:hAnsi="Verdana" w:cs="Verdana"/>
          <w:i/>
        </w:rPr>
        <w:t>Investigation into the use of data analytics in political campaigns</w:t>
      </w:r>
      <w:r w:rsidRPr="005B5CB6">
        <w:rPr>
          <w:rFonts w:ascii="Verdana" w:eastAsia="Verdana" w:hAnsi="Verdana" w:cs="Verdana"/>
        </w:rPr>
        <w:t>, which highlights many areas of concern. These include: the purchasing of marketing lists and lifestyle information from data brokers without sufficient due diligence around those brokers and the degree to which the data has been properly gathered and consented to; use of third-party data analytics companies with insufficient checks that those companies have obtained correct consents for use of data for that purpose; and provision of contact lists of members to social media companies without appropriate fair processing information and collation of social media with membership lists without adequate privacy assessments.</w:t>
      </w:r>
      <w:r>
        <w:rPr>
          <w:rFonts w:ascii="Verdana" w:eastAsia="Verdana" w:hAnsi="Verdana" w:cs="Verdana"/>
          <w:vertAlign w:val="superscript"/>
        </w:rPr>
        <w:footnoteReference w:id="42"/>
      </w:r>
      <w:r w:rsidRPr="005B5CB6">
        <w:rPr>
          <w:rFonts w:ascii="Verdana" w:eastAsia="Verdana" w:hAnsi="Verdana" w:cs="Verdana"/>
        </w:rPr>
        <w:t xml:space="preserve"> The Information Commissioners Office accordingly issued formal warnings to 11 political parties (Conservatives, Labour, Lib Dems, Greens, SNP, Plaid Cymru, DUP, Ulster Unionists, Social Democrat, Sinn Féin and UKIP), indicating that problematic use of data analytics in political campaigns is widespread in the UK.</w:t>
      </w:r>
      <w:r>
        <w:rPr>
          <w:rFonts w:ascii="Verdana" w:eastAsia="Verdana" w:hAnsi="Verdana" w:cs="Verdana"/>
          <w:vertAlign w:val="superscript"/>
        </w:rPr>
        <w:footnoteReference w:id="43"/>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4171" name="Group 51417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360" name="Shape 63536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51" style="height:0.6pt;mso-position-horizontal-relative:char;mso-position-vertical-relative:line;width:2in" coordsize="18288,76">
                <v:shape id="_x0000_s1052"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49" w:lineRule="auto"/>
        <w:ind w:left="10" w:hanging="10"/>
        <w:jc w:val="both"/>
        <w:rPr>
          <w:rFonts w:ascii="Verdana" w:hAnsi="Verdana"/>
        </w:rPr>
      </w:pPr>
      <w:r w:rsidRPr="005B5CB6">
        <w:rPr>
          <w:rFonts w:ascii="Verdana" w:eastAsia="Verdana" w:hAnsi="Verdana" w:cs="Verdana"/>
        </w:rPr>
        <w:t>3.2.3</w:t>
      </w:r>
      <w:r w:rsidRPr="005B5CB6">
        <w:rPr>
          <w:rFonts w:ascii="Verdana" w:eastAsia="Verdana" w:hAnsi="Verdana" w:cs="Verdana"/>
          <w:i/>
        </w:rPr>
        <w:t xml:space="preserve"> Use of iterative, large-scale, rapid testing of adverts online to identify and deploy the most persuasive; and to target different audiences online with tailored messages</w:t>
      </w:r>
      <w:r w:rsidRPr="005B5CB6">
        <w:rPr>
          <w:rFonts w:ascii="Verdana" w:eastAsia="Verdana" w:hAnsi="Verdana" w:cs="Verdana"/>
        </w:rPr>
        <w:t xml:space="preserve">. Reports from campaign insiders in the USA (a country with the longest history of digital political campaigning) show exponential increases in </w:t>
      </w:r>
    </w:p>
    <w:p w:rsidR="00FB0B24" w:rsidRPr="005B5CB6" w:rsidP="003255A4">
      <w:pPr>
        <w:spacing w:after="41" w:line="250" w:lineRule="auto"/>
        <w:ind w:left="23" w:right="103" w:hanging="8"/>
        <w:jc w:val="both"/>
        <w:rPr>
          <w:rFonts w:ascii="Verdana" w:hAnsi="Verdana"/>
        </w:rPr>
      </w:pPr>
      <w:r w:rsidRPr="005B5CB6">
        <w:rPr>
          <w:rFonts w:ascii="Verdana" w:eastAsia="Verdana" w:hAnsi="Verdana" w:cs="Verdana"/>
        </w:rPr>
        <w:t xml:space="preserve">‘A/B’ testing experiments across the past decade. According to Dan Siroker, Director of Analytics for the 2008 Obama campaign, in 2007 Obama’s campaign utilised digital platforms to incorporate ‘A/B’ testing experiments into its methods. This involved creating multiple versions of a message to be delivered separately, and to randomly selected control groups, in order to measure the results in real time and quickly integrate them into delivery as the winning message became </w:t>
      </w:r>
      <w:r w:rsidRPr="005B5CB6">
        <w:rPr>
          <w:rFonts w:ascii="Verdana" w:eastAsia="Verdana" w:hAnsi="Verdana" w:cs="Verdana"/>
          <w:i/>
        </w:rPr>
        <w:t>the</w:t>
      </w:r>
      <w:r w:rsidRPr="005B5CB6">
        <w:rPr>
          <w:rFonts w:ascii="Verdana" w:eastAsia="Verdana" w:hAnsi="Verdana" w:cs="Verdana"/>
        </w:rPr>
        <w:t xml:space="preserve"> message.</w:t>
      </w:r>
      <w:r>
        <w:rPr>
          <w:rFonts w:ascii="Verdana" w:eastAsia="Verdana" w:hAnsi="Verdana" w:cs="Verdana"/>
          <w:vertAlign w:val="superscript"/>
        </w:rPr>
        <w:footnoteReference w:id="44"/>
      </w:r>
      <w:r w:rsidRPr="005B5CB6">
        <w:rPr>
          <w:rFonts w:ascii="Verdana" w:eastAsia="Verdana" w:hAnsi="Verdana" w:cs="Verdana"/>
        </w:rPr>
        <w:t xml:space="preserve"> Through such experimentation, the Obama campaign came to predominantly feature Obama’s family in much campaign material along with the button ‘Learn More’.</w:t>
      </w:r>
      <w:r>
        <w:rPr>
          <w:rFonts w:ascii="Verdana" w:eastAsia="Verdana" w:hAnsi="Verdana" w:cs="Verdana"/>
          <w:vertAlign w:val="superscript"/>
        </w:rPr>
        <w:footnoteReference w:id="45"/>
      </w:r>
      <w:r w:rsidRPr="005B5CB6">
        <w:rPr>
          <w:rFonts w:ascii="Verdana" w:eastAsia="Verdana" w:hAnsi="Verdana" w:cs="Verdana"/>
        </w:rPr>
        <w:t xml:space="preserve"> By the 2012 US presidential election, Obama’s digital team ran </w:t>
      </w:r>
      <w:r w:rsidRPr="005B5CB6">
        <w:rPr>
          <w:rFonts w:ascii="Verdana" w:eastAsia="Verdana" w:hAnsi="Verdana" w:cs="Verdana"/>
          <w:i/>
        </w:rPr>
        <w:t>500</w:t>
      </w:r>
      <w:r w:rsidRPr="005B5CB6">
        <w:rPr>
          <w:rFonts w:ascii="Verdana" w:eastAsia="Verdana" w:hAnsi="Verdana" w:cs="Verdana"/>
        </w:rPr>
        <w:t xml:space="preserve"> A/B tests on their web pages which </w:t>
      </w:r>
      <w:r w:rsidRPr="005B5CB6">
        <w:rPr>
          <w:rFonts w:ascii="Verdana" w:eastAsia="Verdana" w:hAnsi="Verdana" w:cs="Verdana"/>
        </w:rPr>
        <w:t>increased donation conversion by 29% and sign up conversions by 161%.</w:t>
      </w:r>
      <w:r>
        <w:rPr>
          <w:rFonts w:ascii="Verdana" w:eastAsia="Verdana" w:hAnsi="Verdana" w:cs="Verdana"/>
          <w:vertAlign w:val="superscript"/>
        </w:rPr>
        <w:footnoteReference w:id="46"/>
      </w:r>
      <w:r w:rsidRPr="005B5CB6">
        <w:rPr>
          <w:rFonts w:ascii="Verdana" w:eastAsia="Verdana" w:hAnsi="Verdana" w:cs="Verdana"/>
        </w:rPr>
        <w:t xml:space="preserve"> By the 2016 US presidential election, Brad Parscale, Trump’s digital campaign manager, claims that his team tested typically around </w:t>
      </w:r>
      <w:r w:rsidRPr="005B5CB6">
        <w:rPr>
          <w:rFonts w:ascii="Verdana" w:eastAsia="Verdana" w:hAnsi="Verdana" w:cs="Verdana"/>
          <w:i/>
        </w:rPr>
        <w:t>50,000-60,000</w:t>
      </w:r>
      <w:r w:rsidRPr="005B5CB6">
        <w:rPr>
          <w:rFonts w:ascii="Verdana" w:eastAsia="Verdana" w:hAnsi="Verdana" w:cs="Verdana"/>
        </w:rPr>
        <w:t xml:space="preserve"> ad variations a day – an exponential increase compared to Obama in 2012.</w:t>
      </w:r>
      <w:r>
        <w:rPr>
          <w:rFonts w:ascii="Verdana" w:eastAsia="Verdana" w:hAnsi="Verdana" w:cs="Verdana"/>
          <w:vertAlign w:val="superscript"/>
        </w:rPr>
        <w:footnoteReference w:id="47"/>
      </w:r>
      <w:r w:rsidRPr="005B5CB6">
        <w:rPr>
          <w:rFonts w:ascii="Verdana" w:eastAsia="Verdana" w:hAnsi="Verdana" w:cs="Verdana"/>
        </w:rPr>
        <w:t xml:space="preserve"> Trump’s campaign utilised Facebook’s tool, Dynamic Creative, to use predefined design features of an advert to construct thousands of variations of the advert, present them to users, and find optimal combinations based on engagement metrics.</w:t>
      </w:r>
      <w:r w:rsidRPr="005B5CB6">
        <w:rPr>
          <w:rFonts w:ascii="Verdana" w:eastAsia="Verdana" w:hAnsi="Verdana" w:cs="Verdana"/>
          <w:vertAlign w:val="superscript"/>
        </w:rPr>
        <w:t>33</w:t>
      </w:r>
      <w:r w:rsidRPr="005B5CB6">
        <w:rPr>
          <w:rFonts w:ascii="Verdana" w:eastAsia="Verdana" w:hAnsi="Verdana" w:cs="Verdana"/>
        </w:rPr>
        <w:t xml:space="preserve"> </w:t>
      </w:r>
    </w:p>
    <w:p w:rsidR="00FB0B24" w:rsidRPr="005B5CB6" w:rsidP="003255A4">
      <w:pPr>
        <w:numPr>
          <w:ilvl w:val="0"/>
          <w:numId w:val="37"/>
        </w:numPr>
        <w:spacing w:after="5" w:line="250" w:lineRule="auto"/>
        <w:ind w:hanging="10"/>
        <w:jc w:val="both"/>
        <w:rPr>
          <w:rFonts w:ascii="Verdana" w:hAnsi="Verdana"/>
        </w:rPr>
      </w:pPr>
      <w:r w:rsidRPr="005B5CB6">
        <w:rPr>
          <w:rFonts w:ascii="Verdana" w:eastAsia="Verdana" w:hAnsi="Verdana" w:cs="Verdana"/>
          <w:b/>
        </w:rPr>
        <w:t xml:space="preserve">Core features of Vote Leave’s digital political campaign: a microcosm of wider trends </w:t>
      </w:r>
    </w:p>
    <w:p w:rsidR="00FB0B24" w:rsidRPr="005B5CB6" w:rsidP="003255A4">
      <w:pPr>
        <w:spacing w:after="0"/>
        <w:ind w:left="1"/>
        <w:jc w:val="both"/>
        <w:rPr>
          <w:rFonts w:ascii="Verdana" w:hAnsi="Verdana"/>
        </w:rPr>
      </w:pPr>
      <w:r w:rsidRPr="005B5CB6">
        <w:rPr>
          <w:rFonts w:ascii="Verdana" w:eastAsia="Verdana" w:hAnsi="Verdana" w:cs="Verdana"/>
          <w:b/>
          <w:i/>
        </w:rPr>
        <w:t xml:space="preserve"> </w:t>
      </w:r>
    </w:p>
    <w:p w:rsidR="00FB0B24" w:rsidRPr="005B5CB6" w:rsidP="003255A4">
      <w:pPr>
        <w:numPr>
          <w:ilvl w:val="1"/>
          <w:numId w:val="37"/>
        </w:numPr>
        <w:spacing w:after="269" w:line="250" w:lineRule="auto"/>
        <w:ind w:left="23" w:right="11" w:hanging="8"/>
        <w:jc w:val="both"/>
        <w:rPr>
          <w:rFonts w:ascii="Verdana" w:hAnsi="Verdana"/>
        </w:rPr>
      </w:pPr>
      <w:r w:rsidRPr="005B5CB6">
        <w:rPr>
          <w:rFonts w:ascii="Verdana" w:eastAsia="Verdana" w:hAnsi="Verdana" w:cs="Verdana"/>
        </w:rPr>
        <w:t xml:space="preserve">In the EU Referendum, Vote Leave’s digital campaign displayed the above three core features, making it commensurate with wider trends in digital political campaigning.  </w:t>
      </w:r>
    </w:p>
    <w:p w:rsidR="00FB0B24" w:rsidRPr="005B5CB6" w:rsidP="003255A4">
      <w:pPr>
        <w:numPr>
          <w:ilvl w:val="2"/>
          <w:numId w:val="37"/>
        </w:numPr>
        <w:spacing w:after="5" w:line="249" w:lineRule="auto"/>
        <w:ind w:right="5" w:hanging="720"/>
        <w:jc w:val="both"/>
        <w:rPr>
          <w:rFonts w:ascii="Verdana" w:hAnsi="Verdana"/>
        </w:rPr>
      </w:pPr>
      <w:r w:rsidRPr="005B5CB6">
        <w:rPr>
          <w:rFonts w:ascii="Verdana" w:eastAsia="Verdana" w:hAnsi="Verdana" w:cs="Verdana"/>
          <w:i/>
        </w:rPr>
        <w:t>The first core feature is increased spending on digital advertising</w:t>
      </w:r>
      <w:r w:rsidRPr="005B5CB6">
        <w:rPr>
          <w:rFonts w:ascii="Verdana" w:eastAsia="Verdana" w:hAnsi="Verdana" w:cs="Verdana"/>
        </w:rPr>
        <w:t xml:space="preserve">.  Vote </w:t>
      </w:r>
    </w:p>
    <w:p w:rsidR="00FB0B24" w:rsidRPr="005B5CB6" w:rsidP="003255A4">
      <w:pPr>
        <w:spacing w:after="669" w:line="250" w:lineRule="auto"/>
        <w:ind w:left="23" w:right="11" w:hanging="8"/>
        <w:jc w:val="both"/>
        <w:rPr>
          <w:rFonts w:ascii="Verdana" w:hAnsi="Verdana"/>
        </w:rPr>
      </w:pPr>
      <w:r w:rsidRPr="005B5CB6">
        <w:rPr>
          <w:rFonts w:ascii="Verdana" w:eastAsia="Verdana" w:hAnsi="Verdana" w:cs="Verdana"/>
        </w:rPr>
        <w:t>Leave’s campaign director, Dominic Cummings, states that Vote Leave spent 98% of its budget on digital advertising (rather than mainstream media advertising),</w:t>
      </w:r>
      <w:r>
        <w:rPr>
          <w:rFonts w:ascii="Verdana" w:eastAsia="Verdana" w:hAnsi="Verdana" w:cs="Verdana"/>
          <w:vertAlign w:val="superscript"/>
        </w:rPr>
        <w:footnoteReference w:id="48"/>
      </w:r>
      <w:r w:rsidRPr="005B5CB6">
        <w:rPr>
          <w:rFonts w:ascii="Verdana" w:eastAsia="Verdana" w:hAnsi="Verdana" w:cs="Verdana"/>
        </w:rPr>
        <w:t xml:space="preserve">  with most spent on adverts that experiments had demonstrated were effective.</w:t>
      </w:r>
      <w:r w:rsidRPr="005B5CB6">
        <w:rPr>
          <w:rFonts w:ascii="Verdana" w:eastAsia="Verdana" w:hAnsi="Verdana" w:cs="Verdana"/>
          <w:vertAlign w:val="superscript"/>
        </w:rPr>
        <w:t xml:space="preserve"> </w:t>
      </w:r>
      <w:r>
        <w:rPr>
          <w:rFonts w:ascii="Verdana" w:eastAsia="Verdana" w:hAnsi="Verdana" w:cs="Verdana"/>
          <w:vertAlign w:val="superscript"/>
        </w:rPr>
        <w:footnoteReference w:id="49"/>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4300" name="Group 51430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362" name="Shape 63536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53" style="height:0.6pt;mso-position-horizontal-relative:char;mso-position-vertical-relative:line;width:2in" coordsize="18288,76">
                <v:shape id="_x0000_s1054"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11" w:line="249" w:lineRule="auto"/>
        <w:ind w:left="-4" w:hanging="10"/>
        <w:jc w:val="both"/>
        <w:rPr>
          <w:rFonts w:ascii="Verdana" w:hAnsi="Verdana"/>
        </w:rPr>
      </w:pPr>
      <w:r w:rsidRPr="005B5CB6">
        <w:rPr>
          <w:rFonts w:ascii="Verdana" w:hAnsi="Verdana"/>
        </w:rPr>
        <w:t xml:space="preserve">Impact Assessment under the GDPR. A Data Protection Impact Assessment gives a systematic and objective description of the intended processing and considers the risk to people’s personal data – not only the compliance risk of the organisation involved. </w:t>
      </w:r>
    </w:p>
    <w:p w:rsidR="00FB0B24" w:rsidRPr="005B5CB6" w:rsidP="003255A4">
      <w:pPr>
        <w:numPr>
          <w:ilvl w:val="2"/>
          <w:numId w:val="37"/>
        </w:numPr>
        <w:spacing w:after="270" w:line="250" w:lineRule="auto"/>
        <w:ind w:right="5" w:hanging="720"/>
        <w:jc w:val="both"/>
        <w:rPr>
          <w:rFonts w:ascii="Verdana" w:hAnsi="Verdana"/>
        </w:rPr>
      </w:pPr>
      <w:r w:rsidRPr="005B5CB6">
        <w:rPr>
          <w:rFonts w:ascii="Verdana" w:eastAsia="Verdana" w:hAnsi="Verdana" w:cs="Verdana"/>
          <w:i/>
        </w:rPr>
        <w:t>The second core feature is increased use of data analytics and data management approaches in order to profile and thereby identify</w:t>
      </w:r>
      <w:r w:rsidRPr="005B5CB6">
        <w:rPr>
          <w:rFonts w:ascii="Verdana" w:eastAsia="Verdana" w:hAnsi="Verdana" w:cs="Verdana"/>
        </w:rPr>
        <w:t xml:space="preserve"> </w:t>
      </w:r>
      <w:r w:rsidRPr="005B5CB6">
        <w:rPr>
          <w:rFonts w:ascii="Verdana" w:eastAsia="Verdana" w:hAnsi="Verdana" w:cs="Verdana"/>
          <w:i/>
        </w:rPr>
        <w:t>target audiences, including the ‘persuadables’ and swing voters</w:t>
      </w:r>
      <w:r w:rsidRPr="005B5CB6">
        <w:rPr>
          <w:rFonts w:ascii="Verdana" w:eastAsia="Verdana" w:hAnsi="Verdana" w:cs="Verdana"/>
        </w:rPr>
        <w:t xml:space="preserve">. Vote Leave spent £2,901,566 on data-driven platforms, advertising/data companies, and consultants/strategists in the EU Referendum – over £1 million more than the official Remain group, ‘Britain Stronger In’. By far the largest element of Vote Leave’s outlay was on Canadian digital advertising web and software development company, AggregateIQ, (see Table 1).  </w:t>
      </w:r>
    </w:p>
    <w:p w:rsidR="00FB0B24" w:rsidRPr="005B5CB6" w:rsidP="003255A4">
      <w:pPr>
        <w:spacing w:after="5" w:line="250" w:lineRule="auto"/>
        <w:ind w:left="729" w:right="11" w:hanging="8"/>
        <w:jc w:val="both"/>
        <w:rPr>
          <w:rFonts w:ascii="Verdana" w:hAnsi="Verdana"/>
        </w:rPr>
      </w:pPr>
      <w:r w:rsidRPr="005B5CB6">
        <w:rPr>
          <w:rFonts w:ascii="Verdana" w:eastAsia="Verdana" w:hAnsi="Verdana" w:cs="Verdana"/>
        </w:rPr>
        <w:t xml:space="preserve">Table 1: Leave and Remain campaign groups' spending on data-driven platforms, advertising/data  </w:t>
      </w:r>
    </w:p>
    <w:p w:rsidR="00FB0B24" w:rsidRPr="005B5CB6" w:rsidP="003255A4">
      <w:pPr>
        <w:spacing w:after="5" w:line="250" w:lineRule="auto"/>
        <w:ind w:left="729" w:right="11" w:hanging="8"/>
        <w:jc w:val="both"/>
        <w:rPr>
          <w:rFonts w:ascii="Verdana" w:hAnsi="Verdana"/>
        </w:rPr>
      </w:pPr>
      <w:r w:rsidRPr="005B5CB6">
        <w:rPr>
          <w:rFonts w:ascii="Verdana" w:eastAsia="Verdana" w:hAnsi="Verdana" w:cs="Verdana"/>
        </w:rPr>
        <w:t xml:space="preserve">companies and consultants/strategists in EU Referendum (2016) </w:t>
      </w:r>
    </w:p>
    <w:p w:rsidR="00FB0B24" w:rsidRPr="005B5CB6" w:rsidP="003255A4">
      <w:pPr>
        <w:spacing w:after="0"/>
        <w:ind w:left="1"/>
        <w:jc w:val="both"/>
        <w:rPr>
          <w:rFonts w:ascii="Verdana" w:hAnsi="Verdana"/>
        </w:rPr>
      </w:pPr>
      <w:r w:rsidRPr="005B5CB6">
        <w:rPr>
          <w:rFonts w:ascii="Verdana" w:eastAsia="Verdana" w:hAnsi="Verdana" w:cs="Verdana"/>
        </w:rPr>
        <w:t xml:space="preserve">                </w:t>
      </w:r>
      <w:r w:rsidRPr="005B5CB6">
        <w:rPr>
          <w:rFonts w:ascii="Verdana" w:hAnsi="Verdana"/>
          <w:noProof/>
        </w:rPr>
        <w:drawing>
          <wp:inline distT="0" distB="0" distL="0" distR="0">
            <wp:extent cx="4407504" cy="2767330"/>
            <wp:effectExtent l="0" t="0" r="0" b="0"/>
            <wp:docPr id="6048" name="Picture 6048"/>
            <wp:cNvGraphicFramePr/>
            <a:graphic xmlns:a="http://schemas.openxmlformats.org/drawingml/2006/main">
              <a:graphicData uri="http://schemas.openxmlformats.org/drawingml/2006/picture">
                <pic:pic xmlns:pic="http://schemas.openxmlformats.org/drawingml/2006/picture">
                  <pic:nvPicPr>
                    <pic:cNvPr id="6048" name="Picture 6048"/>
                    <pic:cNvPicPr/>
                  </pic:nvPicPr>
                  <pic:blipFill>
                    <a:blip xmlns:r="http://schemas.openxmlformats.org/officeDocument/2006/relationships" r:embed="rId90"/>
                    <a:stretch>
                      <a:fillRect/>
                    </a:stretch>
                  </pic:blipFill>
                  <pic:spPr>
                    <a:xfrm>
                      <a:off x="0" y="0"/>
                      <a:ext cx="4407504" cy="2767330"/>
                    </a:xfrm>
                    <a:prstGeom prst="rect">
                      <a:avLst/>
                    </a:prstGeom>
                  </pic:spPr>
                </pic:pic>
              </a:graphicData>
            </a:graphic>
          </wp:inline>
        </w:drawing>
      </w:r>
      <w:r w:rsidRPr="005B5CB6">
        <w:rPr>
          <w:rFonts w:ascii="Verdana" w:eastAsia="Verdana" w:hAnsi="Verdana" w:cs="Verdana"/>
        </w:rPr>
        <w:t xml:space="preserve"> </w:t>
      </w:r>
    </w:p>
    <w:p w:rsidR="00FB0B24" w:rsidRPr="005B5CB6" w:rsidP="003255A4">
      <w:pPr>
        <w:spacing w:after="266" w:line="250" w:lineRule="auto"/>
        <w:ind w:left="729" w:right="11" w:hanging="8"/>
        <w:jc w:val="both"/>
        <w:rPr>
          <w:rFonts w:ascii="Verdana" w:hAnsi="Verdana"/>
        </w:rPr>
      </w:pPr>
      <w:r w:rsidRPr="005B5CB6">
        <w:rPr>
          <w:rFonts w:ascii="Verdana" w:eastAsia="Verdana" w:hAnsi="Verdana" w:cs="Verdana"/>
        </w:rPr>
        <w:t xml:space="preserve">Source: Macintyre, A., Wright, G. &amp; Hankey, S. (n.d.)  p.18 </w:t>
      </w:r>
    </w:p>
    <w:p w:rsidR="00FB0B24" w:rsidRPr="005B5CB6" w:rsidP="003255A4">
      <w:pPr>
        <w:spacing w:after="142" w:line="250" w:lineRule="auto"/>
        <w:ind w:left="23" w:right="11" w:hanging="8"/>
        <w:jc w:val="both"/>
        <w:rPr>
          <w:rFonts w:ascii="Verdana" w:hAnsi="Verdana"/>
        </w:rPr>
      </w:pPr>
      <w:r w:rsidRPr="005B5CB6">
        <w:rPr>
          <w:rFonts w:ascii="Verdana" w:eastAsia="Verdana" w:hAnsi="Verdana" w:cs="Verdana"/>
        </w:rPr>
        <w:t>Indeed, Cummings explains that, given Vote Leave’s many campaigning disadvantages (an inability to control the referendum’s timing, the fact that Vote Leave bucked the government’s wish and status quo, and that British broadcasters were then pro-‘Remain’), Vote Leave heavily relied on data scientists.</w:t>
      </w:r>
      <w:r>
        <w:rPr>
          <w:rFonts w:ascii="Verdana" w:eastAsia="Verdana" w:hAnsi="Verdana" w:cs="Verdana"/>
          <w:vertAlign w:val="superscript"/>
        </w:rPr>
        <w:footnoteReference w:id="50"/>
      </w:r>
      <w:r w:rsidRPr="005B5CB6">
        <w:rPr>
          <w:rFonts w:ascii="Verdana" w:eastAsia="Verdana" w:hAnsi="Verdana" w:cs="Verdana"/>
        </w:rPr>
        <w:t xml:space="preserve"> Cummings claims that Vote Leave innovated, ‘the first web-based canvassing software that actually works properly in the UK and its integration into world-leading data science modelling to target digital advertising and ground campaigning’.</w:t>
      </w:r>
      <w:r>
        <w:rPr>
          <w:rFonts w:ascii="Verdana" w:eastAsia="Verdana" w:hAnsi="Verdana" w:cs="Verdana"/>
          <w:vertAlign w:val="superscript"/>
        </w:rPr>
        <w:footnoteReference w:id="51"/>
      </w:r>
      <w:r w:rsidRPr="005B5CB6">
        <w:rPr>
          <w:rFonts w:ascii="Verdana" w:eastAsia="Verdana" w:hAnsi="Verdana" w:cs="Verdana"/>
        </w:rPr>
        <w:t xml:space="preserve"> Vote Leave created a database, the ‘Voter Intention Collection System’, which aggregated personal data on potential voters from social media, advertising, website activity, apps, canvassing, direct mail, polls, fundraising and activist feedback.</w:t>
      </w:r>
      <w:r w:rsidRPr="005B5CB6">
        <w:rPr>
          <w:rFonts w:ascii="Verdana" w:eastAsia="Verdana" w:hAnsi="Verdana" w:cs="Verdana"/>
          <w:vertAlign w:val="superscript"/>
        </w:rPr>
        <w:t>38</w:t>
      </w:r>
      <w:r w:rsidRPr="005B5CB6">
        <w:rPr>
          <w:rFonts w:ascii="Verdana" w:eastAsia="Verdana" w:hAnsi="Verdana" w:cs="Verdana"/>
        </w:rPr>
        <w:t xml:space="preserve"> Vote Leave employed AggregateIQ to build a ‘core audience’ for Vote Leave’s adverts, by first identifying the social media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5030" name="Group 51503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364" name="Shape 63536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55" style="height:0.6pt;mso-position-horizontal-relative:char;mso-position-vertical-relative:line;width:2in" coordsize="18288,76">
                <v:shape id="_x0000_s1056"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49" w:lineRule="auto"/>
        <w:ind w:left="-4" w:hanging="10"/>
        <w:jc w:val="both"/>
        <w:rPr>
          <w:rFonts w:ascii="Verdana" w:hAnsi="Verdana"/>
        </w:rPr>
      </w:pPr>
      <w:r w:rsidRPr="005B5CB6">
        <w:rPr>
          <w:rFonts w:ascii="Verdana" w:hAnsi="Verdana"/>
        </w:rPr>
        <w:t>See: Macintyre, A., Wright, G. &amp; Hankey, S. n.d.</w:t>
      </w:r>
      <w:r w:rsidRPr="005B5CB6">
        <w:rPr>
          <w:rFonts w:ascii="Verdana" w:hAnsi="Verdana"/>
          <w:i/>
        </w:rPr>
        <w:t xml:space="preserve">  Data &amp; democracy in the UK: Tactical Tech’s data &amp; politics team</w:t>
      </w:r>
      <w:r w:rsidRPr="005B5CB6">
        <w:rPr>
          <w:rFonts w:ascii="Verdana" w:hAnsi="Verdana"/>
        </w:rPr>
        <w:t xml:space="preserve">. </w:t>
      </w:r>
      <w:r>
        <w:fldChar w:fldCharType="begin"/>
      </w:r>
      <w:r>
        <w:instrText xml:space="preserve"> HYPERLINK "https://cdn.ttc.io/s/ourdataourselves.tacticaltech.org/ttc-influence-industry-uk.pdf" </w:instrText>
      </w:r>
      <w:r>
        <w:fldChar w:fldCharType="separate"/>
      </w:r>
      <w:r w:rsidRPr="005B5CB6">
        <w:rPr>
          <w:rFonts w:ascii="Verdana" w:hAnsi="Verdana"/>
          <w:u w:val="single" w:color="000000"/>
        </w:rPr>
        <w:t>https://cdn.ttc.io/s/ourdataourselves.tacticaltech.org/ttc-influence-industry-uk.pdf</w:t>
      </w:r>
      <w:r>
        <w:fldChar w:fldCharType="end"/>
      </w:r>
      <w:r>
        <w:fldChar w:fldCharType="begin"/>
      </w:r>
      <w:r>
        <w:instrText xml:space="preserve"> HYPERLINK "https://cdn.ttc.io/s/ourdataourselves.tacticaltech.org/ttc-influence-industry-uk.pdf" </w:instrText>
      </w:r>
      <w:r>
        <w:fldChar w:fldCharType="separate"/>
      </w:r>
      <w:r w:rsidRPr="005B5CB6">
        <w:rPr>
          <w:rFonts w:ascii="Verdana" w:hAnsi="Verdana"/>
        </w:rPr>
        <w:t xml:space="preserve"> p</w:t>
      </w:r>
      <w:r>
        <w:fldChar w:fldCharType="end"/>
      </w:r>
      <w:r w:rsidRPr="005B5CB6">
        <w:rPr>
          <w:rFonts w:ascii="Verdana" w:hAnsi="Verdana"/>
        </w:rPr>
        <w:t xml:space="preserve">.16. </w:t>
      </w:r>
    </w:p>
    <w:p w:rsidR="00FB0B24" w:rsidRPr="005B5CB6" w:rsidP="003255A4">
      <w:pPr>
        <w:spacing w:after="300" w:line="250" w:lineRule="auto"/>
        <w:ind w:left="23" w:right="11" w:hanging="8"/>
        <w:jc w:val="both"/>
        <w:rPr>
          <w:rFonts w:ascii="Verdana" w:hAnsi="Verdana"/>
        </w:rPr>
      </w:pPr>
      <w:r w:rsidRPr="005B5CB6">
        <w:rPr>
          <w:rFonts w:ascii="Verdana" w:eastAsia="Verdana" w:hAnsi="Verdana" w:cs="Verdana"/>
        </w:rPr>
        <w:t xml:space="preserve">profiles of those who had already ‘liked’ Eurosceptic pages on Facebook. Vote Leave advertised to this core audience to bring them onto its website where they would be invited to add their details to its database. AggregateIQ also used Facebook’s ‘Lookalike Audience Builder’, which applied demographic features identified by Facebook in the ‘core audience’ group to the wider UK population. </w:t>
      </w:r>
      <w:r w:rsidRPr="005B5CB6">
        <w:rPr>
          <w:rFonts w:ascii="Verdana" w:eastAsia="Verdana" w:hAnsi="Verdana" w:cs="Verdana"/>
        </w:rPr>
        <w:t>This second group (the ‘persuadables’) consisted of 9 million</w:t>
      </w:r>
      <w:r w:rsidRPr="005B5CB6">
        <w:rPr>
          <w:rFonts w:ascii="Verdana" w:eastAsia="Verdana" w:hAnsi="Verdana" w:cs="Verdana"/>
          <w:i/>
        </w:rPr>
        <w:t xml:space="preserve"> </w:t>
      </w:r>
      <w:r w:rsidRPr="005B5CB6">
        <w:rPr>
          <w:rFonts w:ascii="Verdana" w:eastAsia="Verdana" w:hAnsi="Verdana" w:cs="Verdana"/>
        </w:rPr>
        <w:t>people on Facebook whom Facebook identified as having the same demographic features as the core audience, but had not previously expressed interest in Eurosceptic content on Facebook by ‘liking’ Eurosceptic pages.</w:t>
      </w:r>
      <w:r>
        <w:rPr>
          <w:rFonts w:ascii="Verdana" w:eastAsia="Verdana" w:hAnsi="Verdana" w:cs="Verdana"/>
          <w:vertAlign w:val="superscript"/>
        </w:rPr>
        <w:footnoteReference w:id="52"/>
      </w:r>
      <w:r w:rsidRPr="005B5CB6">
        <w:rPr>
          <w:rFonts w:ascii="Verdana" w:eastAsia="Verdana" w:hAnsi="Verdana" w:cs="Verdana"/>
        </w:rPr>
        <w:t xml:space="preserve">  Also, having identified from focus groups that swing voters were confused, and liable to change their voting decision based on whether they had last seen a message from either side of the campaign, Vote Leave ensured that a Vote Leave advert was delivered to swing voters as late as possible in the campaign.</w:t>
      </w:r>
      <w:r>
        <w:rPr>
          <w:rFonts w:ascii="Verdana" w:eastAsia="Verdana" w:hAnsi="Verdana" w:cs="Verdana"/>
          <w:vertAlign w:val="superscript"/>
        </w:rPr>
        <w:footnoteReference w:id="53"/>
      </w: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4.1.3</w:t>
      </w:r>
      <w:r w:rsidRPr="005B5CB6">
        <w:rPr>
          <w:rFonts w:ascii="Verdana" w:eastAsia="Verdana" w:hAnsi="Verdana" w:cs="Verdana"/>
          <w:i/>
        </w:rPr>
        <w:t xml:space="preserve"> The third core feature is use of iterative, large-scale, rapid testing of adverts online to identify and deploy the most persuasive; and to target different audiences online with different, tailored messages</w:t>
      </w:r>
      <w:r w:rsidRPr="005B5CB6">
        <w:rPr>
          <w:rFonts w:ascii="Verdana" w:eastAsia="Verdana" w:hAnsi="Verdana" w:cs="Verdana"/>
        </w:rPr>
        <w:t>. Via targeted digital advertising, Vote Leave sympathisers were invited to click on an advert that took them to Vote Leave’s website, where they were asked to provide personal details (populating Vote Leave’s database), donate, share messaging, or volunteer time. At each step, messages were tested on an iterative basis: those that failed to convince enough people to move to the next step were re-worked until a success threshold was reached.</w:t>
      </w:r>
      <w:r w:rsidRPr="005B5CB6">
        <w:rPr>
          <w:rFonts w:ascii="Verdana" w:eastAsia="Verdana" w:hAnsi="Verdana" w:cs="Verdana"/>
          <w:vertAlign w:val="superscript"/>
        </w:rPr>
        <w:t>41</w:t>
      </w:r>
      <w:r w:rsidRPr="005B5CB6">
        <w:rPr>
          <w:rFonts w:ascii="Verdana" w:eastAsia="Verdana" w:hAnsi="Verdana" w:cs="Verdana"/>
        </w:rPr>
        <w:t xml:space="preserve"> Cummings estimates that Vote Leave ran around one billion targeted adverts in the run up to the vote, mostly via Facebook, sending out multiple different versions, testing them in interactive feedback loops.</w:t>
      </w:r>
      <w:r>
        <w:rPr>
          <w:rFonts w:ascii="Verdana" w:eastAsia="Verdana" w:hAnsi="Verdana" w:cs="Verdana"/>
          <w:vertAlign w:val="superscript"/>
        </w:rPr>
        <w:footnoteReference w:id="54"/>
      </w:r>
      <w:r w:rsidRPr="005B5CB6">
        <w:rPr>
          <w:rFonts w:ascii="Verdana" w:eastAsia="Verdana" w:hAnsi="Verdana" w:cs="Verdana"/>
        </w:rPr>
        <w:t xml:space="preserve">  For instance, while funding the NHS from money saved by leaving the EU was identified as a core message to be promoted, other ads were trialled suggesting that we spend the money on storm defences in flooded York, or on education.  As such, the ads vary greatly in reach. According to Facebook’s data, some only garnered 0-999 impressions each. Commonly listed ranges were 50,000-99,999 and 100,000-199,999. Nine adverts were viewed 2M-4.9M times.</w:t>
      </w:r>
      <w:r>
        <w:rPr>
          <w:rFonts w:ascii="Verdana" w:eastAsia="Verdana" w:hAnsi="Verdana" w:cs="Verdana"/>
          <w:vertAlign w:val="superscript"/>
        </w:rPr>
        <w:footnoteReference w:id="55"/>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474" w:line="250" w:lineRule="auto"/>
        <w:ind w:left="23" w:right="11" w:hanging="8"/>
        <w:jc w:val="both"/>
        <w:rPr>
          <w:rFonts w:ascii="Verdana" w:hAnsi="Verdana"/>
        </w:rPr>
      </w:pPr>
      <w:r w:rsidRPr="005B5CB6">
        <w:rPr>
          <w:rFonts w:ascii="Verdana" w:eastAsia="Verdana" w:hAnsi="Verdana" w:cs="Verdana"/>
        </w:rPr>
        <w:t xml:space="preserve">4.2 </w:t>
      </w:r>
      <w:r w:rsidRPr="005B5CB6">
        <w:rPr>
          <w:rFonts w:ascii="Verdana" w:eastAsia="Verdana" w:hAnsi="Verdana" w:cs="Verdana"/>
        </w:rPr>
        <w:tab/>
        <w:t xml:space="preserve">While Vote Leave’s digital campaign displayed features entirely commensurate with wider trends in digital political campaigning, it also operated with a </w:t>
      </w:r>
      <w:r w:rsidRPr="005B5CB6">
        <w:rPr>
          <w:rFonts w:ascii="Verdana" w:eastAsia="Verdana" w:hAnsi="Verdana" w:cs="Verdana"/>
          <w:b/>
        </w:rPr>
        <w:t>concerning level of opacity</w:t>
      </w:r>
      <w:r w:rsidRPr="005B5CB6">
        <w:rPr>
          <w:rFonts w:ascii="Verdana" w:eastAsia="Verdana" w:hAnsi="Verdana" w:cs="Verdana"/>
        </w:rPr>
        <w:t xml:space="preserve"> on several fronts. There is opacity regarding the various </w:t>
      </w:r>
      <w:r w:rsidRPr="005B5CB6">
        <w:rPr>
          <w:rFonts w:ascii="Verdana" w:eastAsia="Verdana" w:hAnsi="Verdana" w:cs="Verdana"/>
          <w:i/>
        </w:rPr>
        <w:t>Leave campaigns’ interconnectedness</w:t>
      </w:r>
      <w:r w:rsidRPr="005B5CB6">
        <w:rPr>
          <w:rFonts w:ascii="Verdana" w:eastAsia="Verdana" w:hAnsi="Verdana" w:cs="Verdana"/>
        </w:rPr>
        <w:t xml:space="preserve">, and use of closely related political digital campaigning companies, raising questions about whose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15209" name="Group 51520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5366" name="Shape 63536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57" style="height:0.6pt;mso-position-horizontal-relative:char;mso-position-vertical-relative:line;width:2in" coordsize="18288,76">
                <v:shape id="_x0000_s1058"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data-sets were used to enable political targeting of the British population;</w:t>
      </w:r>
      <w:r>
        <w:rPr>
          <w:rFonts w:ascii="Verdana" w:eastAsia="Verdana" w:hAnsi="Verdana" w:cs="Verdana"/>
          <w:vertAlign w:val="superscript"/>
        </w:rPr>
        <w:footnoteReference w:id="56"/>
      </w:r>
      <w:r w:rsidRPr="005B5CB6">
        <w:rPr>
          <w:rFonts w:ascii="Verdana" w:eastAsia="Verdana" w:hAnsi="Verdana" w:cs="Verdana"/>
        </w:rPr>
        <w:t xml:space="preserve"> and there is evidence pointing to </w:t>
      </w:r>
      <w:r w:rsidRPr="005B5CB6">
        <w:rPr>
          <w:rFonts w:ascii="Verdana" w:eastAsia="Verdana" w:hAnsi="Verdana" w:cs="Verdana"/>
          <w:i/>
        </w:rPr>
        <w:t>covert</w:t>
      </w:r>
      <w:r w:rsidRPr="005B5CB6">
        <w:rPr>
          <w:rFonts w:ascii="Verdana" w:eastAsia="Verdana" w:hAnsi="Verdana" w:cs="Verdana"/>
        </w:rPr>
        <w:t>, attempted digital manipulation of the UK electorate on the part of Leave.EU.</w:t>
      </w:r>
      <w:r>
        <w:rPr>
          <w:rFonts w:ascii="Verdana" w:eastAsia="Verdana" w:hAnsi="Verdana" w:cs="Verdana"/>
          <w:vertAlign w:val="superscript"/>
        </w:rPr>
        <w:footnoteReference w:id="57"/>
      </w:r>
      <w:r w:rsidRPr="005B5CB6">
        <w:rPr>
          <w:rFonts w:ascii="Verdana" w:eastAsia="Verdana" w:hAnsi="Verdana" w:cs="Verdana"/>
        </w:rPr>
        <w:t xml:space="preserve"> These are discussed below.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0"/>
          <w:numId w:val="38"/>
        </w:numPr>
        <w:spacing w:after="5" w:line="250" w:lineRule="auto"/>
        <w:ind w:hanging="720"/>
        <w:jc w:val="both"/>
        <w:rPr>
          <w:rFonts w:ascii="Verdana" w:hAnsi="Verdana"/>
        </w:rPr>
      </w:pPr>
      <w:r w:rsidRPr="005B5CB6">
        <w:rPr>
          <w:rFonts w:ascii="Verdana" w:eastAsia="Verdana" w:hAnsi="Verdana" w:cs="Verdana"/>
          <w:b/>
        </w:rPr>
        <w:t xml:space="preserve">A concerning level of opacity in the Leave campaigns </w:t>
      </w:r>
    </w:p>
    <w:p w:rsidR="00FB0B24" w:rsidRPr="005B5CB6" w:rsidP="003255A4">
      <w:pPr>
        <w:spacing w:after="0"/>
        <w:ind w:left="1"/>
        <w:jc w:val="both"/>
        <w:rPr>
          <w:rFonts w:ascii="Verdana" w:hAnsi="Verdana"/>
        </w:rPr>
      </w:pPr>
      <w:r w:rsidRPr="005B5CB6">
        <w:rPr>
          <w:rFonts w:ascii="Verdana" w:eastAsia="Verdana" w:hAnsi="Verdana" w:cs="Verdana"/>
          <w:b/>
        </w:rPr>
        <w:t xml:space="preserve"> </w:t>
      </w:r>
    </w:p>
    <w:p w:rsidR="00FB0B24" w:rsidRPr="005B5CB6" w:rsidP="003255A4">
      <w:pPr>
        <w:numPr>
          <w:ilvl w:val="1"/>
          <w:numId w:val="38"/>
        </w:numPr>
        <w:spacing w:after="5" w:line="250" w:lineRule="auto"/>
        <w:ind w:left="23" w:right="11" w:hanging="8"/>
        <w:jc w:val="both"/>
        <w:rPr>
          <w:rFonts w:ascii="Verdana" w:hAnsi="Verdana"/>
        </w:rPr>
      </w:pPr>
      <w:r w:rsidRPr="005B5CB6">
        <w:rPr>
          <w:rFonts w:ascii="Verdana" w:eastAsia="Verdana" w:hAnsi="Verdana" w:cs="Verdana"/>
        </w:rPr>
        <w:t>The Leave campaigns operated with a level of opacity that attracted regulatory concern. They have been scrutinised by the UK Inquiry into Disinformation and Fake News, The Electoral Commission, the Information Commissioners Office and UK police, with some investigations ongoing at the time of writing (September 2019). There remain unanswered questions about which data companies worked on the various Leave groups’ campaigns, and what data was shared between them. What is confirmed is that Aggregate IQ (a Canadian digital advertising web and software development company) worked for Vote Leave, as well as for Be Leave, Veterans for Britain and DUP Vote to Leave.</w:t>
      </w:r>
      <w:r>
        <w:rPr>
          <w:rFonts w:ascii="Verdana" w:eastAsia="Verdana" w:hAnsi="Verdana" w:cs="Verdana"/>
          <w:vertAlign w:val="superscript"/>
        </w:rPr>
        <w:footnoteReference w:id="58"/>
      </w:r>
      <w:r w:rsidRPr="005B5CB6">
        <w:rPr>
          <w:rFonts w:ascii="Verdana" w:eastAsia="Verdana" w:hAnsi="Verdana" w:cs="Verdana"/>
        </w:rPr>
        <w:t xml:space="preserve"> What is less clear is the relationship between Aggregate IQ, SCL Elections/Cambridge Analytica (a British data analytics company),</w:t>
      </w:r>
      <w:r w:rsidRPr="005B5CB6">
        <w:rPr>
          <w:rFonts w:ascii="Verdana" w:eastAsia="Verdana" w:hAnsi="Verdana" w:cs="Verdana"/>
          <w:vertAlign w:val="superscript"/>
        </w:rPr>
        <w:t>47</w:t>
      </w:r>
      <w:r w:rsidRPr="005B5CB6">
        <w:rPr>
          <w:rFonts w:ascii="Verdana" w:eastAsia="Verdana" w:hAnsi="Verdana" w:cs="Verdana"/>
        </w:rPr>
        <w:t xml:space="preserve"> and the various Leave campaigns.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38"/>
        </w:numPr>
        <w:spacing w:after="5" w:line="250" w:lineRule="auto"/>
        <w:ind w:left="23" w:right="11" w:hanging="8"/>
        <w:jc w:val="both"/>
        <w:rPr>
          <w:rFonts w:ascii="Verdana" w:hAnsi="Verdana"/>
        </w:rPr>
      </w:pPr>
      <w:r w:rsidRPr="005B5CB6">
        <w:rPr>
          <w:rFonts w:ascii="Verdana" w:eastAsia="Verdana" w:hAnsi="Verdana" w:cs="Verdana"/>
        </w:rPr>
        <w:t xml:space="preserve">UK electoral law sets limits on the amount of money that campaigners can spend on campaign activity during a ‘regulated period’ before elections and referendums (the regulated period before the EU referendum was 10 weeks).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The spending limit for the official designated campaign group is £7m.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i/>
        </w:rPr>
        <w:t xml:space="preserve">Separate </w:t>
      </w:r>
      <w:r w:rsidRPr="005B5CB6">
        <w:rPr>
          <w:rFonts w:ascii="Verdana" w:eastAsia="Verdana" w:hAnsi="Verdana" w:cs="Verdana"/>
        </w:rPr>
        <w:t xml:space="preserve">campaigns can spend up to £700,000 in excess of that as long as they do not coordinate their efforts. If election campaigns coordinate, then they have to declare their spending together.  In May 2018, the Chief Operating Officer of Aggregate IQ, Jeff Silvester, told the Inquiry into Disinformation and Fake News that the four Leave campaigns for which Aggregate IQ completed work (Vote Leave, Be Leave, Veterans for Britain, DUP Vote to Leave) had approached </w:t>
      </w:r>
    </w:p>
    <w:p w:rsidR="00FB0B24" w:rsidRPr="005B5CB6" w:rsidP="003255A4">
      <w:pPr>
        <w:spacing w:after="46" w:line="250" w:lineRule="auto"/>
        <w:ind w:left="23" w:right="11" w:hanging="8"/>
        <w:jc w:val="both"/>
        <w:rPr>
          <w:rFonts w:ascii="Verdana" w:hAnsi="Verdana"/>
        </w:rPr>
      </w:pPr>
      <w:r w:rsidRPr="005B5CB6">
        <w:rPr>
          <w:rFonts w:ascii="Verdana" w:eastAsia="Verdana" w:hAnsi="Verdana" w:cs="Verdana"/>
        </w:rPr>
        <w:t>Aggregate IQ independently of each other.</w:t>
      </w:r>
      <w:r>
        <w:rPr>
          <w:rFonts w:ascii="Verdana" w:eastAsia="Verdana" w:hAnsi="Verdana" w:cs="Verdana"/>
          <w:vertAlign w:val="superscript"/>
        </w:rPr>
        <w:footnoteReference w:id="59"/>
      </w:r>
      <w:r w:rsidRPr="005B5CB6">
        <w:rPr>
          <w:rFonts w:ascii="Verdana" w:eastAsia="Verdana" w:hAnsi="Verdana" w:cs="Verdana"/>
        </w:rPr>
        <w:t xml:space="preserve">  However, by July 2018, The Electoral Commission (the independent body which oversees elections and regulates political finance in the UK) found that Vote Leave and BeLeave acted under an </w:t>
      </w:r>
      <w:r w:rsidRPr="005B5CB6">
        <w:rPr>
          <w:rFonts w:ascii="Verdana" w:eastAsia="Verdana" w:hAnsi="Verdana" w:cs="Verdana"/>
          <w:b/>
        </w:rPr>
        <w:t>undeclared common plan</w:t>
      </w:r>
      <w:r w:rsidRPr="005B5CB6">
        <w:rPr>
          <w:rFonts w:ascii="Verdana" w:eastAsia="Verdana" w:hAnsi="Verdana" w:cs="Verdana"/>
        </w:rPr>
        <w:t xml:space="preserve">, for which they both relied on the services of Aggregate IQ. BeLeave spent more than £675,000 with Aggregate IQ under this common plan. This spending should have been declared by Vote Leave. It meant Vote Leave’s referendum spending was £7,449,079, exceeding its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15441" name="Group 51544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5368" name="Shape 63536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59" style="height:0.6pt;mso-position-horizontal-relative:char;mso-position-vertical-relative:line;width:2in" coordsize="18288,76">
                <v:shape id="_x0000_s1060"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37" w:line="250" w:lineRule="auto"/>
        <w:ind w:left="23" w:right="11" w:hanging="8"/>
        <w:jc w:val="both"/>
        <w:rPr>
          <w:rFonts w:ascii="Verdana" w:hAnsi="Verdana"/>
        </w:rPr>
      </w:pPr>
      <w:r w:rsidRPr="005B5CB6">
        <w:rPr>
          <w:rFonts w:ascii="Verdana" w:eastAsia="Verdana" w:hAnsi="Verdana" w:cs="Verdana"/>
        </w:rPr>
        <w:t>statutory spending limit of £7m. Also, as an unregistered campaigner, BeLeave exceeded its spending limit of £10,000 by more than £666,000.</w:t>
      </w:r>
      <w:r>
        <w:rPr>
          <w:rFonts w:ascii="Verdana" w:eastAsia="Verdana" w:hAnsi="Verdana" w:cs="Verdana"/>
          <w:vertAlign w:val="superscript"/>
        </w:rPr>
        <w:footnoteReference w:id="60"/>
      </w:r>
      <w:r w:rsidRPr="005B5CB6">
        <w:rPr>
          <w:rFonts w:ascii="Verdana" w:eastAsia="Verdana" w:hAnsi="Verdana" w:cs="Verdana"/>
        </w:rPr>
        <w:t xml:space="preserve">  The UK Information Commissioner’s Office further clarified that Vote Leave and BeLeave used the same data set to identify audiences and select targeting criteria for ads.</w:t>
      </w:r>
      <w:r>
        <w:rPr>
          <w:rFonts w:ascii="Verdana" w:eastAsia="Verdana" w:hAnsi="Verdana" w:cs="Verdana"/>
          <w:vertAlign w:val="superscript"/>
        </w:rPr>
        <w:footnoteReference w:id="61"/>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tabs>
          <w:tab w:val="center" w:pos="4677"/>
        </w:tabs>
        <w:spacing w:after="5" w:line="250" w:lineRule="auto"/>
        <w:jc w:val="both"/>
        <w:rPr>
          <w:rFonts w:ascii="Verdana" w:hAnsi="Verdana"/>
        </w:rPr>
      </w:pPr>
      <w:r w:rsidRPr="005B5CB6">
        <w:rPr>
          <w:rFonts w:ascii="Verdana" w:eastAsia="Verdana" w:hAnsi="Verdana" w:cs="Verdana"/>
        </w:rPr>
        <w:t xml:space="preserve">5.3 </w:t>
      </w:r>
      <w:r w:rsidRPr="005B5CB6">
        <w:rPr>
          <w:rFonts w:ascii="Verdana" w:eastAsia="Verdana" w:hAnsi="Verdana" w:cs="Verdana"/>
        </w:rPr>
        <w:tab/>
        <w:t xml:space="preserve">What is less clear is the relationship between Aggregate IQ, Cambridge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Analytica/SCL Group, and the various Leave campaigns. By November 2018, the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Information Commissioners Office established that Aggregate IQ had worked for </w:t>
      </w:r>
    </w:p>
    <w:p w:rsidR="00FB0B24" w:rsidRPr="005B5CB6" w:rsidP="003255A4">
      <w:pPr>
        <w:spacing w:after="35" w:line="250" w:lineRule="auto"/>
        <w:ind w:left="23" w:right="11" w:hanging="8"/>
        <w:jc w:val="both"/>
        <w:rPr>
          <w:rFonts w:ascii="Verdana" w:hAnsi="Verdana"/>
        </w:rPr>
      </w:pPr>
      <w:r w:rsidRPr="005B5CB6">
        <w:rPr>
          <w:rFonts w:ascii="Verdana" w:eastAsia="Verdana" w:hAnsi="Verdana" w:cs="Verdana"/>
        </w:rPr>
        <w:t>SCL Elections to develop a political customer relationship management tool (‘Ripon’) for use during the US 2014 midterm elections; that Aggregate IQ placed online advertisements for SCL Elections in autumn 2014; and that Aggregate IQ worked with SCL Elections on similar software development, online advertising and website development during the US presidential primaries between 2015-2016. However, the Information Commissioners Office concluded that it found no evidence of unlawful activity in relation to the personal data of UK citizens and Aggregate IQ’s work with SCL Elections; that it found no evidence that SCL Elections and Cambridge Analytica were involved in any data analytics work with the EU Referendum campaigns; and that these findings had been confirmed by the federal Office of the Privacy Commissioner of Canada in its separate investigation into Aggregate IQ.</w:t>
      </w:r>
      <w:r>
        <w:rPr>
          <w:rFonts w:ascii="Verdana" w:eastAsia="Verdana" w:hAnsi="Verdana" w:cs="Verdana"/>
          <w:vertAlign w:val="superscript"/>
        </w:rPr>
        <w:footnoteReference w:id="62"/>
      </w:r>
      <w:r w:rsidRPr="005B5CB6">
        <w:rPr>
          <w:rFonts w:ascii="Verdana" w:eastAsia="Verdana" w:hAnsi="Verdana" w:cs="Verdana"/>
        </w:rPr>
        <w:t xml:space="preserve"> Unconvinced, when the Inquiry into Disinformation and Fake News presented its Final Report in February 2019, it observed that Aggregate  IQ had already used Facebook data scraped by a third party app to target voters in the US election; and that Aggregate  IQ had the capability to email potential voters during the EU referendum and also to target people via Facebook.</w:t>
      </w:r>
      <w:r w:rsidRPr="005B5CB6">
        <w:rPr>
          <w:rFonts w:ascii="Verdana" w:eastAsia="Verdana" w:hAnsi="Verdana" w:cs="Verdana"/>
          <w:vertAlign w:val="superscript"/>
        </w:rPr>
        <w:t xml:space="preserve"> </w:t>
      </w:r>
      <w:r>
        <w:rPr>
          <w:rFonts w:ascii="Verdana" w:eastAsia="Verdana" w:hAnsi="Verdana" w:cs="Verdana"/>
          <w:vertAlign w:val="superscript"/>
        </w:rPr>
        <w:footnoteReference w:id="63"/>
      </w:r>
      <w:r w:rsidRPr="005B5CB6">
        <w:rPr>
          <w:rFonts w:ascii="Verdana" w:eastAsia="Verdana" w:hAnsi="Verdana" w:cs="Verdana"/>
        </w:rPr>
        <w:t xml:space="preserve">  The Inquiry concludes: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spacing w:after="32" w:line="250" w:lineRule="auto"/>
        <w:ind w:left="369" w:right="11" w:hanging="8"/>
        <w:jc w:val="both"/>
        <w:rPr>
          <w:rFonts w:ascii="Verdana" w:hAnsi="Verdana"/>
        </w:rPr>
      </w:pPr>
      <w:r w:rsidRPr="005B5CB6">
        <w:rPr>
          <w:rFonts w:ascii="Verdana" w:eastAsia="Verdana" w:hAnsi="Verdana" w:cs="Verdana"/>
        </w:rPr>
        <w:t xml:space="preserve">There is clear evidence that there was a close working relationship between Cambridge Analytica, SCL and AIQ [Aggregate IQ]. There was certainly a contractual relationship, but we believe that the information revealed from the </w:t>
      </w:r>
      <w:r w:rsidRPr="005B5CB6">
        <w:rPr>
          <w:rFonts w:ascii="Verdana" w:eastAsia="Verdana" w:hAnsi="Verdana" w:cs="Verdana"/>
        </w:rPr>
        <w:t>repository</w:t>
      </w:r>
      <w:r w:rsidRPr="005B5CB6">
        <w:rPr>
          <w:rFonts w:ascii="Verdana" w:eastAsia="Verdana" w:hAnsi="Verdana" w:cs="Verdana"/>
          <w:vertAlign w:val="superscript"/>
        </w:rPr>
        <w:t>53</w:t>
      </w:r>
      <w:r w:rsidRPr="005B5CB6">
        <w:rPr>
          <w:rFonts w:ascii="Verdana" w:eastAsia="Verdana" w:hAnsi="Verdana" w:cs="Verdana"/>
        </w:rPr>
        <w:t xml:space="preserve"> would imply something closer, with data exchanged between both AIQ and SCL, as well as between AIQ and Cambridge Analytica.</w:t>
      </w:r>
      <w:r w:rsidRPr="005B5CB6">
        <w:rPr>
          <w:rFonts w:ascii="Verdana" w:eastAsia="Verdana" w:hAnsi="Verdana" w:cs="Verdana"/>
          <w:vertAlign w:val="superscript"/>
        </w:rPr>
        <w:t xml:space="preserve"> </w:t>
      </w:r>
      <w:r>
        <w:rPr>
          <w:rFonts w:ascii="Verdana" w:eastAsia="Verdana" w:hAnsi="Verdana" w:cs="Verdana"/>
          <w:vertAlign w:val="superscript"/>
        </w:rPr>
        <w:footnoteReference w:id="64"/>
      </w:r>
      <w:r w:rsidRPr="005B5CB6">
        <w:rPr>
          <w:rFonts w:ascii="Verdana" w:eastAsia="Verdana" w:hAnsi="Verdana" w:cs="Verdana"/>
        </w:rPr>
        <w:t xml:space="preserve">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spacing w:after="440" w:line="250" w:lineRule="auto"/>
        <w:ind w:left="23" w:right="11" w:hanging="8"/>
        <w:jc w:val="both"/>
        <w:rPr>
          <w:rFonts w:ascii="Verdana" w:hAnsi="Verdana"/>
        </w:rPr>
      </w:pPr>
      <w:r w:rsidRPr="005B5CB6">
        <w:rPr>
          <w:rFonts w:ascii="Verdana" w:eastAsia="Verdana" w:hAnsi="Verdana" w:cs="Verdana"/>
        </w:rPr>
        <w:t xml:space="preserve">5.4 </w:t>
      </w:r>
      <w:r w:rsidRPr="005B5CB6">
        <w:rPr>
          <w:rFonts w:ascii="Verdana" w:eastAsia="Verdana" w:hAnsi="Verdana" w:cs="Verdana"/>
        </w:rPr>
        <w:tab/>
        <w:t xml:space="preserve">There are also questions as to whether Cambridge Analytica/SCL Group worked for the Leave.EU campaign. Arron Banks (Leave.EU group founder) submitted evidence to the UK Inquiry into Disinformation and Fake News that showed that Cambridge Analytica/SCL Group had prepared a detailed </w:t>
      </w:r>
      <w:r w:rsidRPr="005B5CB6">
        <w:rPr>
          <w:rFonts w:ascii="Verdana" w:eastAsia="Verdana" w:hAnsi="Verdana" w:cs="Verdana"/>
          <w:i/>
        </w:rPr>
        <w:t>pitch</w:t>
      </w:r>
      <w:r w:rsidRPr="005B5CB6">
        <w:rPr>
          <w:rFonts w:ascii="Verdana" w:eastAsia="Verdana" w:hAnsi="Verdana" w:cs="Verdana"/>
        </w:rPr>
        <w:t xml:space="preserve"> to Leave.EU to help make the case to the UK’s Electoral Commission that Leave.EU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6149" name="Group 51614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370" name="Shape 63537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61" style="height:0.6pt;mso-position-horizontal-relative:char;mso-position-vertical-relative:line;width:2in" coordsize="18288,76">
                <v:shape id="_x0000_s1062"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should be the official campaign group for Leave.</w:t>
      </w:r>
      <w:r w:rsidRPr="005B5CB6">
        <w:rPr>
          <w:rFonts w:ascii="Verdana" w:eastAsia="Verdana" w:hAnsi="Verdana" w:cs="Verdana"/>
          <w:vertAlign w:val="superscript"/>
        </w:rPr>
        <w:t>55</w:t>
      </w:r>
      <w:r w:rsidRPr="005B5CB6">
        <w:rPr>
          <w:rFonts w:ascii="Verdana" w:eastAsia="Verdana" w:hAnsi="Verdana" w:cs="Verdana"/>
        </w:rPr>
        <w:t xml:space="preserve"> Part of this pitch offered voter suppression. The pitch claims that its ‘powerful predictive analytics and campaign messaging capacity can help you to segment and message the population according to a range of criteria’. One of these criteria is ‘Partisanship’. As well as describing the ‘General Voter’ and ‘Ideological Voter’, it describes the ‘Opposition Voter – </w:t>
      </w:r>
      <w:r w:rsidRPr="005B5CB6">
        <w:rPr>
          <w:rFonts w:ascii="Verdana" w:eastAsia="Verdana" w:hAnsi="Verdana" w:cs="Verdana"/>
          <w:b/>
        </w:rPr>
        <w:t>groups to dissuade from political engagement</w:t>
      </w:r>
      <w:r w:rsidRPr="005B5CB6">
        <w:rPr>
          <w:rFonts w:ascii="Verdana" w:eastAsia="Verdana" w:hAnsi="Verdana" w:cs="Verdana"/>
        </w:rPr>
        <w:t xml:space="preserve"> or to remove from contact strategy altogether’.</w:t>
      </w:r>
      <w:r w:rsidRPr="005B5CB6">
        <w:rPr>
          <w:rFonts w:ascii="Verdana" w:eastAsia="Verdana" w:hAnsi="Verdana" w:cs="Verdana"/>
          <w:vertAlign w:val="superscript"/>
        </w:rPr>
        <w:t>56</w:t>
      </w:r>
      <w:r w:rsidRPr="005B5CB6">
        <w:rPr>
          <w:rFonts w:ascii="Verdana" w:eastAsia="Verdana" w:hAnsi="Verdana" w:cs="Verdana"/>
        </w:rPr>
        <w:t xml:space="preserve"> Banks maintains that Leave.EU did not take Cambridge Analytica’s pitch forward;</w:t>
      </w:r>
      <w:r w:rsidRPr="005B5CB6">
        <w:rPr>
          <w:rFonts w:ascii="Verdana" w:eastAsia="Verdana" w:hAnsi="Verdana" w:cs="Verdana"/>
          <w:vertAlign w:val="superscript"/>
        </w:rPr>
        <w:t xml:space="preserve"> 57 </w:t>
      </w:r>
      <w:r w:rsidRPr="005B5CB6">
        <w:rPr>
          <w:rFonts w:ascii="Verdana" w:eastAsia="Verdana" w:hAnsi="Verdana" w:cs="Verdana"/>
        </w:rPr>
        <w:t>and since at least March 2017, has publicly denied Cambridge Analytica’s involvement in the Leave.EU campaign.</w:t>
      </w:r>
      <w:r w:rsidRPr="005B5CB6">
        <w:rPr>
          <w:rFonts w:ascii="Verdana" w:eastAsia="Verdana" w:hAnsi="Verdana" w:cs="Verdana"/>
          <w:vertAlign w:val="superscript"/>
        </w:rPr>
        <w:t>58</w:t>
      </w:r>
      <w:r w:rsidRPr="005B5CB6">
        <w:rPr>
          <w:rFonts w:ascii="Verdana" w:eastAsia="Verdana" w:hAnsi="Verdana" w:cs="Verdana"/>
        </w:rPr>
        <w:t xml:space="preserve">  This is despite archived  documents leading up to the EU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Referendum where Leave.EU publicly presented Cambridge Analytica as working for them.</w:t>
      </w:r>
      <w:r w:rsidRPr="005B5CB6">
        <w:rPr>
          <w:rFonts w:ascii="Verdana" w:eastAsia="Verdana" w:hAnsi="Verdana" w:cs="Verdana"/>
          <w:vertAlign w:val="superscript"/>
        </w:rPr>
        <w:t>59</w:t>
      </w:r>
      <w:r w:rsidRPr="005B5CB6">
        <w:rPr>
          <w:rFonts w:ascii="Verdana" w:eastAsia="Verdana" w:hAnsi="Verdana" w:cs="Verdana"/>
        </w:rPr>
        <w:t xml:space="preserve"> Furthermore, in July 2019, Cambridge Analytica whistleblower Britanny Kaiser supplied ten documents to the Digital, Culture, Media and Sport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Committee that showed that Cambridge Analytica </w:t>
      </w:r>
      <w:r w:rsidRPr="005B5CB6">
        <w:rPr>
          <w:rFonts w:ascii="Verdana" w:eastAsia="Verdana" w:hAnsi="Verdana" w:cs="Verdana"/>
          <w:i/>
        </w:rPr>
        <w:t>did</w:t>
      </w:r>
      <w:r w:rsidRPr="005B5CB6">
        <w:rPr>
          <w:rFonts w:ascii="Verdana" w:eastAsia="Verdana" w:hAnsi="Verdana" w:cs="Verdana"/>
        </w:rPr>
        <w:t xml:space="preserve"> work for Leave.EU on the EU referendum. This included an analysis of UKIP</w:t>
      </w:r>
      <w:r w:rsidRPr="005B5CB6">
        <w:rPr>
          <w:rFonts w:ascii="Verdana" w:eastAsia="Verdana" w:hAnsi="Verdana" w:cs="Verdana"/>
          <w:vertAlign w:val="superscript"/>
        </w:rPr>
        <w:t>60</w:t>
      </w:r>
      <w:r w:rsidRPr="005B5CB6">
        <w:rPr>
          <w:rFonts w:ascii="Verdana" w:eastAsia="Verdana" w:hAnsi="Verdana" w:cs="Verdana"/>
        </w:rPr>
        <w:t xml:space="preserve"> membership data and survey results to model four key groups of persuadable UK voters to be targeted with Leave.EU messaging: the ‘Eager Activist’, ‘Young Reformers’, ‘Disaffected Tories’ and ‘Left Behinds’. For instance, ‘Left Behinds’ are described as follows: </w:t>
      </w:r>
    </w:p>
    <w:p w:rsidR="00FB0B24" w:rsidRPr="005B5CB6" w:rsidP="003255A4">
      <w:pPr>
        <w:numPr>
          <w:ilvl w:val="0"/>
          <w:numId w:val="39"/>
        </w:numPr>
        <w:spacing w:after="5" w:line="250" w:lineRule="auto"/>
        <w:ind w:right="11" w:hanging="8"/>
        <w:jc w:val="both"/>
        <w:rPr>
          <w:rFonts w:ascii="Verdana" w:hAnsi="Verdana"/>
        </w:rPr>
      </w:pPr>
      <w:r w:rsidRPr="005B5CB6">
        <w:rPr>
          <w:rFonts w:ascii="Verdana" w:eastAsia="Verdana" w:hAnsi="Verdana" w:cs="Verdana"/>
        </w:rPr>
        <w:t xml:space="preserve">Feels increasingly left behind by society and globalisation  -  Unhappy with the economy and the NHS, but immigration is most important issue  </w:t>
      </w:r>
    </w:p>
    <w:p w:rsidR="00FB0B24" w:rsidRPr="005B5CB6" w:rsidP="003255A4">
      <w:pPr>
        <w:numPr>
          <w:ilvl w:val="0"/>
          <w:numId w:val="39"/>
        </w:numPr>
        <w:spacing w:after="260" w:line="250" w:lineRule="auto"/>
        <w:ind w:right="11" w:hanging="8"/>
        <w:jc w:val="both"/>
        <w:rPr>
          <w:rFonts w:ascii="Verdana" w:hAnsi="Verdana"/>
        </w:rPr>
      </w:pPr>
      <w:r w:rsidRPr="005B5CB6">
        <w:rPr>
          <w:rFonts w:ascii="Verdana" w:eastAsia="Verdana" w:hAnsi="Verdana" w:cs="Verdana"/>
        </w:rPr>
        <w:t xml:space="preserve">Suspicious of the establishment including politicians banks and corporations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5702" name="Group 51570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376" name="Shape 63537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63" style="height:0.6pt;mso-position-horizontal-relative:char;mso-position-vertical-relative:line;width:2in" coordsize="18288,76">
                <v:shape id="_x0000_s1064"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49" w:lineRule="auto"/>
        <w:ind w:left="-4" w:hanging="10"/>
        <w:jc w:val="both"/>
        <w:rPr>
          <w:rFonts w:ascii="Verdana" w:hAnsi="Verdana"/>
        </w:rPr>
      </w:pPr>
      <w:r w:rsidRPr="005B5CB6">
        <w:rPr>
          <w:rFonts w:ascii="Verdana" w:hAnsi="Verdana"/>
          <w:vertAlign w:val="superscript"/>
        </w:rPr>
        <w:t>55</w:t>
      </w:r>
      <w:r w:rsidRPr="005B5CB6">
        <w:rPr>
          <w:rFonts w:ascii="Verdana" w:hAnsi="Verdana"/>
        </w:rPr>
        <w:t xml:space="preserve"> Cambridge Analytica/SCL Group. n.d. </w:t>
      </w:r>
      <w:r w:rsidRPr="005B5CB6">
        <w:rPr>
          <w:rFonts w:ascii="Verdana" w:hAnsi="Verdana"/>
          <w:i/>
        </w:rPr>
        <w:t>Leave.EU: profile raising and outreach</w:t>
      </w:r>
      <w:r w:rsidRPr="005B5CB6">
        <w:rPr>
          <w:rFonts w:ascii="Verdana" w:hAnsi="Verdana"/>
        </w:rPr>
        <w:t xml:space="preserve">. </w:t>
      </w:r>
      <w:r>
        <w:fldChar w:fldCharType="begin"/>
      </w:r>
      <w:r>
        <w:instrText xml:space="preserve"> HYPERLINK "https://www.parliament.uk/documents/commons-committees/culture-media-and-sport/Arron-Banks-appendix.pdf" </w:instrText>
      </w:r>
      <w:r>
        <w:fldChar w:fldCharType="separate"/>
      </w:r>
      <w:r w:rsidRPr="005B5CB6">
        <w:rPr>
          <w:rFonts w:ascii="Verdana" w:hAnsi="Verdana"/>
          <w:u w:val="single" w:color="000000"/>
        </w:rPr>
        <w:t>https://www.parliament.uk/documents/commons-committees/culture-media-and-sport/Arron-Banks-appendix.pdf</w:t>
      </w:r>
      <w:r>
        <w:fldChar w:fldCharType="end"/>
      </w:r>
      <w:r>
        <w:fldChar w:fldCharType="begin"/>
      </w:r>
      <w:r>
        <w:instrText xml:space="preserve"> HYPERLINK "https://www.parliament.uk/documents/commons-committees/culture-media-and-sport/Arron-Banks-appendix.pdf" </w:instrText>
      </w:r>
      <w:r>
        <w:fldChar w:fldCharType="separate"/>
      </w:r>
      <w:r w:rsidRPr="005B5CB6">
        <w:rPr>
          <w:rFonts w:ascii="Verdana" w:hAnsi="Verdana"/>
        </w:rPr>
        <w:t xml:space="preserve">  </w:t>
      </w:r>
      <w:r>
        <w:fldChar w:fldCharType="end"/>
      </w:r>
      <w:r w:rsidRPr="005B5CB6">
        <w:rPr>
          <w:rFonts w:ascii="Verdana" w:hAnsi="Verdana"/>
          <w:vertAlign w:val="superscript"/>
        </w:rPr>
        <w:t>56</w:t>
      </w:r>
      <w:r w:rsidRPr="005B5CB6">
        <w:rPr>
          <w:rFonts w:ascii="Verdana" w:hAnsi="Verdana"/>
        </w:rPr>
        <w:t xml:space="preserve"> Cambridge Analytica/SCL Group. n.d. </w:t>
      </w:r>
      <w:r w:rsidRPr="005B5CB6">
        <w:rPr>
          <w:rFonts w:ascii="Verdana" w:hAnsi="Verdana"/>
          <w:i/>
        </w:rPr>
        <w:t>Leave.EU: profile raising and outreach</w:t>
      </w:r>
      <w:r w:rsidRPr="005B5CB6">
        <w:rPr>
          <w:rFonts w:ascii="Verdana" w:hAnsi="Verdana"/>
        </w:rPr>
        <w:t xml:space="preserve">. </w:t>
      </w:r>
      <w:r>
        <w:fldChar w:fldCharType="begin"/>
      </w:r>
      <w:r>
        <w:instrText xml:space="preserve"> HYPERLINK "https://www.parliament.uk/documents/commons-committees/culture-media-and-sport/Arron-Banks-appendix.pdf" </w:instrText>
      </w:r>
      <w:r>
        <w:fldChar w:fldCharType="separate"/>
      </w:r>
      <w:r w:rsidRPr="005B5CB6">
        <w:rPr>
          <w:rFonts w:ascii="Verdana" w:hAnsi="Verdana"/>
          <w:u w:val="single" w:color="000000"/>
        </w:rPr>
        <w:t>https://www.parliament.uk/documents/commons-committees/culture-media-and-sport/Arron-Banks-appendix.pdf</w:t>
      </w:r>
      <w:r>
        <w:fldChar w:fldCharType="end"/>
      </w:r>
      <w:r>
        <w:fldChar w:fldCharType="begin"/>
      </w:r>
      <w:r>
        <w:instrText xml:space="preserve"> HYPERLINK "https://www.parliament.uk/documents/commons-committees/culture-media-and-sport/Arron-Banks-appendix.pdf" </w:instrText>
      </w:r>
      <w:r>
        <w:fldChar w:fldCharType="separate"/>
      </w:r>
      <w:r w:rsidRPr="005B5CB6">
        <w:rPr>
          <w:rFonts w:ascii="Verdana" w:hAnsi="Verdana"/>
        </w:rPr>
        <w:t xml:space="preserve"> p</w:t>
      </w:r>
      <w:r>
        <w:fldChar w:fldCharType="end"/>
      </w:r>
      <w:r w:rsidRPr="005B5CB6">
        <w:rPr>
          <w:rFonts w:ascii="Verdana" w:hAnsi="Verdana"/>
        </w:rPr>
        <w:t xml:space="preserve">.3, emphasis added. </w:t>
      </w:r>
    </w:p>
    <w:p w:rsidR="00FB0B24" w:rsidRPr="005B5CB6" w:rsidP="003255A4">
      <w:pPr>
        <w:numPr>
          <w:ilvl w:val="0"/>
          <w:numId w:val="40"/>
        </w:numPr>
        <w:spacing w:after="11" w:line="249" w:lineRule="auto"/>
        <w:ind w:hanging="180"/>
        <w:jc w:val="both"/>
        <w:rPr>
          <w:rFonts w:ascii="Verdana" w:hAnsi="Verdana"/>
        </w:rPr>
      </w:pPr>
      <w:r w:rsidRPr="005B5CB6">
        <w:rPr>
          <w:rFonts w:ascii="Verdana" w:hAnsi="Verdana"/>
        </w:rPr>
        <w:t xml:space="preserve">See: Banks, A. 2018. </w:t>
      </w:r>
      <w:r w:rsidRPr="005B5CB6">
        <w:rPr>
          <w:rFonts w:ascii="Verdana" w:hAnsi="Verdana"/>
          <w:i/>
        </w:rPr>
        <w:t>Oral evidence: fake news</w:t>
      </w:r>
      <w:r w:rsidRPr="005B5CB6">
        <w:rPr>
          <w:rFonts w:ascii="Verdana" w:hAnsi="Verdana"/>
        </w:rPr>
        <w:t xml:space="preserve">, HC 363, 12 June. </w:t>
      </w:r>
    </w:p>
    <w:p w:rsidR="00FB0B24" w:rsidRPr="005B5CB6" w:rsidP="003255A4">
      <w:pPr>
        <w:spacing w:after="5" w:line="249" w:lineRule="auto"/>
        <w:ind w:left="-4" w:hanging="10"/>
        <w:jc w:val="both"/>
        <w:rPr>
          <w:rFonts w:ascii="Verdana" w:hAnsi="Verdana"/>
        </w:rPr>
      </w:pPr>
      <w:r>
        <w:fldChar w:fldCharType="begin"/>
      </w:r>
      <w:r>
        <w:instrText xml:space="preserve"> HYPERLINK "http://data.parliament.uk/writtenevidence/committeeevidence.svc/evidencedocument/digital-culture-media-and-sport-committee/disinformation-and-fake-news/oral/85344.html" </w:instrText>
      </w:r>
      <w:r>
        <w:fldChar w:fldCharType="separate"/>
      </w:r>
      <w:r w:rsidRPr="005B5CB6" w:rsidR="00A72806">
        <w:rPr>
          <w:rFonts w:ascii="Verdana" w:hAnsi="Verdana"/>
          <w:u w:val="single" w:color="000000"/>
        </w:rPr>
        <w:t>http://data.parliament.uk/writtenevidence/committeeevidence.svc/evidencedocument/digital-culture-media-and-sport</w:t>
      </w:r>
      <w:r>
        <w:fldChar w:fldCharType="end"/>
      </w:r>
      <w:r>
        <w:fldChar w:fldCharType="begin"/>
      </w:r>
      <w:r>
        <w:instrText xml:space="preserve"> HYPERLINK "http://data.parliament.uk/writtenevidence/committeeevidence.svc/evidencedocument/digital-culture-media-and-sport-committee/disinformation-and-fake-news/oral/85344.html" </w:instrText>
      </w:r>
      <w:r>
        <w:fldChar w:fldCharType="separate"/>
      </w:r>
      <w:r w:rsidRPr="005B5CB6" w:rsidR="00A72806">
        <w:rPr>
          <w:rFonts w:ascii="Verdana" w:hAnsi="Verdana"/>
          <w:u w:val="single" w:color="000000"/>
        </w:rPr>
        <w:t>committee/disinformation-and-fake-news/oral/85344.html</w:t>
      </w:r>
      <w:r>
        <w:fldChar w:fldCharType="end"/>
      </w:r>
      <w:r>
        <w:fldChar w:fldCharType="begin"/>
      </w:r>
      <w:r>
        <w:instrText xml:space="preserve"> HYPERLINK "http://data.parliament.uk/writtenevidence/committeeevidence.svc/evidencedocument/digital-culture-media-and-sport-committee/disinformation-and-fake-news/oral/85344.html" </w:instrText>
      </w:r>
      <w:r>
        <w:fldChar w:fldCharType="separate"/>
      </w:r>
      <w:r w:rsidRPr="005B5CB6" w:rsidR="00A72806">
        <w:rPr>
          <w:rFonts w:ascii="Verdana" w:hAnsi="Verdana"/>
        </w:rPr>
        <w:t xml:space="preserve">  </w:t>
      </w:r>
      <w:r>
        <w:fldChar w:fldCharType="end"/>
      </w:r>
      <w:r w:rsidRPr="005B5CB6" w:rsidR="00A72806">
        <w:rPr>
          <w:rFonts w:ascii="Verdana" w:hAnsi="Verdana"/>
        </w:rPr>
        <w:t xml:space="preserve">p.4. </w:t>
      </w:r>
    </w:p>
    <w:p w:rsidR="00FB0B24" w:rsidRPr="005B5CB6" w:rsidP="003255A4">
      <w:pPr>
        <w:numPr>
          <w:ilvl w:val="0"/>
          <w:numId w:val="40"/>
        </w:numPr>
        <w:spacing w:after="11" w:line="249" w:lineRule="auto"/>
        <w:ind w:hanging="180"/>
        <w:jc w:val="both"/>
        <w:rPr>
          <w:rFonts w:ascii="Verdana" w:hAnsi="Verdana"/>
        </w:rPr>
      </w:pPr>
      <w:r w:rsidRPr="005B5CB6">
        <w:rPr>
          <w:rFonts w:ascii="Verdana" w:hAnsi="Verdana"/>
        </w:rPr>
        <w:t xml:space="preserve">Banks, A., 2017. ‘We had a number of meetings with CA and exchange of ideas but used techniques developed by </w:t>
      </w:r>
    </w:p>
    <w:p w:rsidR="00FB0B24" w:rsidRPr="005B5CB6" w:rsidP="003255A4">
      <w:pPr>
        <w:spacing w:after="39" w:line="249" w:lineRule="auto"/>
        <w:ind w:left="-4" w:right="4111" w:hanging="10"/>
        <w:jc w:val="both"/>
        <w:rPr>
          <w:rFonts w:ascii="Verdana" w:hAnsi="Verdana"/>
        </w:rPr>
      </w:pPr>
      <w:r w:rsidRPr="005B5CB6">
        <w:rPr>
          <w:rFonts w:ascii="Verdana" w:hAnsi="Verdana"/>
        </w:rPr>
        <w:t xml:space="preserve">Goddard Gunster which we have stated before’, [Tweet] 3 March,  </w:t>
      </w:r>
      <w:r>
        <w:fldChar w:fldCharType="begin"/>
      </w:r>
      <w:r>
        <w:instrText xml:space="preserve"> HYPERLINK "https://twitter.com/Arron_banks/status/837734663842062338" </w:instrText>
      </w:r>
      <w:r>
        <w:fldChar w:fldCharType="separate"/>
      </w:r>
      <w:r w:rsidRPr="005B5CB6">
        <w:rPr>
          <w:rFonts w:ascii="Verdana" w:hAnsi="Verdana"/>
          <w:u w:val="single" w:color="000000"/>
        </w:rPr>
        <w:t>https://twitter.com/Arron_banks/status/837734663842062338</w:t>
      </w:r>
      <w:r>
        <w:fldChar w:fldCharType="end"/>
      </w:r>
      <w:r>
        <w:fldChar w:fldCharType="begin"/>
      </w:r>
      <w:r>
        <w:instrText xml:space="preserve"> HYPERLINK "https://twitter.com/Arron_banks/status/837734663842062338" </w:instrText>
      </w:r>
      <w:r>
        <w:fldChar w:fldCharType="separate"/>
      </w:r>
      <w:r w:rsidRPr="005B5CB6">
        <w:rPr>
          <w:rFonts w:ascii="Verdana" w:hAnsi="Verdana"/>
        </w:rPr>
        <w:t xml:space="preserve">  </w:t>
      </w:r>
      <w:r>
        <w:fldChar w:fldCharType="end"/>
      </w:r>
      <w:r w:rsidRPr="005B5CB6">
        <w:rPr>
          <w:rFonts w:ascii="Verdana" w:eastAsia="Times New Roman" w:hAnsi="Verdana" w:cs="Times New Roman"/>
        </w:rPr>
        <w:t xml:space="preserve"> </w:t>
      </w:r>
      <w:r w:rsidRPr="005B5CB6">
        <w:rPr>
          <w:rFonts w:ascii="Verdana" w:hAnsi="Verdana"/>
          <w:vertAlign w:val="superscript"/>
        </w:rPr>
        <w:t>59</w:t>
      </w:r>
      <w:r w:rsidRPr="005B5CB6">
        <w:rPr>
          <w:rFonts w:ascii="Verdana" w:hAnsi="Verdana"/>
        </w:rPr>
        <w:t xml:space="preserve"> These comprise:  </w:t>
      </w:r>
    </w:p>
    <w:p w:rsidR="00FB0B24" w:rsidRPr="005B5CB6" w:rsidP="003255A4">
      <w:pPr>
        <w:numPr>
          <w:ilvl w:val="0"/>
          <w:numId w:val="41"/>
        </w:numPr>
        <w:spacing w:after="11" w:line="249" w:lineRule="auto"/>
        <w:ind w:hanging="360"/>
        <w:jc w:val="both"/>
        <w:rPr>
          <w:rFonts w:ascii="Verdana" w:hAnsi="Verdana"/>
        </w:rPr>
      </w:pPr>
      <w:r w:rsidRPr="005B5CB6">
        <w:rPr>
          <w:rFonts w:ascii="Verdana" w:hAnsi="Verdana"/>
        </w:rPr>
        <w:t xml:space="preserve">An article that says the Leave.EU campaign is using Cambridge Analytica. See: James, S.B. 2015. Leave.EU campaign brings in US voter data and messaging firm Cambridge Analytica, </w:t>
      </w:r>
      <w:r w:rsidRPr="005B5CB6">
        <w:rPr>
          <w:rFonts w:ascii="Verdana" w:hAnsi="Verdana"/>
          <w:i/>
        </w:rPr>
        <w:t>PR Week</w:t>
      </w:r>
      <w:r w:rsidRPr="005B5CB6">
        <w:rPr>
          <w:rFonts w:ascii="Verdana" w:hAnsi="Verdana"/>
        </w:rPr>
        <w:t xml:space="preserve">, 15 November. </w:t>
      </w:r>
      <w:r>
        <w:fldChar w:fldCharType="begin"/>
      </w:r>
      <w:r>
        <w:instrText xml:space="preserve"> HYPERLINK "http://www.prweek.com/article/1373378/leaveeu-campaign-brings-us-voter-data-messaging-firm-cambridge-analytica" </w:instrText>
      </w:r>
      <w:r>
        <w:fldChar w:fldCharType="separate"/>
      </w:r>
      <w:r w:rsidRPr="005B5CB6">
        <w:rPr>
          <w:rFonts w:ascii="Verdana" w:hAnsi="Verdana"/>
          <w:u w:val="single" w:color="000000"/>
        </w:rPr>
        <w:t>http://www.prweek.com/article/1373378/leaveeu-campaign-brings-us-voter-data-messaging-firm-cambridge</w:t>
      </w:r>
      <w:r>
        <w:fldChar w:fldCharType="end"/>
      </w:r>
      <w:r>
        <w:fldChar w:fldCharType="begin"/>
      </w:r>
      <w:r>
        <w:instrText xml:space="preserve"> HYPERLINK "http://www.prweek.com/article/1373378/leaveeu-campaign-brings-us-voter-data-messaging-firm-cambridge-analytica" </w:instrText>
      </w:r>
      <w:r>
        <w:fldChar w:fldCharType="separate"/>
      </w:r>
      <w:r w:rsidRPr="005B5CB6">
        <w:rPr>
          <w:rFonts w:ascii="Verdana" w:hAnsi="Verdana"/>
          <w:u w:val="single" w:color="000000"/>
        </w:rPr>
        <w:t>analytica</w:t>
      </w:r>
      <w:r>
        <w:fldChar w:fldCharType="end"/>
      </w:r>
      <w:r>
        <w:fldChar w:fldCharType="begin"/>
      </w:r>
      <w:r>
        <w:instrText xml:space="preserve"> HYPERLINK "http://www.prweek.com/article/1373378/leaveeu-campaign-brings-us-voter-data-messaging-firm-cambridge-analytica" </w:instrText>
      </w:r>
      <w:r>
        <w:fldChar w:fldCharType="separate"/>
      </w:r>
      <w:r w:rsidRPr="005B5CB6">
        <w:rPr>
          <w:rFonts w:ascii="Verdana" w:hAnsi="Verdana"/>
        </w:rPr>
        <w:t xml:space="preserve">  </w:t>
      </w:r>
      <w:r>
        <w:fldChar w:fldCharType="end"/>
      </w:r>
      <w:r w:rsidRPr="005B5CB6">
        <w:rPr>
          <w:rFonts w:ascii="Verdana" w:hAnsi="Verdana"/>
        </w:rPr>
        <w:t xml:space="preserve"> </w:t>
      </w:r>
    </w:p>
    <w:p w:rsidR="00FB0B24" w:rsidRPr="005B5CB6" w:rsidP="003255A4">
      <w:pPr>
        <w:numPr>
          <w:ilvl w:val="0"/>
          <w:numId w:val="41"/>
        </w:numPr>
        <w:spacing w:after="11" w:line="249" w:lineRule="auto"/>
        <w:ind w:hanging="360"/>
        <w:jc w:val="both"/>
        <w:rPr>
          <w:rFonts w:ascii="Verdana" w:hAnsi="Verdana"/>
        </w:rPr>
      </w:pPr>
      <w:r w:rsidRPr="005B5CB6">
        <w:rPr>
          <w:rFonts w:ascii="Verdana" w:hAnsi="Verdana"/>
        </w:rPr>
        <w:t>A Leave.EU launch event, press conference with Brittany Kaiser (Cambridge Analytica), Gerry Gunster, Ian Warren and Arron Banks on 18 November 2015. See</w:t>
      </w:r>
      <w:r>
        <w:fldChar w:fldCharType="begin"/>
      </w:r>
      <w:r>
        <w:instrText xml:space="preserve"> HYPERLINK "https://www.youtube.com/watch?v=kuPbAX6Lzhc" </w:instrText>
      </w:r>
      <w:r>
        <w:fldChar w:fldCharType="separate"/>
      </w:r>
      <w:r w:rsidRPr="005B5CB6">
        <w:rPr>
          <w:rFonts w:ascii="Verdana" w:hAnsi="Verdana"/>
        </w:rPr>
        <w:t xml:space="preserve">: </w:t>
      </w:r>
      <w:r>
        <w:fldChar w:fldCharType="end"/>
      </w:r>
      <w:r>
        <w:fldChar w:fldCharType="begin"/>
      </w:r>
      <w:r>
        <w:instrText xml:space="preserve"> HYPERLINK "https://www.youtube.com/watch?v=kuPbAX6Lzhc" </w:instrText>
      </w:r>
      <w:r>
        <w:fldChar w:fldCharType="separate"/>
      </w:r>
      <w:r w:rsidRPr="005B5CB6">
        <w:rPr>
          <w:rFonts w:ascii="Verdana" w:hAnsi="Verdana"/>
          <w:u w:val="single" w:color="000000"/>
        </w:rPr>
        <w:t>https://www.youtube.com/watch?v=kuPbAX6Lzhc</w:t>
      </w:r>
      <w:r>
        <w:fldChar w:fldCharType="end"/>
      </w:r>
      <w:r>
        <w:fldChar w:fldCharType="begin"/>
      </w:r>
      <w:r>
        <w:instrText xml:space="preserve"> HYPERLINK "https://www.youtube.com/watch?v=kuPbAX6Lzhc" </w:instrText>
      </w:r>
      <w:r>
        <w:fldChar w:fldCharType="separate"/>
      </w:r>
      <w:r w:rsidRPr="005B5CB6">
        <w:rPr>
          <w:rFonts w:ascii="Verdana" w:hAnsi="Verdana"/>
        </w:rPr>
        <w:t xml:space="preserve"> .</w:t>
      </w:r>
      <w:r>
        <w:fldChar w:fldCharType="end"/>
      </w:r>
      <w:r w:rsidRPr="005B5CB6">
        <w:rPr>
          <w:rFonts w:ascii="Verdana" w:hAnsi="Verdana"/>
        </w:rPr>
        <w:t xml:space="preserve"> The Facebook post mentions Kaiser and Cambridge Analytica</w:t>
      </w:r>
      <w:r>
        <w:fldChar w:fldCharType="begin"/>
      </w:r>
      <w:r>
        <w:instrText xml:space="preserve"> HYPERLINK "https://twitter.com/carolecadwalla/status/863665765597290496" </w:instrText>
      </w:r>
      <w:r>
        <w:fldChar w:fldCharType="separate"/>
      </w:r>
      <w:r w:rsidRPr="005B5CB6">
        <w:rPr>
          <w:rFonts w:ascii="Verdana" w:hAnsi="Verdana"/>
        </w:rPr>
        <w:t xml:space="preserve">: </w:t>
      </w:r>
      <w:r>
        <w:fldChar w:fldCharType="end"/>
      </w:r>
      <w:r>
        <w:fldChar w:fldCharType="begin"/>
      </w:r>
      <w:r>
        <w:instrText xml:space="preserve"> HYPERLINK "https://twitter.com/carolecadwalla/status/863665765597290496" </w:instrText>
      </w:r>
      <w:r>
        <w:fldChar w:fldCharType="separate"/>
      </w:r>
      <w:r w:rsidRPr="005B5CB6">
        <w:rPr>
          <w:rFonts w:ascii="Verdana" w:hAnsi="Verdana"/>
          <w:u w:val="single" w:color="000000"/>
        </w:rPr>
        <w:t>https://twitter.com/carolecadwalla/status/863665765597290496</w:t>
      </w:r>
      <w:r>
        <w:fldChar w:fldCharType="end"/>
      </w:r>
      <w:r>
        <w:fldChar w:fldCharType="begin"/>
      </w:r>
      <w:r>
        <w:instrText xml:space="preserve"> HYPERLINK "https://twitter.com/carolecadwalla/status/863665765597290496" </w:instrText>
      </w:r>
      <w:r>
        <w:fldChar w:fldCharType="separate"/>
      </w:r>
      <w:r w:rsidRPr="005B5CB6">
        <w:rPr>
          <w:rFonts w:ascii="Verdana" w:hAnsi="Verdana"/>
        </w:rPr>
        <w:t xml:space="preserve">  </w:t>
      </w:r>
      <w:r>
        <w:fldChar w:fldCharType="end"/>
      </w:r>
      <w:r w:rsidRPr="005B5CB6">
        <w:rPr>
          <w:rFonts w:ascii="Verdana" w:hAnsi="Verdana"/>
        </w:rPr>
        <w:t xml:space="preserve"> </w:t>
      </w:r>
    </w:p>
    <w:p w:rsidR="00FB0B24" w:rsidRPr="005B5CB6" w:rsidP="003255A4">
      <w:pPr>
        <w:numPr>
          <w:ilvl w:val="0"/>
          <w:numId w:val="41"/>
        </w:numPr>
        <w:spacing w:after="11" w:line="249" w:lineRule="auto"/>
        <w:ind w:hanging="360"/>
        <w:jc w:val="both"/>
        <w:rPr>
          <w:rFonts w:ascii="Verdana" w:hAnsi="Verdana"/>
        </w:rPr>
      </w:pPr>
      <w:r w:rsidRPr="005B5CB6">
        <w:rPr>
          <w:rFonts w:ascii="Verdana" w:hAnsi="Verdana"/>
        </w:rPr>
        <w:t xml:space="preserve">A post on Leave.EU website (now only available via archive) on how Cambridge Analytica will help collect data on the UK electorate. See: Leave.EU. 2015. </w:t>
      </w:r>
      <w:r w:rsidRPr="005B5CB6">
        <w:rPr>
          <w:rFonts w:ascii="Verdana" w:hAnsi="Verdana"/>
          <w:i/>
        </w:rPr>
        <w:t>The Science behind our strategy</w:t>
      </w:r>
      <w:r w:rsidRPr="005B5CB6">
        <w:rPr>
          <w:rFonts w:ascii="Verdana" w:hAnsi="Verdana"/>
        </w:rPr>
        <w:t>. 20 November</w:t>
      </w:r>
      <w:r>
        <w:fldChar w:fldCharType="begin"/>
      </w:r>
      <w:r>
        <w:instrText xml:space="preserve"> HYPERLINK "http://archive.fo/rN22u" </w:instrText>
      </w:r>
      <w:r>
        <w:fldChar w:fldCharType="separate"/>
      </w:r>
      <w:r w:rsidRPr="005B5CB6">
        <w:rPr>
          <w:rFonts w:ascii="Verdana" w:hAnsi="Verdana"/>
        </w:rPr>
        <w:t xml:space="preserve">. </w:t>
      </w:r>
      <w:r>
        <w:fldChar w:fldCharType="end"/>
      </w:r>
      <w:r>
        <w:fldChar w:fldCharType="begin"/>
      </w:r>
      <w:r>
        <w:instrText xml:space="preserve"> HYPERLINK "http://archive.fo/rN22u" </w:instrText>
      </w:r>
      <w:r>
        <w:fldChar w:fldCharType="separate"/>
      </w:r>
      <w:r w:rsidRPr="005B5CB6">
        <w:rPr>
          <w:rFonts w:ascii="Verdana" w:hAnsi="Verdana"/>
          <w:u w:val="single" w:color="000000"/>
        </w:rPr>
        <w:t>http://archive.fo/rN22u</w:t>
      </w:r>
      <w:r>
        <w:fldChar w:fldCharType="end"/>
      </w:r>
      <w:r>
        <w:fldChar w:fldCharType="begin"/>
      </w:r>
      <w:r>
        <w:instrText xml:space="preserve"> HYPERLINK "http://archive.fo/rN22u" </w:instrText>
      </w:r>
      <w:r>
        <w:fldChar w:fldCharType="separate"/>
      </w:r>
      <w:r w:rsidRPr="005B5CB6">
        <w:rPr>
          <w:rFonts w:ascii="Verdana" w:hAnsi="Verdana"/>
        </w:rPr>
        <w:t xml:space="preserve">  </w:t>
      </w:r>
      <w:r>
        <w:fldChar w:fldCharType="end"/>
      </w:r>
      <w:r w:rsidRPr="005B5CB6">
        <w:rPr>
          <w:rFonts w:ascii="Verdana" w:hAnsi="Verdana"/>
        </w:rPr>
        <w:t xml:space="preserve"> </w:t>
      </w:r>
    </w:p>
    <w:p w:rsidR="00FB0B24" w:rsidRPr="005B5CB6" w:rsidP="003255A4">
      <w:pPr>
        <w:numPr>
          <w:ilvl w:val="0"/>
          <w:numId w:val="41"/>
        </w:numPr>
        <w:spacing w:after="11" w:line="249" w:lineRule="auto"/>
        <w:ind w:hanging="360"/>
        <w:jc w:val="both"/>
        <w:rPr>
          <w:rFonts w:ascii="Verdana" w:hAnsi="Verdana"/>
        </w:rPr>
      </w:pPr>
      <w:r w:rsidRPr="005B5CB6">
        <w:rPr>
          <w:rFonts w:ascii="Verdana" w:hAnsi="Verdana"/>
        </w:rPr>
        <w:t xml:space="preserve">An interview with Arron Banks stating that Cambridge Analytica has helped boost Leave.EU’s social media campaign. See: Gallagher, P. 2015. EU referendum. </w:t>
      </w:r>
      <w:r w:rsidRPr="005B5CB6">
        <w:rPr>
          <w:rFonts w:ascii="Verdana" w:hAnsi="Verdana"/>
          <w:i/>
        </w:rPr>
        <w:t>The Independent</w:t>
      </w:r>
      <w:r w:rsidRPr="005B5CB6">
        <w:rPr>
          <w:rFonts w:ascii="Verdana" w:hAnsi="Verdana"/>
        </w:rPr>
        <w:t xml:space="preserve">, 7 December. </w:t>
      </w:r>
      <w:r>
        <w:fldChar w:fldCharType="begin"/>
      </w:r>
      <w:r>
        <w:instrText xml:space="preserve"> HYPERLINK "http://www.independent.co.uk/news/uk/politics/eu-referendum-controversial-leaveeu-co-founder-arron-ba%20nks-on-why-hes-happy-to-put-noses-out-of-a6762806.html" </w:instrText>
      </w:r>
      <w:r>
        <w:fldChar w:fldCharType="separate"/>
      </w:r>
      <w:r w:rsidRPr="005B5CB6">
        <w:rPr>
          <w:rFonts w:ascii="Verdana" w:hAnsi="Verdana"/>
          <w:u w:val="single" w:color="000000"/>
        </w:rPr>
        <w:t>http://www.independent.co.uk/news/uk/politics/eu-referendum-controversial-leaveeu-co-founder-arron-ba nks-on</w:t>
      </w:r>
      <w:r>
        <w:fldChar w:fldCharType="end"/>
      </w:r>
      <w:r>
        <w:fldChar w:fldCharType="begin"/>
      </w:r>
      <w:r>
        <w:instrText xml:space="preserve"> HYPERLINK "http://www.independent.co.uk/news/uk/politics/eu-referendum-controversial-leaveeu-co-founder-arron-ba%20nks-on-why-hes-happy-to-put-noses-out-of-a6762806.html" </w:instrText>
      </w:r>
      <w:r>
        <w:fldChar w:fldCharType="separate"/>
      </w:r>
      <w:r w:rsidRPr="005B5CB6">
        <w:rPr>
          <w:rFonts w:ascii="Verdana" w:hAnsi="Verdana"/>
          <w:u w:val="single" w:color="000000"/>
        </w:rPr>
        <w:t>why-hes-happy-to-put-noses-out-of-a6762806.html</w:t>
      </w:r>
      <w:r>
        <w:fldChar w:fldCharType="end"/>
      </w:r>
      <w:r>
        <w:fldChar w:fldCharType="begin"/>
      </w:r>
      <w:r>
        <w:instrText xml:space="preserve"> HYPERLINK "http://www.independent.co.uk/news/uk/politics/eu-referendum-controversial-leaveeu-co-founder-arron-ba%20nks-on-why-hes-happy-to-put-noses-out-of-a6762806.html" </w:instrText>
      </w:r>
      <w:r>
        <w:fldChar w:fldCharType="separate"/>
      </w:r>
      <w:r w:rsidRPr="005B5CB6">
        <w:rPr>
          <w:rFonts w:ascii="Verdana" w:hAnsi="Verdana"/>
        </w:rPr>
        <w:t xml:space="preserve">  </w:t>
      </w:r>
      <w:r>
        <w:fldChar w:fldCharType="end"/>
      </w:r>
      <w:r w:rsidRPr="005B5CB6">
        <w:rPr>
          <w:rFonts w:ascii="Verdana" w:hAnsi="Verdana"/>
        </w:rPr>
        <w:t xml:space="preserve"> </w:t>
      </w:r>
    </w:p>
    <w:p w:rsidR="00FB0B24" w:rsidRPr="005B5CB6" w:rsidP="003255A4">
      <w:pPr>
        <w:numPr>
          <w:ilvl w:val="0"/>
          <w:numId w:val="41"/>
        </w:numPr>
        <w:spacing w:after="11" w:line="249" w:lineRule="auto"/>
        <w:ind w:hanging="360"/>
        <w:jc w:val="both"/>
        <w:rPr>
          <w:rFonts w:ascii="Verdana" w:hAnsi="Verdana"/>
        </w:rPr>
      </w:pPr>
      <w:r w:rsidRPr="005B5CB6">
        <w:rPr>
          <w:rFonts w:ascii="Verdana" w:hAnsi="Verdana"/>
          <w:noProof/>
        </w:rPr>
        <mc:AlternateContent>
          <mc:Choice Requires="wpg">
            <w:drawing>
              <wp:anchor distT="0" distB="0" distL="114300" distR="114300" simplePos="0" relativeHeight="251665408" behindDoc="1" locked="0" layoutInCell="1" allowOverlap="1">
                <wp:simplePos x="0" y="0"/>
                <wp:positionH relativeFrom="column">
                  <wp:posOffset>3419033</wp:posOffset>
                </wp:positionH>
                <wp:positionV relativeFrom="paragraph">
                  <wp:posOffset>254824</wp:posOffset>
                </wp:positionV>
                <wp:extent cx="25908" cy="140208"/>
                <wp:effectExtent l="0" t="0" r="0" b="0"/>
                <wp:wrapNone/>
                <wp:docPr id="515703" name="Group 515703"/>
                <wp:cNvGraphicFramePr/>
                <a:graphic xmlns:a="http://schemas.openxmlformats.org/drawingml/2006/main">
                  <a:graphicData uri="http://schemas.microsoft.com/office/word/2010/wordprocessingGroup">
                    <wpg:wgp xmlns:wpg="http://schemas.microsoft.com/office/word/2010/wordprocessingGroup">
                      <wpg:cNvGrpSpPr/>
                      <wpg:grpSpPr>
                        <a:xfrm>
                          <a:off x="0" y="0"/>
                          <a:ext cx="25908" cy="140208"/>
                          <a:chOff x="0" y="0"/>
                          <a:chExt cx="25908" cy="140208"/>
                        </a:xfrm>
                      </wpg:grpSpPr>
                      <wps:wsp xmlns:wps="http://schemas.microsoft.com/office/word/2010/wordprocessingShape">
                        <wps:cNvPr id="635380" name="Shape 635380"/>
                        <wps:cNvSpPr/>
                        <wps:spPr>
                          <a:xfrm>
                            <a:off x="0" y="0"/>
                            <a:ext cx="25908" cy="140208"/>
                          </a:xfrm>
                          <a:custGeom>
                            <a:avLst/>
                            <a:gdLst/>
                            <a:ahLst/>
                            <a:cxnLst/>
                            <a:rect l="0" t="0" r="0" b="0"/>
                            <a:pathLst>
                              <a:path w="25908" h="140208">
                                <a:moveTo>
                                  <a:pt x="0" y="0"/>
                                </a:moveTo>
                                <a:lnTo>
                                  <a:pt x="25908" y="0"/>
                                </a:lnTo>
                                <a:lnTo>
                                  <a:pt x="25908" y="140208"/>
                                </a:lnTo>
                                <a:lnTo>
                                  <a:pt x="0" y="140208"/>
                                </a:lnTo>
                                <a:lnTo>
                                  <a:pt x="0" y="0"/>
                                </a:lnTo>
                              </a:path>
                            </a:pathLst>
                          </a:custGeom>
                          <a:ln w="0" cap="flat">
                            <a:miter lim="127000"/>
                          </a:ln>
                        </wps:spPr>
                        <wps:style>
                          <a:lnRef idx="0">
                            <a:srgbClr val="000000">
                              <a:alpha val="0"/>
                            </a:srgbClr>
                          </a:lnRef>
                          <a:fillRef idx="1">
                            <a:srgbClr val="F7F8F8"/>
                          </a:fillRef>
                          <a:effectRef idx="0">
                            <a:scrgbClr r="0" g="0" b="0"/>
                          </a:effectRef>
                          <a:fontRef idx="none"/>
                        </wps:style>
                        <wps:bodyPr/>
                      </wps:wsp>
                    </wpg:wgp>
                  </a:graphicData>
                </a:graphic>
              </wp:anchor>
            </w:drawing>
          </mc:Choice>
          <mc:Fallback>
            <w:pict>
              <v:group id="_x0000_s1065" style="height:11.04pt;margin-left:269.22pt;margin-top:20.06pt;position:absolute;width:2.04pt;z-index:-251658240" coordsize="259,1402">
                <v:shape id="_x0000_s1066" style="height:1402;position:absolute;width:259" coordsize="25908,140208" path="m,l25908,l25908,140208l,140208l,e">
                  <v:stroke joinstyle="miter" endcap="flat" opacity="0"/>
                </v:shape>
              </v:group>
            </w:pict>
          </mc:Fallback>
        </mc:AlternateContent>
      </w:r>
      <w:r w:rsidRPr="005B5CB6">
        <w:rPr>
          <w:rFonts w:ascii="Verdana" w:hAnsi="Verdana"/>
        </w:rPr>
        <w:t xml:space="preserve">A Politico article where Banks talks about how Leave.EU is using Cambridge Analytica: ‘This same firm, says Banks, is using its understanding of our Facebook habits to shape Leave.EU's own “micro-messaging”: Cambridge’s profiles enable it to “know what sort of advertising appeals to you. It might be aggressive, it might be passive, it might be all sorts of different forms." See: Colvile, R. 2015. Leave.EU: the anti-political campaign. </w:t>
      </w:r>
      <w:r w:rsidRPr="005B5CB6">
        <w:rPr>
          <w:rFonts w:ascii="Verdana" w:hAnsi="Verdana"/>
          <w:i/>
        </w:rPr>
        <w:t>Politico</w:t>
      </w:r>
      <w:r w:rsidRPr="005B5CB6">
        <w:rPr>
          <w:rFonts w:ascii="Verdana" w:hAnsi="Verdana"/>
        </w:rPr>
        <w:t xml:space="preserve">, 23 December. </w:t>
      </w:r>
      <w:r>
        <w:fldChar w:fldCharType="begin"/>
      </w:r>
      <w:r>
        <w:instrText xml:space="preserve"> HYPERLINK "http://www.politico.eu/article/leave-eu-anti-political-campaign-brexit-referendum-uk-eu-reform/" </w:instrText>
      </w:r>
      <w:r>
        <w:fldChar w:fldCharType="separate"/>
      </w:r>
      <w:r w:rsidRPr="005B5CB6">
        <w:rPr>
          <w:rFonts w:ascii="Verdana" w:hAnsi="Verdana"/>
          <w:u w:val="single" w:color="000000"/>
        </w:rPr>
        <w:t>http://www.politico.eu/article/leave-eu-anti-political-campaign-brexit-referendum-uk-eu-reform/</w:t>
      </w:r>
      <w:r>
        <w:fldChar w:fldCharType="end"/>
      </w:r>
      <w:r>
        <w:fldChar w:fldCharType="begin"/>
      </w:r>
      <w:r>
        <w:instrText xml:space="preserve"> HYPERLINK "http://www.politico.eu/article/leave-eu-anti-political-campaign-brexit-referendum-uk-eu-reform/" </w:instrText>
      </w:r>
      <w:r>
        <w:fldChar w:fldCharType="separate"/>
      </w:r>
      <w:r w:rsidRPr="005B5CB6">
        <w:rPr>
          <w:rFonts w:ascii="Verdana" w:hAnsi="Verdana"/>
        </w:rPr>
        <w:t xml:space="preserve">  </w:t>
      </w:r>
      <w:r>
        <w:fldChar w:fldCharType="end"/>
      </w:r>
    </w:p>
    <w:p w:rsidR="00FB0B24" w:rsidRPr="005B5CB6" w:rsidP="003255A4">
      <w:pPr>
        <w:numPr>
          <w:ilvl w:val="0"/>
          <w:numId w:val="41"/>
        </w:numPr>
        <w:spacing w:after="11" w:line="249" w:lineRule="auto"/>
        <w:ind w:hanging="360"/>
        <w:jc w:val="both"/>
        <w:rPr>
          <w:rFonts w:ascii="Verdana" w:hAnsi="Verdana"/>
        </w:rPr>
      </w:pPr>
      <w:r w:rsidRPr="005B5CB6">
        <w:rPr>
          <w:rFonts w:ascii="Verdana" w:hAnsi="Verdana"/>
        </w:rPr>
        <w:t>Banks’ tweet on 7 February 2016: ‘Our campaign is being run by Gerry Gunster ( won 24 referendum in the USA and Cambridge analytica experts in SM’</w:t>
      </w:r>
      <w:r>
        <w:fldChar w:fldCharType="begin"/>
      </w:r>
      <w:r>
        <w:instrText xml:space="preserve"> HYPERLINK "https://twitter.com/Arron_banks/status/696410417569120256" </w:instrText>
      </w:r>
      <w:r>
        <w:fldChar w:fldCharType="separate"/>
      </w:r>
      <w:r w:rsidRPr="005B5CB6">
        <w:rPr>
          <w:rFonts w:ascii="Verdana" w:hAnsi="Verdana"/>
        </w:rPr>
        <w:t xml:space="preserve">: </w:t>
      </w:r>
      <w:r>
        <w:fldChar w:fldCharType="end"/>
      </w:r>
      <w:r>
        <w:fldChar w:fldCharType="begin"/>
      </w:r>
      <w:r>
        <w:instrText xml:space="preserve"> HYPERLINK "https://twitter.com/Arron_banks/status/696410417569120256" </w:instrText>
      </w:r>
      <w:r>
        <w:fldChar w:fldCharType="separate"/>
      </w:r>
      <w:r w:rsidRPr="005B5CB6">
        <w:rPr>
          <w:rFonts w:ascii="Verdana" w:hAnsi="Verdana"/>
          <w:u w:val="single" w:color="000000"/>
        </w:rPr>
        <w:t>https://twitter.com/Arron_banks/status/696410417569120256</w:t>
      </w:r>
      <w:r>
        <w:fldChar w:fldCharType="end"/>
      </w:r>
      <w:r>
        <w:fldChar w:fldCharType="begin"/>
      </w:r>
      <w:r>
        <w:instrText xml:space="preserve"> HYPERLINK "https://twitter.com/Arron_banks/status/696410417569120256" </w:instrText>
      </w:r>
      <w:r>
        <w:fldChar w:fldCharType="separate"/>
      </w:r>
      <w:r w:rsidRPr="005B5CB6">
        <w:rPr>
          <w:rFonts w:ascii="Verdana" w:hAnsi="Verdana"/>
        </w:rPr>
        <w:t xml:space="preserve">  </w:t>
      </w:r>
      <w:r>
        <w:fldChar w:fldCharType="end"/>
      </w:r>
      <w:r w:rsidRPr="005B5CB6">
        <w:rPr>
          <w:rFonts w:ascii="Verdana" w:hAnsi="Verdana"/>
        </w:rPr>
        <w:t xml:space="preserve"> </w:t>
      </w:r>
      <w:r w:rsidRPr="005B5CB6">
        <w:rPr>
          <w:rFonts w:ascii="Verdana" w:hAnsi="Verdana"/>
          <w:vertAlign w:val="superscript"/>
        </w:rPr>
        <w:t>60</w:t>
      </w:r>
      <w:r w:rsidRPr="005B5CB6">
        <w:rPr>
          <w:rFonts w:ascii="Verdana" w:hAnsi="Verdana"/>
        </w:rPr>
        <w:t xml:space="preserve"> UK Independence Party (UKIP) is a hard Eurosceptic, right-wing UK political party. </w:t>
      </w:r>
    </w:p>
    <w:p w:rsidR="00FB0B24" w:rsidRPr="005B5CB6" w:rsidP="003255A4">
      <w:pPr>
        <w:numPr>
          <w:ilvl w:val="0"/>
          <w:numId w:val="41"/>
        </w:numPr>
        <w:spacing w:after="26" w:line="250" w:lineRule="auto"/>
        <w:ind w:hanging="360"/>
        <w:jc w:val="both"/>
        <w:rPr>
          <w:rFonts w:ascii="Verdana" w:hAnsi="Verdana"/>
        </w:rPr>
      </w:pPr>
      <w:r w:rsidRPr="005B5CB6">
        <w:rPr>
          <w:rFonts w:ascii="Verdana" w:eastAsia="Verdana" w:hAnsi="Verdana" w:cs="Verdana"/>
        </w:rPr>
        <w:t>Worried about their economic security, deteriorating public order and the future generally.</w:t>
      </w:r>
      <w:r>
        <w:rPr>
          <w:rFonts w:ascii="Verdana" w:eastAsia="Verdana" w:hAnsi="Verdana" w:cs="Verdana"/>
          <w:vertAlign w:val="superscript"/>
        </w:rPr>
        <w:footnoteReference w:id="65"/>
      </w: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Kaiser’s revelations led to calls from the Digital, Culture, Media and Sport </w:t>
      </w:r>
    </w:p>
    <w:p w:rsidR="00FB0B24" w:rsidRPr="005B5CB6" w:rsidP="003255A4">
      <w:pPr>
        <w:spacing w:after="321" w:line="250" w:lineRule="auto"/>
        <w:ind w:left="23" w:right="11" w:hanging="8"/>
        <w:jc w:val="both"/>
        <w:rPr>
          <w:rFonts w:ascii="Verdana" w:hAnsi="Verdana"/>
        </w:rPr>
      </w:pPr>
      <w:r w:rsidRPr="005B5CB6">
        <w:rPr>
          <w:rFonts w:ascii="Verdana" w:eastAsia="Verdana" w:hAnsi="Verdana" w:cs="Verdana"/>
        </w:rPr>
        <w:t>Committee to the Electoral Commission to re-open its investigation into Leave.EU.</w:t>
      </w:r>
      <w:r>
        <w:rPr>
          <w:rFonts w:ascii="Verdana" w:eastAsia="Verdana" w:hAnsi="Verdana" w:cs="Verdana"/>
          <w:vertAlign w:val="superscript"/>
        </w:rPr>
        <w:footnoteReference w:id="66"/>
      </w:r>
      <w:r w:rsidRPr="005B5CB6">
        <w:rPr>
          <w:rFonts w:ascii="Verdana" w:eastAsia="Verdana" w:hAnsi="Verdana" w:cs="Verdana"/>
        </w:rPr>
        <w:t xml:space="preserve">  </w:t>
      </w:r>
    </w:p>
    <w:p w:rsidR="00FB0B24" w:rsidRPr="005B5CB6" w:rsidP="003255A4">
      <w:pPr>
        <w:numPr>
          <w:ilvl w:val="1"/>
          <w:numId w:val="42"/>
        </w:numPr>
        <w:spacing w:after="5" w:line="250" w:lineRule="auto"/>
        <w:ind w:right="5" w:hanging="10"/>
        <w:jc w:val="both"/>
        <w:rPr>
          <w:rFonts w:ascii="Verdana" w:hAnsi="Verdana"/>
        </w:rPr>
      </w:pPr>
      <w:r w:rsidRPr="005B5CB6">
        <w:rPr>
          <w:rFonts w:ascii="Verdana" w:eastAsia="Verdana" w:hAnsi="Verdana" w:cs="Verdana"/>
        </w:rPr>
        <w:t>Whether or not Cambridge Analytica officially worked for the Leave.EU campaign, it appears to have influenced the Leave.EU campaign. In her 2019 submission to the UK Inquiry into Disinformation and Fake News, Kaiser argues that Cambridge Analytica completed chargeable work for UKIP and Leave.EU;</w:t>
      </w:r>
      <w:r w:rsidRPr="005B5CB6">
        <w:rPr>
          <w:rFonts w:ascii="Verdana" w:eastAsia="Verdana" w:hAnsi="Verdana" w:cs="Verdana"/>
          <w:vertAlign w:val="superscript"/>
        </w:rPr>
        <w:t>63</w:t>
      </w:r>
      <w:r w:rsidRPr="005B5CB6">
        <w:rPr>
          <w:rFonts w:ascii="Verdana" w:eastAsia="Verdana" w:hAnsi="Verdana" w:cs="Verdana"/>
        </w:rPr>
        <w:t xml:space="preserve"> and that ‘datasets and analysed data processed by Cambridge Analytica as part of a Phase 1 payable work engagement … were later used by the Leave.EU campaign without Cambridge Analytica’s further assistance’.</w:t>
      </w:r>
      <w:r w:rsidRPr="005B5CB6">
        <w:rPr>
          <w:rFonts w:ascii="Verdana" w:eastAsia="Verdana" w:hAnsi="Verdana" w:cs="Verdana"/>
          <w:vertAlign w:val="superscript"/>
        </w:rPr>
        <w:t xml:space="preserve"> </w:t>
      </w:r>
      <w:r>
        <w:rPr>
          <w:rFonts w:ascii="Verdana" w:eastAsia="Verdana" w:hAnsi="Verdana" w:cs="Verdana"/>
          <w:vertAlign w:val="superscript"/>
        </w:rPr>
        <w:footnoteReference w:id="67"/>
      </w:r>
      <w:r w:rsidRPr="005B5CB6">
        <w:rPr>
          <w:rFonts w:ascii="Verdana" w:eastAsia="Verdana" w:hAnsi="Verdana" w:cs="Verdana"/>
        </w:rPr>
        <w:t xml:space="preserve"> This aligns with a statement provided by Andy Wigmore (former Director of Communications, Leave.EU) two years earlier, when interviewed by Emma Briant (on 4</w:t>
      </w:r>
      <w:r w:rsidRPr="005B5CB6">
        <w:rPr>
          <w:rFonts w:ascii="Verdana" w:eastAsia="Verdana" w:hAnsi="Verdana" w:cs="Verdana"/>
          <w:vertAlign w:val="superscript"/>
        </w:rPr>
        <w:t xml:space="preserve"> </w:t>
      </w:r>
      <w:r w:rsidRPr="005B5CB6">
        <w:rPr>
          <w:rFonts w:ascii="Verdana" w:eastAsia="Verdana" w:hAnsi="Verdana" w:cs="Verdana"/>
        </w:rPr>
        <w:t xml:space="preserve">October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2017). Wigmore states that Leave.EU </w:t>
      </w:r>
      <w:r w:rsidRPr="005B5CB6">
        <w:rPr>
          <w:rFonts w:ascii="Verdana" w:eastAsia="Verdana" w:hAnsi="Verdana" w:cs="Verdana"/>
          <w:i/>
        </w:rPr>
        <w:t>copied</w:t>
      </w:r>
      <w:r w:rsidRPr="005B5CB6">
        <w:rPr>
          <w:rFonts w:ascii="Verdana" w:eastAsia="Verdana" w:hAnsi="Verdana" w:cs="Verdana"/>
        </w:rPr>
        <w:t xml:space="preserve"> some of the things that Cambridge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Analytica told them about how to target people, but used actuaries working for Arron Bank’s insurance company, Eldon Insurance, to do so. This involved determining: ‘the areas that were most concerned about the EU and we got that from our own actuaries. We had - we have four actuaries which we said right, tell us what this looks like from our data and they’re the ones that pinpointed the twelve areas in the United Kingdom that we needed to send Nigel Farage </w:t>
      </w:r>
    </w:p>
    <w:p w:rsidR="00FB0B24" w:rsidRPr="005B5CB6" w:rsidP="003255A4">
      <w:pPr>
        <w:spacing w:after="320" w:line="250" w:lineRule="auto"/>
        <w:ind w:left="23" w:right="11" w:hanging="8"/>
        <w:jc w:val="both"/>
        <w:rPr>
          <w:rFonts w:ascii="Verdana" w:hAnsi="Verdana"/>
        </w:rPr>
      </w:pPr>
      <w:r w:rsidRPr="005B5CB6">
        <w:rPr>
          <w:rFonts w:ascii="Verdana" w:eastAsia="Verdana" w:hAnsi="Verdana" w:cs="Verdana"/>
        </w:rPr>
        <w:t>to’.</w:t>
      </w:r>
      <w:r>
        <w:rPr>
          <w:rFonts w:ascii="Verdana" w:eastAsia="Verdana" w:hAnsi="Verdana" w:cs="Verdana"/>
          <w:vertAlign w:val="superscript"/>
        </w:rPr>
        <w:footnoteReference w:id="68"/>
      </w:r>
      <w:r w:rsidRPr="005B5CB6">
        <w:rPr>
          <w:rFonts w:ascii="Verdana" w:eastAsia="Verdana" w:hAnsi="Verdana" w:cs="Verdana"/>
        </w:rPr>
        <w:t xml:space="preserve"> </w:t>
      </w:r>
    </w:p>
    <w:p w:rsidR="00FB0B24" w:rsidRPr="005B5CB6" w:rsidP="003255A4">
      <w:pPr>
        <w:numPr>
          <w:ilvl w:val="1"/>
          <w:numId w:val="42"/>
        </w:numPr>
        <w:spacing w:after="5" w:line="249" w:lineRule="auto"/>
        <w:ind w:right="5" w:hanging="10"/>
        <w:jc w:val="both"/>
        <w:rPr>
          <w:rFonts w:ascii="Verdana" w:hAnsi="Verdana"/>
        </w:rPr>
      </w:pPr>
      <w:r w:rsidRPr="005B5CB6">
        <w:rPr>
          <w:rFonts w:ascii="Verdana" w:eastAsia="Verdana" w:hAnsi="Verdana" w:cs="Verdana"/>
          <w:i/>
        </w:rPr>
        <w:t>To summarise, Aggregate IQ (a Canadian digital advertising web and software development company) worked for Vote Leave and Be Leave in a coordinated way by sharing data to identify audiences and select targeting criteria for ads; it also worked separately for Leave campaigns, Veterans for Britain and DUP Vote to Leave.</w:t>
      </w:r>
      <w:r>
        <w:rPr>
          <w:rFonts w:ascii="Verdana" w:eastAsia="Verdana" w:hAnsi="Verdana" w:cs="Verdana"/>
          <w:i/>
          <w:vertAlign w:val="superscript"/>
        </w:rPr>
        <w:footnoteReference w:id="69"/>
      </w:r>
      <w:r w:rsidRPr="005B5CB6">
        <w:rPr>
          <w:rFonts w:ascii="Verdana" w:eastAsia="Verdana" w:hAnsi="Verdana" w:cs="Verdana"/>
          <w:i/>
        </w:rPr>
        <w:t xml:space="preserve"> Aggregate  IQ worked closely with SCL Elections (an entity synonymous with Cambridge Analytica) on US elections across 2014-16.</w:t>
      </w:r>
      <w:r w:rsidRPr="005B5CB6">
        <w:rPr>
          <w:rFonts w:ascii="Verdana" w:eastAsia="Verdana" w:hAnsi="Verdana" w:cs="Verdana"/>
          <w:i/>
          <w:vertAlign w:val="superscript"/>
        </w:rPr>
        <w:t xml:space="preserve"> </w:t>
      </w:r>
      <w:r w:rsidRPr="005B5CB6">
        <w:rPr>
          <w:rFonts w:ascii="Verdana" w:eastAsia="Verdana" w:hAnsi="Verdana" w:cs="Verdana"/>
          <w:i/>
        </w:rPr>
        <w:t xml:space="preserve"> Cambridge Analytica influenced the Leave.EU campaign, by undertaking profiling work (of persuadable UK voters to be targeted with Leave.EU messaging) in order to produce a convincing pitch for business, </w:t>
      </w:r>
    </w:p>
    <w:p w:rsidR="00FB0B24" w:rsidRPr="005B5CB6" w:rsidP="003255A4">
      <w:pPr>
        <w:spacing w:after="124" w:line="249" w:lineRule="auto"/>
        <w:ind w:left="10" w:hanging="10"/>
        <w:jc w:val="both"/>
        <w:rPr>
          <w:rFonts w:ascii="Verdana" w:hAnsi="Verdana"/>
        </w:rPr>
      </w:pPr>
      <w:r w:rsidRPr="005B5CB6">
        <w:rPr>
          <w:rFonts w:ascii="Verdana" w:eastAsia="Verdana" w:hAnsi="Verdana" w:cs="Verdana"/>
          <w:i/>
        </w:rPr>
        <w:t>although it remains unproven as to whether this work  was  paid for,  or merely copied, by Leave.EU.</w:t>
      </w:r>
      <w:r w:rsidRPr="005B5CB6">
        <w:rPr>
          <w:rFonts w:ascii="Verdana" w:eastAsia="Arial" w:hAnsi="Verdana" w:cs="Arial"/>
          <w:b/>
        </w:rPr>
        <w:t xml:space="preserve"> </w:t>
      </w:r>
      <w:r w:rsidRPr="005B5CB6">
        <w:rPr>
          <w:rFonts w:ascii="Verdana" w:eastAsia="Arial" w:hAnsi="Verdana" w:cs="Arial"/>
          <w:b/>
        </w:rPr>
        <w:tab/>
      </w:r>
      <w:r w:rsidRPr="005B5CB6">
        <w:rPr>
          <w:rFonts w:ascii="Verdana" w:eastAsia="Verdana" w:hAnsi="Verdana" w:cs="Verdana"/>
          <w:i/>
        </w:rPr>
        <w:t xml:space="preserve">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15961" name="Group 51596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5384" name="Shape 63538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67" style="height:0.6pt;mso-position-horizontal-relative:char;mso-position-vertical-relative:line;width:2in" coordsize="18288,76">
                <v:shape id="_x0000_s1068"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numPr>
          <w:ilvl w:val="0"/>
          <w:numId w:val="43"/>
        </w:numPr>
        <w:spacing w:after="5" w:line="250" w:lineRule="auto"/>
        <w:ind w:left="795" w:hanging="794"/>
        <w:jc w:val="both"/>
        <w:rPr>
          <w:rFonts w:ascii="Verdana" w:hAnsi="Verdana"/>
        </w:rPr>
      </w:pPr>
      <w:r w:rsidRPr="005B5CB6">
        <w:rPr>
          <w:rFonts w:ascii="Verdana" w:eastAsia="Verdana" w:hAnsi="Verdana" w:cs="Verdana"/>
          <w:b/>
        </w:rPr>
        <w:t xml:space="preserve">‘Psy-ops’: deceptive, covert influence in the Leave.EU campaign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3"/>
        </w:numPr>
        <w:spacing w:after="5" w:line="250" w:lineRule="auto"/>
        <w:ind w:right="11" w:hanging="720"/>
        <w:jc w:val="both"/>
        <w:rPr>
          <w:rFonts w:ascii="Verdana" w:hAnsi="Verdana"/>
        </w:rPr>
      </w:pPr>
      <w:r w:rsidRPr="005B5CB6">
        <w:rPr>
          <w:rFonts w:ascii="Verdana" w:eastAsia="Verdana" w:hAnsi="Verdana" w:cs="Verdana"/>
        </w:rPr>
        <w:t xml:space="preserve">As well </w:t>
      </w:r>
      <w:r w:rsidRPr="005B5CB6">
        <w:rPr>
          <w:rFonts w:ascii="Verdana" w:eastAsia="Verdana" w:hAnsi="Verdana" w:cs="Verdana"/>
          <w:i/>
        </w:rPr>
        <w:t>opacity</w:t>
      </w:r>
      <w:r w:rsidRPr="005B5CB6">
        <w:rPr>
          <w:rFonts w:ascii="Verdana" w:eastAsia="Verdana" w:hAnsi="Verdana" w:cs="Verdana"/>
        </w:rPr>
        <w:t xml:space="preserve"> regarding the various Leave campaigns’ interconnectedness, and use of closely related political digital campaigning companies, the targeting techniques used by the Leave.EU campaign bear </w:t>
      </w:r>
      <w:r w:rsidRPr="005B5CB6">
        <w:rPr>
          <w:rFonts w:ascii="Verdana" w:eastAsia="Verdana" w:hAnsi="Verdana" w:cs="Verdana"/>
        </w:rPr>
        <w:t xml:space="preserve">a striking resemblance to military level psychological operations (‘psy-ops’) in their intention to influence target audiences through deceptive and covert means. This is discussed below, with reference to Cambridge Analytica/SCL Group’s Target Audience Analysis methodology; and the efficacy of psychographic targeting with big data (a key part of Cambridge Analytica’s claims). </w:t>
      </w:r>
    </w:p>
    <w:p w:rsidR="00FB0B24" w:rsidRPr="005B5CB6" w:rsidP="003255A4">
      <w:pPr>
        <w:spacing w:after="0"/>
        <w:ind w:left="1"/>
        <w:jc w:val="both"/>
        <w:rPr>
          <w:rFonts w:ascii="Verdana" w:hAnsi="Verdana"/>
        </w:rPr>
      </w:pPr>
      <w:r w:rsidRPr="005B5CB6">
        <w:rPr>
          <w:rFonts w:ascii="Verdana" w:eastAsia="Verdana" w:hAnsi="Verdana" w:cs="Verdana"/>
          <w:b/>
        </w:rPr>
        <w:t xml:space="preserve"> </w:t>
      </w:r>
    </w:p>
    <w:p w:rsidR="00FB0B24" w:rsidRPr="005B5CB6" w:rsidP="003255A4">
      <w:pPr>
        <w:numPr>
          <w:ilvl w:val="1"/>
          <w:numId w:val="43"/>
        </w:numPr>
        <w:spacing w:after="5" w:line="250" w:lineRule="auto"/>
        <w:ind w:right="11" w:hanging="720"/>
        <w:jc w:val="both"/>
        <w:rPr>
          <w:rFonts w:ascii="Verdana" w:hAnsi="Verdana"/>
        </w:rPr>
      </w:pPr>
      <w:r w:rsidRPr="005B5CB6">
        <w:rPr>
          <w:rFonts w:ascii="Verdana" w:eastAsia="Verdana" w:hAnsi="Verdana" w:cs="Verdana"/>
          <w:b/>
        </w:rPr>
        <w:t xml:space="preserve">Target Audience Analysis methodology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43"/>
        </w:numPr>
        <w:spacing w:after="5" w:line="250" w:lineRule="auto"/>
        <w:ind w:right="11" w:hanging="10"/>
        <w:jc w:val="both"/>
        <w:rPr>
          <w:rFonts w:ascii="Verdana" w:hAnsi="Verdana"/>
        </w:rPr>
      </w:pPr>
      <w:r w:rsidRPr="005B5CB6">
        <w:rPr>
          <w:rFonts w:ascii="Verdana" w:eastAsia="Verdana" w:hAnsi="Verdana" w:cs="Verdana"/>
        </w:rPr>
        <w:t>It is instructive that a core methodology utilised by SCL Group, the Target Audience Analysis methodology, was considered ‘weapons grade communications tactics’ until 2015, according to Cambridge Analytica whistleblower, Brittany Kaiser.</w:t>
      </w:r>
      <w:r>
        <w:rPr>
          <w:rFonts w:ascii="Verdana" w:eastAsia="Verdana" w:hAnsi="Verdana" w:cs="Verdana"/>
          <w:vertAlign w:val="superscript"/>
        </w:rPr>
        <w:footnoteReference w:id="70"/>
      </w:r>
      <w:r w:rsidRPr="005B5CB6">
        <w:rPr>
          <w:rFonts w:ascii="Verdana" w:eastAsia="Verdana" w:hAnsi="Verdana" w:cs="Verdana"/>
        </w:rPr>
        <w:t xml:space="preserve"> A NATO Joint Warfare Centre article (written by a PsyOps specialist in 2015) describes Target Audience Analysis as a military psy-ops tool used to identify and influence influential target audiences in order to change their behaviour, and to model different interventions in this desired behaviour change. The NATO article notes that</w:t>
      </w:r>
      <w:r w:rsidRPr="005B5CB6">
        <w:rPr>
          <w:rFonts w:ascii="Verdana" w:eastAsia="Verdana" w:hAnsi="Verdana" w:cs="Verdana"/>
          <w:b/>
        </w:rPr>
        <w:t xml:space="preserve"> </w:t>
      </w:r>
      <w:r w:rsidRPr="005B5CB6">
        <w:rPr>
          <w:rFonts w:ascii="Verdana" w:eastAsia="Verdana" w:hAnsi="Verdana" w:cs="Verdana"/>
        </w:rPr>
        <w:t>SCL Group had spent over $40 million and 25 years, developing this group behaviour prediction tool.</w:t>
      </w:r>
      <w:r>
        <w:rPr>
          <w:rFonts w:ascii="Verdana" w:eastAsia="Verdana" w:hAnsi="Verdana" w:cs="Verdana"/>
          <w:vertAlign w:val="superscript"/>
        </w:rPr>
        <w:footnoteReference w:id="71"/>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43"/>
        </w:numPr>
        <w:spacing w:after="5" w:line="250" w:lineRule="auto"/>
        <w:ind w:right="11" w:hanging="10"/>
        <w:jc w:val="both"/>
        <w:rPr>
          <w:rFonts w:ascii="Verdana" w:hAnsi="Verdana"/>
        </w:rPr>
      </w:pPr>
      <w:r w:rsidRPr="005B5CB6">
        <w:rPr>
          <w:rFonts w:ascii="Verdana" w:eastAsia="Verdana" w:hAnsi="Verdana" w:cs="Verdana"/>
        </w:rPr>
        <w:t xml:space="preserve">Indeed, the Target Audience Analysis (TAA) methodology was an integral part of the pitches that Cambridge Analytica/SCL Group prepared for Leave.EU.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For instance, one pitch states: </w:t>
      </w:r>
    </w:p>
    <w:p w:rsidR="00FB0B24" w:rsidRPr="005B5CB6" w:rsidP="003255A4">
      <w:pPr>
        <w:spacing w:after="5" w:line="250" w:lineRule="auto"/>
        <w:ind w:left="729" w:right="11" w:hanging="8"/>
        <w:jc w:val="both"/>
        <w:rPr>
          <w:rFonts w:ascii="Verdana" w:hAnsi="Verdana"/>
        </w:rPr>
      </w:pPr>
      <w:r w:rsidRPr="005B5CB6">
        <w:rPr>
          <w:rFonts w:ascii="Verdana" w:eastAsia="Verdana" w:hAnsi="Verdana" w:cs="Verdana"/>
        </w:rPr>
        <w:t xml:space="preserve">TAA begins with the collection of qualitative data through interviews and focus groups, which allow us to identify key issues and political attitudes that will be tested during the subsequent quantitative phase. …This data is then analysed by our in-house team of data scientists and statisticians to define Target Audience Profiles, which are descriptions of population segments that can be grouped together based on their shared characteristics. …Each of these profiles will outline the views and motivating factors driving behaviour amongst group members, and will also outline the messaging strategies most likely to be effective in influencing them to support the Leave.EU campaign.  </w:t>
      </w:r>
    </w:p>
    <w:p w:rsidR="00FB0B24" w:rsidRPr="005B5CB6" w:rsidP="003255A4">
      <w:pPr>
        <w:spacing w:after="5" w:line="250" w:lineRule="auto"/>
        <w:ind w:left="729" w:right="11" w:hanging="8"/>
        <w:jc w:val="both"/>
        <w:rPr>
          <w:rFonts w:ascii="Verdana" w:hAnsi="Verdana"/>
        </w:rPr>
      </w:pPr>
      <w:r w:rsidRPr="005B5CB6">
        <w:rPr>
          <w:rFonts w:ascii="Verdana" w:eastAsia="Verdana" w:hAnsi="Verdana" w:cs="Verdana"/>
        </w:rPr>
        <w:t>The end result of this process is a comprehensive plan for influencing voters likely to be receptive to Leave.EU’s positions and messages.</w:t>
      </w:r>
      <w:r>
        <w:rPr>
          <w:rFonts w:ascii="Verdana" w:eastAsia="Verdana" w:hAnsi="Verdana" w:cs="Verdana"/>
          <w:vertAlign w:val="superscript"/>
        </w:rPr>
        <w:footnoteReference w:id="72"/>
      </w:r>
      <w:r w:rsidRPr="005B5CB6">
        <w:rPr>
          <w:rFonts w:ascii="Verdana" w:eastAsia="Verdana" w:hAnsi="Verdana" w:cs="Verdana"/>
        </w:rPr>
        <w:t xml:space="preserve"> </w:t>
      </w:r>
    </w:p>
    <w:p w:rsidR="00FB0B24" w:rsidRPr="005B5CB6" w:rsidP="003255A4">
      <w:pPr>
        <w:spacing w:after="0"/>
        <w:ind w:left="721"/>
        <w:jc w:val="both"/>
        <w:rPr>
          <w:rFonts w:ascii="Verdana" w:hAnsi="Verdana"/>
        </w:rPr>
      </w:pPr>
      <w:r w:rsidRPr="005B5CB6">
        <w:rPr>
          <w:rFonts w:ascii="Verdana" w:eastAsia="Verdana" w:hAnsi="Verdana" w:cs="Verdana"/>
        </w:rPr>
        <w:t xml:space="preserve"> </w:t>
      </w:r>
    </w:p>
    <w:p w:rsidR="00FB0B24" w:rsidRPr="005B5CB6" w:rsidP="003255A4">
      <w:pPr>
        <w:numPr>
          <w:ilvl w:val="2"/>
          <w:numId w:val="43"/>
        </w:numPr>
        <w:spacing w:after="107" w:line="249" w:lineRule="auto"/>
        <w:ind w:right="11" w:hanging="10"/>
        <w:jc w:val="both"/>
        <w:rPr>
          <w:rFonts w:ascii="Verdana" w:hAnsi="Verdana"/>
        </w:rPr>
      </w:pPr>
      <w:r w:rsidRPr="005B5CB6">
        <w:rPr>
          <w:rFonts w:ascii="Verdana" w:eastAsia="Verdana" w:hAnsi="Verdana" w:cs="Verdana"/>
          <w:i/>
        </w:rPr>
        <w:t xml:space="preserve">To summarise, Target Audience Analysis is a psy-ops tool used by the military to identify and influence influential target audiences in order to change their behaviour, and to model different interventions in this desired behaviour change. It is presented by Cambridge Analytica/SCL Group as an integral part of their services when it pitched for Leave.EU’s business. Part of this pitch offered voter suppression.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16799" name="Group 51679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5388" name="Shape 63538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69" style="height:0.6pt;mso-position-horizontal-relative:char;mso-position-vertical-relative:line;width:2in" coordsize="18288,76">
                <v:shape id="_x0000_s1070"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3"/>
        </w:numPr>
        <w:spacing w:after="5" w:line="250" w:lineRule="auto"/>
        <w:ind w:right="11" w:hanging="720"/>
        <w:jc w:val="both"/>
        <w:rPr>
          <w:rFonts w:ascii="Verdana" w:hAnsi="Verdana"/>
        </w:rPr>
      </w:pPr>
      <w:r w:rsidRPr="005B5CB6">
        <w:rPr>
          <w:rFonts w:ascii="Verdana" w:eastAsia="Verdana" w:hAnsi="Verdana" w:cs="Verdana"/>
          <w:b/>
        </w:rPr>
        <w:t xml:space="preserve">Cambridge Analytica’s psychographic targeting with big data: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 xml:space="preserve">actions, claims, efficacy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43"/>
        </w:numPr>
        <w:spacing w:after="5" w:line="250" w:lineRule="auto"/>
        <w:ind w:right="11" w:hanging="10"/>
        <w:jc w:val="both"/>
        <w:rPr>
          <w:rFonts w:ascii="Verdana" w:hAnsi="Verdana"/>
        </w:rPr>
      </w:pPr>
      <w:r w:rsidRPr="005B5CB6">
        <w:rPr>
          <w:rFonts w:ascii="Verdana" w:eastAsia="Verdana" w:hAnsi="Verdana" w:cs="Verdana"/>
        </w:rPr>
        <w:t xml:space="preserve">Across 2014, through a third-party app, Cambridge Analytica went to great lengths to </w:t>
      </w:r>
      <w:r w:rsidRPr="005B5CB6">
        <w:rPr>
          <w:rFonts w:ascii="Verdana" w:eastAsia="Verdana" w:hAnsi="Verdana" w:cs="Verdana"/>
          <w:i/>
        </w:rPr>
        <w:t>secretly</w:t>
      </w:r>
      <w:r w:rsidRPr="005B5CB6">
        <w:rPr>
          <w:rFonts w:ascii="Verdana" w:eastAsia="Verdana" w:hAnsi="Verdana" w:cs="Verdana"/>
        </w:rPr>
        <w:t xml:space="preserve"> and </w:t>
      </w:r>
      <w:r w:rsidRPr="005B5CB6">
        <w:rPr>
          <w:rFonts w:ascii="Verdana" w:eastAsia="Verdana" w:hAnsi="Verdana" w:cs="Verdana"/>
          <w:i/>
        </w:rPr>
        <w:t>deceptively</w:t>
      </w:r>
      <w:r w:rsidRPr="005B5CB6">
        <w:rPr>
          <w:rFonts w:ascii="Verdana" w:eastAsia="Verdana" w:hAnsi="Verdana" w:cs="Verdana"/>
        </w:rPr>
        <w:t xml:space="preserve"> harvest Facebook data (approximately 87 million Facebook profiles from around the world, including US and UK Facebook users). The data collected included users’ Facebook User ID, which connects individuals to their Facebook profiles, as well as other personal information such as their gender, birthdate, location and their Facebook friends list.</w:t>
      </w:r>
      <w:r>
        <w:rPr>
          <w:rFonts w:ascii="Verdana" w:eastAsia="Verdana" w:hAnsi="Verdana" w:cs="Verdana"/>
          <w:vertAlign w:val="superscript"/>
        </w:rPr>
        <w:footnoteReference w:id="73"/>
      </w:r>
      <w:r w:rsidRPr="005B5CB6">
        <w:rPr>
          <w:rFonts w:ascii="Verdana" w:eastAsia="Verdana" w:hAnsi="Verdana" w:cs="Verdana"/>
        </w:rPr>
        <w:t xml:space="preserve"> </w:t>
      </w:r>
      <w:r w:rsidRPr="005B5CB6">
        <w:rPr>
          <w:rFonts w:ascii="Verdana" w:eastAsia="Verdana" w:hAnsi="Verdana" w:cs="Verdana"/>
          <w:vertAlign w:val="superscript"/>
        </w:rPr>
        <w:t xml:space="preserve"> </w:t>
      </w:r>
      <w:r w:rsidRPr="005B5CB6">
        <w:rPr>
          <w:rFonts w:ascii="Verdana" w:eastAsia="Verdana" w:hAnsi="Verdana" w:cs="Verdana"/>
        </w:rPr>
        <w:t xml:space="preserve">Cambridge Analytica collected this data in order to </w:t>
      </w:r>
      <w:r w:rsidRPr="005B5CB6">
        <w:rPr>
          <w:rFonts w:ascii="Verdana" w:eastAsia="Verdana" w:hAnsi="Verdana" w:cs="Verdana"/>
          <w:i/>
        </w:rPr>
        <w:t>train an algorithm that then generated personality scores</w:t>
      </w:r>
      <w:r w:rsidRPr="005B5CB6">
        <w:rPr>
          <w:rFonts w:ascii="Verdana" w:eastAsia="Verdana" w:hAnsi="Verdana" w:cs="Verdana"/>
        </w:rPr>
        <w:t xml:space="preserve"> for the app users and their Facebook friends. Cambridge Analytica subsequently </w:t>
      </w:r>
      <w:r w:rsidRPr="005B5CB6">
        <w:rPr>
          <w:rFonts w:ascii="Verdana" w:eastAsia="Verdana" w:hAnsi="Verdana" w:cs="Verdana"/>
          <w:i/>
        </w:rPr>
        <w:t>matched these personality scores with US voter records</w:t>
      </w:r>
      <w:r w:rsidRPr="005B5CB6">
        <w:rPr>
          <w:rFonts w:ascii="Verdana" w:eastAsia="Verdana" w:hAnsi="Verdana" w:cs="Verdana"/>
        </w:rPr>
        <w:t xml:space="preserve"> in order to profile voters for further targeted advertising in the 2016 US presidential election campaign.</w:t>
      </w:r>
      <w:r w:rsidRPr="005B5CB6">
        <w:rPr>
          <w:rFonts w:ascii="Verdana" w:eastAsia="Verdana" w:hAnsi="Verdana" w:cs="Verdana"/>
          <w:vertAlign w:val="superscript"/>
        </w:rPr>
        <w:t>71</w:t>
      </w:r>
      <w:r w:rsidRPr="005B5CB6">
        <w:rPr>
          <w:rFonts w:ascii="Verdana" w:eastAsia="Verdana" w:hAnsi="Verdana" w:cs="Verdana"/>
        </w:rPr>
        <w:t xml:space="preserve">  By November 2018, the UK’s national data regulator, the Information Commissioners Office, noted that breaches by Cambridge Analytica were so serious (e.g. breaches of principle one of the UK’s Data Protection Act 1998 for unfairly processing people’s personal data for political purposes, including purposes connected with the 2016 US presidential campaigns) that it would have issued a ‘substantial fine’ had the company not already gone into administration; and it was pursuing criminal prosecution over Cambridge Analytica’s data misuse.</w:t>
      </w:r>
      <w:r>
        <w:rPr>
          <w:rFonts w:ascii="Verdana" w:eastAsia="Verdana" w:hAnsi="Verdana" w:cs="Verdana"/>
          <w:vertAlign w:val="superscript"/>
        </w:rPr>
        <w:footnoteReference w:id="74"/>
      </w:r>
      <w:r w:rsidRPr="005B5CB6">
        <w:rPr>
          <w:rFonts w:ascii="Verdana" w:eastAsia="Verdana" w:hAnsi="Verdana" w:cs="Verdana"/>
        </w:rPr>
        <w:t xml:space="preserve"> By July 2019, the US Federal Trade Commission filed an administrative complaint</w:t>
      </w:r>
      <w:r w:rsidRPr="005B5CB6">
        <w:rPr>
          <w:rFonts w:ascii="Verdana" w:eastAsia="Verdana" w:hAnsi="Verdana" w:cs="Verdana"/>
          <w:vertAlign w:val="superscript"/>
        </w:rPr>
        <w:t>73</w:t>
      </w:r>
      <w:r w:rsidRPr="005B5CB6">
        <w:rPr>
          <w:rFonts w:ascii="Verdana" w:eastAsia="Verdana" w:hAnsi="Verdana" w:cs="Verdana"/>
        </w:rPr>
        <w:t xml:space="preserve"> against Cambridge Analytica for its deceptive harvesting of Facebook users’ personal information.</w:t>
      </w:r>
      <w:r>
        <w:rPr>
          <w:rFonts w:ascii="Verdana" w:eastAsia="Verdana" w:hAnsi="Verdana" w:cs="Verdana"/>
          <w:vertAlign w:val="superscript"/>
        </w:rPr>
        <w:footnoteReference w:id="75"/>
      </w:r>
      <w:r w:rsidRPr="005B5CB6">
        <w:rPr>
          <w:rFonts w:ascii="Verdana" w:eastAsia="Verdana" w:hAnsi="Verdana" w:cs="Verdana"/>
        </w:rPr>
        <w:t xml:space="preserve"> Why would Cambridge Analytica take such risky steps?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43"/>
        </w:numPr>
        <w:spacing w:after="5" w:line="250" w:lineRule="auto"/>
        <w:ind w:right="11" w:hanging="10"/>
        <w:jc w:val="both"/>
        <w:rPr>
          <w:rFonts w:ascii="Verdana" w:hAnsi="Verdana"/>
        </w:rPr>
      </w:pPr>
      <w:r w:rsidRPr="005B5CB6">
        <w:rPr>
          <w:rFonts w:ascii="Verdana" w:eastAsia="Verdana" w:hAnsi="Verdana" w:cs="Verdana"/>
        </w:rPr>
        <w:t xml:space="preserve">According to Cambridge Analytica, psychographic profiling techniques combined with big data analysis enable marketers to understand the personality of the people being targeted in order to tailor messages for them. Cambridge Analytica whistleblower, Christopher Wylie, told the UK Inquiry into Disinformation and Fake News: </w:t>
      </w:r>
    </w:p>
    <w:p w:rsidR="00FB0B24" w:rsidRPr="005B5CB6" w:rsidP="003255A4">
      <w:pPr>
        <w:spacing w:after="143" w:line="250" w:lineRule="auto"/>
        <w:ind w:left="729" w:right="11" w:hanging="8"/>
        <w:jc w:val="both"/>
        <w:rPr>
          <w:rFonts w:ascii="Verdana" w:hAnsi="Verdana"/>
        </w:rPr>
      </w:pPr>
      <w:r w:rsidRPr="005B5CB6">
        <w:rPr>
          <w:rFonts w:ascii="Verdana" w:eastAsia="Verdana" w:hAnsi="Verdana" w:cs="Verdana"/>
        </w:rPr>
        <w:t xml:space="preserve">If you can create a psychological profile of a type of person who is more prone to adopting certain forms of ideas, conspiracies for example, and you can identify what that person looks like in data terms, you can then go out and predict how likely somebody is going to be to adopt more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16451" name="Group 51645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5392" name="Shape 63539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71" style="height:0.6pt;mso-position-horizontal-relative:char;mso-position-vertical-relative:line;width:2in" coordsize="18288,76">
                <v:shape id="_x0000_s1072"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729" w:right="11" w:hanging="8"/>
        <w:jc w:val="both"/>
        <w:rPr>
          <w:rFonts w:ascii="Verdana" w:hAnsi="Verdana"/>
        </w:rPr>
      </w:pPr>
      <w:r w:rsidRPr="005B5CB6">
        <w:rPr>
          <w:rFonts w:ascii="Verdana" w:eastAsia="Verdana" w:hAnsi="Verdana" w:cs="Verdana"/>
        </w:rPr>
        <w:t>conspiratorial messaging and then advertise or target them with blogs or websites or what everyone now calls fake news, so that they start seeing all of these ideas or all of these stories around them in their digital environment. They do not see it when they watch CNN or NBC or BBC, and they start to go, ‘Well, why is it that everyone is talking about this online? Why is it that I’m seeing everything here but the mainstream media isn’t talking about how Obama has moved a battalion into Texas because he’s planning on staying for a third term? I keep seeing that everywhere, but why isn’t the mainstream media talking about that?’  Not everyone is going to adopt that, so the advantage of using profiling is that you can find the specific group of people who are more prone to adopting that idea as your early adopters.</w:t>
      </w:r>
      <w:r>
        <w:rPr>
          <w:rFonts w:ascii="Verdana" w:eastAsia="Verdana" w:hAnsi="Verdana" w:cs="Verdana"/>
          <w:vertAlign w:val="superscript"/>
        </w:rPr>
        <w:footnoteReference w:id="76"/>
      </w: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The question arises: does psychographic targeting really work, or is it snake oil?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43"/>
        </w:numPr>
        <w:spacing w:after="5" w:line="250" w:lineRule="auto"/>
        <w:ind w:right="11" w:hanging="10"/>
        <w:jc w:val="both"/>
        <w:rPr>
          <w:rFonts w:ascii="Verdana" w:hAnsi="Verdana"/>
        </w:rPr>
      </w:pPr>
      <w:r w:rsidRPr="005B5CB6">
        <w:rPr>
          <w:rFonts w:ascii="Verdana" w:eastAsia="Verdana" w:hAnsi="Verdana" w:cs="Verdana"/>
        </w:rPr>
        <w:t>Psychographics have been used in marketing research since World War II. Its early forms comprised quantitative attempts to correlate consumer behaviour with scores obtained from standardised, objective personality inventories; and qualitative studies of consumers' motivations. Blending these two traditions, psychographic research emerged in the 1960s. It attempts to move beyond demographics into areas such as personality traits, activities, interests, opinions, needs, values and attitudes in order to offer novel insights into large, representative samples of respondents.</w:t>
      </w:r>
      <w:r>
        <w:rPr>
          <w:rFonts w:ascii="Verdana" w:eastAsia="Verdana" w:hAnsi="Verdana" w:cs="Verdana"/>
          <w:vertAlign w:val="superscript"/>
        </w:rPr>
        <w:footnoteReference w:id="77"/>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43"/>
        </w:numPr>
        <w:spacing w:after="879" w:line="250" w:lineRule="auto"/>
        <w:ind w:right="11" w:hanging="10"/>
        <w:jc w:val="both"/>
        <w:rPr>
          <w:rFonts w:ascii="Verdana" w:hAnsi="Verdana"/>
        </w:rPr>
      </w:pPr>
      <w:r w:rsidRPr="005B5CB6">
        <w:rPr>
          <w:rFonts w:ascii="Verdana" w:eastAsia="Verdana" w:hAnsi="Verdana" w:cs="Verdana"/>
        </w:rPr>
        <w:t>Since then, the rise of big data analysis and modelling has enabled access to psychological characteristics and political inferences far beyond the reach of traditional databases.</w:t>
      </w:r>
      <w:r>
        <w:rPr>
          <w:rFonts w:ascii="Verdana" w:eastAsia="Verdana" w:hAnsi="Verdana" w:cs="Verdana"/>
          <w:vertAlign w:val="superscript"/>
        </w:rPr>
        <w:footnoteReference w:id="78"/>
      </w:r>
      <w:r w:rsidRPr="005B5CB6">
        <w:rPr>
          <w:rFonts w:ascii="Verdana" w:eastAsia="Verdana" w:hAnsi="Verdana" w:cs="Verdana"/>
        </w:rPr>
        <w:t xml:space="preserve"> For instance, in 2013, Kosinski, Stillwell and Graepel showed that Facebook ‘likes’ are enough to accurately predict many personal attributes, including political views and personality traits.</w:t>
      </w:r>
      <w:r>
        <w:rPr>
          <w:rFonts w:ascii="Verdana" w:eastAsia="Verdana" w:hAnsi="Verdana" w:cs="Verdana"/>
          <w:vertAlign w:val="superscript"/>
        </w:rPr>
        <w:footnoteReference w:id="79"/>
      </w:r>
      <w:r w:rsidRPr="005B5CB6">
        <w:rPr>
          <w:rFonts w:ascii="Verdana" w:eastAsia="Verdana" w:hAnsi="Verdana" w:cs="Verdana"/>
        </w:rPr>
        <w:t xml:space="preserve"> While still a young field, an increasing body of research agrees that digital footprints can be used to predict the five-factor model of personality traits (the generally accepted model of personality): the ‘Big Five’ personality traits are Openness, Conscientiousness, Extroversion, Agreeableness and Neuroticism (OCEAN).</w:t>
      </w:r>
      <w:r>
        <w:rPr>
          <w:rFonts w:ascii="Verdana" w:eastAsia="Verdana" w:hAnsi="Verdana" w:cs="Verdana"/>
          <w:vertAlign w:val="superscript"/>
        </w:rPr>
        <w:footnoteReference w:id="80"/>
      </w:r>
      <w:r w:rsidRPr="005B5CB6">
        <w:rPr>
          <w:rFonts w:ascii="Verdana" w:eastAsia="Verdana" w:hAnsi="Verdana" w:cs="Verdana"/>
        </w:rPr>
        <w:t xml:space="preserve"> In 2018, a rigorous, </w:t>
      </w:r>
      <w:r w:rsidRPr="005B5CB6">
        <w:rPr>
          <w:rFonts w:ascii="Verdana" w:eastAsia="Verdana" w:hAnsi="Verdana" w:cs="Verdana"/>
        </w:rPr>
        <w:t xml:space="preserve">multidisciplinary, meta-analysis of 16 relevant studies to determine the predictive power of digital footprints automatically collected from social media over Big 5 personality traits, confirms that these personality traits, ‘can be inferred using digital footprints extracted from social media with remarkable accuracy. The ability to make distinct but similarly accurate predictions of Big 5 traits allows for the identification of social media users with different personality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7066" name="Group 51706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394" name="Shape 63539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73" style="height:0.6pt;mso-position-horizontal-relative:char;mso-position-vertical-relative:line;width:2in" coordsize="18288,76">
                <v:shape id="_x0000_s1074"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profiles’.</w:t>
      </w:r>
      <w:r>
        <w:rPr>
          <w:rFonts w:ascii="Verdana" w:eastAsia="Verdana" w:hAnsi="Verdana" w:cs="Verdana"/>
          <w:vertAlign w:val="superscript"/>
        </w:rPr>
        <w:footnoteReference w:id="81"/>
      </w:r>
      <w:r w:rsidRPr="005B5CB6">
        <w:rPr>
          <w:rFonts w:ascii="Verdana" w:eastAsia="Verdana" w:hAnsi="Verdana" w:cs="Verdana"/>
        </w:rPr>
        <w:t xml:space="preserve"> The meta-analysis also indicates that prediction accuracy for each trait is stronger when more than one type of digital footprint is analysed. Such findings point to the capacity for covert behaviour change campaigns by those with access to multiple data streams. The study suggests that accurate predictions of the Big 5 personality traits could make it possible to profile individuals, and tailor adverts automatically displayed in individual users’ profiles based on personality. Cue Cambridge Analytica.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43"/>
        </w:numPr>
        <w:spacing w:after="5" w:line="250" w:lineRule="auto"/>
        <w:ind w:right="11" w:hanging="10"/>
        <w:jc w:val="both"/>
        <w:rPr>
          <w:rFonts w:ascii="Verdana" w:hAnsi="Verdana"/>
        </w:rPr>
      </w:pPr>
      <w:r w:rsidRPr="005B5CB6">
        <w:rPr>
          <w:rFonts w:ascii="Verdana" w:eastAsia="Verdana" w:hAnsi="Verdana" w:cs="Verdana"/>
        </w:rPr>
        <w:t xml:space="preserve">In 2016, Alexander Nix (then CEO of Cambridge Analytica) claimed that big data analytics allow campaigners to know what sort of persuasive message needs to be delivered, on what issue, nuanced to what personality types, and to what group of people, or even individual, </w:t>
      </w:r>
      <w:r w:rsidRPr="005B5CB6">
        <w:rPr>
          <w:rFonts w:ascii="Verdana" w:eastAsia="Verdana" w:hAnsi="Verdana" w:cs="Verdana"/>
          <w:i/>
        </w:rPr>
        <w:t>before</w:t>
      </w:r>
      <w:r w:rsidRPr="005B5CB6">
        <w:rPr>
          <w:rFonts w:ascii="Verdana" w:eastAsia="Verdana" w:hAnsi="Verdana" w:cs="Verdana"/>
        </w:rPr>
        <w:t xml:space="preserve"> the act of creating that message begins: ‘If we wanted to drill down further, we could resolve the data to an individual level, where we have something close to four to five thousand data points on every adult in the United States’.</w:t>
      </w:r>
      <w:r>
        <w:rPr>
          <w:rFonts w:ascii="Verdana" w:eastAsia="Verdana" w:hAnsi="Verdana" w:cs="Verdana"/>
          <w:vertAlign w:val="superscript"/>
        </w:rPr>
        <w:footnoteReference w:id="82"/>
      </w:r>
      <w:r w:rsidRPr="005B5CB6">
        <w:rPr>
          <w:rFonts w:ascii="Verdana" w:eastAsia="Verdana" w:hAnsi="Verdana" w:cs="Verdana"/>
        </w:rPr>
        <w:t xml:space="preserve"> The secret sauce for contemporary psychographic profiling and targeting, then, is big data analysis - the possession of multiple data points on each person. In her testimony to the UK’s Inquiry into Disinformation and Fake News, former Cambridge Analytica employee Brittany Kaiser mentions that the tool that Cambridge Analytica developed used </w:t>
      </w:r>
      <w:r w:rsidRPr="005B5CB6">
        <w:rPr>
          <w:rFonts w:ascii="Verdana" w:eastAsia="Verdana" w:hAnsi="Verdana" w:cs="Verdana"/>
          <w:i/>
        </w:rPr>
        <w:t>far more data</w:t>
      </w:r>
      <w:r w:rsidRPr="005B5CB6">
        <w:rPr>
          <w:rFonts w:ascii="Verdana" w:eastAsia="Verdana" w:hAnsi="Verdana" w:cs="Verdana"/>
        </w:rPr>
        <w:t xml:space="preserve"> than that used by Target Audience Analysis (see Section 6.2): ‘The interesting thing is that the target audience analysis uses a lot less data than psychographic micro-targeting, which is what we use in the United States’ .</w:t>
      </w:r>
      <w:r w:rsidRPr="005B5CB6">
        <w:rPr>
          <w:rFonts w:ascii="Verdana" w:eastAsia="Verdana" w:hAnsi="Verdana" w:cs="Verdana"/>
          <w:vertAlign w:val="superscript"/>
        </w:rPr>
        <w:t>82</w:t>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43"/>
        </w:numPr>
        <w:spacing w:after="154" w:line="250" w:lineRule="auto"/>
        <w:ind w:right="11" w:hanging="10"/>
        <w:jc w:val="both"/>
        <w:rPr>
          <w:rFonts w:ascii="Verdana" w:hAnsi="Verdana"/>
        </w:rPr>
      </w:pPr>
      <w:r w:rsidRPr="005B5CB6">
        <w:rPr>
          <w:rFonts w:ascii="Verdana" w:eastAsia="Verdana" w:hAnsi="Verdana" w:cs="Verdana"/>
        </w:rPr>
        <w:t xml:space="preserve">Of course, the efficacy of such attempts has yet to be categorically demonstrated. Cambridge Analytica may have been selling snake oil. Even the rigorous meta-analysis (described in section 6.3.4) bases its conclusions on just 16 independent psychology studies, most of which are limited to English or Chinese speaking users.  Nonetheless, whether or not psychographic targeting with big data is forging new and effective means of manipulating behaviours, the level of </w:t>
      </w:r>
      <w:r w:rsidRPr="005B5CB6">
        <w:rPr>
          <w:rFonts w:ascii="Verdana" w:eastAsia="Verdana" w:hAnsi="Verdana" w:cs="Verdana"/>
          <w:i/>
        </w:rPr>
        <w:t>opacity</w:t>
      </w:r>
      <w:r w:rsidRPr="005B5CB6">
        <w:rPr>
          <w:rFonts w:ascii="Verdana" w:eastAsia="Verdana" w:hAnsi="Verdana" w:cs="Verdana"/>
        </w:rPr>
        <w:t xml:space="preserve"> is of concern on a number of fronts. </w:t>
      </w:r>
      <w:r w:rsidRPr="005B5CB6">
        <w:rPr>
          <w:rFonts w:ascii="Verdana" w:eastAsia="Verdana" w:hAnsi="Verdana" w:cs="Verdana"/>
          <w:i/>
        </w:rPr>
        <w:t>It is concerning that profiling and targeting techniques that appear to have been used by the Leave.EU campaign have psy-ops like features</w:t>
      </w:r>
      <w:r w:rsidRPr="005B5CB6">
        <w:rPr>
          <w:rFonts w:ascii="Verdana" w:eastAsia="Verdana" w:hAnsi="Verdana" w:cs="Verdana"/>
        </w:rPr>
        <w:t xml:space="preserve">. A core psy-ops methodology (Target </w:t>
      </w:r>
      <w:r w:rsidRPr="005B5CB6">
        <w:rPr>
          <w:rFonts w:ascii="Verdana" w:eastAsia="Verdana" w:hAnsi="Verdana" w:cs="Verdana"/>
        </w:rPr>
        <w:t xml:space="preserve">Audience Analysis) designed to </w:t>
      </w:r>
      <w:r w:rsidRPr="005B5CB6">
        <w:rPr>
          <w:rFonts w:ascii="Verdana" w:eastAsia="Verdana" w:hAnsi="Verdana" w:cs="Verdana"/>
          <w:i/>
        </w:rPr>
        <w:t>covertly</w:t>
      </w:r>
      <w:r w:rsidRPr="005B5CB6">
        <w:rPr>
          <w:rFonts w:ascii="Verdana" w:eastAsia="Verdana" w:hAnsi="Verdana" w:cs="Verdana"/>
        </w:rPr>
        <w:t xml:space="preserve"> generate behaviour change by the military in target populations was developed by SCL Group – an entity synonymous with Cambridge Analytica (see Section 6.2). Cambridge Analytica/SCL offered its services to Leave.EU, including targeted voter suppression. As part of its pitch to Leave.EU, it used UKIP membership data and survey results to model four key groups of persuadable UK voters to be targeted with Leave.EU messaging. Leave.EU appears to have copied some of the things that Cambridge Analytica told them about how to target people, but used actuaries working for Arron Bank’s insurance company, Eldon Insurance, to do so (see Section 5.5). </w:t>
      </w:r>
      <w:r w:rsidRPr="005B5CB6">
        <w:rPr>
          <w:rFonts w:ascii="Verdana" w:eastAsia="Verdana" w:hAnsi="Verdana" w:cs="Verdana"/>
          <w:i/>
        </w:rPr>
        <w:t xml:space="preserve">It is concerning that there also remains an opacity regarding the various Leave campaigns’ interconnectedness, and use of closely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7311" name="Group 51731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396" name="Shape 63539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75" style="height:0.6pt;mso-position-horizontal-relative:char;mso-position-vertical-relative:line;width:2in" coordsize="18288,76">
                <v:shape id="_x0000_s1076"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49" w:lineRule="auto"/>
        <w:ind w:left="10" w:hanging="10"/>
        <w:jc w:val="both"/>
        <w:rPr>
          <w:rFonts w:ascii="Verdana" w:hAnsi="Verdana"/>
        </w:rPr>
      </w:pPr>
      <w:r w:rsidRPr="005B5CB6">
        <w:rPr>
          <w:rFonts w:ascii="Verdana" w:eastAsia="Verdana" w:hAnsi="Verdana" w:cs="Verdana"/>
          <w:i/>
        </w:rPr>
        <w:t xml:space="preserve">related digital political campaigning companies, and associated questions on whose data-sets were used to enable further political targeting of the British population </w:t>
      </w:r>
      <w:r w:rsidRPr="005B5CB6">
        <w:rPr>
          <w:rFonts w:ascii="Verdana" w:eastAsia="Verdana" w:hAnsi="Verdana" w:cs="Verdana"/>
        </w:rPr>
        <w:t xml:space="preserve">(see Section 5.3). Given Cambridge Analytica’s past deceptive practices (see Section 6.3.1), these concerns should be taken seriously. </w:t>
      </w:r>
    </w:p>
    <w:p w:rsidR="00FB0B24" w:rsidRPr="005B5CB6" w:rsidP="003255A4">
      <w:pPr>
        <w:numPr>
          <w:ilvl w:val="0"/>
          <w:numId w:val="43"/>
        </w:numPr>
        <w:spacing w:after="5" w:line="250" w:lineRule="auto"/>
        <w:ind w:left="795" w:hanging="794"/>
        <w:jc w:val="both"/>
        <w:rPr>
          <w:rFonts w:ascii="Verdana" w:hAnsi="Verdana"/>
        </w:rPr>
      </w:pPr>
      <w:r w:rsidRPr="005B5CB6">
        <w:rPr>
          <w:rFonts w:ascii="Verdana" w:eastAsia="Verdana" w:hAnsi="Verdana" w:cs="Verdana"/>
          <w:b/>
        </w:rPr>
        <w:t xml:space="preserve">AI in political campaigning: highly targeted, emotionally optimised (dis)information  </w:t>
      </w:r>
    </w:p>
    <w:p w:rsidR="00FB0B24" w:rsidRPr="005B5CB6" w:rsidP="003255A4">
      <w:pPr>
        <w:spacing w:after="0"/>
        <w:ind w:left="1"/>
        <w:jc w:val="both"/>
        <w:rPr>
          <w:rFonts w:ascii="Verdana" w:hAnsi="Verdana"/>
        </w:rPr>
      </w:pPr>
      <w:r w:rsidRPr="005B5CB6">
        <w:rPr>
          <w:rFonts w:ascii="Verdana" w:eastAsia="Verdana" w:hAnsi="Verdana" w:cs="Verdana"/>
          <w:b/>
        </w:rPr>
        <w:t xml:space="preserve"> </w:t>
      </w:r>
    </w:p>
    <w:p w:rsidR="00FB0B24" w:rsidRPr="005B5CB6" w:rsidP="003255A4">
      <w:pPr>
        <w:numPr>
          <w:ilvl w:val="1"/>
          <w:numId w:val="43"/>
        </w:numPr>
        <w:spacing w:after="5" w:line="250" w:lineRule="auto"/>
        <w:ind w:right="11" w:hanging="720"/>
        <w:jc w:val="both"/>
        <w:rPr>
          <w:rFonts w:ascii="Verdana" w:hAnsi="Verdana"/>
        </w:rPr>
      </w:pPr>
      <w:r w:rsidRPr="005B5CB6">
        <w:rPr>
          <w:rFonts w:ascii="Verdana" w:eastAsia="Verdana" w:hAnsi="Verdana" w:cs="Verdana"/>
        </w:rPr>
        <w:t xml:space="preserve">As a result of concerns around the growing use of these opaque, potentially powerful techniques, the UK Information Commissioners Office commissioned a report in 2018 on the future of political campaigning. The report predicts that current practices of usage of </w:t>
      </w:r>
      <w:r w:rsidRPr="005B5CB6">
        <w:rPr>
          <w:rFonts w:ascii="Verdana" w:eastAsia="Verdana" w:hAnsi="Verdana" w:cs="Verdana"/>
          <w:i/>
        </w:rPr>
        <w:t xml:space="preserve">big data analysis, targeted advertising </w:t>
      </w:r>
      <w:r w:rsidRPr="005B5CB6">
        <w:rPr>
          <w:rFonts w:ascii="Verdana" w:eastAsia="Verdana" w:hAnsi="Verdana" w:cs="Verdana"/>
        </w:rPr>
        <w:t>and</w:t>
      </w:r>
      <w:r w:rsidRPr="005B5CB6">
        <w:rPr>
          <w:rFonts w:ascii="Verdana" w:eastAsia="Verdana" w:hAnsi="Verdana" w:cs="Verdana"/>
          <w:i/>
        </w:rPr>
        <w:t xml:space="preserve"> psychographic</w:t>
      </w:r>
      <w:r w:rsidRPr="005B5CB6">
        <w:rPr>
          <w:rFonts w:ascii="Verdana" w:eastAsia="Verdana" w:hAnsi="Verdana" w:cs="Verdana"/>
        </w:rPr>
        <w:t>s are likely to be intensified as AI increasingly enters political communications.</w:t>
      </w:r>
      <w:r>
        <w:rPr>
          <w:rFonts w:ascii="Verdana" w:eastAsia="Verdana" w:hAnsi="Verdana" w:cs="Verdana"/>
          <w:vertAlign w:val="superscript"/>
        </w:rPr>
        <w:footnoteReference w:id="83"/>
      </w:r>
      <w:r w:rsidRPr="005B5CB6">
        <w:rPr>
          <w:rFonts w:ascii="Verdana" w:eastAsia="Verdana" w:hAnsi="Verdana" w:cs="Verdana"/>
        </w:rPr>
        <w:t xml:space="preserve"> For instance, on targeting, AI is likely to be increasingly used to optimise campaigns, to work out exactly who should be targeted, when, and with what content, in order to maximise persuasive potential: ultimately, this process could be automated to programmatically generate streams of personalised messages targeted at each voter constantly updated based on A/B testing. On psychographics or similar techniques, this is likely to be increasingly grounded in big data, to produce insights on voters’ personality types, emotional states, moods and views on divisive issues like immigration. In addition to today’s widespread use of sentiment analysis of social media, McStay documents the rise of new data streams about emotions, in what he terms ‘emotional AI’, where technologies aim to read and react to emotions through text, voice, computer vision and biometric sensing.</w:t>
      </w:r>
      <w:r>
        <w:rPr>
          <w:rFonts w:ascii="Verdana" w:eastAsia="Verdana" w:hAnsi="Verdana" w:cs="Verdana"/>
          <w:vertAlign w:val="superscript"/>
        </w:rPr>
        <w:footnoteReference w:id="84"/>
      </w:r>
      <w:r w:rsidRPr="005B5CB6">
        <w:rPr>
          <w:rFonts w:ascii="Verdana" w:eastAsia="Verdana" w:hAnsi="Verdana" w:cs="Verdana"/>
        </w:rPr>
        <w:t xml:space="preserve"> For instance, Beyond Verbal scans for signals in a speaker’s voice that indicate emotional states, and Affectiva uses facial coding to glean users’ micro-reactions and emotions. Both companies claim to offer more authentic insight into behaviour and disposition than textbased expression allows. Increasingly, legacy technology companies such as Microsoft, Amazon and Facebook are becoming much more active with emotional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AI products.</w:t>
      </w:r>
      <w:r>
        <w:rPr>
          <w:rFonts w:ascii="Verdana" w:eastAsia="Verdana" w:hAnsi="Verdana" w:cs="Verdana"/>
          <w:vertAlign w:val="superscript"/>
        </w:rPr>
        <w:footnoteReference w:id="85"/>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3"/>
        </w:numPr>
        <w:spacing w:after="172" w:line="250" w:lineRule="auto"/>
        <w:ind w:right="11" w:hanging="720"/>
        <w:jc w:val="both"/>
        <w:rPr>
          <w:rFonts w:ascii="Verdana" w:hAnsi="Verdana"/>
        </w:rPr>
      </w:pPr>
      <w:r w:rsidRPr="005B5CB6">
        <w:rPr>
          <w:rFonts w:ascii="Verdana" w:eastAsia="Verdana" w:hAnsi="Verdana" w:cs="Verdana"/>
        </w:rPr>
        <w:t xml:space="preserve">It seems unlikely that this array of techniques would be employed simply for wholly truthful, informative campaigns that civilly inform voters of a party’s policies and platforms. Herein, we suggest, lies another use of AI in political campaigning: to </w:t>
      </w:r>
      <w:r w:rsidRPr="005B5CB6">
        <w:rPr>
          <w:rFonts w:ascii="Verdana" w:eastAsia="Verdana" w:hAnsi="Verdana" w:cs="Verdana"/>
          <w:i/>
        </w:rPr>
        <w:t>automatically generate and disseminate emotive, engaging disinformation at scale</w:t>
      </w:r>
      <w:r w:rsidRPr="005B5CB6">
        <w:rPr>
          <w:rFonts w:ascii="Verdana" w:eastAsia="Verdana" w:hAnsi="Verdana" w:cs="Verdana"/>
        </w:rPr>
        <w:t>.</w:t>
      </w:r>
      <w:r>
        <w:rPr>
          <w:rFonts w:ascii="Verdana" w:eastAsia="Verdana" w:hAnsi="Verdana" w:cs="Verdana"/>
          <w:vertAlign w:val="superscript"/>
        </w:rPr>
        <w:footnoteReference w:id="86"/>
      </w:r>
      <w:r w:rsidRPr="005B5CB6">
        <w:rPr>
          <w:rFonts w:ascii="Verdana" w:eastAsia="Verdana" w:hAnsi="Verdana" w:cs="Verdana"/>
        </w:rPr>
        <w:t xml:space="preserve"> AI is already used to spread deception at scale (e.g. via amplification by bots)</w:t>
      </w:r>
      <w:r>
        <w:rPr>
          <w:rFonts w:ascii="Verdana" w:eastAsia="Verdana" w:hAnsi="Verdana" w:cs="Verdana"/>
          <w:vertAlign w:val="superscript"/>
        </w:rPr>
        <w:footnoteReference w:id="87"/>
      </w:r>
      <w:r w:rsidRPr="005B5CB6">
        <w:rPr>
          <w:rFonts w:ascii="Verdana" w:eastAsia="Verdana" w:hAnsi="Verdana" w:cs="Verdana"/>
        </w:rPr>
        <w:t xml:space="preserve"> as well as to create deceptive, realistic ‘deepfake’ audiovisuals of famous people (e.g. political leaders).</w:t>
      </w:r>
      <w:r>
        <w:rPr>
          <w:rFonts w:ascii="Verdana" w:eastAsia="Verdana" w:hAnsi="Verdana" w:cs="Verdana"/>
          <w:vertAlign w:val="superscript"/>
        </w:rPr>
        <w:footnoteReference w:id="88"/>
      </w:r>
      <w:r w:rsidRPr="005B5CB6">
        <w:rPr>
          <w:rFonts w:ascii="Verdana" w:eastAsia="Verdana" w:hAnsi="Verdana" w:cs="Verdana"/>
        </w:rPr>
        <w:t xml:space="preserve"> Of concern is that unscrupulous campaigners will use AI to ‘feel into’ the desires and fears of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8223" name="Group 51822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398" name="Shape 63539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77" style="height:0.6pt;mso-position-horizontal-relative:char;mso-position-vertical-relative:line;width:2in" coordsize="18288,76">
                <v:shape id="_x0000_s1078"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individuals and groups to create, as well as spread, targeted, emotive falsehoods at scale.</w:t>
      </w:r>
      <w:r>
        <w:rPr>
          <w:rFonts w:ascii="Verdana" w:eastAsia="Verdana" w:hAnsi="Verdana" w:cs="Verdana"/>
          <w:vertAlign w:val="superscript"/>
        </w:rPr>
        <w:footnoteReference w:id="89"/>
      </w:r>
      <w:r w:rsidRPr="005B5CB6">
        <w:rPr>
          <w:rFonts w:ascii="Verdana" w:eastAsia="Verdana" w:hAnsi="Verdana" w:cs="Verdana"/>
        </w:rPr>
        <w:t xml:space="preserve"> This could rapidly lead to large-scale pollution of the digital environment, as purveyors of emotionally nuanced disinformation trigger bigger cascades of misinformation.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3"/>
        </w:numPr>
        <w:spacing w:after="5" w:line="250" w:lineRule="auto"/>
        <w:ind w:right="11" w:hanging="720"/>
        <w:jc w:val="both"/>
        <w:rPr>
          <w:rFonts w:ascii="Verdana" w:hAnsi="Verdana"/>
        </w:rPr>
      </w:pPr>
      <w:r w:rsidRPr="005B5CB6">
        <w:rPr>
          <w:rFonts w:ascii="Verdana" w:eastAsia="Verdana" w:hAnsi="Verdana" w:cs="Verdana"/>
        </w:rPr>
        <w:t>On the contagious aspects of</w:t>
      </w:r>
      <w:r w:rsidRPr="005B5CB6">
        <w:rPr>
          <w:rFonts w:ascii="Verdana" w:eastAsia="Verdana" w:hAnsi="Verdana" w:cs="Verdana"/>
          <w:i/>
        </w:rPr>
        <w:t xml:space="preserve"> emotion</w:t>
      </w:r>
      <w:r w:rsidRPr="005B5CB6">
        <w:rPr>
          <w:rFonts w:ascii="Verdana" w:eastAsia="Verdana" w:hAnsi="Verdana" w:cs="Verdana"/>
        </w:rPr>
        <w:t>, McStay, in his discussion of the generalised rise of emotional AI, draws attention to the social mechanics of empathy and ‘contagion’.</w:t>
      </w:r>
      <w:r w:rsidRPr="005B5CB6">
        <w:rPr>
          <w:rFonts w:ascii="Verdana" w:eastAsia="Verdana" w:hAnsi="Verdana" w:cs="Verdana"/>
          <w:vertAlign w:val="superscript"/>
        </w:rPr>
        <w:t xml:space="preserve"> </w:t>
      </w:r>
      <w:r>
        <w:rPr>
          <w:rFonts w:ascii="Verdana" w:eastAsia="Verdana" w:hAnsi="Verdana" w:cs="Verdana"/>
          <w:vertAlign w:val="superscript"/>
        </w:rPr>
        <w:footnoteReference w:id="90"/>
      </w:r>
      <w:r w:rsidRPr="005B5CB6">
        <w:rPr>
          <w:rFonts w:ascii="Verdana" w:eastAsia="Verdana" w:hAnsi="Verdana" w:cs="Verdana"/>
        </w:rPr>
        <w:t xml:space="preserve"> He highlights classic writings on emotional contagion in crowds, characterised by features such as Durkheim’s  ‘collective effervescence’</w:t>
      </w:r>
      <w:r w:rsidRPr="005B5CB6">
        <w:rPr>
          <w:rFonts w:ascii="Verdana" w:eastAsia="Verdana" w:hAnsi="Verdana" w:cs="Verdana"/>
          <w:vertAlign w:val="superscript"/>
        </w:rPr>
        <w:t>91</w:t>
      </w:r>
      <w:r w:rsidRPr="005B5CB6">
        <w:rPr>
          <w:rFonts w:ascii="Verdana" w:eastAsia="Verdana" w:hAnsi="Verdana" w:cs="Verdana"/>
        </w:rPr>
        <w:t xml:space="preserve"> and Canetti’s manipulation, eruption, mobs, demolition and transcendence.</w:t>
      </w:r>
      <w:r>
        <w:rPr>
          <w:rFonts w:ascii="Verdana" w:eastAsia="Verdana" w:hAnsi="Verdana" w:cs="Verdana"/>
          <w:vertAlign w:val="superscript"/>
        </w:rPr>
        <w:footnoteReference w:id="91"/>
      </w:r>
      <w:r w:rsidRPr="005B5CB6">
        <w:rPr>
          <w:rFonts w:ascii="Verdana" w:eastAsia="Verdana" w:hAnsi="Verdana" w:cs="Verdana"/>
        </w:rPr>
        <w:t xml:space="preserve"> From this backdrop, McStay keenly notes the import of Facebook’s mood study of online sentiment, where Facebook secretly tweaked and optimised 689,003 people’s News Feeds for a week in January 2012 in order to understand ‘emotional contagion’.</w:t>
      </w:r>
      <w:r>
        <w:rPr>
          <w:rFonts w:ascii="Verdana" w:eastAsia="Verdana" w:hAnsi="Verdana" w:cs="Verdana"/>
          <w:vertAlign w:val="superscript"/>
        </w:rPr>
        <w:footnoteReference w:id="92"/>
      </w:r>
      <w:r w:rsidRPr="005B5CB6">
        <w:rPr>
          <w:rFonts w:ascii="Verdana" w:eastAsia="Verdana" w:hAnsi="Verdana" w:cs="Verdana"/>
        </w:rPr>
        <w:t xml:space="preserve"> The mood study involved showing some Facebook users content in their News Feeds that had a greater number of positive words, and showing other Facebook users content deemed as sadder than average. After the week of exposure to either more positive or negative content, manipulated users within the experiment were more likely to post either especially positive or negative status messages: this shows the </w:t>
      </w:r>
      <w:r w:rsidRPr="005B5CB6">
        <w:rPr>
          <w:rFonts w:ascii="Verdana" w:eastAsia="Verdana" w:hAnsi="Verdana" w:cs="Verdana"/>
          <w:i/>
        </w:rPr>
        <w:t>power of online emotional contagion</w:t>
      </w:r>
      <w:r w:rsidRPr="005B5CB6">
        <w:rPr>
          <w:rFonts w:ascii="Verdana" w:eastAsia="Verdana" w:hAnsi="Verdana" w:cs="Verdana"/>
        </w:rPr>
        <w:t xml:space="preserve">. The </w:t>
      </w:r>
      <w:r w:rsidRPr="005B5CB6">
        <w:rPr>
          <w:rFonts w:ascii="Verdana" w:eastAsia="Verdana" w:hAnsi="Verdana" w:cs="Verdana"/>
        </w:rPr>
        <w:t xml:space="preserve">Facebook mood study also found that when the experimenters reduced both positive </w:t>
      </w:r>
      <w:r w:rsidRPr="005B5CB6">
        <w:rPr>
          <w:rFonts w:ascii="Verdana" w:eastAsia="Verdana" w:hAnsi="Verdana" w:cs="Verdana"/>
          <w:i/>
        </w:rPr>
        <w:t>and</w:t>
      </w:r>
      <w:r w:rsidRPr="005B5CB6">
        <w:rPr>
          <w:rFonts w:ascii="Verdana" w:eastAsia="Verdana" w:hAnsi="Verdana" w:cs="Verdana"/>
        </w:rPr>
        <w:t xml:space="preserve"> negative content (making News Feeds lacklustre), people reduced the overall amount they posted: this shows the </w:t>
      </w:r>
      <w:r w:rsidRPr="005B5CB6">
        <w:rPr>
          <w:rFonts w:ascii="Verdana" w:eastAsia="Verdana" w:hAnsi="Verdana" w:cs="Verdana"/>
          <w:i/>
        </w:rPr>
        <w:t>importance of emotionality in engaging Facebook users</w:t>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3"/>
        </w:numPr>
        <w:spacing w:after="5" w:line="250" w:lineRule="auto"/>
        <w:ind w:right="11" w:hanging="720"/>
        <w:jc w:val="both"/>
        <w:rPr>
          <w:rFonts w:ascii="Verdana" w:hAnsi="Verdana"/>
        </w:rPr>
      </w:pPr>
      <w:r w:rsidRPr="005B5CB6">
        <w:rPr>
          <w:rFonts w:ascii="Verdana" w:eastAsia="Verdana" w:hAnsi="Verdana" w:cs="Verdana"/>
        </w:rPr>
        <w:t xml:space="preserve">On the contagious aspects of </w:t>
      </w:r>
      <w:r w:rsidRPr="005B5CB6">
        <w:rPr>
          <w:rFonts w:ascii="Verdana" w:eastAsia="Verdana" w:hAnsi="Verdana" w:cs="Verdana"/>
          <w:i/>
        </w:rPr>
        <w:t>false information</w:t>
      </w:r>
      <w:r w:rsidRPr="005B5CB6">
        <w:rPr>
          <w:rFonts w:ascii="Verdana" w:eastAsia="Verdana" w:hAnsi="Verdana" w:cs="Verdana"/>
        </w:rPr>
        <w:t>, Vosoughi et al.’s big data study of Twitter (from 2006–2017) finds that false information spreads significantly farther, faster, deeper, and more broadly than the truth on Twitter.</w:t>
      </w:r>
      <w:r>
        <w:rPr>
          <w:rFonts w:ascii="Verdana" w:eastAsia="Verdana" w:hAnsi="Verdana" w:cs="Verdana"/>
          <w:vertAlign w:val="superscript"/>
        </w:rPr>
        <w:footnoteReference w:id="93"/>
      </w:r>
      <w:r w:rsidRPr="005B5CB6">
        <w:rPr>
          <w:rFonts w:ascii="Verdana" w:eastAsia="Verdana" w:hAnsi="Verdana" w:cs="Verdana"/>
        </w:rPr>
        <w:t xml:space="preserve"> This applies to all categories of information, but the effects were more pronounced for false </w:t>
      </w:r>
      <w:r w:rsidRPr="005B5CB6">
        <w:rPr>
          <w:rFonts w:ascii="Verdana" w:eastAsia="Verdana" w:hAnsi="Verdana" w:cs="Verdana"/>
          <w:i/>
        </w:rPr>
        <w:t>political</w:t>
      </w:r>
      <w:r w:rsidRPr="005B5CB6">
        <w:rPr>
          <w:rFonts w:ascii="Verdana" w:eastAsia="Verdana" w:hAnsi="Verdana" w:cs="Verdana"/>
        </w:rPr>
        <w:t xml:space="preserve"> news than for false news about terrorism, natural disasters, science, urban legends or financial information. They also found that robots accelerated the spread of true and false news at the same rate: this implies that false news spreads more than the truth because humans (rather than robots) are more likely to spread it.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3"/>
        </w:numPr>
        <w:spacing w:after="420" w:line="250" w:lineRule="auto"/>
        <w:ind w:right="11" w:hanging="720"/>
        <w:jc w:val="both"/>
        <w:rPr>
          <w:rFonts w:ascii="Verdana" w:hAnsi="Verdana"/>
        </w:rPr>
      </w:pPr>
      <w:r w:rsidRPr="005B5CB6">
        <w:rPr>
          <w:rFonts w:ascii="Verdana" w:eastAsia="Verdana" w:hAnsi="Verdana" w:cs="Verdana"/>
        </w:rPr>
        <w:t>Together, the Facebook and Twitter studies indicate the potential, and mechanics, of large-scale pollution of the digital environment. Social media companies already use AI to engage users and target them with messages, and in the UK, social media penetration is very high,</w:t>
      </w:r>
      <w:r>
        <w:rPr>
          <w:rFonts w:ascii="Verdana" w:eastAsia="Verdana" w:hAnsi="Verdana" w:cs="Verdana"/>
          <w:vertAlign w:val="superscript"/>
        </w:rPr>
        <w:footnoteReference w:id="94"/>
      </w:r>
      <w:r w:rsidRPr="005B5CB6">
        <w:rPr>
          <w:rFonts w:ascii="Verdana" w:eastAsia="Verdana" w:hAnsi="Verdana" w:cs="Verdana"/>
        </w:rPr>
        <w:t xml:space="preserve"> with Facebook being the dominant social media platform.</w:t>
      </w:r>
      <w:r>
        <w:rPr>
          <w:rFonts w:ascii="Verdana" w:eastAsia="Verdana" w:hAnsi="Verdana" w:cs="Verdana"/>
          <w:vertAlign w:val="superscript"/>
        </w:rPr>
        <w:footnoteReference w:id="95"/>
      </w:r>
      <w:r w:rsidRPr="005B5CB6">
        <w:rPr>
          <w:rFonts w:ascii="Verdana" w:eastAsia="Verdana" w:hAnsi="Verdana" w:cs="Verdana"/>
        </w:rPr>
        <w:t xml:space="preserve"> If political campaigners choose to purvey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17170" name="Group 51717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5400" name="Shape 63540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79" style="height:0.6pt;mso-position-horizontal-relative:char;mso-position-vertical-relative:line;width:2in" coordsize="18288,76">
                <v:shape id="_x0000_s1080"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emotionally nuanced disinformation, produced and/or targeted via AI, this is likely to trigger far bigger cascades of misinformation.</w:t>
      </w:r>
      <w:r w:rsidRPr="005B5CB6">
        <w:rPr>
          <w:rFonts w:ascii="Verdana" w:eastAsia="Verdana" w:hAnsi="Verdana" w:cs="Verdana"/>
          <w:vertAlign w:val="superscript"/>
        </w:rPr>
        <w:t>97</w:t>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b/>
        </w:rPr>
        <w:t xml:space="preserve"> </w:t>
      </w:r>
    </w:p>
    <w:p w:rsidR="00FB0B24" w:rsidRPr="005B5CB6" w:rsidP="003255A4">
      <w:pPr>
        <w:numPr>
          <w:ilvl w:val="0"/>
          <w:numId w:val="43"/>
        </w:numPr>
        <w:spacing w:after="5" w:line="250" w:lineRule="auto"/>
        <w:ind w:left="795" w:hanging="794"/>
        <w:jc w:val="both"/>
        <w:rPr>
          <w:rFonts w:ascii="Verdana" w:hAnsi="Verdana"/>
        </w:rPr>
      </w:pPr>
      <w:r w:rsidRPr="005B5CB6">
        <w:rPr>
          <w:rFonts w:ascii="Verdana" w:eastAsia="Verdana" w:hAnsi="Verdana" w:cs="Verdana"/>
          <w:b/>
        </w:rPr>
        <w:t xml:space="preserve">Does digital political campaigning benefit or harm democracy? </w:t>
      </w:r>
    </w:p>
    <w:p w:rsidR="00FB0B24" w:rsidRPr="005B5CB6" w:rsidP="003255A4">
      <w:pPr>
        <w:spacing w:after="0"/>
        <w:ind w:left="1"/>
        <w:jc w:val="both"/>
        <w:rPr>
          <w:rFonts w:ascii="Verdana" w:hAnsi="Verdana"/>
        </w:rPr>
      </w:pPr>
      <w:r w:rsidRPr="005B5CB6">
        <w:rPr>
          <w:rFonts w:ascii="Verdana" w:eastAsia="Verdana" w:hAnsi="Verdana" w:cs="Verdana"/>
          <w:b/>
        </w:rPr>
        <w:t xml:space="preserve"> </w:t>
      </w:r>
    </w:p>
    <w:p w:rsidR="00FB0B24" w:rsidRPr="005B5CB6" w:rsidP="003255A4">
      <w:pPr>
        <w:numPr>
          <w:ilvl w:val="1"/>
          <w:numId w:val="43"/>
        </w:numPr>
        <w:spacing w:after="5" w:line="250" w:lineRule="auto"/>
        <w:ind w:right="11" w:hanging="720"/>
        <w:jc w:val="both"/>
        <w:rPr>
          <w:rFonts w:ascii="Verdana" w:hAnsi="Verdana"/>
        </w:rPr>
      </w:pPr>
      <w:r w:rsidRPr="005B5CB6">
        <w:rPr>
          <w:rFonts w:ascii="Verdana" w:eastAsia="Verdana" w:hAnsi="Verdana" w:cs="Verdana"/>
          <w:b/>
        </w:rPr>
        <w:t xml:space="preserve">Benefits. </w:t>
      </w:r>
      <w:r w:rsidRPr="005B5CB6">
        <w:rPr>
          <w:rFonts w:ascii="Verdana" w:eastAsia="Verdana" w:hAnsi="Verdana" w:cs="Verdana"/>
        </w:rPr>
        <w:t xml:space="preserve">We identify two potential benefits to democracy that arise from digital political campaigning.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43"/>
        </w:numPr>
        <w:spacing w:after="5" w:line="250" w:lineRule="auto"/>
        <w:ind w:right="11" w:hanging="10"/>
        <w:jc w:val="both"/>
        <w:rPr>
          <w:rFonts w:ascii="Verdana" w:hAnsi="Verdana"/>
        </w:rPr>
      </w:pPr>
      <w:r w:rsidRPr="005B5CB6">
        <w:rPr>
          <w:rFonts w:ascii="Verdana" w:eastAsia="Verdana" w:hAnsi="Verdana" w:cs="Verdana"/>
          <w:b/>
          <w:i/>
        </w:rPr>
        <w:t>Increasing engagement of electorates</w:t>
      </w:r>
      <w:r w:rsidRPr="005B5CB6">
        <w:rPr>
          <w:rFonts w:ascii="Verdana" w:eastAsia="Verdana" w:hAnsi="Verdana" w:cs="Verdana"/>
        </w:rPr>
        <w:t>. The UK Information Commissioners Office acknowledges that, ‘Social media provides unprecedented opportunities to engage hard-to-reach groups in the democratic process on issues of particular importance to them.’</w:t>
      </w:r>
      <w:r w:rsidRPr="005B5CB6">
        <w:rPr>
          <w:rFonts w:ascii="Verdana" w:eastAsia="Verdana" w:hAnsi="Verdana" w:cs="Verdana"/>
          <w:vertAlign w:val="superscript"/>
        </w:rPr>
        <w:t xml:space="preserve"> </w:t>
      </w:r>
      <w:r>
        <w:rPr>
          <w:rFonts w:ascii="Verdana" w:eastAsia="Verdana" w:hAnsi="Verdana" w:cs="Verdana"/>
          <w:vertAlign w:val="superscript"/>
        </w:rPr>
        <w:footnoteReference w:id="96"/>
      </w:r>
      <w:r w:rsidRPr="005B5CB6">
        <w:rPr>
          <w:rFonts w:ascii="Verdana" w:eastAsia="Verdana" w:hAnsi="Verdana" w:cs="Verdana"/>
        </w:rPr>
        <w:t xml:space="preserve">  Arron Banks told the </w:t>
      </w:r>
      <w:r w:rsidRPr="005B5CB6">
        <w:rPr>
          <w:rFonts w:ascii="Verdana" w:eastAsia="Verdana" w:hAnsi="Verdana" w:cs="Verdana"/>
          <w:i/>
        </w:rPr>
        <w:t>New Yorker</w:t>
      </w:r>
      <w:r w:rsidRPr="005B5CB6">
        <w:rPr>
          <w:rFonts w:ascii="Verdana" w:eastAsia="Verdana" w:hAnsi="Verdana" w:cs="Verdana"/>
        </w:rPr>
        <w:t xml:space="preserve"> that the social-media postings of Leave.EU reached working-class voters, particularly in the North of England, who would not otherwise have voted.</w:t>
      </w:r>
      <w:r>
        <w:rPr>
          <w:rFonts w:ascii="Verdana" w:eastAsia="Verdana" w:hAnsi="Verdana" w:cs="Verdana"/>
          <w:vertAlign w:val="superscript"/>
        </w:rPr>
        <w:footnoteReference w:id="97"/>
      </w:r>
      <w:r w:rsidRPr="005B5CB6">
        <w:rPr>
          <w:rFonts w:ascii="Verdana" w:eastAsia="Verdana" w:hAnsi="Verdana" w:cs="Verdana"/>
        </w:rPr>
        <w:t xml:space="preserve"> This was also the </w:t>
      </w:r>
      <w:r w:rsidRPr="005B5CB6">
        <w:rPr>
          <w:rFonts w:ascii="Verdana" w:eastAsia="Verdana" w:hAnsi="Verdana" w:cs="Verdana"/>
        </w:rPr>
        <w:t>stance taken by Alexander Nix, then CEO of Cambridge Analytica, when, in February 2018, he described the micro-targeting business of his company to the UK Inquiry into Disinformation and Fake News: ‘We are trying to make sure that voters receive messages on the issues and policies that they care most about, and we are trying to make sure that they are not bombarded with irrelevant materials. That can only be good. That can only be good for politics, it can only be good for democracy.’</w:t>
      </w:r>
      <w:r w:rsidRPr="005B5CB6">
        <w:rPr>
          <w:rFonts w:ascii="Verdana" w:eastAsia="Verdana" w:hAnsi="Verdana" w:cs="Verdana"/>
          <w:vertAlign w:val="superscript"/>
        </w:rPr>
        <w:t>100</w:t>
      </w:r>
      <w:r w:rsidRPr="005B5CB6">
        <w:rPr>
          <w:rFonts w:ascii="Verdana" w:eastAsia="Verdana" w:hAnsi="Verdana" w:cs="Verdana"/>
        </w:rPr>
        <w:t xml:space="preserve">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2"/>
          <w:numId w:val="43"/>
        </w:numPr>
        <w:spacing w:after="870" w:line="250" w:lineRule="auto"/>
        <w:ind w:right="11" w:hanging="10"/>
        <w:jc w:val="both"/>
        <w:rPr>
          <w:rFonts w:ascii="Verdana" w:hAnsi="Verdana"/>
        </w:rPr>
      </w:pPr>
      <w:r w:rsidRPr="005B5CB6">
        <w:rPr>
          <w:rFonts w:ascii="Verdana" w:eastAsia="Verdana" w:hAnsi="Verdana" w:cs="Verdana"/>
          <w:b/>
          <w:i/>
        </w:rPr>
        <w:t>Manifesting voters’ desires, concerns and policy preferences to politicians</w:t>
      </w:r>
      <w:r w:rsidRPr="005B5CB6">
        <w:rPr>
          <w:rFonts w:ascii="Verdana" w:eastAsia="Verdana" w:hAnsi="Verdana" w:cs="Verdana"/>
        </w:rPr>
        <w:t xml:space="preserve">. Some scholars note that  political marketing offers mechanisms by which candidates and elected officials can tap into voters’ sentiments, helping politicians provide services that voters want and allowing voters to communicate their policy preferences to political service providers, electing those who deliver on promises, and kicking out those who do not. Scholars argue that, if conducted </w:t>
      </w:r>
      <w:r w:rsidRPr="005B5CB6">
        <w:rPr>
          <w:rFonts w:ascii="Verdana" w:eastAsia="Verdana" w:hAnsi="Verdana" w:cs="Verdana"/>
          <w:i/>
        </w:rPr>
        <w:t>openly and honestly</w:t>
      </w:r>
      <w:r w:rsidRPr="005B5CB6">
        <w:rPr>
          <w:rFonts w:ascii="Verdana" w:eastAsia="Verdana" w:hAnsi="Verdana" w:cs="Verdana"/>
        </w:rPr>
        <w:t xml:space="preserve">, political marketing can ‘advance democratic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18923" name="Group 51892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5404" name="Shape 63540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81" style="height:0.6pt;mso-position-horizontal-relative:char;mso-position-vertical-relative:line;width:2in" coordsize="18288,76">
                <v:shape id="_x0000_s1082"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11" w:line="249" w:lineRule="auto"/>
        <w:ind w:left="-4" w:hanging="10"/>
        <w:jc w:val="both"/>
        <w:rPr>
          <w:rFonts w:ascii="Verdana" w:hAnsi="Verdana"/>
        </w:rPr>
      </w:pPr>
      <w:r w:rsidRPr="005B5CB6">
        <w:rPr>
          <w:rFonts w:ascii="Verdana" w:hAnsi="Verdana"/>
          <w:vertAlign w:val="superscript"/>
        </w:rPr>
        <w:t>97</w:t>
      </w:r>
      <w:r w:rsidRPr="005B5CB6">
        <w:rPr>
          <w:rFonts w:ascii="Verdana" w:hAnsi="Verdana"/>
        </w:rPr>
        <w:t xml:space="preserve"> Indeed, a study of the kinds of content that Twitter users in the US state of Michigan were sharing just before the 2016 presidential election found that: social media users in Michigan shared a lot of political content, but the amount of professionally researched political news and information was consistently smaller than the amount of extremist, sensationalist, conspiratorial, masked commentary, fake news and other forms of ‘junk news’. The study also found that such junk news outperformed real news, but the proportion of professional news content being shared hit its lowest point the day before the election. See: Howard, P. N., Bolsover, G., Kollanyi, B., Bradshaw, S. &amp; Neudert, L.-M. 2017. Junk News and Bots during the U.S. Election: What Were Michigan Voters Sharing Over Twitter? </w:t>
      </w:r>
      <w:r w:rsidRPr="005B5CB6">
        <w:rPr>
          <w:rFonts w:ascii="Verdana" w:hAnsi="Verdana"/>
          <w:i/>
        </w:rPr>
        <w:t xml:space="preserve">COMPROP DATA MEMO </w:t>
      </w:r>
      <w:r w:rsidRPr="005B5CB6">
        <w:rPr>
          <w:rFonts w:ascii="Verdana" w:hAnsi="Verdana"/>
        </w:rPr>
        <w:t xml:space="preserve">26 March. </w:t>
      </w:r>
      <w:r>
        <w:fldChar w:fldCharType="begin"/>
      </w:r>
      <w:r>
        <w:instrText xml:space="preserve"> HYPERLINK "http://comprop.oii.ox.ac.uk/wp-content/uploads/sites/89/2017/03/What-Were-Michigan-Voters-Sharing-Over-Twitter-v2.pdf" </w:instrText>
      </w:r>
      <w:r>
        <w:fldChar w:fldCharType="separate"/>
      </w:r>
      <w:r w:rsidRPr="005B5CB6">
        <w:rPr>
          <w:rFonts w:ascii="Verdana" w:hAnsi="Verdana"/>
          <w:u w:val="single" w:color="000000"/>
        </w:rPr>
        <w:t>http://comprop.oii.ox.ac.uk/wp-content/uploads/sites/89/2017/03/What-Were-Michigan-Voters-Sharing-Over-Twitter</w:t>
      </w:r>
      <w:r>
        <w:fldChar w:fldCharType="end"/>
      </w:r>
      <w:r>
        <w:fldChar w:fldCharType="begin"/>
      </w:r>
      <w:r>
        <w:instrText xml:space="preserve"> HYPERLINK "http://comprop.oii.ox.ac.uk/wp-content/uploads/sites/89/2017/03/What-Were-Michigan-Voters-Sharing-Over-Twitter-v2.pdf" </w:instrText>
      </w:r>
      <w:r>
        <w:fldChar w:fldCharType="separate"/>
      </w:r>
      <w:r w:rsidRPr="005B5CB6">
        <w:rPr>
          <w:rFonts w:ascii="Verdana" w:hAnsi="Verdana"/>
          <w:u w:val="single" w:color="000000"/>
        </w:rPr>
        <w:t>v2.pdf</w:t>
      </w:r>
      <w:r>
        <w:fldChar w:fldCharType="end"/>
      </w:r>
      <w:r>
        <w:fldChar w:fldCharType="begin"/>
      </w:r>
      <w:r>
        <w:instrText xml:space="preserve"> HYPERLINK "http://comprop.oii.ox.ac.uk/wp-content/uploads/sites/89/2017/03/What-Were-Michigan-Voters-Sharing-Over-Twitter-v2.pdf" </w:instrText>
      </w:r>
      <w:r>
        <w:fldChar w:fldCharType="separate"/>
      </w:r>
      <w:r w:rsidRPr="005B5CB6">
        <w:rPr>
          <w:rFonts w:ascii="Verdana" w:hAnsi="Verdana"/>
        </w:rPr>
        <w:t xml:space="preserve">. </w:t>
      </w:r>
      <w:r>
        <w:fldChar w:fldCharType="end"/>
      </w:r>
      <w:r w:rsidRPr="005B5CB6">
        <w:rPr>
          <w:rFonts w:ascii="Verdana" w:hAnsi="Verdana"/>
        </w:rPr>
        <w:t xml:space="preserve"> A study of the kinds of content that Twitter users across all US states were sharing just before the 2016 presidential election finds a worryingly large proportion (32%) provided links to polarising content from Russian, WikiLeaks, and junk news sources. This content uses divisive and inflammatory rhetoric, and presents faulty reasoning or misleading information to manipulate the reader’s understanding of public issues and feed conspiracy theories. See: Howard, P.N., Kollanyi, B., Bradshaw, S., Neudert, L.-M. 2017. Social Media, News and Political Information during the US Election: Was Polarizing Content Concentrated in Swing States? COMPROP DATA MEMO 28 September</w:t>
      </w:r>
      <w:r>
        <w:fldChar w:fldCharType="begin"/>
      </w:r>
      <w:r>
        <w:instrText xml:space="preserve"> HYPERLINK "http://comprop.oii.ox.ac.uk/wp-content/uploads/sites/89/2017/09/Polarizing-Content-and-Swing-States.pdf" </w:instrText>
      </w:r>
      <w:r>
        <w:fldChar w:fldCharType="separate"/>
      </w:r>
      <w:r w:rsidRPr="005B5CB6">
        <w:rPr>
          <w:rFonts w:ascii="Verdana" w:hAnsi="Verdana"/>
        </w:rPr>
        <w:t xml:space="preserve">. </w:t>
      </w:r>
      <w:r>
        <w:fldChar w:fldCharType="end"/>
      </w:r>
      <w:r>
        <w:fldChar w:fldCharType="begin"/>
      </w:r>
      <w:r>
        <w:instrText xml:space="preserve"> HYPERLINK "http://comprop.oii.ox.ac.uk/wp-content/uploads/sites/89/2017/09/Polarizing-Content-and-Swing-States.pdf" </w:instrText>
      </w:r>
      <w:r>
        <w:fldChar w:fldCharType="separate"/>
      </w:r>
      <w:r w:rsidRPr="005B5CB6">
        <w:rPr>
          <w:rFonts w:ascii="Verdana" w:hAnsi="Verdana"/>
          <w:u w:val="single" w:color="000000"/>
        </w:rPr>
        <w:t>http://comprop.oii.ox.ac.uk/wp</w:t>
      </w:r>
      <w:r>
        <w:fldChar w:fldCharType="end"/>
      </w:r>
      <w:r>
        <w:fldChar w:fldCharType="begin"/>
      </w:r>
      <w:r>
        <w:instrText xml:space="preserve"> HYPERLINK "http://comprop.oii.ox.ac.uk/wp-content/uploads/sites/89/2017/09/Polarizing-Content-and-Swing-States.pdf" </w:instrText>
      </w:r>
      <w:r>
        <w:fldChar w:fldCharType="separate"/>
      </w:r>
      <w:r w:rsidRPr="005B5CB6">
        <w:rPr>
          <w:rFonts w:ascii="Verdana" w:hAnsi="Verdana"/>
          <w:u w:val="single" w:color="000000"/>
        </w:rPr>
        <w:t>content/uploads/sites/89/2017/09/Polarizing-Content-and-Swing-States.pdf</w:t>
      </w:r>
      <w:r>
        <w:fldChar w:fldCharType="end"/>
      </w:r>
      <w:r>
        <w:fldChar w:fldCharType="begin"/>
      </w:r>
      <w:r>
        <w:instrText xml:space="preserve"> HYPERLINK "http://comprop.oii.ox.ac.uk/wp-content/uploads/sites/89/2017/09/Polarizing-Content-and-Swing-States.pdf" </w:instrText>
      </w:r>
      <w:r>
        <w:fldChar w:fldCharType="separate"/>
      </w:r>
      <w:r w:rsidRPr="005B5CB6">
        <w:rPr>
          <w:rFonts w:ascii="Verdana" w:hAnsi="Verdana"/>
        </w:rPr>
        <w:t xml:space="preserve"> </w:t>
      </w:r>
      <w:r>
        <w:fldChar w:fldCharType="end"/>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aims, accurately transmitting the concerns of the electorate to representatives and helping duly-elected leaders develop programs that meet voters’ needs.’</w:t>
      </w:r>
      <w:r>
        <w:rPr>
          <w:rFonts w:ascii="Verdana" w:eastAsia="Verdana" w:hAnsi="Verdana" w:cs="Verdana"/>
          <w:vertAlign w:val="superscript"/>
        </w:rPr>
        <w:footnoteReference w:id="98"/>
      </w:r>
      <w:r w:rsidRPr="005B5CB6">
        <w:rPr>
          <w:rFonts w:ascii="Verdana" w:eastAsia="Verdana" w:hAnsi="Verdana" w:cs="Verdana"/>
        </w:rPr>
        <w:t xml:space="preserve">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8.2 </w:t>
      </w:r>
      <w:r w:rsidRPr="005B5CB6">
        <w:rPr>
          <w:rFonts w:ascii="Verdana" w:eastAsia="Verdana" w:hAnsi="Verdana" w:cs="Verdana"/>
        </w:rPr>
        <w:tab/>
        <w:t xml:space="preserve">However, to advance democratic aims, such marketing should be conducted </w:t>
      </w:r>
      <w:r w:rsidRPr="005B5CB6">
        <w:rPr>
          <w:rFonts w:ascii="Verdana" w:eastAsia="Verdana" w:hAnsi="Verdana" w:cs="Verdana"/>
          <w:i/>
        </w:rPr>
        <w:t xml:space="preserve">openly and honestly by all parties </w:t>
      </w:r>
      <w:r w:rsidRPr="005B5CB6">
        <w:rPr>
          <w:rFonts w:ascii="Verdana" w:eastAsia="Verdana" w:hAnsi="Verdana" w:cs="Verdana"/>
        </w:rPr>
        <w:t xml:space="preserve">otherwise we find ourselves in areas of concerning opacity. Digital targeting provides campaigns with new, opaque ways to study, market and mobilise potential voters, raising classic questions of covert manipulation and media effects. This </w:t>
      </w:r>
      <w:r w:rsidRPr="005B5CB6">
        <w:rPr>
          <w:rFonts w:ascii="Verdana" w:eastAsia="Verdana" w:hAnsi="Verdana" w:cs="Verdana"/>
          <w:i/>
        </w:rPr>
        <w:t>opacity</w:t>
      </w:r>
      <w:r w:rsidRPr="005B5CB6">
        <w:rPr>
          <w:rFonts w:ascii="Verdana" w:eastAsia="Verdana" w:hAnsi="Verdana" w:cs="Verdana"/>
        </w:rPr>
        <w:t xml:space="preserve"> is particularly problematic in national elections and referenda, giving rise to the following seven potential harms.</w:t>
      </w:r>
      <w:r w:rsidRPr="005B5CB6">
        <w:rPr>
          <w:rFonts w:ascii="Verdana" w:eastAsia="Verdana" w:hAnsi="Verdana" w:cs="Verdana"/>
          <w:i/>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8.3 </w:t>
      </w:r>
      <w:r w:rsidRPr="005B5CB6">
        <w:rPr>
          <w:rFonts w:ascii="Verdana" w:eastAsia="Verdana" w:hAnsi="Verdana" w:cs="Verdana"/>
          <w:b/>
        </w:rPr>
        <w:t xml:space="preserve">Harms. </w:t>
      </w:r>
      <w:r w:rsidRPr="005B5CB6">
        <w:rPr>
          <w:rFonts w:ascii="Verdana" w:eastAsia="Verdana" w:hAnsi="Verdana" w:cs="Verdana"/>
        </w:rPr>
        <w:t xml:space="preserve">We identify seven potential harms to democracy that arise from digital political campaigning.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8.3.1 </w:t>
      </w:r>
      <w:r w:rsidRPr="005B5CB6">
        <w:rPr>
          <w:rFonts w:ascii="Verdana" w:eastAsia="Verdana" w:hAnsi="Verdana" w:cs="Verdana"/>
          <w:b/>
          <w:i/>
        </w:rPr>
        <w:t>Lack of informed choices.</w:t>
      </w:r>
      <w:r w:rsidRPr="005B5CB6">
        <w:rPr>
          <w:rFonts w:ascii="Verdana" w:eastAsia="Verdana" w:hAnsi="Verdana" w:cs="Verdana"/>
        </w:rPr>
        <w:t xml:space="preserve"> As the UK Information Commissioners Office notes: ‘Citizens can only make truly informed choices about who to vote for if they are sure that those decisions have not been unduly influenced’.</w:t>
      </w:r>
      <w:r>
        <w:rPr>
          <w:rFonts w:ascii="Verdana" w:eastAsia="Verdana" w:hAnsi="Verdana" w:cs="Verdana"/>
          <w:vertAlign w:val="superscript"/>
        </w:rPr>
        <w:footnoteReference w:id="99"/>
      </w:r>
      <w:r w:rsidRPr="005B5CB6">
        <w:rPr>
          <w:rFonts w:ascii="Verdana" w:eastAsia="Verdana" w:hAnsi="Verdana" w:cs="Verdana"/>
        </w:rPr>
        <w:t xml:space="preserve"> They observe: ‘If voters are unaware of how their data is being used to target them with political messages, then they won’t be empowered to exercise their legal rights in relation to that data and the techniques being deployed, or to challenge the messages they are receiving’.</w:t>
      </w:r>
      <w:r>
        <w:rPr>
          <w:rFonts w:ascii="Verdana" w:eastAsia="Verdana" w:hAnsi="Verdana" w:cs="Verdana"/>
          <w:vertAlign w:val="superscript"/>
        </w:rPr>
        <w:footnoteReference w:id="100"/>
      </w:r>
      <w:r w:rsidRPr="005B5CB6">
        <w:rPr>
          <w:rFonts w:ascii="Verdana" w:eastAsia="Verdana" w:hAnsi="Verdana" w:cs="Verdana"/>
        </w:rPr>
        <w:t xml:space="preserve"> This is already an issue with current levels of technological deployment in digital political campaigns, but could become far worse. A report commissioned by the Information Commissioners Office flags the coming problem of creation by private companies of </w:t>
      </w:r>
      <w:r w:rsidRPr="005B5CB6">
        <w:rPr>
          <w:rFonts w:ascii="Verdana" w:eastAsia="Verdana" w:hAnsi="Verdana" w:cs="Verdana"/>
          <w:i/>
        </w:rPr>
        <w:t>new forms of personal data</w:t>
      </w:r>
      <w:r w:rsidRPr="005B5CB6">
        <w:rPr>
          <w:rFonts w:ascii="Verdana" w:eastAsia="Verdana" w:hAnsi="Verdana" w:cs="Verdana"/>
        </w:rPr>
        <w:t xml:space="preserve"> via </w:t>
      </w:r>
      <w:r w:rsidRPr="005B5CB6">
        <w:rPr>
          <w:rFonts w:ascii="Verdana" w:eastAsia="Verdana" w:hAnsi="Verdana" w:cs="Verdana"/>
          <w:i/>
        </w:rPr>
        <w:t xml:space="preserve">probabilistic data inferences from the metadata </w:t>
      </w:r>
      <w:r w:rsidRPr="005B5CB6">
        <w:rPr>
          <w:rFonts w:ascii="Verdana" w:eastAsia="Verdana" w:hAnsi="Verdana" w:cs="Verdana"/>
        </w:rPr>
        <w:t xml:space="preserve">(i.e. data about data) arising from people’s device use and behaviour. The report suggests that political campaigns will be particularly interested in our </w:t>
      </w:r>
      <w:r w:rsidRPr="005B5CB6">
        <w:rPr>
          <w:rFonts w:ascii="Verdana" w:eastAsia="Verdana" w:hAnsi="Verdana" w:cs="Verdana"/>
          <w:i/>
        </w:rPr>
        <w:t>persuadability</w:t>
      </w:r>
      <w:r w:rsidRPr="005B5CB6">
        <w:rPr>
          <w:rFonts w:ascii="Verdana" w:eastAsia="Verdana" w:hAnsi="Verdana" w:cs="Verdana"/>
        </w:rPr>
        <w:t xml:space="preserve"> to certain messages, whether about immigration or other issues, and that it is hard to see how the user would know that this data exists or exercise their rights to have it removed or corrected.</w:t>
      </w:r>
      <w:r>
        <w:rPr>
          <w:rFonts w:ascii="Verdana" w:eastAsia="Verdana" w:hAnsi="Verdana" w:cs="Verdana"/>
          <w:vertAlign w:val="superscript"/>
        </w:rPr>
        <w:footnoteReference w:id="101"/>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i/>
        </w:rPr>
        <w:t xml:space="preserve"> </w:t>
      </w:r>
    </w:p>
    <w:p w:rsidR="00FB0B24" w:rsidRPr="005B5CB6" w:rsidP="003255A4">
      <w:pPr>
        <w:spacing w:after="344" w:line="250" w:lineRule="auto"/>
        <w:ind w:left="23" w:right="11" w:hanging="8"/>
        <w:jc w:val="both"/>
        <w:rPr>
          <w:rFonts w:ascii="Verdana" w:hAnsi="Verdana"/>
        </w:rPr>
      </w:pPr>
      <w:r w:rsidRPr="005B5CB6">
        <w:rPr>
          <w:rFonts w:ascii="Verdana" w:eastAsia="Verdana" w:hAnsi="Verdana" w:cs="Verdana"/>
        </w:rPr>
        <w:t xml:space="preserve">8.3.2 </w:t>
      </w:r>
      <w:r w:rsidRPr="005B5CB6">
        <w:rPr>
          <w:rFonts w:ascii="Verdana" w:eastAsia="Verdana" w:hAnsi="Verdana" w:cs="Verdana"/>
          <w:b/>
          <w:i/>
        </w:rPr>
        <w:t>Fragmentation of national conversations weakens ability to hold political campaigners to account</w:t>
      </w:r>
      <w:r w:rsidRPr="005B5CB6">
        <w:rPr>
          <w:rFonts w:ascii="Verdana" w:eastAsia="Verdana" w:hAnsi="Verdana" w:cs="Verdana"/>
          <w:b/>
        </w:rPr>
        <w:t>.</w:t>
      </w:r>
      <w:r w:rsidRPr="005B5CB6">
        <w:rPr>
          <w:rFonts w:ascii="Verdana" w:eastAsia="Verdana" w:hAnsi="Verdana" w:cs="Verdana"/>
        </w:rPr>
        <w:t xml:space="preserve"> The importance of, and threat to, shared national conversations must be recognised. If deceptive micro-targeting takes place, and if this is not scrutinised by national authorities and media, then there is little chance of those elected on such platforms being held to public account. This risk will intensify if algorithmic marketing techniques become available to all political parties, as the report commissioned by the Information Commissioners Office predicts.</w:t>
      </w:r>
      <w:r>
        <w:rPr>
          <w:rFonts w:ascii="Verdana" w:eastAsia="Verdana" w:hAnsi="Verdana" w:cs="Verdana"/>
          <w:vertAlign w:val="superscript"/>
        </w:rPr>
        <w:footnoteReference w:id="102"/>
      </w:r>
      <w:r w:rsidRPr="005B5CB6">
        <w:rPr>
          <w:rFonts w:ascii="Verdana" w:eastAsia="Verdana" w:hAnsi="Verdana" w:cs="Verdana"/>
        </w:rPr>
        <w:t xml:space="preserve">  This would enable parties to routinely run millions of algorithmically tuned messages, on a scale that could overwhelm regulators,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8043" name="Group 51804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406" name="Shape 63540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83" style="height:0.6pt;mso-position-horizontal-relative:char;mso-position-vertical-relative:line;width:2in" coordsize="18288,76">
                <v:shape id="_x0000_s1084"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with deleterious consequences for the transparency and political accountability of campaigns. </w:t>
      </w:r>
    </w:p>
    <w:p w:rsidR="00FB0B24" w:rsidRPr="005B5CB6" w:rsidP="003255A4">
      <w:pPr>
        <w:spacing w:after="0"/>
        <w:ind w:left="1"/>
        <w:jc w:val="both"/>
        <w:rPr>
          <w:rFonts w:ascii="Verdana" w:hAnsi="Verdana"/>
        </w:rPr>
      </w:pPr>
      <w:r w:rsidRPr="005B5CB6">
        <w:rPr>
          <w:rFonts w:ascii="Verdana" w:eastAsia="Verdana" w:hAnsi="Verdana" w:cs="Verdana"/>
          <w:i/>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8.3.3 </w:t>
      </w:r>
      <w:r w:rsidRPr="005B5CB6">
        <w:rPr>
          <w:rFonts w:ascii="Verdana" w:eastAsia="Verdana" w:hAnsi="Verdana" w:cs="Verdana"/>
          <w:b/>
          <w:i/>
        </w:rPr>
        <w:t>Targeted voter suppression</w:t>
      </w:r>
      <w:r w:rsidRPr="005B5CB6">
        <w:rPr>
          <w:rFonts w:ascii="Verdana" w:eastAsia="Verdana" w:hAnsi="Verdana" w:cs="Verdana"/>
          <w:i/>
        </w:rPr>
        <w:t>.</w:t>
      </w:r>
      <w:r w:rsidRPr="005B5CB6">
        <w:rPr>
          <w:rFonts w:ascii="Verdana" w:eastAsia="Verdana" w:hAnsi="Verdana" w:cs="Verdana"/>
          <w:b/>
          <w:i/>
        </w:rPr>
        <w:t xml:space="preserve"> </w:t>
      </w:r>
      <w:r w:rsidRPr="005B5CB6">
        <w:rPr>
          <w:rFonts w:ascii="Verdana" w:eastAsia="Verdana" w:hAnsi="Verdana" w:cs="Verdana"/>
        </w:rPr>
        <w:t xml:space="preserve">As noted in section 5.4, Cambridge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Analytica/SCL Group’s pitch to Leave.EU to employ their services for the 2016 EU referendum offered voter suppression.</w:t>
      </w:r>
      <w:r>
        <w:rPr>
          <w:rFonts w:ascii="Verdana" w:eastAsia="Verdana" w:hAnsi="Verdana" w:cs="Verdana"/>
          <w:vertAlign w:val="superscript"/>
        </w:rPr>
        <w:footnoteReference w:id="103"/>
      </w:r>
      <w:r w:rsidRPr="005B5CB6">
        <w:rPr>
          <w:rFonts w:ascii="Verdana" w:eastAsia="Verdana" w:hAnsi="Verdana" w:cs="Verdana"/>
        </w:rPr>
        <w:t xml:space="preserve"> Similarly, in the 2016 Trump presidential campaign, Brad Parscale, the campaign’s digital director in 2016 (and also for 2020), used Facebook’s Lookalike Audiences ad tool in 2016 to expand the number of people the campaign could target by identifying voters who were not supporters of Trump, and then targeting them with psychographic messaging designed to discourage them from voting. Campaign operatives openly referred to such efforts as ‘voter suppression’ aimed at three targeted groups that Hillary Clinton needed to win overwhelmingly: idealistic white liberals, young women and African Americans.</w:t>
      </w:r>
      <w:r w:rsidRPr="005B5CB6">
        <w:rPr>
          <w:rFonts w:ascii="Verdana" w:eastAsia="Verdana" w:hAnsi="Verdana" w:cs="Verdana"/>
          <w:vertAlign w:val="superscript"/>
        </w:rPr>
        <w:t>107</w:t>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i/>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8.3.4</w:t>
      </w:r>
      <w:r w:rsidRPr="005B5CB6">
        <w:rPr>
          <w:rFonts w:ascii="Verdana" w:eastAsia="Verdana" w:hAnsi="Verdana" w:cs="Verdana"/>
          <w:i/>
        </w:rPr>
        <w:t xml:space="preserve"> </w:t>
      </w:r>
      <w:r w:rsidRPr="005B5CB6">
        <w:rPr>
          <w:rFonts w:ascii="Verdana" w:eastAsia="Verdana" w:hAnsi="Verdana" w:cs="Verdana"/>
          <w:b/>
          <w:i/>
        </w:rPr>
        <w:t>Opaque exploitation of vulnerabilities</w:t>
      </w:r>
      <w:r w:rsidRPr="005B5CB6">
        <w:rPr>
          <w:rFonts w:ascii="Verdana" w:eastAsia="Verdana" w:hAnsi="Verdana" w:cs="Verdana"/>
          <w:i/>
        </w:rPr>
        <w:t>.</w:t>
      </w:r>
      <w:r w:rsidRPr="005B5CB6">
        <w:rPr>
          <w:rFonts w:ascii="Verdana" w:eastAsia="Verdana" w:hAnsi="Verdana" w:cs="Verdana"/>
        </w:rPr>
        <w:t xml:space="preserve"> This involves targeting people who are not equipped to evaluate the message.  Cambridge Analytica whistleblower, Christopher Wylie, explained in 2018 that Cambridge Analytica was built on exploiting Facebook to harvest millions of people’s profiles to then build models to ‘target their inner demons’</w:t>
      </w:r>
      <w:r>
        <w:rPr>
          <w:rFonts w:ascii="Verdana" w:eastAsia="Verdana" w:hAnsi="Verdana" w:cs="Verdana"/>
          <w:vertAlign w:val="superscript"/>
        </w:rPr>
        <w:footnoteReference w:id="104"/>
      </w:r>
      <w:r w:rsidRPr="005B5CB6">
        <w:rPr>
          <w:rFonts w:ascii="Verdana" w:eastAsia="Verdana" w:hAnsi="Verdana" w:cs="Verdana"/>
        </w:rPr>
        <w:t xml:space="preserve"> including targeting people prone to adopting conspiracies with conspiratorial messaging, whether through adverts, blogs or fake news.</w:t>
      </w:r>
      <w:r>
        <w:rPr>
          <w:rFonts w:ascii="Verdana" w:eastAsia="Verdana" w:hAnsi="Verdana" w:cs="Verdana"/>
          <w:vertAlign w:val="superscript"/>
        </w:rPr>
        <w:footnoteReference w:id="105"/>
      </w:r>
      <w:r w:rsidRPr="005B5CB6">
        <w:rPr>
          <w:rFonts w:ascii="Verdana" w:eastAsia="Verdana" w:hAnsi="Verdana" w:cs="Verdana"/>
          <w:vertAlign w:val="superscript"/>
        </w:rPr>
        <w:t xml:space="preserve"> </w:t>
      </w:r>
      <w:r w:rsidRPr="005B5CB6">
        <w:rPr>
          <w:rFonts w:ascii="Verdana" w:eastAsia="Verdana" w:hAnsi="Verdana" w:cs="Verdana"/>
        </w:rPr>
        <w:t xml:space="preserve"> Such targeted, exploitation of vulnerabilities is difficult for individuals, or for wider society, to detect.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107" w:line="250" w:lineRule="auto"/>
        <w:ind w:left="23" w:right="11" w:hanging="8"/>
        <w:jc w:val="both"/>
        <w:rPr>
          <w:rFonts w:ascii="Verdana" w:hAnsi="Verdana"/>
        </w:rPr>
      </w:pPr>
      <w:r w:rsidRPr="005B5CB6">
        <w:rPr>
          <w:rFonts w:ascii="Verdana" w:eastAsia="Verdana" w:hAnsi="Verdana" w:cs="Verdana"/>
        </w:rPr>
        <w:t xml:space="preserve">8.3.5 </w:t>
      </w:r>
      <w:r w:rsidRPr="005B5CB6">
        <w:rPr>
          <w:rFonts w:ascii="Verdana" w:eastAsia="Verdana" w:hAnsi="Verdana" w:cs="Verdana"/>
          <w:b/>
          <w:i/>
        </w:rPr>
        <w:t>Unintended exploitation of vulnerabilities</w:t>
      </w:r>
      <w:r w:rsidRPr="005B5CB6">
        <w:rPr>
          <w:rFonts w:ascii="Verdana" w:eastAsia="Verdana" w:hAnsi="Verdana" w:cs="Verdana"/>
        </w:rPr>
        <w:t xml:space="preserve">. Certain vulnerable groups, such as children, may become collateral recipients of online adverts. In the UK, adverts for children on traditional media (such as television) are regulated by the Advertising Standards Authority, which specifies that ads should not employ ‘direct exhortation’ or ‘exploit their credulity, loyalty, vulnerability or lack of experience’. However, online political adverts are not covered by the Advertising Standards Authority. In August 2019, transparency researchers revealed that UK political parties were showing highly charged, partisan adverts to 13 to 17-yearolds on Facebook and Facebook-owned Instagram. The transparency researchers uncovered the ads by using ad.watch, a tool that visualises data provided by Facebook on political advertising.  Four of these ads were from the Labour Party and were highly partisan. Two Instagram ads depicted Nigel Farage (former leader of UKIP, and leader of the Brexit Party (2019-)) next to Tommy Robinson (a British far-right and anti-Islam activist), and claimed that: ‘The only way to stop the far-right from winning is by voting Labour.’ Another showed </w:t>
      </w:r>
      <w:r w:rsidRPr="005B5CB6">
        <w:rPr>
          <w:rFonts w:ascii="Verdana" w:eastAsia="Verdana" w:hAnsi="Verdana" w:cs="Verdana"/>
        </w:rPr>
        <w:t>Farage next to large capitalised text ‘Don’t let fear win here’. Labour later clarified that any Facebook adverts going to people under the age of 18 was unintended.</w:t>
      </w:r>
      <w:r>
        <w:rPr>
          <w:rFonts w:ascii="Verdana" w:eastAsia="Verdana" w:hAnsi="Verdana" w:cs="Verdana"/>
          <w:vertAlign w:val="superscript"/>
        </w:rPr>
        <w:footnoteReference w:id="106"/>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7747" name="Group 51774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408" name="Shape 63540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85" style="height:0.6pt;mso-position-horizontal-relative:char;mso-position-vertical-relative:line;width:2in" coordsize="18288,76">
                <v:shape id="_x0000_s1086"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Indeed, teenagers might have been targeted on factors other than their age, such as the region they live in, or their interests or behaviours.  Such unintentional exploitation of vulnerable people may be intensified if parties cede control of message creation and/or targeting to an automated AI-based system. As the report commissioned by the Information Commissioners Office points out, it could result in political parties targeting people who are depressed, anxious or suffering from other psychological problems with adverts designed to appeal to them.</w:t>
      </w:r>
      <w:r>
        <w:rPr>
          <w:rFonts w:ascii="Verdana" w:eastAsia="Verdana" w:hAnsi="Verdana" w:cs="Verdana"/>
          <w:vertAlign w:val="superscript"/>
        </w:rPr>
        <w:footnoteReference w:id="107"/>
      </w:r>
      <w:r w:rsidRPr="005B5CB6">
        <w:rPr>
          <w:rFonts w:ascii="Verdana" w:eastAsia="Verdana" w:hAnsi="Verdana" w:cs="Verdana"/>
        </w:rPr>
        <w:t xml:space="preserve"> This is ethically problematic.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33" w:line="250" w:lineRule="auto"/>
        <w:ind w:left="23" w:right="11" w:hanging="8"/>
        <w:jc w:val="both"/>
        <w:rPr>
          <w:rFonts w:ascii="Verdana" w:hAnsi="Verdana"/>
        </w:rPr>
      </w:pPr>
      <w:r w:rsidRPr="005B5CB6">
        <w:rPr>
          <w:rFonts w:ascii="Verdana" w:eastAsia="Verdana" w:hAnsi="Verdana" w:cs="Verdana"/>
        </w:rPr>
        <w:t>8.3.6</w:t>
      </w:r>
      <w:r w:rsidRPr="005B5CB6">
        <w:rPr>
          <w:rFonts w:ascii="Verdana" w:eastAsia="Verdana" w:hAnsi="Verdana" w:cs="Verdana"/>
          <w:i/>
        </w:rPr>
        <w:t xml:space="preserve"> </w:t>
      </w:r>
      <w:r w:rsidRPr="005B5CB6">
        <w:rPr>
          <w:rFonts w:ascii="Verdana" w:eastAsia="Verdana" w:hAnsi="Verdana" w:cs="Verdana"/>
          <w:b/>
          <w:i/>
        </w:rPr>
        <w:t>Polarisation potential</w:t>
      </w:r>
      <w:r w:rsidRPr="005B5CB6">
        <w:rPr>
          <w:rFonts w:ascii="Verdana" w:eastAsia="Verdana" w:hAnsi="Verdana" w:cs="Verdana"/>
        </w:rPr>
        <w:t>. The opacity of individualised online targeting enables ‘dog whistle’ campaigns that emphasise a provocative position only to sympathetic audiences but remain invisible to others. It enables the targeted, secretive delivery of ‘wedge’ issues (namely, issues that are highly salient and important to specific segments of a voting population) to mobilise small, but crucial, segments.</w:t>
      </w:r>
      <w:r>
        <w:rPr>
          <w:rFonts w:ascii="Verdana" w:eastAsia="Verdana" w:hAnsi="Verdana" w:cs="Verdana"/>
          <w:vertAlign w:val="superscript"/>
        </w:rPr>
        <w:footnoteReference w:id="108"/>
      </w:r>
      <w:r w:rsidRPr="005B5CB6">
        <w:rPr>
          <w:rFonts w:ascii="Verdana" w:eastAsia="Verdana" w:hAnsi="Verdana" w:cs="Verdana"/>
        </w:rPr>
        <w:t xml:space="preserve"> Indeed, research on Twitter content emanating from US locations during the 2016 US presidential election campaign shows that polarising content</w:t>
      </w:r>
      <w:r>
        <w:rPr>
          <w:rFonts w:ascii="Verdana" w:eastAsia="Verdana" w:hAnsi="Verdana" w:cs="Verdana"/>
          <w:vertAlign w:val="superscript"/>
        </w:rPr>
        <w:footnoteReference w:id="109"/>
      </w:r>
      <w:r w:rsidRPr="005B5CB6">
        <w:rPr>
          <w:rFonts w:ascii="Verdana" w:eastAsia="Verdana" w:hAnsi="Verdana" w:cs="Verdana"/>
        </w:rPr>
        <w:t xml:space="preserve"> was surprisingly concentrated in swing states, many of which were also among those with large numbers of votes in the Electoral College.</w:t>
      </w:r>
      <w:r>
        <w:rPr>
          <w:rFonts w:ascii="Verdana" w:eastAsia="Verdana" w:hAnsi="Verdana" w:cs="Verdana"/>
          <w:vertAlign w:val="superscript"/>
        </w:rPr>
        <w:footnoteReference w:id="110"/>
      </w:r>
      <w:r w:rsidRPr="005B5CB6">
        <w:rPr>
          <w:rFonts w:ascii="Verdana" w:eastAsia="Verdana" w:hAnsi="Verdana" w:cs="Verdana"/>
        </w:rPr>
        <w:t xml:space="preserve"> If deliberately inflammatory information circulates, uncorrected, in closed communities, this can generate a polarised, emotive society. </w:t>
      </w:r>
      <w:r w:rsidRPr="005B5CB6">
        <w:rPr>
          <w:rFonts w:ascii="Verdana" w:eastAsia="Verdana" w:hAnsi="Verdana" w:cs="Verdana"/>
          <w:i/>
        </w:rPr>
        <w:t>Selective exposure</w:t>
      </w:r>
      <w:r w:rsidRPr="005B5CB6">
        <w:rPr>
          <w:rFonts w:ascii="Verdana" w:eastAsia="Verdana" w:hAnsi="Verdana" w:cs="Verdana"/>
        </w:rPr>
        <w:t>, where people prefer and tune into, information that supports their existing beliefs is an old finding in communication research.</w:t>
      </w:r>
      <w:r>
        <w:rPr>
          <w:rFonts w:ascii="Verdana" w:eastAsia="Verdana" w:hAnsi="Verdana" w:cs="Verdana"/>
          <w:vertAlign w:val="superscript"/>
        </w:rPr>
        <w:footnoteReference w:id="111"/>
      </w:r>
      <w:r w:rsidRPr="005B5CB6">
        <w:rPr>
          <w:rFonts w:ascii="Verdana" w:eastAsia="Verdana" w:hAnsi="Verdana" w:cs="Verdana"/>
        </w:rPr>
        <w:t xml:space="preserve"> However, when selective exposure is combined with highly targeted information that is fed into self-reinforcing algorithmic and cognitive systems, or digital ‘echo chambers’, there is even less chance of citizens responding critically to that information. Some empirically demonstrated consequences of algorithmically created filter bubbles and human confirmation bias on social media platforms are limited exposure to, and lack of engagement with, different ideas and other people’s viewpoints.</w:t>
      </w:r>
      <w:r>
        <w:rPr>
          <w:rFonts w:ascii="Verdana" w:eastAsia="Verdana" w:hAnsi="Verdana" w:cs="Verdana"/>
          <w:vertAlign w:val="superscript"/>
        </w:rPr>
        <w:footnoteReference w:id="112"/>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8.3.7 </w:t>
      </w:r>
      <w:r w:rsidRPr="005B5CB6">
        <w:rPr>
          <w:rFonts w:ascii="Verdana" w:eastAsia="Verdana" w:hAnsi="Verdana" w:cs="Verdana"/>
          <w:b/>
          <w:i/>
        </w:rPr>
        <w:t>Polluting the entire digital media ecosystem</w:t>
      </w:r>
      <w:r w:rsidRPr="005B5CB6">
        <w:rPr>
          <w:rFonts w:ascii="Verdana" w:eastAsia="Verdana" w:hAnsi="Verdana" w:cs="Verdana"/>
          <w:i/>
        </w:rPr>
        <w:t>.</w:t>
      </w:r>
      <w:r w:rsidRPr="005B5CB6">
        <w:rPr>
          <w:rFonts w:ascii="Verdana" w:eastAsia="Verdana" w:hAnsi="Verdana" w:cs="Verdana"/>
        </w:rPr>
        <w:t xml:space="preserve"> Social media companies already use AI to engage their users and target them with messages, and social media penetration is very high in the UK, with Facebook being the dominant platform. AI is already used to spread deception at scale (e.g. via amplification by bots) as well as to create realistic ‘deepfake’ audiovisuals of famous people (e.g. political leaders). Of concern is that unscrupulous campaigners will use AI to ‘feel into’ the desires and fears of individuals and groups to create and spread targeted, emotive falsehoods at scale. The deliberate promotion of emotive and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8601" name="Group 51860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410" name="Shape 63541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87" style="height:0.6pt;mso-position-horizontal-relative:char;mso-position-vertical-relative:line;width:2in" coordsize="18288,76">
                <v:shape id="_x0000_s1088"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false information online is particularly problematic in that studies indicate that both emotion and false information are contagious online (see sections 7.3 and 7.4). Hence, while niche audiences may be micro-targeted with such campaigns, there is potential to pollute the entire digital media ecosystem.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hanging="10"/>
        <w:jc w:val="both"/>
        <w:rPr>
          <w:rFonts w:ascii="Verdana" w:hAnsi="Verdana"/>
        </w:rPr>
      </w:pPr>
      <w:r w:rsidRPr="005B5CB6">
        <w:rPr>
          <w:rFonts w:ascii="Verdana" w:eastAsia="Verdana" w:hAnsi="Verdana" w:cs="Verdana"/>
        </w:rPr>
        <w:t xml:space="preserve">8.4 </w:t>
      </w:r>
      <w:r w:rsidRPr="005B5CB6">
        <w:rPr>
          <w:rFonts w:ascii="Verdana" w:eastAsia="Verdana" w:hAnsi="Verdana" w:cs="Verdana"/>
        </w:rPr>
        <w:tab/>
      </w:r>
      <w:r w:rsidRPr="005B5CB6">
        <w:rPr>
          <w:rFonts w:ascii="Verdana" w:eastAsia="Verdana" w:hAnsi="Verdana" w:cs="Verdana"/>
          <w:i/>
        </w:rPr>
        <w:t xml:space="preserve">To summarise, contemporary digital political campaigning has the potential to service democracy by engaging hard-to-reach parts of the electorate, and by manifesting voters’ desires, concerns and policy preferences for politicians to act upon. However, this requires that campaigns are conducted honestly and openly, otherwise we can find ourselves in areas of covert attempted manipulation of populations. Unfortunately, digital political campaigning is currently very opaque. This opacity has capacity to negatively impact on citizens’ ability to make informed choices; and on our ability to hold political campaigners, and those subsequently elected, to account. It increases the potential for targeted voter suppression. It enables opaque exploitation of people’s psychological vulnerabilities; and it leads to unintended exploitation of vulnerabilities as, for instance, children become collateral recipients of online adverts targeted by behaviour rather than age. Finally, the opacity increases the potential for societal polarisation through, uncorrected, emotive disinformation targeted at niche audiences, but ultimately polluting the entire digital media ecosystem. </w:t>
      </w:r>
    </w:p>
    <w:p w:rsidR="00FB0B24" w:rsidRPr="005B5CB6" w:rsidP="003255A4">
      <w:pPr>
        <w:spacing w:after="0"/>
        <w:ind w:left="1"/>
        <w:jc w:val="both"/>
        <w:rPr>
          <w:rFonts w:ascii="Verdana" w:hAnsi="Verdana"/>
        </w:rPr>
      </w:pPr>
      <w:r w:rsidRPr="005B5CB6">
        <w:rPr>
          <w:rFonts w:ascii="Verdana" w:eastAsia="Verdana" w:hAnsi="Verdana" w:cs="Verdana"/>
          <w:b/>
        </w:rPr>
        <w:t xml:space="preserve"> </w:t>
      </w:r>
    </w:p>
    <w:p w:rsidR="00FB0B24" w:rsidRPr="005B5CB6" w:rsidP="003255A4">
      <w:pPr>
        <w:numPr>
          <w:ilvl w:val="0"/>
          <w:numId w:val="44"/>
        </w:numPr>
        <w:spacing w:after="5" w:line="250" w:lineRule="auto"/>
        <w:ind w:hanging="720"/>
        <w:jc w:val="both"/>
        <w:rPr>
          <w:rFonts w:ascii="Verdana" w:hAnsi="Verdana"/>
        </w:rPr>
      </w:pPr>
      <w:r w:rsidRPr="005B5CB6">
        <w:rPr>
          <w:rFonts w:ascii="Verdana" w:eastAsia="Verdana" w:hAnsi="Verdana" w:cs="Verdana"/>
          <w:b/>
        </w:rPr>
        <w:t xml:space="preserve">Solutions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4"/>
        </w:numPr>
        <w:spacing w:after="5" w:line="250" w:lineRule="auto"/>
        <w:ind w:left="23" w:right="11" w:hanging="8"/>
        <w:jc w:val="both"/>
        <w:rPr>
          <w:rFonts w:ascii="Verdana" w:hAnsi="Verdana"/>
        </w:rPr>
      </w:pPr>
      <w:r w:rsidRPr="005B5CB6">
        <w:rPr>
          <w:rFonts w:ascii="Verdana" w:eastAsia="Verdana" w:hAnsi="Verdana" w:cs="Verdana"/>
        </w:rPr>
        <w:t>Digital political campaigns that generate and target messages that are deceptive, and/or designed to bypass thoughtful deliberation in favour of emotionalised engagement, severely challenge the democratic ideal of treating voters as citizens. We argue that political campaigns should treat people as c</w:t>
      </w:r>
      <w:r w:rsidRPr="005B5CB6">
        <w:rPr>
          <w:rFonts w:ascii="Verdana" w:eastAsia="Verdana" w:hAnsi="Verdana" w:cs="Verdana"/>
          <w:i/>
        </w:rPr>
        <w:t>itizens</w:t>
      </w:r>
      <w:r w:rsidRPr="005B5CB6">
        <w:rPr>
          <w:rFonts w:ascii="Verdana" w:eastAsia="Verdana" w:hAnsi="Verdana" w:cs="Verdana"/>
        </w:rPr>
        <w:t xml:space="preserve"> (not as social media ‘targets’ or message ‘consumers’). </w:t>
      </w:r>
      <w:r w:rsidRPr="005B5CB6">
        <w:rPr>
          <w:rFonts w:ascii="Verdana" w:eastAsia="Verdana" w:hAnsi="Verdana" w:cs="Verdana"/>
          <w:i/>
        </w:rPr>
        <w:t>Citizens</w:t>
      </w:r>
      <w:r w:rsidRPr="005B5CB6">
        <w:rPr>
          <w:rFonts w:ascii="Verdana" w:eastAsia="Verdana" w:hAnsi="Verdana" w:cs="Verdana"/>
        </w:rPr>
        <w:t xml:space="preserve"> are the fundamental constituents of a democratic society, whose ideas and objectives elected leaders must represent and channel into legitimate public policy.</w:t>
      </w:r>
      <w:r>
        <w:rPr>
          <w:rFonts w:ascii="Verdana" w:eastAsia="Verdana" w:hAnsi="Verdana" w:cs="Verdana"/>
          <w:vertAlign w:val="superscript"/>
        </w:rPr>
        <w:footnoteReference w:id="113"/>
      </w:r>
      <w:r w:rsidRPr="005B5CB6">
        <w:rPr>
          <w:rFonts w:ascii="Verdana" w:eastAsia="Verdana" w:hAnsi="Verdana" w:cs="Verdana"/>
        </w:rPr>
        <w:t xml:space="preserve"> To facilitate such citizenship, many solutions have been put forward by UK </w:t>
      </w:r>
      <w:r w:rsidRPr="005B5CB6">
        <w:rPr>
          <w:rFonts w:ascii="Verdana" w:eastAsia="Verdana" w:hAnsi="Verdana" w:cs="Verdana"/>
        </w:rPr>
        <w:t>politicians,</w:t>
      </w:r>
      <w:r>
        <w:rPr>
          <w:rFonts w:ascii="Verdana" w:eastAsia="Verdana" w:hAnsi="Verdana" w:cs="Verdana"/>
          <w:vertAlign w:val="superscript"/>
        </w:rPr>
        <w:footnoteReference w:id="114"/>
      </w:r>
      <w:r w:rsidRPr="005B5CB6">
        <w:rPr>
          <w:rFonts w:ascii="Verdana" w:eastAsia="Verdana" w:hAnsi="Verdana" w:cs="Verdana"/>
        </w:rPr>
        <w:t xml:space="preserve"> UK government</w:t>
      </w:r>
      <w:r w:rsidRPr="005B5CB6">
        <w:rPr>
          <w:rFonts w:ascii="Verdana" w:eastAsia="Verdana" w:hAnsi="Verdana" w:cs="Verdana"/>
          <w:vertAlign w:val="superscript"/>
        </w:rPr>
        <w:t>119</w:t>
      </w:r>
      <w:r w:rsidRPr="005B5CB6">
        <w:rPr>
          <w:rFonts w:ascii="Verdana" w:eastAsia="Verdana" w:hAnsi="Verdana" w:cs="Verdana"/>
        </w:rPr>
        <w:t xml:space="preserve"> and other important stakeholders</w:t>
      </w:r>
      <w:r>
        <w:rPr>
          <w:rFonts w:ascii="Verdana" w:eastAsia="Verdana" w:hAnsi="Verdana" w:cs="Verdana"/>
          <w:vertAlign w:val="superscript"/>
        </w:rPr>
        <w:footnoteReference w:id="115"/>
      </w:r>
      <w:r w:rsidRPr="005B5CB6">
        <w:rPr>
          <w:rFonts w:ascii="Verdana" w:eastAsia="Verdana" w:hAnsi="Verdana" w:cs="Verdana"/>
        </w:rPr>
        <w:t xml:space="preserve"> on how to protect elections and minimise emotive disinformation online. There has been a regulatory focus largely on the social media companies themselves, accompanied by some critical self-reflection and actions on their part.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4"/>
        </w:numPr>
        <w:spacing w:after="77" w:line="250" w:lineRule="auto"/>
        <w:ind w:left="23" w:right="11" w:hanging="8"/>
        <w:jc w:val="both"/>
        <w:rPr>
          <w:rFonts w:ascii="Verdana" w:hAnsi="Verdana"/>
        </w:rPr>
      </w:pPr>
      <w:r w:rsidRPr="005B5CB6">
        <w:rPr>
          <w:rFonts w:ascii="Verdana" w:eastAsia="Verdana" w:hAnsi="Verdana" w:cs="Verdana"/>
        </w:rPr>
        <w:t xml:space="preserve">Much of the focus has been on tackling online disinformation, for instance, by independent fact-checking organisations pronouncing on the veracity of specific stories; by social media companies downgrading or flagging disputed, or provenly false, stories; and by initiatives to educate people to recognise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8788" name="Group 51878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412" name="Shape 63541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89" style="height:0.6pt;mso-position-horizontal-relative:char;mso-position-vertical-relative:line;width:2in" coordsize="18288,76">
                <v:shape id="_x0000_s1090"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disinformation. While these are worthy efforts, they are not without their problems. For instance, there are complex psychological and sociological issues of how and why people spread and remember false information: disrupting these processes requires care, and may have unintended effects.</w:t>
      </w:r>
      <w:r>
        <w:rPr>
          <w:rFonts w:ascii="Verdana" w:eastAsia="Verdana" w:hAnsi="Verdana" w:cs="Verdana"/>
          <w:vertAlign w:val="superscript"/>
        </w:rPr>
        <w:footnoteReference w:id="116"/>
      </w:r>
      <w:r w:rsidRPr="005B5CB6">
        <w:rPr>
          <w:rFonts w:ascii="Verdana" w:eastAsia="Verdana" w:hAnsi="Verdana" w:cs="Verdana"/>
        </w:rPr>
        <w:t xml:space="preserve"> Indeed, by December 2017, Facebook had looked at the impact of ‘disputed’ flags on its platform, and concluded that they can be counter-productive.</w:t>
      </w:r>
      <w:r>
        <w:rPr>
          <w:rFonts w:ascii="Verdana" w:eastAsia="Verdana" w:hAnsi="Verdana" w:cs="Verdana"/>
          <w:vertAlign w:val="superscript"/>
        </w:rPr>
        <w:footnoteReference w:id="117"/>
      </w:r>
      <w:r w:rsidRPr="005B5CB6">
        <w:rPr>
          <w:rFonts w:ascii="Verdana" w:eastAsia="Verdana" w:hAnsi="Verdana" w:cs="Verdana"/>
        </w:rPr>
        <w:t xml:space="preserve"> Other efforts developed by Facebook across 2018 include an election integrity programme to act against hacking and malware, to examine the role of ads and foreign interference and to understand fake accounts; and to strengthen its advertising policies and guidelines to provide transparency and to restrict ad content.</w:t>
      </w:r>
      <w:r>
        <w:rPr>
          <w:rFonts w:ascii="Verdana" w:eastAsia="Verdana" w:hAnsi="Verdana" w:cs="Verdana"/>
          <w:vertAlign w:val="superscript"/>
        </w:rPr>
        <w:footnoteReference w:id="118"/>
      </w:r>
      <w:r w:rsidRPr="005B5CB6">
        <w:rPr>
          <w:rFonts w:ascii="Verdana" w:eastAsia="Verdana" w:hAnsi="Verdana" w:cs="Verdana"/>
        </w:rPr>
        <w:t xml:space="preserve"> In October 2018, Facebook announced a verification process, whereby people placing political adverts</w:t>
      </w:r>
      <w:r>
        <w:rPr>
          <w:rFonts w:ascii="Verdana" w:eastAsia="Verdana" w:hAnsi="Verdana" w:cs="Verdana"/>
          <w:vertAlign w:val="superscript"/>
        </w:rPr>
        <w:footnoteReference w:id="119"/>
      </w:r>
      <w:r w:rsidRPr="005B5CB6">
        <w:rPr>
          <w:rFonts w:ascii="Verdana" w:eastAsia="Verdana" w:hAnsi="Verdana" w:cs="Verdana"/>
        </w:rPr>
        <w:t xml:space="preserve"> must prove their identity, to be checked by a thirdparty organisation. Political adverts suspected of promoting misinformation or disinformation can be reported and, if the advert contains ‘falsehoods’, it can be taken down.</w:t>
      </w:r>
      <w:r w:rsidRPr="005B5CB6">
        <w:rPr>
          <w:rFonts w:ascii="Verdana" w:eastAsia="Verdana" w:hAnsi="Verdana" w:cs="Verdana"/>
          <w:vertAlign w:val="superscript"/>
        </w:rPr>
        <w:t>125</w:t>
      </w:r>
      <w:r w:rsidRPr="005B5CB6">
        <w:rPr>
          <w:rFonts w:ascii="Verdana" w:eastAsia="Verdana" w:hAnsi="Verdana" w:cs="Verdana"/>
        </w:rPr>
        <w:t xml:space="preserve"> However, in August 2019, </w:t>
      </w:r>
      <w:r w:rsidRPr="005B5CB6">
        <w:rPr>
          <w:rFonts w:ascii="Verdana" w:eastAsia="Verdana" w:hAnsi="Verdana" w:cs="Verdana"/>
          <w:i/>
        </w:rPr>
        <w:t>The Guardian</w:t>
      </w:r>
      <w:r w:rsidRPr="005B5CB6">
        <w:rPr>
          <w:rFonts w:ascii="Verdana" w:eastAsia="Verdana" w:hAnsi="Verdana" w:cs="Verdana"/>
        </w:rPr>
        <w:t xml:space="preserve"> reported that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coordinated disinformation campaigns using ‘astroturfing’</w:t>
      </w:r>
      <w:r>
        <w:rPr>
          <w:rFonts w:ascii="Verdana" w:eastAsia="Verdana" w:hAnsi="Verdana" w:cs="Verdana"/>
          <w:vertAlign w:val="superscript"/>
        </w:rPr>
        <w:footnoteReference w:id="120"/>
      </w:r>
      <w:r w:rsidRPr="005B5CB6">
        <w:rPr>
          <w:rFonts w:ascii="Verdana" w:eastAsia="Verdana" w:hAnsi="Verdana" w:cs="Verdana"/>
        </w:rPr>
        <w:t xml:space="preserve"> can still get around Facebook’s transparency requirements for political advertising.</w:t>
      </w:r>
      <w:r>
        <w:rPr>
          <w:rFonts w:ascii="Verdana" w:eastAsia="Verdana" w:hAnsi="Verdana" w:cs="Verdana"/>
          <w:vertAlign w:val="superscript"/>
        </w:rPr>
        <w:footnoteReference w:id="121"/>
      </w:r>
      <w:r w:rsidRPr="005B5CB6">
        <w:rPr>
          <w:rFonts w:ascii="Verdana" w:eastAsia="Verdana" w:hAnsi="Verdana" w:cs="Verdana"/>
          <w:i/>
        </w:rPr>
        <w:t xml:space="preserve"> </w:t>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4"/>
        </w:numPr>
        <w:spacing w:after="5" w:line="250" w:lineRule="auto"/>
        <w:ind w:left="23" w:right="11" w:hanging="8"/>
        <w:jc w:val="both"/>
        <w:rPr>
          <w:rFonts w:ascii="Verdana" w:hAnsi="Verdana"/>
        </w:rPr>
      </w:pPr>
      <w:r w:rsidRPr="005B5CB6">
        <w:rPr>
          <w:rFonts w:ascii="Verdana" w:eastAsia="Verdana" w:hAnsi="Verdana" w:cs="Verdana"/>
        </w:rPr>
        <w:t>Regulators have increasingly turned their attention to social media and data analytics companies. For instance, across 2018-19, Facebook was maximally fined and Cambridge Analytica sued for violating their users’ privacy in their efforts to develop algorithms to target voters (see Section 6.3.1). In April 2019, the UK government announced in its Online Harms White Paper that a new independent regulator would be introduced to ensure that social media companies and technology firms are legally required to protect their users from a range of online harms, including disinformation, facing tough penalties if they do not comply. Time will tell if financial penalties are merely incorporated into the cost of doing business for social media companies who, ultimately, are driven by their business model of the attention economy, where maximising user engagement in turn maximises advertising revenue. It is possible that the US Federal Trade Commission’s demands in July 2019</w:t>
      </w:r>
      <w:r w:rsidRPr="005B5CB6">
        <w:rPr>
          <w:rFonts w:ascii="Verdana" w:eastAsia="Verdana" w:hAnsi="Verdana" w:cs="Verdana"/>
          <w:b/>
        </w:rPr>
        <w:t xml:space="preserve"> </w:t>
      </w:r>
      <w:r w:rsidRPr="005B5CB6">
        <w:rPr>
          <w:rFonts w:ascii="Verdana" w:eastAsia="Verdana" w:hAnsi="Verdana" w:cs="Verdana"/>
        </w:rPr>
        <w:t xml:space="preserve">that Facebook must submit to new restrictions and a modified corporate structure to hold the company accountable for its decisions about its users’ privacy will have more weight. </w:t>
      </w:r>
    </w:p>
    <w:p w:rsidR="00FB0B24" w:rsidRPr="005B5CB6" w:rsidP="003255A4">
      <w:pPr>
        <w:spacing w:after="399"/>
        <w:ind w:left="1"/>
        <w:jc w:val="both"/>
        <w:rPr>
          <w:rFonts w:ascii="Verdana" w:hAnsi="Verdana"/>
        </w:rPr>
      </w:pP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19699" name="Group 51969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5414" name="Shape 63541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91" style="height:0.6pt;mso-position-horizontal-relative:char;mso-position-vertical-relative:line;width:2in" coordsize="18288,76">
                <v:shape id="_x0000_s1092"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numPr>
          <w:ilvl w:val="1"/>
          <w:numId w:val="44"/>
        </w:numPr>
        <w:spacing w:after="5" w:line="250" w:lineRule="auto"/>
        <w:ind w:left="23" w:right="11" w:hanging="8"/>
        <w:jc w:val="both"/>
        <w:rPr>
          <w:rFonts w:ascii="Verdana" w:hAnsi="Verdana"/>
        </w:rPr>
      </w:pPr>
      <w:r w:rsidRPr="005B5CB6">
        <w:rPr>
          <w:rFonts w:ascii="Verdana" w:eastAsia="Verdana" w:hAnsi="Verdana" w:cs="Verdana"/>
        </w:rPr>
        <w:t>Other proposed measures focus on the political campaigners themselves.  In May 2019, the UK government announced measures to safeguard elections via new laws to bar people from running for office if found guilty of intimidating or abusive behaviour; and to ensure that online election material, via imprints, clearly shows who has produced it – thus helping the electorate evaluate and to come to their own conclusions about the online messages that they receive. It also launched a consultation on electoral integrity in order to protect UK politics from foreign influence.</w:t>
      </w:r>
      <w:r>
        <w:rPr>
          <w:rFonts w:ascii="Verdana" w:eastAsia="Verdana" w:hAnsi="Verdana" w:cs="Verdana"/>
          <w:vertAlign w:val="superscript"/>
        </w:rPr>
        <w:footnoteReference w:id="122"/>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4"/>
        </w:numPr>
        <w:spacing w:after="283" w:line="250" w:lineRule="auto"/>
        <w:ind w:left="23" w:right="11" w:hanging="8"/>
        <w:jc w:val="both"/>
        <w:rPr>
          <w:rFonts w:ascii="Verdana" w:hAnsi="Verdana"/>
        </w:rPr>
      </w:pPr>
      <w:r w:rsidRPr="005B5CB6">
        <w:rPr>
          <w:rFonts w:ascii="Verdana" w:eastAsia="Verdana" w:hAnsi="Verdana" w:cs="Verdana"/>
        </w:rPr>
        <w:t xml:space="preserve">The government’s attempts to inject transparency and integrity at source – i.e. with the politicians and their campaigners – is a good start, but we argue does not go far enough. If it is inevitable that political campaigners will use AI, social media and data analytics to increasingly target voters with messages iteratively tested and tailored to maximise engagement, then a </w:t>
      </w:r>
      <w:r w:rsidRPr="005B5CB6">
        <w:rPr>
          <w:rFonts w:ascii="Verdana" w:eastAsia="Verdana" w:hAnsi="Verdana" w:cs="Verdana"/>
          <w:b/>
        </w:rPr>
        <w:t>code of ethical conduct for political campaigners</w:t>
      </w:r>
      <w:r w:rsidRPr="005B5CB6">
        <w:rPr>
          <w:rFonts w:ascii="Verdana" w:eastAsia="Verdana" w:hAnsi="Verdana" w:cs="Verdana"/>
        </w:rPr>
        <w:t xml:space="preserve"> should be developed for the campaign</w:t>
      </w:r>
      <w:r w:rsidRPr="005B5CB6">
        <w:rPr>
          <w:rFonts w:ascii="Verdana" w:eastAsia="Verdana" w:hAnsi="Verdana" w:cs="Verdana"/>
          <w:i/>
        </w:rPr>
        <w:t xml:space="preserve"> </w:t>
      </w:r>
      <w:r w:rsidRPr="005B5CB6">
        <w:rPr>
          <w:rFonts w:ascii="Verdana" w:eastAsia="Verdana" w:hAnsi="Verdana" w:cs="Verdana"/>
        </w:rPr>
        <w:t>to be</w:t>
      </w:r>
      <w:r w:rsidRPr="005B5CB6">
        <w:rPr>
          <w:rFonts w:ascii="Verdana" w:eastAsia="Verdana" w:hAnsi="Verdana" w:cs="Verdana"/>
          <w:i/>
        </w:rPr>
        <w:t xml:space="preserve"> transparent, explainable</w:t>
      </w:r>
      <w:r w:rsidRPr="005B5CB6">
        <w:rPr>
          <w:rFonts w:ascii="Verdana" w:eastAsia="Verdana" w:hAnsi="Verdana" w:cs="Verdana"/>
        </w:rPr>
        <w:t xml:space="preserve">, </w:t>
      </w:r>
      <w:r w:rsidRPr="005B5CB6">
        <w:rPr>
          <w:rFonts w:ascii="Verdana" w:eastAsia="Verdana" w:hAnsi="Verdana" w:cs="Verdana"/>
          <w:i/>
        </w:rPr>
        <w:t>civil</w:t>
      </w:r>
      <w:r w:rsidRPr="005B5CB6">
        <w:rPr>
          <w:rFonts w:ascii="Verdana" w:eastAsia="Verdana" w:hAnsi="Verdana" w:cs="Verdana"/>
        </w:rPr>
        <w:t xml:space="preserve"> and </w:t>
      </w:r>
      <w:r w:rsidRPr="005B5CB6">
        <w:rPr>
          <w:rFonts w:ascii="Verdana" w:eastAsia="Verdana" w:hAnsi="Verdana" w:cs="Verdana"/>
          <w:i/>
        </w:rPr>
        <w:t>informative</w:t>
      </w:r>
      <w:r w:rsidRPr="005B5CB6">
        <w:rPr>
          <w:rFonts w:ascii="Verdana" w:eastAsia="Verdana" w:hAnsi="Verdana" w:cs="Verdana"/>
        </w:rPr>
        <w:t xml:space="preserve">. While each of these elements merit greater thought, we outline key considerations below.  </w:t>
      </w:r>
    </w:p>
    <w:p w:rsidR="00FB0B24" w:rsidRPr="005B5CB6" w:rsidP="003255A4">
      <w:pPr>
        <w:numPr>
          <w:ilvl w:val="1"/>
          <w:numId w:val="44"/>
        </w:numPr>
        <w:spacing w:after="269" w:line="250" w:lineRule="auto"/>
        <w:ind w:left="23" w:right="11" w:hanging="8"/>
        <w:jc w:val="both"/>
        <w:rPr>
          <w:rFonts w:ascii="Verdana" w:hAnsi="Verdana"/>
        </w:rPr>
      </w:pPr>
      <w:r w:rsidRPr="005B5CB6">
        <w:rPr>
          <w:rFonts w:ascii="Verdana" w:eastAsia="Verdana" w:hAnsi="Verdana" w:cs="Verdana"/>
        </w:rPr>
        <w:t xml:space="preserve">On </w:t>
      </w:r>
      <w:r w:rsidRPr="005B5CB6">
        <w:rPr>
          <w:rFonts w:ascii="Verdana" w:eastAsia="Verdana" w:hAnsi="Verdana" w:cs="Verdana"/>
          <w:b/>
        </w:rPr>
        <w:t>transparency</w:t>
      </w:r>
      <w:r w:rsidRPr="005B5CB6">
        <w:rPr>
          <w:rFonts w:ascii="Verdana" w:eastAsia="Verdana" w:hAnsi="Verdana" w:cs="Verdana"/>
          <w:i/>
        </w:rPr>
        <w:t xml:space="preserve">, </w:t>
      </w:r>
      <w:r w:rsidRPr="005B5CB6">
        <w:rPr>
          <w:rFonts w:ascii="Verdana" w:eastAsia="Verdana" w:hAnsi="Verdana" w:cs="Verdana"/>
        </w:rPr>
        <w:t xml:space="preserve">it is important to make clear if a political message has come from a political party, how much campaigners spend on digital campaigning, and where this money is spent. The Electoral Commission has long recommended </w:t>
      </w:r>
      <w:r w:rsidRPr="005B5CB6">
        <w:rPr>
          <w:rFonts w:ascii="Verdana" w:eastAsia="Verdana" w:hAnsi="Verdana" w:cs="Verdana"/>
        </w:rPr>
        <w:t>that digital messages should bear an imprint to clearly show who has produced them, thereby enabling voters to evaluate and reach their own conclusions about the digital messages that they receive. The Electoral Commission further recommends that the law is changed so that campaignrelated staff costs are included in the spending limits on political party campaign spending: given that digital campaigning, and use of data analytics and political consultants, are growing in importance (see section 3.2), this would greatly improve transparency on how much campaigners spend on digital campaigning.</w:t>
      </w:r>
      <w:r>
        <w:rPr>
          <w:rFonts w:ascii="Verdana" w:eastAsia="Verdana" w:hAnsi="Verdana" w:cs="Verdana"/>
          <w:vertAlign w:val="superscript"/>
        </w:rPr>
        <w:footnoteReference w:id="123"/>
      </w:r>
      <w:r w:rsidRPr="005B5CB6">
        <w:rPr>
          <w:rFonts w:ascii="Verdana" w:eastAsia="Verdana" w:hAnsi="Verdana" w:cs="Verdana"/>
        </w:rPr>
        <w:t xml:space="preserve">  The Electoral Commission also recommends that campaigners provide more information in their post-campaign spending returns about how the money was spent in digital campaigns, including invoices detailing the messages used in those campaigns, and which parts of the country they were targeted at.</w:t>
      </w:r>
      <w:r>
        <w:rPr>
          <w:rFonts w:ascii="Verdana" w:eastAsia="Verdana" w:hAnsi="Verdana" w:cs="Verdana"/>
          <w:vertAlign w:val="superscript"/>
        </w:rPr>
        <w:footnoteReference w:id="124"/>
      </w:r>
      <w:r w:rsidRPr="005B5CB6">
        <w:rPr>
          <w:rFonts w:ascii="Verdana" w:eastAsia="Verdana" w:hAnsi="Verdana" w:cs="Verdana"/>
        </w:rPr>
        <w:t xml:space="preserve"> Knowing where messages come from (at the point of reception), and how much was spent on data analytics and political consultants, and on targeting certain groups with certain messages (soon after the campaign is over), would significantly improve transparency.  </w:t>
      </w:r>
    </w:p>
    <w:p w:rsidR="00FB0B24" w:rsidRPr="005B5CB6" w:rsidP="003255A4">
      <w:pPr>
        <w:numPr>
          <w:ilvl w:val="1"/>
          <w:numId w:val="44"/>
        </w:numPr>
        <w:spacing w:after="128" w:line="250" w:lineRule="auto"/>
        <w:ind w:left="23" w:right="11" w:hanging="8"/>
        <w:jc w:val="both"/>
        <w:rPr>
          <w:rFonts w:ascii="Verdana" w:hAnsi="Verdana"/>
        </w:rPr>
      </w:pPr>
      <w:r w:rsidRPr="005B5CB6">
        <w:rPr>
          <w:rFonts w:ascii="Verdana" w:eastAsia="Verdana" w:hAnsi="Verdana" w:cs="Verdana"/>
        </w:rPr>
        <w:t xml:space="preserve">On </w:t>
      </w:r>
      <w:r w:rsidRPr="005B5CB6">
        <w:rPr>
          <w:rFonts w:ascii="Verdana" w:eastAsia="Verdana" w:hAnsi="Verdana" w:cs="Verdana"/>
          <w:b/>
        </w:rPr>
        <w:t>explainability</w:t>
      </w:r>
      <w:r w:rsidRPr="005B5CB6">
        <w:rPr>
          <w:rFonts w:ascii="Verdana" w:eastAsia="Verdana" w:hAnsi="Verdana" w:cs="Verdana"/>
        </w:rPr>
        <w:t xml:space="preserve">, ‘explainable AI’ refers to methods and techniques in the application of AI such that the results of the solution can be understood by human experts (rather than ‘black-boxed’ in Machine Learning where even their designers cannot explain why the AI arrived at a specific decision). Related, the </w:t>
      </w:r>
      <w:r w:rsidRPr="005B5CB6">
        <w:rPr>
          <w:rFonts w:ascii="Verdana" w:eastAsia="Verdana" w:hAnsi="Verdana" w:cs="Verdana"/>
          <w:i/>
        </w:rPr>
        <w:t>right to an explanation</w:t>
      </w:r>
      <w:r w:rsidRPr="005B5CB6">
        <w:rPr>
          <w:rFonts w:ascii="Verdana" w:eastAsia="Verdana" w:hAnsi="Verdana" w:cs="Verdana"/>
        </w:rPr>
        <w:t xml:space="preserve"> for an output of an algorithm is the subject of much discussion in AI and its sub-field of Machine Learning. It is normally conceived as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20120" name="Group 52012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418" name="Shape 63541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93" style="height:0.6pt;mso-position-horizontal-relative:char;mso-position-vertical-relative:line;width:2in" coordsize="18288,76">
                <v:shape id="_x0000_s1094"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an </w:t>
      </w:r>
      <w:r w:rsidRPr="005B5CB6">
        <w:rPr>
          <w:rFonts w:ascii="Verdana" w:eastAsia="Verdana" w:hAnsi="Verdana" w:cs="Verdana"/>
          <w:i/>
        </w:rPr>
        <w:t>individual right to be given an explanation for decisions by AIs that significantly affect an individual</w:t>
      </w:r>
      <w:r w:rsidRPr="005B5CB6">
        <w:rPr>
          <w:rFonts w:ascii="Verdana" w:eastAsia="Verdana" w:hAnsi="Verdana" w:cs="Verdana"/>
        </w:rPr>
        <w:t>, particularly legally or financially (e.g. being denied a loan because of your AI-generated profile). Indeed, Articles 13 and 14 of the EU General Data Protection Regulation (GDPR) state that when profiling takes place, a data subject has the right to ‘meaningful information about the logic involved’.</w:t>
      </w:r>
      <w:r>
        <w:rPr>
          <w:rFonts w:ascii="Verdana" w:eastAsia="Verdana" w:hAnsi="Verdana" w:cs="Verdana"/>
          <w:vertAlign w:val="superscript"/>
        </w:rPr>
        <w:footnoteReference w:id="125"/>
      </w:r>
      <w:r w:rsidRPr="005B5CB6">
        <w:rPr>
          <w:rFonts w:ascii="Verdana" w:eastAsia="Verdana" w:hAnsi="Verdana" w:cs="Verdana"/>
        </w:rPr>
        <w:t xml:space="preserve">  In the context of </w:t>
      </w:r>
      <w:r w:rsidRPr="005B5CB6">
        <w:rPr>
          <w:rFonts w:ascii="Verdana" w:eastAsia="Verdana" w:hAnsi="Verdana" w:cs="Verdana"/>
          <w:i/>
        </w:rPr>
        <w:t>voter profiling</w:t>
      </w:r>
      <w:r w:rsidRPr="005B5CB6">
        <w:rPr>
          <w:rFonts w:ascii="Verdana" w:eastAsia="Verdana" w:hAnsi="Verdana" w:cs="Verdana"/>
        </w:rPr>
        <w:t xml:space="preserve">, this prompts the questions: who has the right to such an explanation, and what is required to explain an algorithm’s decision?  We argue that </w:t>
      </w:r>
      <w:r w:rsidRPr="005B5CB6">
        <w:rPr>
          <w:rFonts w:ascii="Verdana" w:eastAsia="Verdana" w:hAnsi="Verdana" w:cs="Verdana"/>
          <w:i/>
        </w:rPr>
        <w:t>all</w:t>
      </w:r>
      <w:r w:rsidRPr="005B5CB6">
        <w:rPr>
          <w:rFonts w:ascii="Verdana" w:eastAsia="Verdana" w:hAnsi="Verdana" w:cs="Verdana"/>
        </w:rPr>
        <w:t xml:space="preserve"> citizens are affected by the outcomes of digital political campaigns that extensively use AI to profile voters. We also acknowledge that it is impossible to disentangle which aspects of the campaigns proved decisive. Hence, we argue that </w:t>
      </w:r>
      <w:r w:rsidRPr="005B5CB6">
        <w:rPr>
          <w:rFonts w:ascii="Verdana" w:eastAsia="Verdana" w:hAnsi="Verdana" w:cs="Verdana"/>
          <w:i/>
        </w:rPr>
        <w:t>wherever AI is significantly used in political campaigns</w:t>
      </w:r>
      <w:r w:rsidRPr="005B5CB6">
        <w:rPr>
          <w:rFonts w:ascii="Verdana" w:eastAsia="Verdana" w:hAnsi="Verdana" w:cs="Verdana"/>
        </w:rPr>
        <w:t xml:space="preserve"> (as it was in the EU Referendum – see Section 4), </w:t>
      </w:r>
      <w:r w:rsidRPr="005B5CB6">
        <w:rPr>
          <w:rFonts w:ascii="Verdana" w:eastAsia="Verdana" w:hAnsi="Verdana" w:cs="Verdana"/>
          <w:i/>
        </w:rPr>
        <w:t>all voters deserve an explanation</w:t>
      </w:r>
      <w:r w:rsidRPr="005B5CB6">
        <w:rPr>
          <w:rFonts w:ascii="Verdana" w:eastAsia="Verdana" w:hAnsi="Verdana" w:cs="Verdana"/>
        </w:rPr>
        <w:t xml:space="preserve"> on who was targeted with specific messages. The details of what that explanation should cover will require further thought, but derived from information considered in this submission, the explanation should be able to include: which audiences were targeted; what the basis of the targeting was (including demographics, psychographics, and probabilistic data inferences from metadata arising from audience’s device use and behaviour); with what sort of messages; to what end </w:t>
      </w:r>
      <w:r w:rsidRPr="005B5CB6">
        <w:rPr>
          <w:rFonts w:ascii="Verdana" w:eastAsia="Verdana" w:hAnsi="Verdana" w:cs="Verdana"/>
        </w:rPr>
        <w:t xml:space="preserve">(e.g. voter mobilisation, suppression); and which aspects of the campaign most succeeded in engaging voters (e.g. specific adverts, messages, themes, memes).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4"/>
        </w:numPr>
        <w:spacing w:after="5" w:line="250" w:lineRule="auto"/>
        <w:ind w:left="23" w:right="11" w:hanging="8"/>
        <w:jc w:val="both"/>
        <w:rPr>
          <w:rFonts w:ascii="Verdana" w:hAnsi="Verdana"/>
        </w:rPr>
      </w:pPr>
      <w:r w:rsidRPr="005B5CB6">
        <w:rPr>
          <w:rFonts w:ascii="Verdana" w:eastAsia="Verdana" w:hAnsi="Verdana" w:cs="Verdana"/>
        </w:rPr>
        <w:t xml:space="preserve">On </w:t>
      </w:r>
      <w:r w:rsidRPr="005B5CB6">
        <w:rPr>
          <w:rFonts w:ascii="Verdana" w:eastAsia="Verdana" w:hAnsi="Verdana" w:cs="Verdana"/>
          <w:b/>
        </w:rPr>
        <w:t>civility</w:t>
      </w:r>
      <w:r w:rsidRPr="005B5CB6">
        <w:rPr>
          <w:rFonts w:ascii="Verdana" w:eastAsia="Verdana" w:hAnsi="Verdana" w:cs="Verdana"/>
        </w:rPr>
        <w:t>, the Electoral Commission notes that campaign material must not incite others to commit crimes; and that it is a crime to make or publish a false statement of fact about the personal character or conduct of a candidate.</w:t>
      </w:r>
      <w:r>
        <w:rPr>
          <w:rFonts w:ascii="Verdana" w:eastAsia="Verdana" w:hAnsi="Verdana" w:cs="Verdana"/>
          <w:vertAlign w:val="superscript"/>
        </w:rPr>
        <w:footnoteReference w:id="126"/>
      </w:r>
      <w:r w:rsidRPr="005B5CB6">
        <w:rPr>
          <w:rFonts w:ascii="Verdana" w:eastAsia="Verdana" w:hAnsi="Verdana" w:cs="Verdana"/>
        </w:rPr>
        <w:t xml:space="preserve">  </w:t>
      </w:r>
    </w:p>
    <w:p w:rsidR="00FB0B24" w:rsidRPr="005B5CB6" w:rsidP="003255A4">
      <w:pPr>
        <w:spacing w:after="77" w:line="250" w:lineRule="auto"/>
        <w:ind w:left="23" w:right="11" w:hanging="8"/>
        <w:jc w:val="both"/>
        <w:rPr>
          <w:rFonts w:ascii="Verdana" w:hAnsi="Verdana"/>
        </w:rPr>
      </w:pPr>
      <w:r w:rsidRPr="005B5CB6">
        <w:rPr>
          <w:rFonts w:ascii="Verdana" w:eastAsia="Verdana" w:hAnsi="Verdana" w:cs="Verdana"/>
        </w:rPr>
        <w:t>The Committee on Standards in Public Life’s Inquiry into Intimidation in Public Life recommends that political parties should develop codes of conduct about intimidatory behaviour.</w:t>
      </w:r>
      <w:r>
        <w:rPr>
          <w:rFonts w:ascii="Verdana" w:eastAsia="Verdana" w:hAnsi="Verdana" w:cs="Verdana"/>
          <w:vertAlign w:val="superscript"/>
        </w:rPr>
        <w:footnoteReference w:id="127"/>
      </w:r>
      <w:r w:rsidRPr="005B5CB6">
        <w:rPr>
          <w:rFonts w:ascii="Verdana" w:eastAsia="Verdana" w:hAnsi="Verdana" w:cs="Verdana"/>
        </w:rPr>
        <w:t xml:space="preserve"> The Electoral Commission thinks that campaigners should also take more responsibility for the tone of their arguments and the claims they make in their campaign material.</w:t>
      </w:r>
      <w:r>
        <w:rPr>
          <w:rFonts w:ascii="Verdana" w:eastAsia="Verdana" w:hAnsi="Verdana" w:cs="Verdana"/>
          <w:vertAlign w:val="superscript"/>
        </w:rPr>
        <w:footnoteReference w:id="128"/>
      </w:r>
      <w:r w:rsidRPr="005B5CB6">
        <w:rPr>
          <w:rFonts w:ascii="Verdana" w:eastAsia="Verdana" w:hAnsi="Verdana" w:cs="Verdana"/>
        </w:rPr>
        <w:t xml:space="preserve">  More work is needed to generate a typology of civility in political campaigning, but we can start with the legal, and progress to the moral. On the legal, a civil political campaign will not incite others to commit crimes; and will not make false statements of fact about the personal character or conduct of a candidate. On the moral, philosopher Olberding is instructive. Her phrases to describe incivility include: cruel, nasty, aggressive, disrespect, and pitched to provoke anger and outrage. Such characteristics could form a typology of what should be avoided in civil political campaigning. However, Olberding also argues that while the desire to be civil equates with the desire to be </w:t>
      </w:r>
      <w:r w:rsidRPr="005B5CB6">
        <w:rPr>
          <w:rFonts w:ascii="Verdana" w:eastAsia="Verdana" w:hAnsi="Verdana" w:cs="Verdana"/>
          <w:i/>
        </w:rPr>
        <w:t>moral</w:t>
      </w:r>
      <w:r w:rsidRPr="005B5CB6">
        <w:rPr>
          <w:rFonts w:ascii="Verdana" w:eastAsia="Verdana" w:hAnsi="Verdana" w:cs="Verdana"/>
        </w:rPr>
        <w:t xml:space="preserve"> (i.e. to treat others humanely, with respect, toleration and consideration), sometimes, moral behaviour requires displays of ‘disrespect or enmity, to mock or shun, to insult or shame’ in order to stop those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9911" name="Group 51991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420" name="Shape 63542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95" style="height:0.6pt;mso-position-horizontal-relative:char;mso-position-vertical-relative:line;width:2in" coordsize="18288,76">
                <v:shape id="_x0000_s1096"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34" w:line="250" w:lineRule="auto"/>
        <w:ind w:left="23" w:right="11" w:hanging="8"/>
        <w:jc w:val="both"/>
        <w:rPr>
          <w:rFonts w:ascii="Verdana" w:hAnsi="Verdana"/>
        </w:rPr>
      </w:pPr>
      <w:r w:rsidRPr="005B5CB6">
        <w:rPr>
          <w:rFonts w:ascii="Verdana" w:eastAsia="Verdana" w:hAnsi="Verdana" w:cs="Verdana"/>
        </w:rPr>
        <w:t xml:space="preserve">who damage our shared humanity from continuing in their destructive ways. Sometimes, then, we can </w:t>
      </w:r>
      <w:r w:rsidRPr="005B5CB6">
        <w:rPr>
          <w:rFonts w:ascii="Verdana" w:eastAsia="Verdana" w:hAnsi="Verdana" w:cs="Verdana"/>
          <w:i/>
        </w:rPr>
        <w:t>reason</w:t>
      </w:r>
      <w:r w:rsidRPr="005B5CB6">
        <w:rPr>
          <w:rFonts w:ascii="Verdana" w:eastAsia="Verdana" w:hAnsi="Verdana" w:cs="Verdana"/>
        </w:rPr>
        <w:t xml:space="preserve"> that we need to be </w:t>
      </w:r>
      <w:r w:rsidRPr="005B5CB6">
        <w:rPr>
          <w:rFonts w:ascii="Verdana" w:eastAsia="Verdana" w:hAnsi="Verdana" w:cs="Verdana"/>
          <w:i/>
        </w:rPr>
        <w:t>righteously incivil</w:t>
      </w:r>
      <w:r w:rsidRPr="005B5CB6">
        <w:rPr>
          <w:rFonts w:ascii="Verdana" w:eastAsia="Verdana" w:hAnsi="Verdana" w:cs="Verdana"/>
        </w:rPr>
        <w:t>, disrupting the usual civil patterns because we morally judge that they need</w:t>
      </w:r>
      <w:r w:rsidRPr="005B5CB6">
        <w:rPr>
          <w:rFonts w:ascii="Verdana" w:eastAsia="Verdana" w:hAnsi="Verdana" w:cs="Verdana"/>
          <w:i/>
        </w:rPr>
        <w:t xml:space="preserve"> </w:t>
      </w:r>
      <w:r w:rsidRPr="005B5CB6">
        <w:rPr>
          <w:rFonts w:ascii="Verdana" w:eastAsia="Verdana" w:hAnsi="Verdana" w:cs="Verdana"/>
        </w:rPr>
        <w:t>disrupting (e.g. for reasons of integrity or some greater social good). We argue, then, that while political campaigners should strive towards civility, if they deliberately breach the codes of civililty, then they should be able to rationally justify why.</w:t>
      </w:r>
      <w:r w:rsidRPr="005B5CB6">
        <w:rPr>
          <w:rFonts w:ascii="Verdana" w:eastAsia="Verdana" w:hAnsi="Verdana" w:cs="Verdana"/>
          <w:vertAlign w:val="superscript"/>
        </w:rPr>
        <w:t>135</w:t>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4"/>
        </w:numPr>
        <w:spacing w:after="5" w:line="250" w:lineRule="auto"/>
        <w:ind w:left="23" w:right="11" w:hanging="8"/>
        <w:jc w:val="both"/>
        <w:rPr>
          <w:rFonts w:ascii="Verdana" w:hAnsi="Verdana"/>
        </w:rPr>
      </w:pPr>
      <w:r w:rsidRPr="005B5CB6">
        <w:rPr>
          <w:rFonts w:ascii="Verdana" w:eastAsia="Verdana" w:hAnsi="Verdana" w:cs="Verdana"/>
        </w:rPr>
        <w:t xml:space="preserve">On </w:t>
      </w:r>
      <w:r w:rsidRPr="005B5CB6">
        <w:rPr>
          <w:rFonts w:ascii="Verdana" w:eastAsia="Verdana" w:hAnsi="Verdana" w:cs="Verdana"/>
          <w:b/>
        </w:rPr>
        <w:t>informativeness</w:t>
      </w:r>
      <w:r w:rsidRPr="005B5CB6">
        <w:rPr>
          <w:rFonts w:ascii="Verdana" w:eastAsia="Verdana" w:hAnsi="Verdana" w:cs="Verdana"/>
        </w:rPr>
        <w:t>.</w:t>
      </w:r>
      <w:r w:rsidRPr="005B5CB6">
        <w:rPr>
          <w:rFonts w:ascii="Verdana" w:eastAsia="Verdana" w:hAnsi="Verdana" w:cs="Verdana"/>
          <w:i/>
        </w:rPr>
        <w:t xml:space="preserve"> </w:t>
      </w:r>
      <w:r w:rsidRPr="005B5CB6">
        <w:rPr>
          <w:rFonts w:ascii="Verdana" w:eastAsia="Verdana" w:hAnsi="Verdana" w:cs="Verdana"/>
        </w:rPr>
        <w:t>Political campaigns should give voters enough information to freely make an informed judgment on which to base their electoral decision. This is the crux of Bakir et al.’s conceptual framework that distinguishes propaganda from ethically acceptable organised persuasive communications.</w:t>
      </w:r>
      <w:r w:rsidRPr="005B5CB6">
        <w:rPr>
          <w:rFonts w:ascii="Verdana" w:eastAsia="Verdana" w:hAnsi="Verdana" w:cs="Verdana"/>
          <w:vertAlign w:val="superscript"/>
        </w:rPr>
        <w:t>136</w:t>
      </w:r>
      <w:r w:rsidRPr="005B5CB6">
        <w:rPr>
          <w:rFonts w:ascii="Verdana" w:eastAsia="Verdana" w:hAnsi="Verdana" w:cs="Verdana"/>
        </w:rPr>
        <w:t xml:space="preserve"> If political campaigns deliberately seek to misinform voters, or to keep voters uninformed, then the campaign moves from being informative to being deceptive. There are many forms of deceptive communications, but the most common are lying, distortion, omission and misdirection. Deception through</w:t>
      </w:r>
      <w:r w:rsidRPr="005B5CB6">
        <w:rPr>
          <w:rFonts w:ascii="Verdana" w:eastAsia="Verdana" w:hAnsi="Verdana" w:cs="Verdana"/>
          <w:i/>
        </w:rPr>
        <w:t xml:space="preserve"> lying</w:t>
      </w:r>
      <w:r w:rsidRPr="005B5CB6">
        <w:rPr>
          <w:rFonts w:ascii="Verdana" w:eastAsia="Verdana" w:hAnsi="Verdana" w:cs="Verdana"/>
        </w:rPr>
        <w:t xml:space="preserve"> involves making a statement that is known to be untrue in order to mislead. Deception</w:t>
      </w:r>
      <w:r w:rsidRPr="005B5CB6">
        <w:rPr>
          <w:rFonts w:ascii="Verdana" w:eastAsia="Verdana" w:hAnsi="Verdana" w:cs="Verdana"/>
          <w:i/>
        </w:rPr>
        <w:t xml:space="preserve"> </w:t>
      </w:r>
      <w:r w:rsidRPr="005B5CB6">
        <w:rPr>
          <w:rFonts w:ascii="Verdana" w:eastAsia="Verdana" w:hAnsi="Verdana" w:cs="Verdana"/>
        </w:rPr>
        <w:t>through</w:t>
      </w:r>
      <w:r w:rsidRPr="005B5CB6">
        <w:rPr>
          <w:rFonts w:ascii="Verdana" w:eastAsia="Verdana" w:hAnsi="Verdana" w:cs="Verdana"/>
          <w:i/>
        </w:rPr>
        <w:t xml:space="preserve"> omission</w:t>
      </w:r>
      <w:r w:rsidRPr="005B5CB6">
        <w:rPr>
          <w:rFonts w:ascii="Verdana" w:eastAsia="Verdana" w:hAnsi="Verdana" w:cs="Verdana"/>
        </w:rPr>
        <w:t xml:space="preserve"> involves withholding information to make the viewpoint being </w:t>
      </w:r>
      <w:r w:rsidRPr="005B5CB6">
        <w:rPr>
          <w:rFonts w:ascii="Verdana" w:eastAsia="Verdana" w:hAnsi="Verdana" w:cs="Verdana"/>
        </w:rPr>
        <w:t>promoted more persuasive. Deception</w:t>
      </w:r>
      <w:r w:rsidRPr="005B5CB6">
        <w:rPr>
          <w:rFonts w:ascii="Verdana" w:eastAsia="Verdana" w:hAnsi="Verdana" w:cs="Verdana"/>
          <w:i/>
        </w:rPr>
        <w:t xml:space="preserve"> </w:t>
      </w:r>
      <w:r w:rsidRPr="005B5CB6">
        <w:rPr>
          <w:rFonts w:ascii="Verdana" w:eastAsia="Verdana" w:hAnsi="Verdana" w:cs="Verdana"/>
        </w:rPr>
        <w:t>through</w:t>
      </w:r>
      <w:r w:rsidRPr="005B5CB6">
        <w:rPr>
          <w:rFonts w:ascii="Verdana" w:eastAsia="Verdana" w:hAnsi="Verdana" w:cs="Verdana"/>
          <w:i/>
        </w:rPr>
        <w:t xml:space="preserve"> distortion</w:t>
      </w:r>
      <w:r w:rsidRPr="005B5CB6">
        <w:rPr>
          <w:rFonts w:ascii="Verdana" w:eastAsia="Verdana" w:hAnsi="Verdana" w:cs="Verdana"/>
        </w:rPr>
        <w:t xml:space="preserve"> involves presenting a statement in a deliberately misleading way (for instance, exaggerating or de-emphasising information) to support the viewpoint being promoted. Deception</w:t>
      </w:r>
      <w:r w:rsidRPr="005B5CB6">
        <w:rPr>
          <w:rFonts w:ascii="Verdana" w:eastAsia="Verdana" w:hAnsi="Verdana" w:cs="Verdana"/>
          <w:i/>
        </w:rPr>
        <w:t xml:space="preserve"> </w:t>
      </w:r>
      <w:r w:rsidRPr="005B5CB6">
        <w:rPr>
          <w:rFonts w:ascii="Verdana" w:eastAsia="Verdana" w:hAnsi="Verdana" w:cs="Verdana"/>
        </w:rPr>
        <w:t>through</w:t>
      </w:r>
      <w:r w:rsidRPr="005B5CB6">
        <w:rPr>
          <w:rFonts w:ascii="Verdana" w:eastAsia="Verdana" w:hAnsi="Verdana" w:cs="Verdana"/>
          <w:i/>
        </w:rPr>
        <w:t xml:space="preserve"> misdirection</w:t>
      </w:r>
      <w:r w:rsidRPr="005B5CB6">
        <w:rPr>
          <w:rFonts w:ascii="Verdana" w:eastAsia="Verdana" w:hAnsi="Verdana" w:cs="Verdana"/>
        </w:rPr>
        <w:t xml:space="preserve"> entails producing and disseminating true information intended to divert public attention away from other problematic issues. While other forms of deception may also be pertinent, we argue that the code of ethical conduct in political campaigning should ask: was the information presented by the campaign </w:t>
      </w:r>
      <w:r w:rsidRPr="005B5CB6">
        <w:rPr>
          <w:rFonts w:ascii="Verdana" w:eastAsia="Verdana" w:hAnsi="Verdana" w:cs="Verdana"/>
          <w:i/>
        </w:rPr>
        <w:t>true</w:t>
      </w:r>
      <w:r w:rsidRPr="005B5CB6">
        <w:rPr>
          <w:rFonts w:ascii="Verdana" w:eastAsia="Verdana" w:hAnsi="Verdana" w:cs="Verdana"/>
        </w:rPr>
        <w:t xml:space="preserve">, </w:t>
      </w:r>
      <w:r w:rsidRPr="005B5CB6">
        <w:rPr>
          <w:rFonts w:ascii="Verdana" w:eastAsia="Verdana" w:hAnsi="Verdana" w:cs="Verdana"/>
          <w:i/>
        </w:rPr>
        <w:t>complete</w:t>
      </w:r>
      <w:r w:rsidRPr="005B5CB6">
        <w:rPr>
          <w:rFonts w:ascii="Verdana" w:eastAsia="Verdana" w:hAnsi="Verdana" w:cs="Verdana"/>
        </w:rPr>
        <w:t xml:space="preserve">, </w:t>
      </w:r>
      <w:r w:rsidRPr="005B5CB6">
        <w:rPr>
          <w:rFonts w:ascii="Verdana" w:eastAsia="Verdana" w:hAnsi="Verdana" w:cs="Verdana"/>
          <w:i/>
        </w:rPr>
        <w:t>undistorted</w:t>
      </w:r>
      <w:r w:rsidRPr="005B5CB6">
        <w:rPr>
          <w:rFonts w:ascii="Verdana" w:eastAsia="Verdana" w:hAnsi="Verdana" w:cs="Verdana"/>
        </w:rPr>
        <w:t xml:space="preserve"> and </w:t>
      </w:r>
      <w:r w:rsidRPr="005B5CB6">
        <w:rPr>
          <w:rFonts w:ascii="Verdana" w:eastAsia="Verdana" w:hAnsi="Verdana" w:cs="Verdana"/>
          <w:i/>
        </w:rPr>
        <w:t>relevant</w:t>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4"/>
        </w:numPr>
        <w:spacing w:after="192" w:line="250" w:lineRule="auto"/>
        <w:ind w:left="23" w:right="11" w:hanging="8"/>
        <w:jc w:val="both"/>
        <w:rPr>
          <w:rFonts w:ascii="Verdana" w:hAnsi="Verdana"/>
        </w:rPr>
      </w:pPr>
      <w:r w:rsidRPr="005B5CB6">
        <w:rPr>
          <w:rFonts w:ascii="Verdana" w:eastAsia="Verdana" w:hAnsi="Verdana" w:cs="Verdana"/>
        </w:rPr>
        <w:t xml:space="preserve">The institution of a </w:t>
      </w:r>
      <w:r w:rsidRPr="005B5CB6">
        <w:rPr>
          <w:rFonts w:ascii="Verdana" w:eastAsia="Verdana" w:hAnsi="Verdana" w:cs="Verdana"/>
          <w:b/>
        </w:rPr>
        <w:t>code of ethical conduct for political campaigners</w:t>
      </w:r>
      <w:r w:rsidRPr="005B5CB6">
        <w:rPr>
          <w:rFonts w:ascii="Verdana" w:eastAsia="Verdana" w:hAnsi="Verdana" w:cs="Verdana"/>
        </w:rPr>
        <w:t xml:space="preserve"> should be a process of long-term education of all citizens and campaigners, conducted and contextualised by each election or referendum.</w:t>
      </w:r>
      <w:r w:rsidRPr="005B5CB6">
        <w:rPr>
          <w:rFonts w:ascii="Verdana" w:eastAsia="Verdana" w:hAnsi="Verdana" w:cs="Verdana"/>
          <w:vertAlign w:val="superscript"/>
        </w:rPr>
        <w:t>137</w:t>
      </w:r>
      <w:r w:rsidRPr="005B5CB6">
        <w:rPr>
          <w:rFonts w:ascii="Verdana" w:eastAsia="Verdana" w:hAnsi="Verdana" w:cs="Verdana"/>
        </w:rPr>
        <w:t xml:space="preserve"> This will help voters recognise if, and how, they have been targeted with emotive and/or deceptive online messages (research indicates that people are poor judges in these areas).</w:t>
      </w:r>
      <w:r w:rsidRPr="005B5CB6">
        <w:rPr>
          <w:rFonts w:ascii="Verdana" w:eastAsia="Verdana" w:hAnsi="Verdana" w:cs="Verdana"/>
          <w:vertAlign w:val="superscript"/>
        </w:rPr>
        <w:t>138</w:t>
      </w:r>
      <w:r w:rsidRPr="005B5CB6">
        <w:rPr>
          <w:rFonts w:ascii="Verdana" w:eastAsia="Verdana" w:hAnsi="Verdana" w:cs="Verdana"/>
        </w:rPr>
        <w:t xml:space="preserve"> Cultural norms change with time, and what constitutes uncivil or deceptive political communications will be contextual and interpretive. However,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21248" name="Group 52124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424" name="Shape 63542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97" style="height:0.6pt;mso-position-horizontal-relative:char;mso-position-vertical-relative:line;width:2in" coordsize="18288,76">
                <v:shape id="_x0000_s1098"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numPr>
          <w:ilvl w:val="0"/>
          <w:numId w:val="45"/>
        </w:numPr>
        <w:spacing w:after="3" w:line="252" w:lineRule="auto"/>
        <w:ind w:hanging="10"/>
        <w:jc w:val="both"/>
        <w:rPr>
          <w:rFonts w:ascii="Verdana" w:hAnsi="Verdana"/>
        </w:rPr>
      </w:pPr>
      <w:r w:rsidRPr="005B5CB6">
        <w:rPr>
          <w:rFonts w:ascii="Verdana" w:hAnsi="Verdana"/>
        </w:rPr>
        <w:t xml:space="preserve">Olberding, A. 2019. </w:t>
      </w:r>
      <w:r w:rsidRPr="005B5CB6">
        <w:rPr>
          <w:rFonts w:ascii="Verdana" w:hAnsi="Verdana"/>
          <w:i/>
        </w:rPr>
        <w:t>Righteous incivility</w:t>
      </w:r>
      <w:r w:rsidRPr="005B5CB6">
        <w:rPr>
          <w:rFonts w:ascii="Verdana" w:hAnsi="Verdana"/>
        </w:rPr>
        <w:t xml:space="preserve">. 5 September. </w:t>
      </w:r>
      <w:r>
        <w:fldChar w:fldCharType="begin"/>
      </w:r>
      <w:r>
        <w:instrText xml:space="preserve"> HYPERLINK "https://aeon.co/essays/whats-the-difference-between-being-righteous-and-being-rude" </w:instrText>
      </w:r>
      <w:r>
        <w:fldChar w:fldCharType="separate"/>
      </w:r>
      <w:r w:rsidRPr="005B5CB6">
        <w:rPr>
          <w:rFonts w:ascii="Verdana" w:hAnsi="Verdana"/>
          <w:u w:val="single" w:color="000000"/>
        </w:rPr>
        <w:t>https://aeon.co/essays/whats-the-difference-between-being</w:t>
      </w:r>
      <w:r>
        <w:fldChar w:fldCharType="end"/>
      </w:r>
      <w:r>
        <w:fldChar w:fldCharType="begin"/>
      </w:r>
      <w:r>
        <w:instrText xml:space="preserve"> HYPERLINK "https://aeon.co/essays/whats-the-difference-between-being-righteous-and-being-rude" </w:instrText>
      </w:r>
      <w:r>
        <w:fldChar w:fldCharType="separate"/>
      </w:r>
      <w:r w:rsidRPr="005B5CB6">
        <w:rPr>
          <w:rFonts w:ascii="Verdana" w:hAnsi="Verdana"/>
          <w:u w:val="single" w:color="000000"/>
        </w:rPr>
        <w:t>righteous-and-being-rude</w:t>
      </w:r>
      <w:r>
        <w:fldChar w:fldCharType="end"/>
      </w:r>
      <w:r>
        <w:fldChar w:fldCharType="begin"/>
      </w:r>
      <w:r>
        <w:instrText xml:space="preserve"> HYPERLINK "https://aeon.co/essays/whats-the-difference-between-being-righteous-and-being-rude" </w:instrText>
      </w:r>
      <w:r>
        <w:fldChar w:fldCharType="separate"/>
      </w:r>
      <w:r w:rsidRPr="005B5CB6">
        <w:rPr>
          <w:rFonts w:ascii="Verdana" w:hAnsi="Verdana"/>
        </w:rPr>
        <w:t xml:space="preserve"> .</w:t>
      </w:r>
      <w:r>
        <w:fldChar w:fldCharType="end"/>
      </w:r>
      <w:r w:rsidRPr="005B5CB6">
        <w:rPr>
          <w:rFonts w:ascii="Verdana" w:hAnsi="Verdana"/>
        </w:rPr>
        <w:t xml:space="preserve"> Also see Olberding, A. 2019. </w:t>
      </w:r>
      <w:r w:rsidRPr="005B5CB6">
        <w:rPr>
          <w:rFonts w:ascii="Verdana" w:hAnsi="Verdana"/>
          <w:i/>
        </w:rPr>
        <w:t>The wrong of rudeness: learning modern civility from ancient Chinese philosophy</w:t>
      </w:r>
      <w:r w:rsidRPr="005B5CB6">
        <w:rPr>
          <w:rFonts w:ascii="Verdana" w:hAnsi="Verdana"/>
        </w:rPr>
        <w:t xml:space="preserve">. Oxford University Press.  </w:t>
      </w:r>
    </w:p>
    <w:p w:rsidR="00FB0B24" w:rsidRPr="005B5CB6" w:rsidP="003255A4">
      <w:pPr>
        <w:numPr>
          <w:ilvl w:val="0"/>
          <w:numId w:val="45"/>
        </w:numPr>
        <w:spacing w:after="11" w:line="249" w:lineRule="auto"/>
        <w:ind w:hanging="10"/>
        <w:jc w:val="both"/>
        <w:rPr>
          <w:rFonts w:ascii="Verdana" w:hAnsi="Verdana"/>
        </w:rPr>
      </w:pPr>
      <w:r w:rsidRPr="005B5CB6">
        <w:rPr>
          <w:rFonts w:ascii="Verdana" w:hAnsi="Verdana"/>
        </w:rPr>
        <w:t>Bakir, V., Herring, E., Miller, D. &amp; Robinson, P. 2018. Organized persuasive communication: a new conceptual framework for research on public relations, propaganda and promotional culture.</w:t>
      </w:r>
      <w:r w:rsidRPr="005B5CB6">
        <w:rPr>
          <w:rFonts w:ascii="Verdana" w:hAnsi="Verdana"/>
          <w:i/>
        </w:rPr>
        <w:t xml:space="preserve"> Critical Sociology</w:t>
      </w:r>
      <w:r w:rsidRPr="005B5CB6">
        <w:rPr>
          <w:rFonts w:ascii="Verdana" w:hAnsi="Verdana"/>
        </w:rPr>
        <w:t xml:space="preserve">. </w:t>
      </w:r>
    </w:p>
    <w:p w:rsidR="00FB0B24" w:rsidRPr="005B5CB6" w:rsidP="003255A4">
      <w:pPr>
        <w:spacing w:after="5" w:line="249" w:lineRule="auto"/>
        <w:ind w:left="-4" w:hanging="10"/>
        <w:jc w:val="both"/>
        <w:rPr>
          <w:rFonts w:ascii="Verdana" w:hAnsi="Verdana"/>
        </w:rPr>
      </w:pPr>
      <w:r>
        <w:fldChar w:fldCharType="begin"/>
      </w:r>
      <w:r>
        <w:instrText xml:space="preserve"> HYPERLINK "https://doi.org/10.1177/0896920518764586" </w:instrText>
      </w:r>
      <w:r>
        <w:fldChar w:fldCharType="separate"/>
      </w:r>
      <w:r w:rsidRPr="005B5CB6" w:rsidR="00A72806">
        <w:rPr>
          <w:rFonts w:ascii="Verdana" w:hAnsi="Verdana"/>
          <w:u w:val="single" w:color="000000"/>
        </w:rPr>
        <w:t>https://doi.org/10.1177/0896920518764586</w:t>
      </w:r>
      <w:r>
        <w:fldChar w:fldCharType="end"/>
      </w:r>
      <w:r>
        <w:fldChar w:fldCharType="begin"/>
      </w:r>
      <w:r>
        <w:instrText xml:space="preserve"> HYPERLINK "https://doi.org/10.1177/0896920518764586" </w:instrText>
      </w:r>
      <w:r>
        <w:fldChar w:fldCharType="separate"/>
      </w:r>
      <w:r w:rsidRPr="005B5CB6" w:rsidR="00A72806">
        <w:rPr>
          <w:rFonts w:ascii="Verdana" w:hAnsi="Verdana"/>
        </w:rPr>
        <w:t xml:space="preserve">  </w:t>
      </w:r>
      <w:r>
        <w:fldChar w:fldCharType="end"/>
      </w:r>
    </w:p>
    <w:p w:rsidR="00FB0B24" w:rsidRPr="005B5CB6" w:rsidP="003255A4">
      <w:pPr>
        <w:numPr>
          <w:ilvl w:val="0"/>
          <w:numId w:val="45"/>
        </w:numPr>
        <w:spacing w:after="11" w:line="249" w:lineRule="auto"/>
        <w:ind w:hanging="10"/>
        <w:jc w:val="both"/>
        <w:rPr>
          <w:rFonts w:ascii="Verdana" w:hAnsi="Verdana"/>
        </w:rPr>
      </w:pPr>
      <w:r w:rsidRPr="005B5CB6">
        <w:rPr>
          <w:rFonts w:ascii="Verdana" w:hAnsi="Verdana"/>
        </w:rPr>
        <w:t xml:space="preserve">Numerous government inquiries and studies into online disinformation agree on the importance of education in improving digital literacy and building societal resilience to disinformation. However, most simply focus on recognising disinformation or deception See: European Commission. 2018. </w:t>
      </w:r>
      <w:r w:rsidRPr="005B5CB6">
        <w:rPr>
          <w:rFonts w:ascii="Verdana" w:hAnsi="Verdana"/>
          <w:i/>
        </w:rPr>
        <w:t>A multi- dimensional approach to disinformation</w:t>
      </w:r>
      <w:r w:rsidRPr="005B5CB6">
        <w:rPr>
          <w:rFonts w:ascii="Verdana" w:hAnsi="Verdana"/>
        </w:rPr>
        <w:t>, 12 March, Directorate-General for Communication Networks, Content &amp; Technology</w:t>
      </w:r>
      <w:r>
        <w:fldChar w:fldCharType="begin"/>
      </w:r>
      <w:r>
        <w:instrText xml:space="preserve"> HYPERLINK "https://ec.europa.eu/digitalsingle-market/en/news/final-report-high-level-expert-group-fake-news-and-onlinedisinformation%20p.20" </w:instrText>
      </w:r>
      <w:r>
        <w:fldChar w:fldCharType="separate"/>
      </w:r>
      <w:r w:rsidRPr="005B5CB6">
        <w:rPr>
          <w:rFonts w:ascii="Verdana" w:hAnsi="Verdana"/>
        </w:rPr>
        <w:t xml:space="preserve">, </w:t>
      </w:r>
      <w:r>
        <w:fldChar w:fldCharType="end"/>
      </w:r>
      <w:r>
        <w:fldChar w:fldCharType="begin"/>
      </w:r>
      <w:r>
        <w:instrText xml:space="preserve"> HYPERLINK "https://ec.europa.eu/digitalsingle-market/en/news/final-report-high-level-expert-group-fake-news-and-onlinedisinformation%20p.20" </w:instrText>
      </w:r>
      <w:r>
        <w:fldChar w:fldCharType="separate"/>
      </w:r>
      <w:r w:rsidRPr="005B5CB6">
        <w:rPr>
          <w:rFonts w:ascii="Verdana" w:hAnsi="Verdana"/>
          <w:u w:val="single" w:color="000000"/>
        </w:rPr>
        <w:t>https://ec.europa.eu/digitalsingle</w:t>
      </w:r>
      <w:r>
        <w:fldChar w:fldCharType="end"/>
      </w:r>
      <w:r>
        <w:fldChar w:fldCharType="begin"/>
      </w:r>
      <w:r>
        <w:instrText xml:space="preserve"> HYPERLINK "https://ec.europa.eu/digitalsingle-market/en/news/final-report-high-level-expert-group-fake-news-and-onlinedisinformation%20p.20" </w:instrText>
      </w:r>
      <w:r>
        <w:fldChar w:fldCharType="separate"/>
      </w:r>
      <w:r w:rsidRPr="005B5CB6">
        <w:rPr>
          <w:rFonts w:ascii="Verdana" w:hAnsi="Verdana"/>
          <w:u w:val="single" w:color="000000"/>
        </w:rPr>
        <w:t>market/en/news/final-report-high-level-expert-group-fake-news-and-onlinedisinformation p.20</w:t>
      </w:r>
      <w:r>
        <w:fldChar w:fldCharType="end"/>
      </w:r>
      <w:r>
        <w:fldChar w:fldCharType="begin"/>
      </w:r>
      <w:r>
        <w:instrText xml:space="preserve"> HYPERLINK "https://ec.europa.eu/digitalsingle-market/en/news/final-report-high-level-expert-group-fake-news-and-onlinedisinformation%20p.20" </w:instrText>
      </w:r>
      <w:r>
        <w:fldChar w:fldCharType="separate"/>
      </w:r>
      <w:r w:rsidRPr="005B5CB6">
        <w:rPr>
          <w:rFonts w:ascii="Verdana" w:hAnsi="Verdana"/>
        </w:rPr>
        <w:t>;</w:t>
      </w:r>
      <w:r>
        <w:fldChar w:fldCharType="end"/>
      </w:r>
      <w:r w:rsidRPr="005B5CB6">
        <w:rPr>
          <w:rFonts w:ascii="Verdana" w:hAnsi="Verdana"/>
        </w:rPr>
        <w:t xml:space="preserve">  DCMS. 2019. </w:t>
      </w:r>
    </w:p>
    <w:p w:rsidR="00FB0B24" w:rsidRPr="005B5CB6" w:rsidP="003255A4">
      <w:pPr>
        <w:spacing w:after="3" w:line="252" w:lineRule="auto"/>
        <w:ind w:left="-4" w:hanging="10"/>
        <w:jc w:val="both"/>
        <w:rPr>
          <w:rFonts w:ascii="Verdana" w:hAnsi="Verdana"/>
        </w:rPr>
      </w:pPr>
      <w:r w:rsidRPr="005B5CB6">
        <w:rPr>
          <w:rFonts w:ascii="Verdana" w:hAnsi="Verdana"/>
          <w:i/>
        </w:rPr>
        <w:t>Disinformation and ‘fake news’: final report</w:t>
      </w:r>
      <w:r w:rsidRPr="005B5CB6">
        <w:rPr>
          <w:rFonts w:ascii="Verdana" w:hAnsi="Verdana"/>
        </w:rPr>
        <w:t xml:space="preserve">. 18 February. House of Commons 1791. </w:t>
      </w:r>
    </w:p>
    <w:p w:rsidR="00FB0B24" w:rsidRPr="005B5CB6" w:rsidP="003255A4">
      <w:pPr>
        <w:spacing w:after="5" w:line="249" w:lineRule="auto"/>
        <w:ind w:left="-4" w:hanging="10"/>
        <w:jc w:val="both"/>
        <w:rPr>
          <w:rFonts w:ascii="Verdana" w:hAnsi="Verdana"/>
        </w:rPr>
      </w:pPr>
      <w:r>
        <w:fldChar w:fldCharType="begin"/>
      </w:r>
      <w:r>
        <w:instrText xml:space="preserve"> HYPERLINK "https://publications.parliament.uk/pa/cm201719/cmselect/cmcumeds/1791/1791.pdf" </w:instrText>
      </w:r>
      <w:r>
        <w:fldChar w:fldCharType="separate"/>
      </w:r>
      <w:r w:rsidRPr="005B5CB6" w:rsidR="00A72806">
        <w:rPr>
          <w:rFonts w:ascii="Verdana" w:hAnsi="Verdana"/>
          <w:u w:val="single" w:color="000000"/>
        </w:rPr>
        <w:t>https://publications.parliament.uk/pa/cm201719/cmselect/cmcumeds/1791/1791.pdf</w:t>
      </w:r>
      <w:r>
        <w:fldChar w:fldCharType="end"/>
      </w:r>
      <w:r>
        <w:fldChar w:fldCharType="begin"/>
      </w:r>
      <w:r>
        <w:instrText xml:space="preserve"> HYPERLINK "https://publications.parliament.uk/pa/cm201719/cmselect/cmcumeds/1791/1791.pdf" </w:instrText>
      </w:r>
      <w:r>
        <w:fldChar w:fldCharType="separate"/>
      </w:r>
      <w:r w:rsidRPr="005B5CB6" w:rsidR="00A72806">
        <w:rPr>
          <w:rFonts w:ascii="Verdana" w:hAnsi="Verdana"/>
        </w:rPr>
        <w:t xml:space="preserve"> p</w:t>
      </w:r>
      <w:r>
        <w:fldChar w:fldCharType="end"/>
      </w:r>
      <w:r w:rsidRPr="005B5CB6" w:rsidR="00A72806">
        <w:rPr>
          <w:rFonts w:ascii="Verdana" w:hAnsi="Verdana"/>
        </w:rPr>
        <w:t xml:space="preserve">p.86-88; UK Government 2019. </w:t>
      </w:r>
    </w:p>
    <w:p w:rsidR="00FB0B24" w:rsidRPr="005B5CB6" w:rsidP="003255A4">
      <w:pPr>
        <w:spacing w:after="11" w:line="249" w:lineRule="auto"/>
        <w:ind w:left="-4" w:hanging="10"/>
        <w:jc w:val="both"/>
        <w:rPr>
          <w:rFonts w:ascii="Verdana" w:hAnsi="Verdana"/>
        </w:rPr>
      </w:pPr>
      <w:r w:rsidRPr="005B5CB6">
        <w:rPr>
          <w:rFonts w:ascii="Verdana" w:hAnsi="Verdana"/>
          <w:i/>
        </w:rPr>
        <w:t>Don’t feed the Beast.</w:t>
      </w:r>
      <w:r>
        <w:fldChar w:fldCharType="begin"/>
      </w:r>
      <w:r>
        <w:instrText xml:space="preserve"> HYPERLINK "https://sharechecklist.gov.uk/" </w:instrText>
      </w:r>
      <w:r>
        <w:fldChar w:fldCharType="separate"/>
      </w:r>
      <w:r w:rsidRPr="005B5CB6">
        <w:rPr>
          <w:rFonts w:ascii="Verdana" w:hAnsi="Verdana"/>
        </w:rPr>
        <w:t xml:space="preserve"> </w:t>
      </w:r>
      <w:r>
        <w:fldChar w:fldCharType="end"/>
      </w:r>
      <w:r>
        <w:fldChar w:fldCharType="begin"/>
      </w:r>
      <w:r>
        <w:instrText xml:space="preserve"> HYPERLINK "https://sharechecklist.gov.uk/" </w:instrText>
      </w:r>
      <w:r>
        <w:fldChar w:fldCharType="separate"/>
      </w:r>
      <w:r w:rsidRPr="005B5CB6">
        <w:rPr>
          <w:rFonts w:ascii="Verdana" w:hAnsi="Verdana"/>
          <w:u w:val="single" w:color="000000"/>
        </w:rPr>
        <w:t>https://sharechecklist.gov.uk</w:t>
      </w:r>
      <w:r>
        <w:fldChar w:fldCharType="end"/>
      </w:r>
      <w:r>
        <w:fldChar w:fldCharType="begin"/>
      </w:r>
      <w:r>
        <w:instrText xml:space="preserve"> HYPERLINK "https://sharechecklist.gov.uk/" </w:instrText>
      </w:r>
      <w:r>
        <w:fldChar w:fldCharType="separate"/>
      </w:r>
      <w:r w:rsidRPr="005B5CB6">
        <w:rPr>
          <w:rFonts w:ascii="Verdana" w:hAnsi="Verdana"/>
        </w:rPr>
        <w:t xml:space="preserve">. </w:t>
      </w:r>
      <w:r>
        <w:fldChar w:fldCharType="end"/>
      </w:r>
      <w:r w:rsidRPr="005B5CB6">
        <w:rPr>
          <w:rFonts w:ascii="Verdana" w:hAnsi="Verdana"/>
        </w:rPr>
        <w:t xml:space="preserve">The need for greater emotional literacy is also discussed by Wardle, C. </w:t>
      </w:r>
    </w:p>
    <w:p w:rsidR="00FB0B24" w:rsidRPr="005B5CB6" w:rsidP="003255A4">
      <w:pPr>
        <w:spacing w:after="11" w:line="249" w:lineRule="auto"/>
        <w:ind w:left="-4" w:hanging="10"/>
        <w:jc w:val="both"/>
        <w:rPr>
          <w:rFonts w:ascii="Verdana" w:hAnsi="Verdana"/>
        </w:rPr>
      </w:pPr>
      <w:r w:rsidRPr="005B5CB6">
        <w:rPr>
          <w:rFonts w:ascii="Verdana" w:hAnsi="Verdana"/>
        </w:rPr>
        <w:t xml:space="preserve">&amp; Derakshan, H. 2017. </w:t>
      </w:r>
      <w:r w:rsidRPr="005B5CB6">
        <w:rPr>
          <w:rFonts w:ascii="Verdana" w:hAnsi="Verdana"/>
          <w:i/>
        </w:rPr>
        <w:t>Information Disorder: Toward an interdisciplinary framework for research and policy making</w:t>
      </w:r>
      <w:r w:rsidRPr="005B5CB6">
        <w:rPr>
          <w:rFonts w:ascii="Verdana" w:hAnsi="Verdana"/>
        </w:rPr>
        <w:t>. Council of Europe report DGI(2017)09</w:t>
      </w:r>
      <w:r>
        <w:fldChar w:fldCharType="begin"/>
      </w:r>
      <w:r>
        <w:instrText xml:space="preserve"> HYPERLINK "https://rm.coe.int/information-disorder-toward-an-interdisciplinary-framework-for-researc/168076277c" </w:instrText>
      </w:r>
      <w:r>
        <w:fldChar w:fldCharType="separate"/>
      </w:r>
      <w:r w:rsidRPr="005B5CB6">
        <w:rPr>
          <w:rFonts w:ascii="Verdana" w:hAnsi="Verdana"/>
        </w:rPr>
        <w:t xml:space="preserve">. </w:t>
      </w:r>
      <w:r>
        <w:fldChar w:fldCharType="end"/>
      </w:r>
      <w:r>
        <w:fldChar w:fldCharType="begin"/>
      </w:r>
      <w:r>
        <w:instrText xml:space="preserve"> HYPERLINK "https://rm.coe.int/information-disorder-toward-an-interdisciplinary-framework-for-researc/168076277c" </w:instrText>
      </w:r>
      <w:r>
        <w:fldChar w:fldCharType="separate"/>
      </w:r>
      <w:r w:rsidRPr="005B5CB6">
        <w:rPr>
          <w:rFonts w:ascii="Verdana" w:hAnsi="Verdana"/>
          <w:u w:val="single" w:color="000000"/>
        </w:rPr>
        <w:t>https://rm.coe.int/information-disorder-toward-an-interdisciplinary-framework-for</w:t>
      </w:r>
      <w:r>
        <w:fldChar w:fldCharType="end"/>
      </w:r>
      <w:r>
        <w:fldChar w:fldCharType="begin"/>
      </w:r>
      <w:r>
        <w:instrText xml:space="preserve"> HYPERLINK "https://rm.coe.int/information-disorder-toward-an-interdisciplinary-framework-for-researc/168076277c" </w:instrText>
      </w:r>
      <w:r>
        <w:fldChar w:fldCharType="separate"/>
      </w:r>
      <w:r w:rsidRPr="005B5CB6">
        <w:rPr>
          <w:rFonts w:ascii="Verdana" w:hAnsi="Verdana"/>
          <w:u w:val="single" w:color="000000"/>
        </w:rPr>
        <w:t>researc/168076277c</w:t>
      </w:r>
      <w:r>
        <w:fldChar w:fldCharType="end"/>
      </w:r>
      <w:r>
        <w:fldChar w:fldCharType="begin"/>
      </w:r>
      <w:r>
        <w:instrText xml:space="preserve"> HYPERLINK "https://rm.coe.int/information-disorder-toward-an-interdisciplinary-framework-for-researc/168076277c" </w:instrText>
      </w:r>
      <w:r>
        <w:fldChar w:fldCharType="separate"/>
      </w:r>
      <w:r w:rsidRPr="005B5CB6">
        <w:rPr>
          <w:rFonts w:ascii="Verdana" w:hAnsi="Verdana"/>
        </w:rPr>
        <w:t xml:space="preserve"> p</w:t>
      </w:r>
      <w:r>
        <w:fldChar w:fldCharType="end"/>
      </w:r>
      <w:r w:rsidRPr="005B5CB6">
        <w:rPr>
          <w:rFonts w:ascii="Verdana" w:hAnsi="Verdana"/>
        </w:rPr>
        <w:t xml:space="preserve">.60. However, we have yet to see a framework that combines our four criteria. </w:t>
      </w:r>
    </w:p>
    <w:p w:rsidR="00FB0B24" w:rsidRPr="005B5CB6" w:rsidP="003255A4">
      <w:pPr>
        <w:numPr>
          <w:ilvl w:val="0"/>
          <w:numId w:val="45"/>
        </w:numPr>
        <w:spacing w:after="5" w:line="249" w:lineRule="auto"/>
        <w:ind w:hanging="10"/>
        <w:jc w:val="both"/>
        <w:rPr>
          <w:rFonts w:ascii="Verdana" w:hAnsi="Verdana"/>
        </w:rPr>
      </w:pPr>
      <w:r w:rsidRPr="005B5CB6">
        <w:rPr>
          <w:rFonts w:ascii="Verdana" w:hAnsi="Verdana"/>
        </w:rPr>
        <w:t xml:space="preserve">Wardle, C. &amp; Derakshan, H. 2017. </w:t>
      </w:r>
      <w:r w:rsidRPr="005B5CB6">
        <w:rPr>
          <w:rFonts w:ascii="Verdana" w:hAnsi="Verdana"/>
          <w:i/>
        </w:rPr>
        <w:t>Information disorder: toward an interdisciplinary framework for research and policy making</w:t>
      </w:r>
      <w:r w:rsidRPr="005B5CB6">
        <w:rPr>
          <w:rFonts w:ascii="Verdana" w:hAnsi="Verdana"/>
        </w:rPr>
        <w:t>. Council of Europe report DGI(2017)09.</w:t>
      </w:r>
      <w:r>
        <w:fldChar w:fldCharType="begin"/>
      </w:r>
      <w:r>
        <w:instrText xml:space="preserve"> HYPERLINK "https://rm.coe.int/information-disorder-toward-an-interdisciplinary-framework-for-researc/168076277c" </w:instrText>
      </w:r>
      <w:r>
        <w:fldChar w:fldCharType="separate"/>
      </w:r>
      <w:r w:rsidRPr="005B5CB6">
        <w:rPr>
          <w:rFonts w:ascii="Verdana" w:hAnsi="Verdana"/>
        </w:rPr>
        <w:t xml:space="preserve">  </w:t>
      </w:r>
      <w:r>
        <w:fldChar w:fldCharType="end"/>
      </w:r>
      <w:r>
        <w:fldChar w:fldCharType="begin"/>
      </w:r>
      <w:r>
        <w:instrText xml:space="preserve"> HYPERLINK "https://rm.coe.int/information-disorder-toward-an-interdisciplinary-framework-for-researc/168076277c" </w:instrText>
      </w:r>
      <w:r>
        <w:fldChar w:fldCharType="separate"/>
      </w:r>
      <w:r w:rsidRPr="005B5CB6">
        <w:rPr>
          <w:rFonts w:ascii="Verdana" w:hAnsi="Verdana"/>
          <w:u w:val="single" w:color="000000"/>
        </w:rPr>
        <w:t>https://rm.coe.int/information-disorder-toward-an-interdisciplinary</w:t>
      </w:r>
      <w:r>
        <w:fldChar w:fldCharType="end"/>
      </w:r>
      <w:r>
        <w:fldChar w:fldCharType="begin"/>
      </w:r>
      <w:r>
        <w:instrText xml:space="preserve"> HYPERLINK "https://rm.coe.int/information-disorder-toward-an-interdisciplinary-framework-for-researc/168076277c" </w:instrText>
      </w:r>
      <w:r>
        <w:fldChar w:fldCharType="separate"/>
      </w:r>
      <w:r w:rsidRPr="005B5CB6">
        <w:rPr>
          <w:rFonts w:ascii="Verdana" w:hAnsi="Verdana"/>
          <w:u w:val="single" w:color="000000"/>
        </w:rPr>
        <w:t>framework-for-researc/168076277c</w:t>
      </w:r>
      <w:r>
        <w:fldChar w:fldCharType="end"/>
      </w:r>
      <w:r>
        <w:fldChar w:fldCharType="begin"/>
      </w:r>
      <w:r>
        <w:instrText xml:space="preserve"> HYPERLINK "https://rm.coe.int/information-disorder-toward-an-interdisciplinary-framework-for-researc/168076277c" </w:instrText>
      </w:r>
      <w:r>
        <w:fldChar w:fldCharType="separate"/>
      </w:r>
      <w:r w:rsidRPr="005B5CB6">
        <w:rPr>
          <w:rFonts w:ascii="Verdana" w:hAnsi="Verdana"/>
        </w:rPr>
        <w:t xml:space="preserve">  </w:t>
      </w:r>
      <w:r>
        <w:fldChar w:fldCharType="end"/>
      </w:r>
      <w:r w:rsidRPr="005B5CB6">
        <w:rPr>
          <w:rFonts w:ascii="Verdana" w:hAnsi="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below we outline mechanisms to help determine these categories.  In time, the development of such ethical norms - of </w:t>
      </w:r>
      <w:r w:rsidRPr="005B5CB6">
        <w:rPr>
          <w:rFonts w:ascii="Verdana" w:eastAsia="Verdana" w:hAnsi="Verdana" w:cs="Verdana"/>
          <w:i/>
        </w:rPr>
        <w:t>transparency</w:t>
      </w:r>
      <w:r w:rsidRPr="005B5CB6">
        <w:rPr>
          <w:rFonts w:ascii="Verdana" w:eastAsia="Verdana" w:hAnsi="Verdana" w:cs="Verdana"/>
        </w:rPr>
        <w:t xml:space="preserve">, </w:t>
      </w:r>
      <w:r w:rsidRPr="005B5CB6">
        <w:rPr>
          <w:rFonts w:ascii="Verdana" w:eastAsia="Verdana" w:hAnsi="Verdana" w:cs="Verdana"/>
          <w:i/>
        </w:rPr>
        <w:t>explainability</w:t>
      </w:r>
      <w:r w:rsidRPr="005B5CB6">
        <w:rPr>
          <w:rFonts w:ascii="Verdana" w:eastAsia="Verdana" w:hAnsi="Verdana" w:cs="Verdana"/>
        </w:rPr>
        <w:t xml:space="preserve">, </w:t>
      </w:r>
      <w:r w:rsidRPr="005B5CB6">
        <w:rPr>
          <w:rFonts w:ascii="Verdana" w:eastAsia="Verdana" w:hAnsi="Verdana" w:cs="Verdana"/>
          <w:i/>
        </w:rPr>
        <w:t>civility</w:t>
      </w:r>
      <w:r w:rsidRPr="005B5CB6">
        <w:rPr>
          <w:rFonts w:ascii="Verdana" w:eastAsia="Verdana" w:hAnsi="Verdana" w:cs="Verdana"/>
        </w:rPr>
        <w:t xml:space="preserve"> and </w:t>
      </w:r>
      <w:r w:rsidRPr="005B5CB6">
        <w:rPr>
          <w:rFonts w:ascii="Verdana" w:eastAsia="Verdana" w:hAnsi="Verdana" w:cs="Verdana"/>
          <w:i/>
        </w:rPr>
        <w:t>informativeness</w:t>
      </w:r>
      <w:r w:rsidRPr="005B5CB6">
        <w:rPr>
          <w:rFonts w:ascii="Verdana" w:eastAsia="Verdana" w:hAnsi="Verdana" w:cs="Verdana"/>
        </w:rPr>
        <w:t xml:space="preserve"> - should help constrain political campaigners who are hungry to win at all costs. If digital political campaigners behave badly in one election, society will have the tools and capacity to remember this in the next election.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9.11 Over time, this should also act as an </w:t>
      </w:r>
      <w:r w:rsidRPr="005B5CB6">
        <w:rPr>
          <w:rFonts w:ascii="Verdana" w:eastAsia="Verdana" w:hAnsi="Verdana" w:cs="Verdana"/>
          <w:i/>
        </w:rPr>
        <w:t>inoculation</w:t>
      </w:r>
      <w:r w:rsidRPr="005B5CB6">
        <w:rPr>
          <w:rFonts w:ascii="Verdana" w:eastAsia="Verdana" w:hAnsi="Verdana" w:cs="Verdana"/>
        </w:rPr>
        <w:t xml:space="preserve"> for citizens: to make them aware of the range of techniques in use that may seek to obfuscate, manipulate, enrage and deceive. Inoculation theory was originally pioneered by William McGuire (1964) in efforts to induce attitudinal resistance against propaganda and persuasion.</w:t>
      </w:r>
      <w:r>
        <w:rPr>
          <w:rFonts w:ascii="Verdana" w:eastAsia="Verdana" w:hAnsi="Verdana" w:cs="Verdana"/>
          <w:vertAlign w:val="superscript"/>
        </w:rPr>
        <w:footnoteReference w:id="129"/>
      </w:r>
      <w:r w:rsidRPr="005B5CB6">
        <w:rPr>
          <w:rFonts w:ascii="Verdana" w:eastAsia="Verdana" w:hAnsi="Verdana" w:cs="Verdana"/>
        </w:rPr>
        <w:t xml:space="preserve"> Inoculation theory holds that by activating people’s ‘mental antibodies’ through a weakened dose of the infectious agent, this can confer resistance against future attempts to persuade them. A metaanalysis of studies finds that inoculation is effective at conferring resistance.</w:t>
      </w:r>
      <w:r>
        <w:rPr>
          <w:rFonts w:ascii="Verdana" w:eastAsia="Verdana" w:hAnsi="Verdana" w:cs="Verdana"/>
          <w:vertAlign w:val="superscript"/>
        </w:rPr>
        <w:footnoteReference w:id="130"/>
      </w:r>
      <w:r w:rsidRPr="005B5CB6">
        <w:rPr>
          <w:rFonts w:ascii="Verdana" w:eastAsia="Verdana" w:hAnsi="Verdana" w:cs="Verdana"/>
        </w:rPr>
        <w:t xml:space="preserve">  Applying inoculation theory to the context of fake news, Roozenbeek &amp; van der Linden (2019) developed a ‘fake news game’ where participants must create a news article about a strongly politicised issue (the European refugee crisis) using misleading tactics, from the perspective of different types of fake news producers. Results from their pilot test of the game in a school setting suggest that playing the game reduced the perceived reliability and persuasiveness of fake news articles, which in turn suggests that educational games may be a promising vehicle to inoculate the public against fake news.</w:t>
      </w:r>
      <w:r>
        <w:rPr>
          <w:rFonts w:ascii="Verdana" w:eastAsia="Verdana" w:hAnsi="Verdana" w:cs="Verdana"/>
          <w:vertAlign w:val="superscript"/>
        </w:rPr>
        <w:footnoteReference w:id="131"/>
      </w:r>
      <w:r w:rsidRPr="005B5CB6">
        <w:rPr>
          <w:rFonts w:ascii="Verdana" w:eastAsia="Verdana" w:hAnsi="Verdana" w:cs="Verdana"/>
        </w:rPr>
        <w:t xml:space="preserve"> We suggest that citizens should be inoculated before the next election, to make them aware of persuasive techniques in political campaigns that may seek to obfuscate, manipulate, enrage and deceive.  To that end, we make the following recommendations. </w:t>
      </w:r>
    </w:p>
    <w:p w:rsidR="00FB0B24" w:rsidRPr="005B5CB6" w:rsidP="003255A4">
      <w:pPr>
        <w:spacing w:after="0"/>
        <w:ind w:left="1"/>
        <w:jc w:val="both"/>
        <w:rPr>
          <w:rFonts w:ascii="Verdana" w:hAnsi="Verdana"/>
        </w:rPr>
      </w:pPr>
      <w:r w:rsidRPr="005B5CB6">
        <w:rPr>
          <w:rFonts w:ascii="Verdana" w:eastAsia="Verdana" w:hAnsi="Verdana" w:cs="Verdana"/>
        </w:rPr>
        <w:t xml:space="preserve"> </w:t>
      </w:r>
      <w:r w:rsidRPr="005B5CB6">
        <w:rPr>
          <w:rFonts w:ascii="Verdana" w:eastAsia="Verdana" w:hAnsi="Verdana" w:cs="Verdana"/>
          <w:b/>
        </w:rPr>
        <w:t xml:space="preserve"> </w:t>
      </w:r>
    </w:p>
    <w:p w:rsidR="00FB0B24" w:rsidRPr="005B5CB6" w:rsidP="003255A4">
      <w:pPr>
        <w:numPr>
          <w:ilvl w:val="0"/>
          <w:numId w:val="46"/>
        </w:numPr>
        <w:spacing w:after="5" w:line="250" w:lineRule="auto"/>
        <w:ind w:hanging="10"/>
        <w:jc w:val="both"/>
        <w:rPr>
          <w:rFonts w:ascii="Verdana" w:hAnsi="Verdana"/>
        </w:rPr>
      </w:pPr>
      <w:r w:rsidRPr="005B5CB6">
        <w:rPr>
          <w:rFonts w:ascii="Verdana" w:eastAsia="Verdana" w:hAnsi="Verdana" w:cs="Verdana"/>
          <w:b/>
        </w:rPr>
        <w:t xml:space="preserve">Recommendations to counter opacity, outrage and deception in digital political campaigns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6"/>
        </w:numPr>
        <w:spacing w:after="5" w:line="250" w:lineRule="auto"/>
        <w:ind w:right="11" w:hanging="10"/>
        <w:jc w:val="both"/>
        <w:rPr>
          <w:rFonts w:ascii="Verdana" w:hAnsi="Verdana"/>
        </w:rPr>
      </w:pPr>
      <w:r w:rsidRPr="005B5CB6">
        <w:rPr>
          <w:rFonts w:ascii="Verdana" w:eastAsia="Verdana" w:hAnsi="Verdana" w:cs="Verdana"/>
        </w:rPr>
        <w:t xml:space="preserve">Put in place </w:t>
      </w:r>
      <w:r w:rsidRPr="005B5CB6">
        <w:rPr>
          <w:rFonts w:ascii="Verdana" w:eastAsia="Verdana" w:hAnsi="Verdana" w:cs="Verdana"/>
          <w:b/>
        </w:rPr>
        <w:t>mandatory</w:t>
      </w:r>
      <w:r w:rsidRPr="005B5CB6">
        <w:rPr>
          <w:rFonts w:ascii="Verdana" w:eastAsia="Verdana" w:hAnsi="Verdana" w:cs="Verdana"/>
        </w:rPr>
        <w:t xml:space="preserve"> (via regulatory requirements), </w:t>
      </w:r>
      <w:r w:rsidRPr="005B5CB6">
        <w:rPr>
          <w:rFonts w:ascii="Verdana" w:eastAsia="Verdana" w:hAnsi="Verdana" w:cs="Verdana"/>
          <w:b/>
        </w:rPr>
        <w:t>publicly available</w:t>
      </w:r>
      <w:r w:rsidRPr="005B5CB6">
        <w:rPr>
          <w:rFonts w:ascii="Verdana" w:eastAsia="Verdana" w:hAnsi="Verdana" w:cs="Verdana"/>
        </w:rPr>
        <w:t xml:space="preserve"> </w:t>
      </w:r>
      <w:r w:rsidRPr="005B5CB6">
        <w:rPr>
          <w:rFonts w:ascii="Verdana" w:eastAsia="Verdana" w:hAnsi="Verdana" w:cs="Verdana"/>
          <w:b/>
        </w:rPr>
        <w:t>self-evaluations</w:t>
      </w:r>
      <w:r w:rsidRPr="005B5CB6">
        <w:rPr>
          <w:rFonts w:ascii="Verdana" w:eastAsia="Verdana" w:hAnsi="Verdana" w:cs="Verdana"/>
        </w:rPr>
        <w:t xml:space="preserve"> by all political campaign groups following every election and referendum. The self-evaluations should address the criteria of </w:t>
      </w:r>
      <w:r w:rsidRPr="005B5CB6">
        <w:rPr>
          <w:rFonts w:ascii="Verdana" w:eastAsia="Verdana" w:hAnsi="Verdana" w:cs="Verdana"/>
          <w:i/>
        </w:rPr>
        <w:t>transparency</w:t>
      </w:r>
      <w:r w:rsidRPr="005B5CB6">
        <w:rPr>
          <w:rFonts w:ascii="Verdana" w:eastAsia="Verdana" w:hAnsi="Verdana" w:cs="Verdana"/>
        </w:rPr>
        <w:t xml:space="preserve">, </w:t>
      </w:r>
      <w:r w:rsidRPr="005B5CB6">
        <w:rPr>
          <w:rFonts w:ascii="Verdana" w:eastAsia="Verdana" w:hAnsi="Verdana" w:cs="Verdana"/>
          <w:i/>
        </w:rPr>
        <w:t>explainability</w:t>
      </w:r>
      <w:r w:rsidRPr="005B5CB6">
        <w:rPr>
          <w:rFonts w:ascii="Verdana" w:eastAsia="Verdana" w:hAnsi="Verdana" w:cs="Verdana"/>
        </w:rPr>
        <w:t xml:space="preserve">, </w:t>
      </w:r>
      <w:r w:rsidRPr="005B5CB6">
        <w:rPr>
          <w:rFonts w:ascii="Verdana" w:eastAsia="Verdana" w:hAnsi="Verdana" w:cs="Verdana"/>
          <w:i/>
        </w:rPr>
        <w:t>civility</w:t>
      </w:r>
      <w:r w:rsidRPr="005B5CB6">
        <w:rPr>
          <w:rFonts w:ascii="Verdana" w:eastAsia="Verdana" w:hAnsi="Verdana" w:cs="Verdana"/>
        </w:rPr>
        <w:t xml:space="preserve"> and </w:t>
      </w:r>
      <w:r w:rsidRPr="005B5CB6">
        <w:rPr>
          <w:rFonts w:ascii="Verdana" w:eastAsia="Verdana" w:hAnsi="Verdana" w:cs="Verdana"/>
          <w:i/>
        </w:rPr>
        <w:t xml:space="preserve">informativeness. </w:t>
      </w:r>
    </w:p>
    <w:p w:rsidR="00FB0B24" w:rsidRPr="005B5CB6" w:rsidP="003255A4">
      <w:pPr>
        <w:numPr>
          <w:ilvl w:val="2"/>
          <w:numId w:val="46"/>
        </w:numPr>
        <w:spacing w:after="5" w:line="250" w:lineRule="auto"/>
        <w:ind w:right="11" w:hanging="360"/>
        <w:jc w:val="both"/>
        <w:rPr>
          <w:rFonts w:ascii="Verdana" w:hAnsi="Verdana"/>
        </w:rPr>
      </w:pPr>
      <w:r w:rsidRPr="005B5CB6">
        <w:rPr>
          <w:rFonts w:ascii="Verdana" w:eastAsia="Verdana" w:hAnsi="Verdana" w:cs="Verdana"/>
        </w:rPr>
        <w:t xml:space="preserve">On </w:t>
      </w:r>
      <w:r w:rsidRPr="005B5CB6">
        <w:rPr>
          <w:rFonts w:ascii="Verdana" w:eastAsia="Verdana" w:hAnsi="Verdana" w:cs="Verdana"/>
          <w:i/>
        </w:rPr>
        <w:t>transparency</w:t>
      </w:r>
      <w:r w:rsidRPr="005B5CB6">
        <w:rPr>
          <w:rFonts w:ascii="Verdana" w:eastAsia="Verdana" w:hAnsi="Verdana" w:cs="Verdana"/>
        </w:rPr>
        <w:t xml:space="preserve">. Evaluate the extent to which paid-for, political campaign messages (including digital) bore imprints to clearly show who produced them; and provide details on how much the campaign spent on digital campaigning, and where this money was spent (including on: data analytics and consultants, messages used in those campaigns, and which parts of the country they were targeted at). </w:t>
      </w:r>
    </w:p>
    <w:p w:rsidR="00FB0B24" w:rsidRPr="005B5CB6" w:rsidP="003255A4">
      <w:pPr>
        <w:numPr>
          <w:ilvl w:val="2"/>
          <w:numId w:val="46"/>
        </w:numPr>
        <w:spacing w:after="153" w:line="250" w:lineRule="auto"/>
        <w:ind w:right="11" w:hanging="360"/>
        <w:jc w:val="both"/>
        <w:rPr>
          <w:rFonts w:ascii="Verdana" w:hAnsi="Verdana"/>
        </w:rPr>
      </w:pPr>
      <w:r w:rsidRPr="005B5CB6">
        <w:rPr>
          <w:rFonts w:ascii="Verdana" w:eastAsia="Verdana" w:hAnsi="Verdana" w:cs="Verdana"/>
        </w:rPr>
        <w:t xml:space="preserve">On </w:t>
      </w:r>
      <w:r w:rsidRPr="005B5CB6">
        <w:rPr>
          <w:rFonts w:ascii="Verdana" w:eastAsia="Verdana" w:hAnsi="Verdana" w:cs="Verdana"/>
          <w:i/>
        </w:rPr>
        <w:t xml:space="preserve">explainability. </w:t>
      </w:r>
      <w:r w:rsidRPr="005B5CB6">
        <w:rPr>
          <w:rFonts w:ascii="Verdana" w:eastAsia="Verdana" w:hAnsi="Verdana" w:cs="Verdana"/>
        </w:rPr>
        <w:t xml:space="preserve">Provide an explanation of: which audiences were targeted; what the basis of the targeting was (including demographics, </w:t>
      </w:r>
      <w:r w:rsidRPr="005B5CB6">
        <w:rPr>
          <w:rFonts w:ascii="Verdana" w:eastAsia="Verdana" w:hAnsi="Verdana" w:cs="Verdana"/>
        </w:rPr>
        <w:t xml:space="preserve">psychographics, and probabilistic data inferences from metadata arising from audience’s device use and behaviour); with what sort of messages;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20696" name="Group 52069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434" name="Shape 63543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99" style="height:0.6pt;mso-position-horizontal-relative:char;mso-position-vertical-relative:line;width:2in" coordsize="18288,76">
                <v:shape id="_x0000_s1100"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 w:line="250" w:lineRule="auto"/>
        <w:ind w:left="770" w:right="11" w:hanging="8"/>
        <w:jc w:val="both"/>
        <w:rPr>
          <w:rFonts w:ascii="Verdana" w:hAnsi="Verdana"/>
        </w:rPr>
      </w:pPr>
      <w:r w:rsidRPr="005B5CB6">
        <w:rPr>
          <w:rFonts w:ascii="Verdana" w:eastAsia="Verdana" w:hAnsi="Verdana" w:cs="Verdana"/>
        </w:rPr>
        <w:t xml:space="preserve">to what end (e.g. voter mobilisation, suppression); and which aspects of the campaign most succeeded in engaging voters (e.g. specific adverts, messages, themes, memes). </w:t>
      </w:r>
    </w:p>
    <w:p w:rsidR="00FB0B24" w:rsidRPr="005B5CB6" w:rsidP="003255A4">
      <w:pPr>
        <w:numPr>
          <w:ilvl w:val="2"/>
          <w:numId w:val="46"/>
        </w:numPr>
        <w:spacing w:after="5" w:line="250" w:lineRule="auto"/>
        <w:ind w:right="11" w:hanging="360"/>
        <w:jc w:val="both"/>
        <w:rPr>
          <w:rFonts w:ascii="Verdana" w:hAnsi="Verdana"/>
        </w:rPr>
      </w:pPr>
      <w:r w:rsidRPr="005B5CB6">
        <w:rPr>
          <w:rFonts w:ascii="Verdana" w:eastAsia="Verdana" w:hAnsi="Verdana" w:cs="Verdana"/>
        </w:rPr>
        <w:t xml:space="preserve">On </w:t>
      </w:r>
      <w:r w:rsidRPr="005B5CB6">
        <w:rPr>
          <w:rFonts w:ascii="Verdana" w:eastAsia="Verdana" w:hAnsi="Verdana" w:cs="Verdana"/>
          <w:i/>
        </w:rPr>
        <w:t xml:space="preserve">civility. </w:t>
      </w:r>
      <w:r w:rsidRPr="005B5CB6">
        <w:rPr>
          <w:rFonts w:ascii="Verdana" w:eastAsia="Verdana" w:hAnsi="Verdana" w:cs="Verdana"/>
        </w:rPr>
        <w:t xml:space="preserve">Reflect upon to what extent the campaign was civil. Did it avoid: inciting others to commit crimes; making false statements of fact about the personal character or conduct of a candidate; cruelty; nastiness, aggression; disrespect; and deliberate provocation of anger and outrage? If any of these elements were deliberately breached, then explain what the justification was. </w:t>
      </w:r>
    </w:p>
    <w:p w:rsidR="00FB0B24" w:rsidRPr="005B5CB6" w:rsidP="003255A4">
      <w:pPr>
        <w:numPr>
          <w:ilvl w:val="2"/>
          <w:numId w:val="46"/>
        </w:numPr>
        <w:spacing w:after="5" w:line="250" w:lineRule="auto"/>
        <w:ind w:right="11" w:hanging="360"/>
        <w:jc w:val="both"/>
        <w:rPr>
          <w:rFonts w:ascii="Verdana" w:hAnsi="Verdana"/>
        </w:rPr>
      </w:pPr>
      <w:r w:rsidRPr="005B5CB6">
        <w:rPr>
          <w:rFonts w:ascii="Verdana" w:eastAsia="Verdana" w:hAnsi="Verdana" w:cs="Verdana"/>
        </w:rPr>
        <w:t xml:space="preserve">On </w:t>
      </w:r>
      <w:r w:rsidRPr="005B5CB6">
        <w:rPr>
          <w:rFonts w:ascii="Verdana" w:eastAsia="Verdana" w:hAnsi="Verdana" w:cs="Verdana"/>
          <w:i/>
        </w:rPr>
        <w:t xml:space="preserve">informativeness. </w:t>
      </w:r>
      <w:r w:rsidRPr="005B5CB6">
        <w:rPr>
          <w:rFonts w:ascii="Verdana" w:eastAsia="Verdana" w:hAnsi="Verdana" w:cs="Verdana"/>
        </w:rPr>
        <w:t xml:space="preserve">Reflect upon whether the campaign gave voters enough information to make an informed choice on which to base their electoral decision: i.e. was the information true, complete, undistorted, and relevant? </w:t>
      </w:r>
    </w:p>
    <w:p w:rsidR="00FB0B24" w:rsidRPr="005B5CB6" w:rsidP="003255A4">
      <w:pPr>
        <w:spacing w:after="0"/>
        <w:ind w:left="1"/>
        <w:jc w:val="both"/>
        <w:rPr>
          <w:rFonts w:ascii="Verdana" w:hAnsi="Verdana"/>
        </w:rPr>
      </w:pPr>
      <w:r w:rsidRPr="005B5CB6">
        <w:rPr>
          <w:rFonts w:ascii="Verdana" w:eastAsia="Verdana" w:hAnsi="Verdana" w:cs="Verdana"/>
          <w:i/>
        </w:rPr>
        <w:t xml:space="preserve"> </w:t>
      </w:r>
    </w:p>
    <w:p w:rsidR="00FB0B24" w:rsidRPr="005B5CB6" w:rsidP="003255A4">
      <w:pPr>
        <w:numPr>
          <w:ilvl w:val="1"/>
          <w:numId w:val="46"/>
        </w:numPr>
        <w:spacing w:after="5" w:line="250" w:lineRule="auto"/>
        <w:ind w:right="11" w:hanging="10"/>
        <w:jc w:val="both"/>
        <w:rPr>
          <w:rFonts w:ascii="Verdana" w:hAnsi="Verdana"/>
        </w:rPr>
      </w:pPr>
      <w:r w:rsidRPr="005B5CB6">
        <w:rPr>
          <w:rFonts w:ascii="Verdana" w:eastAsia="Verdana" w:hAnsi="Verdana" w:cs="Verdana"/>
        </w:rPr>
        <w:t xml:space="preserve">Put in place an </w:t>
      </w:r>
      <w:r w:rsidRPr="005B5CB6">
        <w:rPr>
          <w:rFonts w:ascii="Verdana" w:eastAsia="Verdana" w:hAnsi="Verdana" w:cs="Verdana"/>
          <w:b/>
        </w:rPr>
        <w:t>independent panel of diverse stakeholders</w:t>
      </w:r>
      <w:r w:rsidRPr="005B5CB6">
        <w:rPr>
          <w:rFonts w:ascii="Verdana" w:eastAsia="Verdana" w:hAnsi="Verdana" w:cs="Verdana"/>
        </w:rPr>
        <w:t xml:space="preserve"> (including fact-checkers, academics, and campaigners from opposing sides) to verify, and critically comment upon, the self-evaluations.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6"/>
        </w:numPr>
        <w:spacing w:after="5" w:line="250" w:lineRule="auto"/>
        <w:ind w:right="11" w:hanging="10"/>
        <w:jc w:val="both"/>
        <w:rPr>
          <w:rFonts w:ascii="Verdana" w:hAnsi="Verdana"/>
        </w:rPr>
      </w:pPr>
      <w:r w:rsidRPr="005B5CB6">
        <w:rPr>
          <w:rFonts w:ascii="Verdana" w:eastAsia="Verdana" w:hAnsi="Verdana" w:cs="Verdana"/>
        </w:rPr>
        <w:t xml:space="preserve">Develop a </w:t>
      </w:r>
      <w:r w:rsidRPr="005B5CB6">
        <w:rPr>
          <w:rFonts w:ascii="Verdana" w:eastAsia="Verdana" w:hAnsi="Verdana" w:cs="Verdana"/>
          <w:b/>
        </w:rPr>
        <w:t>kite-mark</w:t>
      </w:r>
      <w:r w:rsidRPr="005B5CB6">
        <w:rPr>
          <w:rFonts w:ascii="Verdana" w:eastAsia="Verdana" w:hAnsi="Verdana" w:cs="Verdana"/>
        </w:rPr>
        <w:t xml:space="preserve"> system to brand the transparency, explainability, informativeness and civility of the campaigns, to enable comparisons between elections.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6"/>
        </w:numPr>
        <w:spacing w:after="5" w:line="250" w:lineRule="auto"/>
        <w:ind w:right="11" w:hanging="10"/>
        <w:jc w:val="both"/>
        <w:rPr>
          <w:rFonts w:ascii="Verdana" w:hAnsi="Verdana"/>
        </w:rPr>
      </w:pPr>
      <w:r w:rsidRPr="005B5CB6">
        <w:rPr>
          <w:rFonts w:ascii="Verdana" w:eastAsia="Verdana" w:hAnsi="Verdana" w:cs="Verdana"/>
        </w:rPr>
        <w:t xml:space="preserve">Ensure that the </w:t>
      </w:r>
      <w:r w:rsidRPr="005B5CB6">
        <w:rPr>
          <w:rFonts w:ascii="Verdana" w:eastAsia="Verdana" w:hAnsi="Verdana" w:cs="Verdana"/>
          <w:b/>
        </w:rPr>
        <w:t>self-evaluations, and verification</w:t>
      </w:r>
      <w:r w:rsidRPr="005B5CB6">
        <w:rPr>
          <w:rFonts w:ascii="Verdana" w:eastAsia="Verdana" w:hAnsi="Verdana" w:cs="Verdana"/>
        </w:rPr>
        <w:t xml:space="preserve"> by the independent panel, are available online in an </w:t>
      </w:r>
      <w:r w:rsidRPr="005B5CB6">
        <w:rPr>
          <w:rFonts w:ascii="Verdana" w:eastAsia="Verdana" w:hAnsi="Verdana" w:cs="Verdana"/>
          <w:b/>
        </w:rPr>
        <w:t>independent public archive</w:t>
      </w:r>
      <w:r w:rsidRPr="005B5CB6">
        <w:rPr>
          <w:rFonts w:ascii="Verdana" w:eastAsia="Verdana" w:hAnsi="Verdana" w:cs="Verdana"/>
        </w:rPr>
        <w:t xml:space="preserve"> to enable comparisons between elections.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6"/>
        </w:numPr>
        <w:spacing w:after="5" w:line="250" w:lineRule="auto"/>
        <w:ind w:right="11" w:hanging="10"/>
        <w:jc w:val="both"/>
        <w:rPr>
          <w:rFonts w:ascii="Verdana" w:hAnsi="Verdana"/>
        </w:rPr>
      </w:pPr>
      <w:r w:rsidRPr="005B5CB6">
        <w:rPr>
          <w:rFonts w:ascii="Verdana" w:eastAsia="Verdana" w:hAnsi="Verdana" w:cs="Verdana"/>
        </w:rPr>
        <w:t xml:space="preserve">Place in an </w:t>
      </w:r>
      <w:r w:rsidRPr="005B5CB6">
        <w:rPr>
          <w:rFonts w:ascii="Verdana" w:eastAsia="Verdana" w:hAnsi="Verdana" w:cs="Verdana"/>
          <w:b/>
        </w:rPr>
        <w:t>independent, searchable public archive</w:t>
      </w:r>
      <w:r w:rsidRPr="005B5CB6">
        <w:rPr>
          <w:rFonts w:ascii="Verdana" w:eastAsia="Verdana" w:hAnsi="Verdana" w:cs="Verdana"/>
        </w:rPr>
        <w:t xml:space="preserve"> all </w:t>
      </w:r>
      <w:r w:rsidRPr="005B5CB6">
        <w:rPr>
          <w:rFonts w:ascii="Verdana" w:eastAsia="Verdana" w:hAnsi="Verdana" w:cs="Verdana"/>
          <w:b/>
        </w:rPr>
        <w:t>microtargeted messages</w:t>
      </w:r>
      <w:r w:rsidRPr="005B5CB6">
        <w:rPr>
          <w:rFonts w:ascii="Verdana" w:eastAsia="Verdana" w:hAnsi="Verdana" w:cs="Verdana"/>
        </w:rPr>
        <w:t xml:space="preserve"> deployed in any political campaign.</w:t>
      </w:r>
      <w:r>
        <w:rPr>
          <w:rFonts w:ascii="Verdana" w:eastAsia="Verdana" w:hAnsi="Verdana" w:cs="Verdana"/>
          <w:vertAlign w:val="superscript"/>
        </w:rPr>
        <w:footnoteReference w:id="132"/>
      </w: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numPr>
          <w:ilvl w:val="1"/>
          <w:numId w:val="46"/>
        </w:numPr>
        <w:spacing w:after="5" w:line="250" w:lineRule="auto"/>
        <w:ind w:right="11" w:hanging="10"/>
        <w:jc w:val="both"/>
        <w:rPr>
          <w:rFonts w:ascii="Verdana" w:hAnsi="Verdana"/>
        </w:rPr>
      </w:pPr>
      <w:r w:rsidRPr="005B5CB6">
        <w:rPr>
          <w:rFonts w:ascii="Verdana" w:eastAsia="Verdana" w:hAnsi="Verdana" w:cs="Verdana"/>
        </w:rPr>
        <w:t xml:space="preserve">Use </w:t>
      </w:r>
      <w:r w:rsidRPr="005B5CB6">
        <w:rPr>
          <w:rFonts w:ascii="Verdana" w:eastAsia="Verdana" w:hAnsi="Verdana" w:cs="Verdana"/>
          <w:b/>
        </w:rPr>
        <w:t>public information campaigns</w:t>
      </w:r>
      <w:r w:rsidRPr="005B5CB6">
        <w:rPr>
          <w:rFonts w:ascii="Verdana" w:eastAsia="Verdana" w:hAnsi="Verdana" w:cs="Verdana"/>
        </w:rPr>
        <w:t xml:space="preserve"> and </w:t>
      </w:r>
      <w:r w:rsidRPr="005B5CB6">
        <w:rPr>
          <w:rFonts w:ascii="Verdana" w:eastAsia="Verdana" w:hAnsi="Verdana" w:cs="Verdana"/>
          <w:b/>
        </w:rPr>
        <w:t>citizenship education</w:t>
      </w:r>
      <w:r w:rsidRPr="005B5CB6">
        <w:rPr>
          <w:rFonts w:ascii="Verdana" w:eastAsia="Verdana" w:hAnsi="Verdana" w:cs="Verdana"/>
        </w:rPr>
        <w:t xml:space="preserve"> within schools to widen understanding of the criteria used in the code of ethical conduct for political campaigns, and to help people recognise if a campaign contravenes these codes. </w:t>
      </w:r>
    </w:p>
    <w:p w:rsidR="00FB0B24" w:rsidRPr="005B5CB6" w:rsidP="003255A4">
      <w:pPr>
        <w:spacing w:after="2376"/>
        <w:ind w:left="1"/>
        <w:jc w:val="both"/>
        <w:rPr>
          <w:rFonts w:ascii="Verdana" w:hAnsi="Verdana"/>
        </w:rPr>
      </w:pPr>
      <w:r w:rsidRPr="005B5CB6">
        <w:rPr>
          <w:rFonts w:ascii="Verdana" w:eastAsia="Verdana" w:hAnsi="Verdana" w:cs="Verdana"/>
          <w:b/>
        </w:rPr>
        <w:t xml:space="preserve">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19267" name="Group 51926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436" name="Shape 63543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01" style="height:0.6pt;mso-position-horizontal-relative:char;mso-position-vertical-relative:line;width:2in" coordsize="18288,76">
                <v:shape id="_x0000_s1102"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jc w:val="both"/>
        <w:rPr>
          <w:rFonts w:ascii="Verdana" w:hAnsi="Verdana"/>
        </w:rPr>
        <w:sectPr w:rsidSect="006539CA">
          <w:headerReference w:type="even" r:id="rId91"/>
          <w:headerReference w:type="default" r:id="rId92"/>
          <w:footerReference w:type="even" r:id="rId93"/>
          <w:footerReference w:type="default" r:id="rId94"/>
          <w:headerReference w:type="first" r:id="rId95"/>
          <w:footerReference w:type="first" r:id="rId96"/>
          <w:pgSz w:w="11899" w:h="16841"/>
          <w:pgMar w:top="1492" w:right="1438" w:bottom="1440" w:left="1439" w:header="720" w:footer="710" w:gutter="0"/>
          <w:cols w:space="720"/>
        </w:sectPr>
      </w:pPr>
    </w:p>
    <w:p w:rsidR="00FB0B24" w:rsidRPr="005B5CB6" w:rsidP="00A1624B">
      <w:pPr>
        <w:pStyle w:val="Heading1"/>
        <w:rPr>
          <w:sz w:val="22"/>
        </w:rPr>
      </w:pPr>
      <w:bookmarkStart w:id="16" w:name="_Toc44517704"/>
      <w:r w:rsidRPr="005B5CB6">
        <w:rPr>
          <w:sz w:val="22"/>
        </w:rPr>
        <w:t>Mr Tristan Hotham – written evidence (DAD0021)</w:t>
      </w:r>
      <w:bookmarkEnd w:id="16"/>
      <w:r w:rsidRPr="005B5CB6">
        <w:rPr>
          <w:sz w:val="22"/>
        </w:rPr>
        <w:t xml:space="preserve"> </w:t>
      </w:r>
    </w:p>
    <w:p w:rsidR="00FB0B24" w:rsidRPr="005B5CB6" w:rsidP="003255A4">
      <w:pPr>
        <w:spacing w:after="269"/>
        <w:jc w:val="both"/>
        <w:rPr>
          <w:rFonts w:ascii="Verdana" w:hAnsi="Verdana"/>
        </w:rPr>
      </w:pPr>
      <w:r w:rsidRPr="005B5CB6">
        <w:rPr>
          <w:rFonts w:ascii="Verdana" w:eastAsia="Verdana" w:hAnsi="Verdana" w:cs="Verdana"/>
        </w:rPr>
        <w:t xml:space="preserve"> </w:t>
      </w:r>
    </w:p>
    <w:p w:rsidR="00FB0B24" w:rsidRPr="005B5CB6" w:rsidP="003255A4">
      <w:pPr>
        <w:spacing w:after="158" w:line="360" w:lineRule="auto"/>
        <w:ind w:left="23" w:right="11" w:hanging="8"/>
        <w:jc w:val="both"/>
        <w:rPr>
          <w:rFonts w:ascii="Verdana" w:hAnsi="Verdana"/>
        </w:rPr>
      </w:pPr>
      <w:r w:rsidRPr="005B5CB6">
        <w:rPr>
          <w:rFonts w:ascii="Verdana" w:eastAsia="Verdana" w:hAnsi="Verdana" w:cs="Verdana"/>
        </w:rPr>
        <w:t xml:space="preserve">By Tristan Hotham, LL.B, MA, MRes – Current PhD student at the University of Bath studying British political parties Facebook campaigns.  </w:t>
      </w:r>
    </w:p>
    <w:p w:rsidR="00FB0B24" w:rsidRPr="005B5CB6" w:rsidP="003255A4">
      <w:pPr>
        <w:spacing w:after="267"/>
        <w:jc w:val="both"/>
        <w:rPr>
          <w:rFonts w:ascii="Verdana" w:hAnsi="Verdana"/>
        </w:rPr>
      </w:pPr>
      <w:r w:rsidRPr="005B5CB6">
        <w:rPr>
          <w:rFonts w:ascii="Verdana" w:eastAsia="Verdana" w:hAnsi="Verdana" w:cs="Verdana"/>
          <w:b/>
        </w:rPr>
        <w:t xml:space="preserve"> </w:t>
      </w:r>
    </w:p>
    <w:p w:rsidR="00FB0B24" w:rsidRPr="005B5CB6" w:rsidP="003255A4">
      <w:pPr>
        <w:spacing w:after="154" w:line="362" w:lineRule="auto"/>
        <w:ind w:left="11" w:hanging="10"/>
        <w:jc w:val="both"/>
        <w:rPr>
          <w:rFonts w:ascii="Verdana" w:hAnsi="Verdana"/>
        </w:rPr>
      </w:pPr>
      <w:r w:rsidRPr="005B5CB6">
        <w:rPr>
          <w:rFonts w:ascii="Verdana" w:eastAsia="Verdana" w:hAnsi="Verdana" w:cs="Verdana"/>
          <w:b/>
        </w:rPr>
        <w:t xml:space="preserve">Q1. How has digital technology changed the way that democracy works in the UK and has this been a net positive or negative effect? </w:t>
      </w:r>
    </w:p>
    <w:p w:rsidR="00FB0B24" w:rsidRPr="005B5CB6" w:rsidP="003255A4">
      <w:pPr>
        <w:spacing w:after="269"/>
        <w:jc w:val="both"/>
        <w:rPr>
          <w:rFonts w:ascii="Verdana" w:hAnsi="Verdana"/>
        </w:rPr>
      </w:pPr>
      <w:r w:rsidRPr="005B5CB6">
        <w:rPr>
          <w:rFonts w:ascii="Verdana" w:eastAsia="Verdana" w:hAnsi="Verdana" w:cs="Verdana"/>
        </w:rPr>
        <w:t xml:space="preserve"> </w:t>
      </w:r>
    </w:p>
    <w:p w:rsidR="00FB0B24" w:rsidRPr="005B5CB6" w:rsidP="003255A4">
      <w:pPr>
        <w:numPr>
          <w:ilvl w:val="0"/>
          <w:numId w:val="47"/>
        </w:numPr>
        <w:spacing w:after="5" w:line="358" w:lineRule="auto"/>
        <w:ind w:right="12" w:hanging="9"/>
        <w:jc w:val="both"/>
        <w:rPr>
          <w:rFonts w:ascii="Verdana" w:hAnsi="Verdana"/>
        </w:rPr>
      </w:pPr>
      <w:r w:rsidRPr="005B5CB6">
        <w:rPr>
          <w:rFonts w:ascii="Verdana" w:eastAsia="Verdana" w:hAnsi="Verdana" w:cs="Verdana"/>
        </w:rPr>
        <w:t xml:space="preserve">- Throughout my PhD examination of British political parties campaigns on Facebook from 2010-2019, it is clear that social media has brought to the fore a whole new body of individuals who are engaged with politics but who reject official membership. In my examinations of this new force of ‘virtual members’, followers and supporters of the parties on Facebook are younger and more representative of the British public than official membership. Graph 1 shows that the huge body of virtual memberships for both party and leader pages accounts for 8,800,000 potential individuals, vastly above the near 1,000,000 members accounted for via official membership. </w:t>
      </w:r>
    </w:p>
    <w:p w:rsidR="00FB0B24" w:rsidRPr="005B5CB6" w:rsidP="003255A4">
      <w:pPr>
        <w:spacing w:after="0"/>
        <w:jc w:val="both"/>
        <w:rPr>
          <w:rFonts w:ascii="Verdana" w:hAnsi="Verdana"/>
        </w:rPr>
      </w:pPr>
      <w:r w:rsidRPr="005B5CB6">
        <w:rPr>
          <w:rFonts w:ascii="Verdana" w:eastAsia="Verdana" w:hAnsi="Verdana" w:cs="Verdana"/>
          <w:b/>
        </w:rPr>
        <w:t xml:space="preserve"> </w:t>
      </w:r>
    </w:p>
    <w:p w:rsidR="00FB0B24" w:rsidRPr="005B5CB6" w:rsidP="003255A4">
      <w:pPr>
        <w:spacing w:after="5" w:line="358" w:lineRule="auto"/>
        <w:ind w:left="11" w:hanging="10"/>
        <w:jc w:val="both"/>
        <w:rPr>
          <w:rFonts w:ascii="Verdana" w:hAnsi="Verdana"/>
        </w:rPr>
      </w:pPr>
      <w:r w:rsidRPr="005B5CB6">
        <w:rPr>
          <w:rFonts w:ascii="Verdana" w:eastAsia="Verdana" w:hAnsi="Verdana" w:cs="Verdana"/>
          <w:b/>
        </w:rPr>
        <w:t xml:space="preserve">Graph 1 – 2019 Virtual memberships of party and leader pages, alongside official membership data  </w:t>
      </w:r>
    </w:p>
    <w:p w:rsidR="00FB0B24" w:rsidRPr="005B5CB6" w:rsidP="003255A4">
      <w:pPr>
        <w:spacing w:after="308"/>
        <w:ind w:left="455"/>
        <w:jc w:val="both"/>
        <w:rPr>
          <w:rFonts w:ascii="Verdana" w:hAnsi="Verdana"/>
        </w:rPr>
      </w:pPr>
      <w:r>
        <w:rPr>
          <w:rFonts w:ascii="Verdana" w:hAnsi="Verdana"/>
          <w:noProof/>
        </w:rPr>
        <w:pict>
          <v:group id="Group 520901" o:spid="_x0000_i1103" style="height:215pt;mso-position-horizontal-relative:char;mso-position-vertical-relative:line;width:414.8pt" coordsize="52681,273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2117" o:spid="_x0000_s1104" type="#_x0000_t75" style="height:21122;left:7992;mso-wrap-style:square;position:absolute;top:491;visibility:visible;width:44684">
              <v:imagedata r:id="rId97" o:title=""/>
            </v:shape>
            <v:shape id="Picture 622118" o:spid="_x0000_s1105" type="#_x0000_t75" style="height:21122;left:7992;mso-wrap-style:square;position:absolute;top:491;visibility:visible;width:44684">
              <v:imagedata r:id="rId97" o:title=""/>
            </v:shape>
            <v:shape id="Picture 622119" o:spid="_x0000_s1106" type="#_x0000_t75" style="height:21122;left:7992;mso-wrap-style:square;position:absolute;top:491;visibility:visible;width:44684">
              <v:imagedata r:id="rId97" o:title=""/>
            </v:shape>
            <v:shape id="Picture 622120" o:spid="_x0000_s1107" type="#_x0000_t75" style="height:21122;left:7992;mso-wrap-style:square;position:absolute;top:491;visibility:visible;width:44684">
              <v:imagedata r:id="rId97" o:title=""/>
            </v:shape>
            <v:shape id="Picture 622121" o:spid="_x0000_s1108" type="#_x0000_t75" style="height:21122;left:7992;mso-wrap-style:square;position:absolute;top:491;visibility:visible;width:44684">
              <v:imagedata r:id="rId97" o:title=""/>
            </v:shape>
            <v:shape id="Picture 622122" o:spid="_x0000_s1109" type="#_x0000_t75" style="height:21122;left:7992;mso-wrap-style:square;position:absolute;top:491;visibility:visible;width:44684">
              <v:imagedata r:id="rId97" o:title=""/>
            </v:shape>
            <v:shape id="Picture 622123" o:spid="_x0000_s1110" type="#_x0000_t75" style="height:21122;left:7992;mso-wrap-style:square;position:absolute;top:491;visibility:visible;width:44684">
              <v:imagedata r:id="rId97" o:title=""/>
            </v:shape>
            <v:shape id="Picture 622124" o:spid="_x0000_s1111" type="#_x0000_t75" style="height:21122;left:7992;mso-wrap-style:square;position:absolute;top:491;visibility:visible;width:44684">
              <v:imagedata r:id="rId97" o:title=""/>
            </v:shape>
            <v:shape id="Shape 635440" o:spid="_x0000_s1112" style="height:3077;left:10507;mso-wrap-style:square;position:absolute;top:21486;v-text-anchor:top;visibility:visible;width:9921" coordsize="992124,307683" path="m,l992124,l992124,307683l,307683,,e" fillcolor="#f81b02" stroked="f">
              <v:stroke joinstyle="miter"/>
              <v:path arrowok="t" textboxrect="0,0,992124,307683"/>
            </v:shape>
            <v:shape id="Shape 635441" o:spid="_x0000_s1113" style="height:6231;left:25396;mso-wrap-style:square;position:absolute;top:18332;v-text-anchor:top;visibility:visible;width:9922" coordsize="992124,623151" path="m,l992124,l992124,623151l,623151,,e" fillcolor="#f81b02" stroked="f">
              <v:stroke joinstyle="miter"/>
              <v:path arrowok="t" textboxrect="0,0,992124,623151"/>
            </v:shape>
            <v:shape id="Shape 635442" o:spid="_x0000_s1114" style="height:8898;left:40271;mso-wrap-style:square;position:absolute;top:15665;v-text-anchor:top;visibility:visible;width:9936" coordsize="993648,889851" path="m,l993648,l993648,889851l,889851,,e" fillcolor="#f81b02" stroked="f">
              <v:stroke joinstyle="miter"/>
              <v:path arrowok="t" textboxrect="0,0,993648,889851"/>
            </v:shape>
            <v:shape id="Shape 635443" o:spid="_x0000_s1115" style="height:731;left:10507;mso-wrap-style:square;position:absolute;top:20755;v-text-anchor:top;visibility:visible;width:9921" coordsize="992124,73152" path="m,l992124,l992124,73152l,73152,,e" fillcolor="#0070c0" stroked="f">
              <v:stroke joinstyle="miter"/>
              <v:path arrowok="t" textboxrect="0,0,992124,73152"/>
            </v:shape>
            <v:shape id="Shape 635444" o:spid="_x0000_s1116" style="height:4008;left:25396;mso-wrap-style:square;position:absolute;top:14324;v-text-anchor:top;visibility:visible;width:9922" coordsize="992124,400812" path="m,l992124,l992124,400812l,400812,,e" fillcolor="#0070c0" stroked="f">
              <v:stroke joinstyle="miter"/>
              <v:path arrowok="t" textboxrect="0,0,992124,400812"/>
            </v:shape>
            <v:shape id="Shape 635445" o:spid="_x0000_s1117" style="height:4069;left:40271;mso-wrap-style:square;position:absolute;top:11596;v-text-anchor:top;visibility:visible;width:9936" coordsize="993648,406908" path="m,l993648,l993648,406908l,406908,,e" fillcolor="#0070c0" stroked="f">
              <v:stroke joinstyle="miter"/>
              <v:path arrowok="t" textboxrect="0,0,993648,406908"/>
            </v:shape>
            <v:shape id="Shape 635446" o:spid="_x0000_s1118" style="height:732;left:10507;mso-wrap-style:square;position:absolute;top:20023;v-text-anchor:top;visibility:visible;width:9921" coordsize="992124,73152" path="m,l992124,l992124,73152l,73152,,e" fillcolor="#ffc000" stroked="f">
              <v:stroke joinstyle="miter"/>
              <v:path arrowok="t" textboxrect="0,0,992124,73152"/>
            </v:shape>
            <v:shape id="Shape 635447" o:spid="_x0000_s1119" style="height:1189;left:25396;mso-wrap-style:square;position:absolute;top:13135;v-text-anchor:top;visibility:visible;width:9922" coordsize="992124,118872" path="m,l992124,l992124,118872l,118872,,e" fillcolor="#ffc000" stroked="f">
              <v:stroke joinstyle="miter"/>
              <v:path arrowok="t" textboxrect="0,0,992124,118872"/>
            </v:shape>
            <v:shape id="Shape 635448" o:spid="_x0000_s1120" style="height:92;left:40271;mso-wrap-style:square;position:absolute;top:11519;v-text-anchor:top;visibility:visible;width:9936" coordsize="993648,9144" path="m,l993648,l993648,9144l,9144,,e" fillcolor="#ffc000" stroked="f">
              <v:stroke joinstyle="miter"/>
              <v:path arrowok="t" textboxrect="0,0,993648,9144"/>
            </v:shape>
            <v:shape id="Shape 635449" o:spid="_x0000_s1121" style="height:244;left:10507;mso-wrap-style:square;position:absolute;top:19779;v-text-anchor:top;visibility:visible;width:9921" coordsize="992124,24384" path="m,l992124,l992124,24384l,24384,,e" fillcolor="#00b050" stroked="f">
              <v:stroke joinstyle="miter"/>
              <v:path arrowok="t" textboxrect="0,0,992124,24384"/>
            </v:shape>
            <v:shape id="Shape 635450" o:spid="_x0000_s1122" style="height:1875;left:25396;mso-wrap-style:square;position:absolute;top:11260;v-text-anchor:top;visibility:visible;width:9922" coordsize="992124,187452" path="m,l992124,l992124,187452l,187452,,e" fillcolor="#00b050" stroked="f">
              <v:stroke joinstyle="miter"/>
              <v:path arrowok="t" textboxrect="0,0,992124,187452"/>
            </v:shape>
            <v:shape id="Shape 635451" o:spid="_x0000_s1123" style="height:655;left:40271;mso-wrap-style:square;position:absolute;top:10864;v-text-anchor:top;visibility:visible;width:9936" coordsize="993648,65532" path="m,l993648,l993648,65532l,65532,,e" fillcolor="#00b050" stroked="f">
              <v:stroke joinstyle="miter"/>
              <v:path arrowok="t" textboxrect="0,0,993648,65532"/>
            </v:shape>
            <v:shape id="Shape 635452" o:spid="_x0000_s1124" style="height:746;left:10507;mso-wrap-style:square;position:absolute;top:19033;v-text-anchor:top;visibility:visible;width:9921" coordsize="992124,74676" path="m,l992124,l992124,74676l,74676,,e" fillcolor="yellow" stroked="f">
              <v:stroke joinstyle="miter"/>
              <v:path arrowok="t" textboxrect="0,0,992124,74676"/>
            </v:shape>
            <v:shape id="Shape 635453" o:spid="_x0000_s1125" style="height:1752;left:25396;mso-wrap-style:square;position:absolute;top:9508;v-text-anchor:top;visibility:visible;width:9922" coordsize="992124,175260" path="m,l992124,l992124,175260l,175260,,e" fillcolor="yellow" stroked="f">
              <v:stroke joinstyle="miter"/>
              <v:path arrowok="t" textboxrect="0,0,992124,175260"/>
            </v:shape>
            <v:shape id="Shape 635454" o:spid="_x0000_s1126" style="height:1829;left:40271;mso-wrap-style:square;position:absolute;top:9035;v-text-anchor:top;visibility:visible;width:9936" coordsize="993648,182880" path="m,l993648,l993648,182880l,182880,,e" fillcolor="yellow" stroked="f">
              <v:stroke joinstyle="miter"/>
              <v:path arrowok="t" textboxrect="0,0,993648,182880"/>
            </v:shape>
            <v:shape id="Shape 635455" o:spid="_x0000_s1127" style="height:869;left:25396;mso-wrap-style:square;position:absolute;top:8639;v-text-anchor:top;visibility:visible;width:9922" coordsize="992124,86868" path="m,l992124,l992124,86868l,86868,,e" fillcolor="#00b0f0" stroked="f">
              <v:stroke joinstyle="miter"/>
              <v:path arrowok="t" textboxrect="0,0,992124,86868"/>
            </v:shape>
            <v:shape id="Shape 635456" o:spid="_x0000_s1128" style="height:5242;left:40271;mso-wrap-style:square;position:absolute;top:3793;v-text-anchor:top;visibility:visible;width:9936" coordsize="993648,524256" path="m,l993648,l993648,524256l,524256,,e" fillcolor="#00b0f0" stroked="f">
              <v:stroke joinstyle="miter"/>
              <v:path arrowok="t" textboxrect="0,0,993648,524256"/>
            </v:shape>
            <v:shape id="Shape 635457" o:spid="_x0000_s1129" style="height:137;left:10507;mso-wrap-style:square;position:absolute;top:18896;v-text-anchor:top;visibility:visible;width:9921" coordsize="992124,13716" path="m,l992124,l992124,13716l,13716,,e" fillcolor="#7030a0" stroked="f">
              <v:stroke joinstyle="miter"/>
              <v:path arrowok="t" textboxrect="0,0,992124,13716"/>
            </v:shape>
            <v:shape id="Shape 635458" o:spid="_x0000_s1130" style="height:3429;left:25396;mso-wrap-style:square;position:absolute;top:5210;v-text-anchor:top;visibility:visible;width:9922" coordsize="992124,342900" path="m,l992124,l992124,342900l,342900,,e" fillcolor="#7030a0" stroked="f">
              <v:stroke joinstyle="miter"/>
              <v:path arrowok="t" textboxrect="0,0,992124,342900"/>
            </v:shape>
            <v:shape id="Shape 635459" o:spid="_x0000_s1131" style="height:92;left:40271;mso-wrap-style:square;position:absolute;top:3777;v-text-anchor:top;visibility:visible;width:9936" coordsize="993648,9144" path="m,l993648,l993648,9144l,9144,,e" fillcolor="#7030a0" stroked="f">
              <v:stroke joinstyle="miter"/>
              <v:path arrowok="t" textboxrect="0,0,993648,9144"/>
            </v:shape>
            <v:shape id="Shape 9524" o:spid="_x0000_s1132" style="height:0;left:8028;mso-wrap-style:square;position:absolute;top:24563;v-text-anchor:top;visibility:visible;width:44653" coordsize="4465282,21600" path="m,l4465282,e" filled="f" strokecolor="#bfbfbf">
              <v:path arrowok="t" textboxrect="0,0,4465282,0"/>
            </v:shape>
            <v:rect id="Rectangle 9525" o:spid="_x0000_s1133" style="height:1868;left:5832;mso-wrap-style:square;position:absolute;top:23981;v-text-anchor:top;visibility:visible;width:1098" filled="f" stroked="f">
              <v:textbox inset="0,0,0,0">
                <w:txbxContent>
                  <w:p w:rsidR="00673732">
                    <w:r>
                      <w:rPr>
                        <w:rFonts w:ascii="Rockwell" w:eastAsia="Rockwell" w:hAnsi="Rockwell" w:cs="Rockwell"/>
                        <w:color w:val="595959"/>
                        <w:sz w:val="24"/>
                      </w:rPr>
                      <w:t>0</w:t>
                    </w:r>
                  </w:p>
                </w:txbxContent>
              </v:textbox>
            </v:rect>
            <v:rect id="Rectangle 9526" o:spid="_x0000_s1134" style="height:1868;left:1267;mso-wrap-style:square;position:absolute;top:20983;v-text-anchor:top;visibility:visible;width:7180" filled="f" stroked="f">
              <v:textbox inset="0,0,0,0">
                <w:txbxContent>
                  <w:p w:rsidR="00673732">
                    <w:r>
                      <w:rPr>
                        <w:rFonts w:ascii="Rockwell" w:eastAsia="Rockwell" w:hAnsi="Rockwell" w:cs="Rockwell"/>
                        <w:color w:val="595959"/>
                        <w:sz w:val="24"/>
                      </w:rPr>
                      <w:t>500,000</w:t>
                    </w:r>
                  </w:p>
                </w:txbxContent>
              </v:textbox>
            </v:rect>
            <v:rect id="Rectangle 9527" o:spid="_x0000_s1135" style="height:1867;mso-wrap-style:square;position:absolute;top:17986;v-text-anchor:top;visibility:visible;width:8861" filled="f" stroked="f">
              <v:textbox inset="0,0,0,0">
                <w:txbxContent>
                  <w:p w:rsidR="00673732">
                    <w:r>
                      <w:rPr>
                        <w:rFonts w:ascii="Rockwell" w:eastAsia="Rockwell" w:hAnsi="Rockwell" w:cs="Rockwell"/>
                        <w:color w:val="595959"/>
                        <w:sz w:val="24"/>
                      </w:rPr>
                      <w:t>1,000,000</w:t>
                    </w:r>
                  </w:p>
                </w:txbxContent>
              </v:textbox>
            </v:rect>
            <v:rect id="Rectangle 9528" o:spid="_x0000_s1136" style="height:1868;mso-wrap-style:square;position:absolute;top:14988;v-text-anchor:top;visibility:visible;width:8861" filled="f" stroked="f">
              <v:textbox inset="0,0,0,0">
                <w:txbxContent>
                  <w:p w:rsidR="00673732">
                    <w:r>
                      <w:rPr>
                        <w:rFonts w:ascii="Rockwell" w:eastAsia="Rockwell" w:hAnsi="Rockwell" w:cs="Rockwell"/>
                        <w:color w:val="595959"/>
                        <w:sz w:val="24"/>
                      </w:rPr>
                      <w:t>1,500,000</w:t>
                    </w:r>
                  </w:p>
                </w:txbxContent>
              </v:textbox>
            </v:rect>
            <v:rect id="Rectangle 9529" o:spid="_x0000_s1137" style="height:1868;mso-wrap-style:square;position:absolute;top:11990;v-text-anchor:top;visibility:visible;width:8861" filled="f" stroked="f">
              <v:textbox inset="0,0,0,0">
                <w:txbxContent>
                  <w:p w:rsidR="00673732">
                    <w:r>
                      <w:rPr>
                        <w:rFonts w:ascii="Rockwell" w:eastAsia="Rockwell" w:hAnsi="Rockwell" w:cs="Rockwell"/>
                        <w:color w:val="595959"/>
                        <w:sz w:val="24"/>
                      </w:rPr>
                      <w:t>2,000,000</w:t>
                    </w:r>
                  </w:p>
                </w:txbxContent>
              </v:textbox>
            </v:rect>
            <v:rect id="Rectangle 9530" o:spid="_x0000_s1138" style="height:1867;mso-wrap-style:square;position:absolute;top:8993;v-text-anchor:top;visibility:visible;width:8861" filled="f" stroked="f">
              <v:textbox inset="0,0,0,0">
                <w:txbxContent>
                  <w:p w:rsidR="00673732">
                    <w:r>
                      <w:rPr>
                        <w:rFonts w:ascii="Rockwell" w:eastAsia="Rockwell" w:hAnsi="Rockwell" w:cs="Rockwell"/>
                        <w:color w:val="595959"/>
                        <w:sz w:val="24"/>
                      </w:rPr>
                      <w:t>2,500,000</w:t>
                    </w:r>
                  </w:p>
                </w:txbxContent>
              </v:textbox>
            </v:rect>
            <v:rect id="Rectangle 9531" o:spid="_x0000_s1139" style="height:1868;mso-wrap-style:square;position:absolute;top:5995;v-text-anchor:top;visibility:visible;width:8861" filled="f" stroked="f">
              <v:textbox inset="0,0,0,0">
                <w:txbxContent>
                  <w:p w:rsidR="00673732">
                    <w:r>
                      <w:rPr>
                        <w:rFonts w:ascii="Rockwell" w:eastAsia="Rockwell" w:hAnsi="Rockwell" w:cs="Rockwell"/>
                        <w:color w:val="595959"/>
                        <w:sz w:val="24"/>
                      </w:rPr>
                      <w:t>3,000,000</w:t>
                    </w:r>
                  </w:p>
                </w:txbxContent>
              </v:textbox>
            </v:rect>
            <v:rect id="Rectangle 9532" o:spid="_x0000_s1140" style="height:1868;mso-wrap-style:square;position:absolute;top:2997;v-text-anchor:top;visibility:visible;width:8861" filled="f" stroked="f">
              <v:textbox inset="0,0,0,0">
                <w:txbxContent>
                  <w:p w:rsidR="00673732">
                    <w:r>
                      <w:rPr>
                        <w:rFonts w:ascii="Rockwell" w:eastAsia="Rockwell" w:hAnsi="Rockwell" w:cs="Rockwell"/>
                        <w:color w:val="595959"/>
                        <w:sz w:val="24"/>
                      </w:rPr>
                      <w:t>3,500,000</w:t>
                    </w:r>
                  </w:p>
                </w:txbxContent>
              </v:textbox>
            </v:rect>
            <v:rect id="Rectangle 9533" o:spid="_x0000_s1141" style="height:1867;mso-wrap-style:square;position:absolute;v-text-anchor:top;visibility:visible;width:8861" filled="f" stroked="f">
              <v:textbox inset="0,0,0,0">
                <w:txbxContent>
                  <w:p w:rsidR="00673732">
                    <w:r>
                      <w:rPr>
                        <w:rFonts w:ascii="Rockwell" w:eastAsia="Rockwell" w:hAnsi="Rockwell" w:cs="Rockwell"/>
                        <w:color w:val="595959"/>
                        <w:sz w:val="24"/>
                      </w:rPr>
                      <w:t>4,000,000</w:t>
                    </w:r>
                  </w:p>
                </w:txbxContent>
              </v:textbox>
            </v:rect>
            <v:rect id="Rectangle 9534" o:spid="_x0000_s1142" style="height:1867;left:9419;mso-wrap-style:square;position:absolute;top:25900;v-text-anchor:top;visibility:visible;width:16090" filled="f" stroked="f">
              <v:textbox inset="0,0,0,0">
                <w:txbxContent>
                  <w:p w:rsidR="00673732">
                    <w:r>
                      <w:rPr>
                        <w:rFonts w:ascii="Rockwell" w:eastAsia="Rockwell" w:hAnsi="Rockwell" w:cs="Rockwell"/>
                        <w:color w:val="595959"/>
                        <w:sz w:val="24"/>
                      </w:rPr>
                      <w:t>Official members</w:t>
                    </w:r>
                  </w:p>
                </w:txbxContent>
              </v:textbox>
            </v:rect>
            <v:rect id="Rectangle 9535" o:spid="_x0000_s1143" style="height:1867;left:25127;mso-wrap-style:square;position:absolute;top:25900;v-text-anchor:top;visibility:visible;width:13901" filled="f" stroked="f">
              <v:textbox inset="0,0,0,0">
                <w:txbxContent>
                  <w:p w:rsidR="00673732">
                    <w:r>
                      <w:rPr>
                        <w:rFonts w:ascii="Rockwell" w:eastAsia="Rockwell" w:hAnsi="Rockwell" w:cs="Rockwell"/>
                        <w:color w:val="595959"/>
                        <w:sz w:val="24"/>
                      </w:rPr>
                      <w:t>Party followers</w:t>
                    </w:r>
                  </w:p>
                </w:txbxContent>
              </v:textbox>
            </v:rect>
            <v:rect id="Rectangle 9536" o:spid="_x0000_s1144" style="height:1867;left:39363;mso-wrap-style:square;position:absolute;top:25900;v-text-anchor:top;visibility:visible;width:15644" filled="f" stroked="f">
              <v:textbox inset="0,0,0,0">
                <w:txbxContent>
                  <w:p w:rsidR="00673732">
                    <w:r>
                      <w:rPr>
                        <w:rFonts w:ascii="Rockwell" w:eastAsia="Rockwell" w:hAnsi="Rockwell" w:cs="Rockwell"/>
                        <w:color w:val="595959"/>
                        <w:sz w:val="24"/>
                      </w:rPr>
                      <w:t>Leader followers</w:t>
                    </w:r>
                  </w:p>
                </w:txbxContent>
              </v:textbox>
            </v:rect>
            <w10:wrap type="none"/>
            <w10:anchorlock/>
          </v:group>
        </w:pict>
      </w:r>
    </w:p>
    <w:p w:rsidR="00FB0B24" w:rsidRPr="005B5CB6" w:rsidP="003255A4">
      <w:pPr>
        <w:spacing w:after="0"/>
        <w:ind w:left="887" w:hanging="10"/>
        <w:jc w:val="both"/>
        <w:rPr>
          <w:rFonts w:ascii="Verdana" w:hAnsi="Verdana"/>
        </w:rPr>
      </w:pPr>
      <w:r w:rsidRPr="005B5CB6">
        <w:rPr>
          <w:rFonts w:ascii="Verdana" w:hAnsi="Verdana"/>
          <w:noProof/>
        </w:rPr>
        <mc:AlternateContent>
          <mc:Choice Requires="wpg">
            <w:drawing>
              <wp:anchor distT="0" distB="0" distL="114300" distR="114300" simplePos="0" relativeHeight="251666432" behindDoc="0" locked="0" layoutInCell="1" allowOverlap="1">
                <wp:simplePos x="0" y="0"/>
                <wp:positionH relativeFrom="column">
                  <wp:posOffset>556692</wp:posOffset>
                </wp:positionH>
                <wp:positionV relativeFrom="paragraph">
                  <wp:posOffset>18045</wp:posOffset>
                </wp:positionV>
                <wp:extent cx="80327" cy="408255"/>
                <wp:effectExtent l="0" t="0" r="0" b="0"/>
                <wp:wrapSquare wrapText="bothSides"/>
                <wp:docPr id="520902" name="Group 520902"/>
                <wp:cNvGraphicFramePr/>
                <a:graphic xmlns:a="http://schemas.openxmlformats.org/drawingml/2006/main">
                  <a:graphicData uri="http://schemas.microsoft.com/office/word/2010/wordprocessingGroup">
                    <wpg:wgp xmlns:wpg="http://schemas.microsoft.com/office/word/2010/wordprocessingGroup">
                      <wpg:cNvGrpSpPr/>
                      <wpg:grpSpPr>
                        <a:xfrm>
                          <a:off x="0" y="0"/>
                          <a:ext cx="80327" cy="408255"/>
                          <a:chOff x="0" y="0"/>
                          <a:chExt cx="80327" cy="408255"/>
                        </a:xfrm>
                      </wpg:grpSpPr>
                      <wps:wsp xmlns:wps="http://schemas.microsoft.com/office/word/2010/wordprocessingShape">
                        <wps:cNvPr id="635480" name="Shape 635480"/>
                        <wps:cNvSpPr/>
                        <wps:spPr>
                          <a:xfrm>
                            <a:off x="0" y="0"/>
                            <a:ext cx="80327" cy="80328"/>
                          </a:xfrm>
                          <a:custGeom>
                            <a:avLst/>
                            <a:gdLst/>
                            <a:ahLst/>
                            <a:cxnLst/>
                            <a:rect l="0" t="0" r="0" b="0"/>
                            <a:pathLst>
                              <a:path w="80327" h="80328">
                                <a:moveTo>
                                  <a:pt x="0" y="0"/>
                                </a:moveTo>
                                <a:lnTo>
                                  <a:pt x="80327" y="0"/>
                                </a:lnTo>
                                <a:lnTo>
                                  <a:pt x="80327" y="80328"/>
                                </a:lnTo>
                                <a:lnTo>
                                  <a:pt x="0" y="80328"/>
                                </a:lnTo>
                                <a:lnTo>
                                  <a:pt x="0" y="0"/>
                                </a:lnTo>
                              </a:path>
                            </a:pathLst>
                          </a:custGeom>
                          <a:ln w="0" cap="flat">
                            <a:round/>
                          </a:ln>
                        </wps:spPr>
                        <wps:style>
                          <a:lnRef idx="0">
                            <a:srgbClr val="000000">
                              <a:alpha val="0"/>
                            </a:srgbClr>
                          </a:lnRef>
                          <a:fillRef idx="1">
                            <a:srgbClr val="F81B02"/>
                          </a:fillRef>
                          <a:effectRef idx="0">
                            <a:scrgbClr r="0" g="0" b="0"/>
                          </a:effectRef>
                          <a:fontRef idx="none"/>
                        </wps:style>
                        <wps:bodyPr/>
                      </wps:wsp>
                      <wps:wsp xmlns:wps="http://schemas.microsoft.com/office/word/2010/wordprocessingShape">
                        <wps:cNvPr id="635481" name="Shape 635481"/>
                        <wps:cNvSpPr/>
                        <wps:spPr>
                          <a:xfrm>
                            <a:off x="0" y="163970"/>
                            <a:ext cx="80327" cy="80328"/>
                          </a:xfrm>
                          <a:custGeom>
                            <a:avLst/>
                            <a:gdLst/>
                            <a:ahLst/>
                            <a:cxnLst/>
                            <a:rect l="0" t="0" r="0" b="0"/>
                            <a:pathLst>
                              <a:path w="80327" h="80328">
                                <a:moveTo>
                                  <a:pt x="0" y="0"/>
                                </a:moveTo>
                                <a:lnTo>
                                  <a:pt x="80327" y="0"/>
                                </a:lnTo>
                                <a:lnTo>
                                  <a:pt x="80327" y="80328"/>
                                </a:lnTo>
                                <a:lnTo>
                                  <a:pt x="0" y="80328"/>
                                </a:lnTo>
                                <a:lnTo>
                                  <a:pt x="0" y="0"/>
                                </a:lnTo>
                              </a:path>
                            </a:pathLst>
                          </a:custGeom>
                          <a:ln w="0" cap="flat">
                            <a:round/>
                          </a:ln>
                        </wps:spPr>
                        <wps:style>
                          <a:lnRef idx="0">
                            <a:srgbClr val="000000">
                              <a:alpha val="0"/>
                            </a:srgbClr>
                          </a:lnRef>
                          <a:fillRef idx="1">
                            <a:srgbClr val="00B050"/>
                          </a:fillRef>
                          <a:effectRef idx="0">
                            <a:scrgbClr r="0" g="0" b="0"/>
                          </a:effectRef>
                          <a:fontRef idx="none"/>
                        </wps:style>
                        <wps:bodyPr/>
                      </wps:wsp>
                      <wps:wsp xmlns:wps="http://schemas.microsoft.com/office/word/2010/wordprocessingShape">
                        <wps:cNvPr id="635482" name="Shape 635482"/>
                        <wps:cNvSpPr/>
                        <wps:spPr>
                          <a:xfrm>
                            <a:off x="0" y="327927"/>
                            <a:ext cx="80327" cy="80328"/>
                          </a:xfrm>
                          <a:custGeom>
                            <a:avLst/>
                            <a:gdLst/>
                            <a:ahLst/>
                            <a:cxnLst/>
                            <a:rect l="0" t="0" r="0" b="0"/>
                            <a:pathLst>
                              <a:path w="80327" h="80328">
                                <a:moveTo>
                                  <a:pt x="0" y="0"/>
                                </a:moveTo>
                                <a:lnTo>
                                  <a:pt x="80327" y="0"/>
                                </a:lnTo>
                                <a:lnTo>
                                  <a:pt x="80327" y="80328"/>
                                </a:lnTo>
                                <a:lnTo>
                                  <a:pt x="0" y="80328"/>
                                </a:lnTo>
                                <a:lnTo>
                                  <a:pt x="0" y="0"/>
                                </a:lnTo>
                              </a:path>
                            </a:pathLst>
                          </a:custGeom>
                          <a:ln w="0" cap="flat">
                            <a:round/>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id="_x0000_s1145" style="height:32.15pt;margin-left:43.83pt;margin-top:1.42pt;position:absolute;width:6.33pt;z-index:251659264" coordsize="803,4082">
                <v:shape id="_x0000_s1146" style="height:803;position:absolute;width:803" coordsize="80327,80328" path="m,l80327,l80327,80328l,80328l,e">
                  <v:stroke joinstyle="round" endcap="flat" opacity="0"/>
                </v:shape>
                <v:shape id="_x0000_s1147" style="height:803;position:absolute;top:1639;width:803" coordsize="80327,80328" path="m,l80327,l80327,80328l,80328l,e">
                  <v:stroke joinstyle="round" endcap="flat" opacity="0"/>
                </v:shape>
                <v:shape id="_x0000_s1148" style="height:803;position:absolute;top:3279;width:803" coordsize="80327,80328" path="m,l80327,l80327,80328l,80328l,e">
                  <v:stroke joinstyle="round" endcap="flat" opacity="0"/>
                </v:shape>
                <w10:wrap type="square"/>
              </v:group>
            </w:pict>
          </mc:Fallback>
        </mc:AlternateContent>
      </w:r>
      <w:r w:rsidRPr="005B5CB6">
        <w:rPr>
          <w:rFonts w:ascii="Verdana" w:hAnsi="Verdana"/>
          <w:noProof/>
        </w:rPr>
        <mc:AlternateContent>
          <mc:Choice Requires="wpg">
            <w:drawing>
              <wp:anchor distT="0" distB="0" distL="114300" distR="114300" simplePos="0" relativeHeight="251667456" behindDoc="0" locked="0" layoutInCell="1" allowOverlap="1">
                <wp:simplePos x="0" y="0"/>
                <wp:positionH relativeFrom="column">
                  <wp:posOffset>2275536</wp:posOffset>
                </wp:positionH>
                <wp:positionV relativeFrom="paragraph">
                  <wp:posOffset>18045</wp:posOffset>
                </wp:positionV>
                <wp:extent cx="80328" cy="244297"/>
                <wp:effectExtent l="0" t="0" r="0" b="0"/>
                <wp:wrapSquare wrapText="bothSides"/>
                <wp:docPr id="520903" name="Group 520903"/>
                <wp:cNvGraphicFramePr/>
                <a:graphic xmlns:a="http://schemas.openxmlformats.org/drawingml/2006/main">
                  <a:graphicData uri="http://schemas.microsoft.com/office/word/2010/wordprocessingGroup">
                    <wpg:wgp xmlns:wpg="http://schemas.microsoft.com/office/word/2010/wordprocessingGroup">
                      <wpg:cNvGrpSpPr/>
                      <wpg:grpSpPr>
                        <a:xfrm>
                          <a:off x="0" y="0"/>
                          <a:ext cx="80328" cy="244297"/>
                          <a:chOff x="0" y="0"/>
                          <a:chExt cx="80328" cy="244297"/>
                        </a:xfrm>
                      </wpg:grpSpPr>
                      <wps:wsp xmlns:wps="http://schemas.microsoft.com/office/word/2010/wordprocessingShape">
                        <wps:cNvPr id="635486" name="Shape 635486"/>
                        <wps:cNvSpPr/>
                        <wps:spPr>
                          <a:xfrm>
                            <a:off x="0" y="0"/>
                            <a:ext cx="80328" cy="80328"/>
                          </a:xfrm>
                          <a:custGeom>
                            <a:avLst/>
                            <a:gdLst/>
                            <a:ahLst/>
                            <a:cxnLst/>
                            <a:rect l="0" t="0" r="0" b="0"/>
                            <a:pathLst>
                              <a:path w="80328" h="80328">
                                <a:moveTo>
                                  <a:pt x="0" y="0"/>
                                </a:moveTo>
                                <a:lnTo>
                                  <a:pt x="80328" y="0"/>
                                </a:lnTo>
                                <a:lnTo>
                                  <a:pt x="80328" y="80328"/>
                                </a:lnTo>
                                <a:lnTo>
                                  <a:pt x="0" y="80328"/>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xmlns:wps="http://schemas.microsoft.com/office/word/2010/wordprocessingShape">
                        <wps:cNvPr id="635487" name="Shape 635487"/>
                        <wps:cNvSpPr/>
                        <wps:spPr>
                          <a:xfrm>
                            <a:off x="0" y="163970"/>
                            <a:ext cx="80328" cy="80328"/>
                          </a:xfrm>
                          <a:custGeom>
                            <a:avLst/>
                            <a:gdLst/>
                            <a:ahLst/>
                            <a:cxnLst/>
                            <a:rect l="0" t="0" r="0" b="0"/>
                            <a:pathLst>
                              <a:path w="80328" h="80328">
                                <a:moveTo>
                                  <a:pt x="0" y="0"/>
                                </a:moveTo>
                                <a:lnTo>
                                  <a:pt x="80328" y="0"/>
                                </a:lnTo>
                                <a:lnTo>
                                  <a:pt x="80328" y="80328"/>
                                </a:lnTo>
                                <a:lnTo>
                                  <a:pt x="0" y="80328"/>
                                </a:lnTo>
                                <a:lnTo>
                                  <a:pt x="0" y="0"/>
                                </a:lnTo>
                              </a:path>
                            </a:pathLst>
                          </a:custGeom>
                          <a:ln w="0" cap="flat">
                            <a:round/>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id="_x0000_s1149" style="height:19.24pt;margin-left:179.18pt;margin-top:1.42pt;position:absolute;width:6.33pt;z-index:251660288" coordsize="803,2442">
                <v:shape id="_x0000_s1150" style="height:803;position:absolute;width:803" coordsize="80328,80328" path="m,l80328,l80328,80328l,80328l,e">
                  <v:stroke joinstyle="round" endcap="flat" opacity="0"/>
                </v:shape>
                <v:shape id="_x0000_s1151" style="height:803;position:absolute;top:1639;width:803" coordsize="80328,80328" path="m,l80328,l80328,80328l,80328l,e">
                  <v:stroke joinstyle="round" endcap="flat" opacity="0"/>
                </v:shape>
                <w10:wrap type="square"/>
              </v:group>
            </w:pict>
          </mc:Fallback>
        </mc:AlternateContent>
      </w:r>
      <w:r w:rsidRPr="005B5CB6">
        <w:rPr>
          <w:rFonts w:ascii="Verdana" w:hAnsi="Verdana"/>
          <w:noProof/>
        </w:rPr>
        <mc:AlternateContent>
          <mc:Choice Requires="wpg">
            <w:drawing>
              <wp:anchor distT="0" distB="0" distL="114300" distR="114300" simplePos="0" relativeHeight="251668480" behindDoc="0" locked="0" layoutInCell="1" allowOverlap="1">
                <wp:simplePos x="0" y="0"/>
                <wp:positionH relativeFrom="column">
                  <wp:posOffset>3994379</wp:posOffset>
                </wp:positionH>
                <wp:positionV relativeFrom="paragraph">
                  <wp:posOffset>18045</wp:posOffset>
                </wp:positionV>
                <wp:extent cx="80328" cy="244297"/>
                <wp:effectExtent l="0" t="0" r="0" b="0"/>
                <wp:wrapSquare wrapText="bothSides"/>
                <wp:docPr id="520904" name="Group 520904"/>
                <wp:cNvGraphicFramePr/>
                <a:graphic xmlns:a="http://schemas.openxmlformats.org/drawingml/2006/main">
                  <a:graphicData uri="http://schemas.microsoft.com/office/word/2010/wordprocessingGroup">
                    <wpg:wgp xmlns:wpg="http://schemas.microsoft.com/office/word/2010/wordprocessingGroup">
                      <wpg:cNvGrpSpPr/>
                      <wpg:grpSpPr>
                        <a:xfrm>
                          <a:off x="0" y="0"/>
                          <a:ext cx="80328" cy="244297"/>
                          <a:chOff x="0" y="0"/>
                          <a:chExt cx="80328" cy="244297"/>
                        </a:xfrm>
                      </wpg:grpSpPr>
                      <wps:wsp xmlns:wps="http://schemas.microsoft.com/office/word/2010/wordprocessingShape">
                        <wps:cNvPr id="635490" name="Shape 635490"/>
                        <wps:cNvSpPr/>
                        <wps:spPr>
                          <a:xfrm>
                            <a:off x="0" y="0"/>
                            <a:ext cx="80328" cy="80328"/>
                          </a:xfrm>
                          <a:custGeom>
                            <a:avLst/>
                            <a:gdLst/>
                            <a:ahLst/>
                            <a:cxnLst/>
                            <a:rect l="0" t="0" r="0" b="0"/>
                            <a:pathLst>
                              <a:path w="80328" h="80328">
                                <a:moveTo>
                                  <a:pt x="0" y="0"/>
                                </a:moveTo>
                                <a:lnTo>
                                  <a:pt x="80328" y="0"/>
                                </a:lnTo>
                                <a:lnTo>
                                  <a:pt x="80328" y="80328"/>
                                </a:lnTo>
                                <a:lnTo>
                                  <a:pt x="0" y="80328"/>
                                </a:lnTo>
                                <a:lnTo>
                                  <a:pt x="0" y="0"/>
                                </a:lnTo>
                              </a:path>
                            </a:pathLst>
                          </a:custGeom>
                          <a:ln w="0" cap="flat">
                            <a:round/>
                          </a:ln>
                        </wps:spPr>
                        <wps:style>
                          <a:lnRef idx="0">
                            <a:srgbClr val="000000">
                              <a:alpha val="0"/>
                            </a:srgbClr>
                          </a:lnRef>
                          <a:fillRef idx="1">
                            <a:srgbClr val="FFC000"/>
                          </a:fillRef>
                          <a:effectRef idx="0">
                            <a:scrgbClr r="0" g="0" b="0"/>
                          </a:effectRef>
                          <a:fontRef idx="none"/>
                        </wps:style>
                        <wps:bodyPr/>
                      </wps:wsp>
                      <wps:wsp xmlns:wps="http://schemas.microsoft.com/office/word/2010/wordprocessingShape">
                        <wps:cNvPr id="635491" name="Shape 635491"/>
                        <wps:cNvSpPr/>
                        <wps:spPr>
                          <a:xfrm>
                            <a:off x="0" y="163970"/>
                            <a:ext cx="80328" cy="80328"/>
                          </a:xfrm>
                          <a:custGeom>
                            <a:avLst/>
                            <a:gdLst/>
                            <a:ahLst/>
                            <a:cxnLst/>
                            <a:rect l="0" t="0" r="0" b="0"/>
                            <a:pathLst>
                              <a:path w="80328" h="80328">
                                <a:moveTo>
                                  <a:pt x="0" y="0"/>
                                </a:moveTo>
                                <a:lnTo>
                                  <a:pt x="80328" y="0"/>
                                </a:lnTo>
                                <a:lnTo>
                                  <a:pt x="80328" y="80328"/>
                                </a:lnTo>
                                <a:lnTo>
                                  <a:pt x="0" y="80328"/>
                                </a:lnTo>
                                <a:lnTo>
                                  <a:pt x="0" y="0"/>
                                </a:lnTo>
                              </a:path>
                            </a:pathLst>
                          </a:custGeom>
                          <a:ln w="0" cap="flat">
                            <a:round/>
                          </a:ln>
                        </wps:spPr>
                        <wps:style>
                          <a:lnRef idx="0">
                            <a:srgbClr val="000000">
                              <a:alpha val="0"/>
                            </a:srgbClr>
                          </a:lnRef>
                          <a:fillRef idx="1">
                            <a:srgbClr val="00B0F0"/>
                          </a:fillRef>
                          <a:effectRef idx="0">
                            <a:scrgbClr r="0" g="0" b="0"/>
                          </a:effectRef>
                          <a:fontRef idx="none"/>
                        </wps:style>
                        <wps:bodyPr/>
                      </wps:wsp>
                    </wpg:wgp>
                  </a:graphicData>
                </a:graphic>
              </wp:anchor>
            </w:drawing>
          </mc:Choice>
          <mc:Fallback>
            <w:pict>
              <v:group id="_x0000_s1152" style="height:19.24pt;margin-left:314.52pt;margin-top:1.42pt;position:absolute;width:6.33pt;z-index:251661312" coordsize="803,2442">
                <v:shape id="_x0000_s1153" style="height:803;position:absolute;width:803" coordsize="80328,80328" path="m,l80328,l80328,80328l,80328l,e">
                  <v:stroke joinstyle="round" endcap="flat" opacity="0"/>
                </v:shape>
                <v:shape id="_x0000_s1154" style="height:803;position:absolute;top:1639;width:803" coordsize="80328,80328" path="m,l80328,l80328,80328l,80328l,e">
                  <v:stroke joinstyle="round" endcap="flat" opacity="0"/>
                </v:shape>
                <w10:wrap type="square"/>
              </v:group>
            </w:pict>
          </mc:Fallback>
        </mc:AlternateContent>
      </w:r>
      <w:r w:rsidRPr="005B5CB6">
        <w:rPr>
          <w:rFonts w:ascii="Verdana" w:eastAsia="Rockwell" w:hAnsi="Verdana" w:cs="Rockwell"/>
          <w:color w:val="595959"/>
        </w:rPr>
        <w:t>LabourConservativesLiberal Democrats</w:t>
      </w:r>
    </w:p>
    <w:p w:rsidR="00FB0B24" w:rsidRPr="005B5CB6" w:rsidP="003255A4">
      <w:pPr>
        <w:spacing w:after="0"/>
        <w:ind w:left="887" w:hanging="10"/>
        <w:jc w:val="both"/>
        <w:rPr>
          <w:rFonts w:ascii="Verdana" w:hAnsi="Verdana"/>
        </w:rPr>
      </w:pPr>
      <w:r w:rsidRPr="005B5CB6">
        <w:rPr>
          <w:rFonts w:ascii="Verdana" w:eastAsia="Rockwell" w:hAnsi="Verdana" w:cs="Rockwell"/>
          <w:color w:val="595959"/>
        </w:rPr>
        <w:t>Green PartySNPBrexit Party</w:t>
      </w:r>
    </w:p>
    <w:p w:rsidR="00FB0B24" w:rsidRPr="005B5CB6" w:rsidP="003255A4">
      <w:pPr>
        <w:spacing w:after="76"/>
        <w:ind w:left="887" w:hanging="10"/>
        <w:jc w:val="both"/>
        <w:rPr>
          <w:rFonts w:ascii="Verdana" w:hAnsi="Verdana"/>
        </w:rPr>
      </w:pPr>
      <w:r w:rsidRPr="005B5CB6">
        <w:rPr>
          <w:rFonts w:ascii="Verdana" w:eastAsia="Rockwell" w:hAnsi="Verdana" w:cs="Rockwell"/>
          <w:color w:val="595959"/>
        </w:rPr>
        <w:t>UKIP</w:t>
      </w:r>
    </w:p>
    <w:p w:rsidR="00FB0B24" w:rsidRPr="005B5CB6" w:rsidP="003255A4">
      <w:pPr>
        <w:spacing w:after="276"/>
        <w:jc w:val="both"/>
        <w:rPr>
          <w:rFonts w:ascii="Verdana" w:hAnsi="Verdana"/>
        </w:rPr>
      </w:pPr>
      <w:r w:rsidRPr="005B5CB6">
        <w:rPr>
          <w:rFonts w:ascii="Verdana" w:eastAsia="Verdana" w:hAnsi="Verdana" w:cs="Verdana"/>
        </w:rPr>
        <w:t xml:space="preserve"> </w:t>
      </w:r>
      <w:r w:rsidRPr="005B5CB6">
        <w:rPr>
          <w:rFonts w:ascii="Verdana" w:eastAsia="Verdana" w:hAnsi="Verdana" w:cs="Verdana"/>
        </w:rPr>
        <w:tab/>
        <w:t xml:space="preserve"> </w:t>
      </w:r>
    </w:p>
    <w:p w:rsidR="00FB0B24" w:rsidRPr="005B5CB6" w:rsidP="003255A4">
      <w:pPr>
        <w:numPr>
          <w:ilvl w:val="0"/>
          <w:numId w:val="47"/>
        </w:numPr>
        <w:spacing w:after="158" w:line="359" w:lineRule="auto"/>
        <w:ind w:right="12" w:hanging="9"/>
        <w:jc w:val="both"/>
        <w:rPr>
          <w:rFonts w:ascii="Verdana" w:hAnsi="Verdana"/>
        </w:rPr>
      </w:pPr>
      <w:r w:rsidRPr="005B5CB6">
        <w:rPr>
          <w:rFonts w:ascii="Verdana" w:eastAsia="Verdana" w:hAnsi="Verdana" w:cs="Verdana"/>
        </w:rPr>
        <w:t xml:space="preserve">- This new found online support undermines many scholars’ previous assertions that we are seeing ‘the decline of parties’, with many bemoaning the decline in official membership. However, it is clear that although official membership has declined, that online virtual membership via following political parties has vastly increased. Social media and the internet has rejuvenated parties, with new bodies of younger and highly active online support. The key difference however is that these virtual members’ engagement and activity primarily occurs online and not offline. This fact has led many to fail to appreciate the democratic renewal that is taking place.  </w:t>
      </w:r>
    </w:p>
    <w:p w:rsidR="00FB0B24" w:rsidRPr="005B5CB6" w:rsidP="003255A4">
      <w:pPr>
        <w:numPr>
          <w:ilvl w:val="0"/>
          <w:numId w:val="47"/>
        </w:numPr>
        <w:spacing w:after="5" w:line="358" w:lineRule="auto"/>
        <w:ind w:right="12" w:hanging="9"/>
        <w:jc w:val="both"/>
        <w:rPr>
          <w:rFonts w:ascii="Verdana" w:hAnsi="Verdana"/>
        </w:rPr>
      </w:pPr>
      <w:r w:rsidRPr="005B5CB6">
        <w:rPr>
          <w:rFonts w:ascii="Verdana" w:eastAsia="Verdana" w:hAnsi="Verdana" w:cs="Verdana"/>
        </w:rPr>
        <w:t xml:space="preserve">- Although not a revolutionary force yet, Facebook offers parties and the public a genuine new avenue for political engagement that is a force for good. The fluidity that social media offers has opened up political interest and activism in demographics that are traditionally less engaged, such as young people. While parties rigid structures of membership are now rightly being recast to appreciate the power of social media in how parties can organise support, inform the public, democratise their policy systems and open up politics to a wider body of the public. </w:t>
      </w:r>
    </w:p>
    <w:p w:rsidR="00FB0B24" w:rsidRPr="005B5CB6" w:rsidP="003255A4">
      <w:pPr>
        <w:spacing w:after="158" w:line="360" w:lineRule="auto"/>
        <w:ind w:left="23" w:right="11" w:hanging="8"/>
        <w:jc w:val="both"/>
        <w:rPr>
          <w:rFonts w:ascii="Verdana" w:hAnsi="Verdana"/>
        </w:rPr>
      </w:pPr>
      <w:r w:rsidRPr="005B5CB6">
        <w:rPr>
          <w:rFonts w:ascii="Verdana" w:eastAsia="Verdana" w:hAnsi="Verdana" w:cs="Verdana"/>
        </w:rPr>
        <w:t xml:space="preserve">Overall digital technology has had a major positive effect on British parties over the last decade. </w:t>
      </w:r>
    </w:p>
    <w:p w:rsidR="00FB0B24" w:rsidRPr="005B5CB6" w:rsidP="003255A4">
      <w:pPr>
        <w:spacing w:after="269"/>
        <w:ind w:left="720"/>
        <w:jc w:val="both"/>
        <w:rPr>
          <w:rFonts w:ascii="Verdana" w:hAnsi="Verdana"/>
        </w:rPr>
      </w:pPr>
      <w:r w:rsidRPr="005B5CB6">
        <w:rPr>
          <w:rFonts w:ascii="Verdana" w:eastAsia="Verdana" w:hAnsi="Verdana" w:cs="Verdana"/>
        </w:rPr>
        <w:t xml:space="preserve"> </w:t>
      </w:r>
    </w:p>
    <w:p w:rsidR="00FB0B24" w:rsidRPr="005B5CB6" w:rsidP="003255A4">
      <w:pPr>
        <w:spacing w:after="156" w:line="360" w:lineRule="auto"/>
        <w:ind w:left="11" w:hanging="10"/>
        <w:jc w:val="both"/>
        <w:rPr>
          <w:rFonts w:ascii="Verdana" w:hAnsi="Verdana"/>
        </w:rPr>
      </w:pPr>
      <w:r w:rsidRPr="005B5CB6">
        <w:rPr>
          <w:rFonts w:ascii="Verdana" w:eastAsia="Verdana" w:hAnsi="Verdana" w:cs="Verdana"/>
          <w:b/>
        </w:rPr>
        <w:t xml:space="preserve">Q10. What might be the best ways of reducing the effects of misinformation on social media platforms? </w:t>
      </w:r>
    </w:p>
    <w:p w:rsidR="00FB0B24" w:rsidRPr="005B5CB6" w:rsidP="003255A4">
      <w:pPr>
        <w:numPr>
          <w:ilvl w:val="1"/>
          <w:numId w:val="47"/>
        </w:numPr>
        <w:spacing w:after="5" w:line="358" w:lineRule="auto"/>
        <w:ind w:right="-15" w:firstLine="710"/>
        <w:jc w:val="both"/>
        <w:rPr>
          <w:rFonts w:ascii="Verdana" w:hAnsi="Verdana"/>
        </w:rPr>
      </w:pPr>
      <w:r w:rsidRPr="005B5CB6">
        <w:rPr>
          <w:rFonts w:ascii="Verdana" w:eastAsia="Verdana" w:hAnsi="Verdana" w:cs="Verdana"/>
        </w:rPr>
        <w:t xml:space="preserve">- One of the central approaches that would be of benefit to understanding malicious fake news and misinformation is allowing researchers such as myself access to public Facebook data. Recently Facebook has been shutting down access to API tools that can extract data from pages, including posts that may be deliberate fake news. Facebook is closing its doors to researchers in the wake of the Cambridge Analytica </w:t>
      </w:r>
      <w:r w:rsidRPr="005B5CB6">
        <w:rPr>
          <w:rFonts w:ascii="Verdana" w:eastAsia="Verdana" w:hAnsi="Verdana" w:cs="Verdana"/>
        </w:rPr>
        <w:t xml:space="preserve">scandal, using the scandal as a smokescreen </w:t>
      </w:r>
      <w:r>
        <w:fldChar w:fldCharType="begin"/>
      </w:r>
      <w:r>
        <w:instrText xml:space="preserve"> HYPERLINK "https://www.youtube.com/watch?v=5EyUSnvCl6M" </w:instrText>
      </w:r>
      <w:r>
        <w:fldChar w:fldCharType="separate"/>
      </w:r>
      <w:r w:rsidRPr="005B5CB6">
        <w:rPr>
          <w:rFonts w:ascii="Verdana" w:eastAsia="Verdana" w:hAnsi="Verdana" w:cs="Verdana"/>
          <w:color w:val="0563C1"/>
          <w:u w:val="single" w:color="0563C1"/>
        </w:rPr>
        <w:t>to make</w:t>
      </w:r>
      <w:r>
        <w:fldChar w:fldCharType="end"/>
      </w:r>
      <w:r>
        <w:fldChar w:fldCharType="begin"/>
      </w:r>
      <w:r>
        <w:instrText xml:space="preserve"> HYPERLINK "https://www.youtube.com/watch?v=5EyUSnvCl6M" </w:instrText>
      </w:r>
      <w:r>
        <w:fldChar w:fldCharType="separate"/>
      </w:r>
      <w:r w:rsidRPr="005B5CB6">
        <w:rPr>
          <w:rFonts w:ascii="Verdana" w:eastAsia="Verdana" w:hAnsi="Verdana" w:cs="Verdana"/>
          <w:color w:val="0563C1"/>
        </w:rPr>
        <w:t xml:space="preserve"> </w:t>
      </w:r>
      <w:r>
        <w:fldChar w:fldCharType="end"/>
      </w:r>
      <w:r>
        <w:fldChar w:fldCharType="begin"/>
      </w:r>
      <w:r>
        <w:instrText xml:space="preserve"> HYPERLINK "https://www.youtube.com/watch?v=5EyUSnvCl6M" </w:instrText>
      </w:r>
      <w:r>
        <w:fldChar w:fldCharType="separate"/>
      </w:r>
      <w:r w:rsidRPr="005B5CB6">
        <w:rPr>
          <w:rFonts w:ascii="Verdana" w:eastAsia="Verdana" w:hAnsi="Verdana" w:cs="Verdana"/>
          <w:color w:val="0563C1"/>
          <w:u w:val="single" w:color="0563C1"/>
        </w:rPr>
        <w:t>Facebook much harder to analyse</w:t>
      </w:r>
      <w:r>
        <w:fldChar w:fldCharType="end"/>
      </w:r>
      <w:r>
        <w:fldChar w:fldCharType="begin"/>
      </w:r>
      <w:r>
        <w:instrText xml:space="preserve"> HYPERLINK "https://www.youtube.com/watch?v=5EyUSnvCl6M"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This is a huge problem as researchers need post data in order to understand what misinformation is, who sends it and what impacts it is having. </w:t>
      </w:r>
    </w:p>
    <w:p w:rsidR="00FB0B24" w:rsidRPr="005B5CB6" w:rsidP="003255A4">
      <w:pPr>
        <w:numPr>
          <w:ilvl w:val="1"/>
          <w:numId w:val="47"/>
        </w:numPr>
        <w:spacing w:after="1" w:line="359" w:lineRule="auto"/>
        <w:ind w:right="-15" w:firstLine="710"/>
        <w:jc w:val="both"/>
        <w:rPr>
          <w:rFonts w:ascii="Verdana" w:hAnsi="Verdana"/>
        </w:rPr>
      </w:pPr>
      <w:r w:rsidRPr="005B5CB6">
        <w:rPr>
          <w:rFonts w:ascii="Verdana" w:eastAsia="Verdana" w:hAnsi="Verdana" w:cs="Verdana"/>
        </w:rPr>
        <w:t>- The latest casualty is the app Netvizz, which was shut down on the 21</w:t>
      </w:r>
      <w:r w:rsidRPr="005B5CB6">
        <w:rPr>
          <w:rFonts w:ascii="Verdana" w:eastAsia="Verdana" w:hAnsi="Verdana" w:cs="Verdana"/>
          <w:vertAlign w:val="superscript"/>
        </w:rPr>
        <w:t>st</w:t>
      </w:r>
      <w:r w:rsidRPr="005B5CB6">
        <w:rPr>
          <w:rFonts w:ascii="Verdana" w:eastAsia="Verdana" w:hAnsi="Verdana" w:cs="Verdana"/>
        </w:rPr>
        <w:t xml:space="preserve"> of August 2019. Netvizz was a research tool used by hundreds of academics to gather public Facebook data. The app gathered more than 300 academic citations and was used to produce studies on everything from Norwegian political party videos, to public opinion about the London 2012 Olympic Games. The tool was also used to gather fake news posts and examine the effects of misinformation on Facebook (see Senaweera &amp; Dissanayake, 2018; Oklay, 2018; Burger, Kanhai, Pleijter &amp; Verberne, 2019). In its place Facebook has partnered with Social Science One, however approaches have failed to provide a clear solution to data access, with reports of </w:t>
      </w:r>
      <w:r>
        <w:fldChar w:fldCharType="begin"/>
      </w:r>
      <w:r>
        <w:instrText xml:space="preserve"> HYPERLINK "https://www.buzzfeednews.com/article/craigsilverman/funders-are-ready-to-pull-out-of-facebooks-academic-data" </w:instrText>
      </w:r>
      <w:r>
        <w:fldChar w:fldCharType="separate"/>
      </w:r>
      <w:r w:rsidRPr="005B5CB6">
        <w:rPr>
          <w:rFonts w:ascii="Verdana" w:eastAsia="Verdana" w:hAnsi="Verdana" w:cs="Verdana"/>
          <w:color w:val="0563C1"/>
          <w:u w:val="single" w:color="0563C1"/>
        </w:rPr>
        <w:t>data not delivered</w:t>
      </w:r>
      <w:r>
        <w:fldChar w:fldCharType="end"/>
      </w:r>
      <w:r>
        <w:fldChar w:fldCharType="begin"/>
      </w:r>
      <w:r>
        <w:instrText xml:space="preserve"> HYPERLINK "https://www.buzzfeednews.com/article/craigsilverman/funders-are-ready-to-pull-out-of-facebooks-academic-data"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and avenues for data access deliberately restrictive.</w:t>
      </w:r>
      <w:r w:rsidRPr="005B5CB6">
        <w:rPr>
          <w:rFonts w:ascii="Verdana" w:eastAsia="Verdana" w:hAnsi="Verdana" w:cs="Verdana"/>
          <w:color w:val="1A1A1A"/>
        </w:rPr>
        <w:t xml:space="preserve"> Facebook appears to think we can fight misinformation via restraining researcher’s access to data. This is a tactical error, if we are still barely scratching the surface of misinformation during the open-API era; how will we be able to understand the problem after access is further shut down? Overall, the best way we can reduced the impact of misinformation is by understanding it better as it is still a relative unknown. Government can help support the fight against misinformation by pressuring Facebook to create a public, searchable archive of public posts akin to its Ad Library, but for organic posts. This would allow both the public and researchers to understand what they are being sent by the powerful, and reduce the incentive of pages sending false information as it can be held to account. </w:t>
      </w:r>
    </w:p>
    <w:p w:rsidR="00FB0B24" w:rsidRPr="005B5CB6" w:rsidP="003255A4">
      <w:pPr>
        <w:numPr>
          <w:ilvl w:val="1"/>
          <w:numId w:val="47"/>
        </w:numPr>
        <w:spacing w:after="1" w:line="359" w:lineRule="auto"/>
        <w:ind w:right="-15" w:firstLine="710"/>
        <w:jc w:val="both"/>
        <w:rPr>
          <w:rFonts w:ascii="Verdana" w:hAnsi="Verdana"/>
        </w:rPr>
      </w:pPr>
      <w:r w:rsidRPr="005B5CB6">
        <w:rPr>
          <w:rFonts w:ascii="Verdana" w:eastAsia="Verdana" w:hAnsi="Verdana" w:cs="Verdana"/>
          <w:color w:val="1A1A1A"/>
        </w:rPr>
        <w:t>- Facebook is hollowing out our abilities to hold the corporation and the powerful who spread fake news and misinformation on the platform to account.</w:t>
      </w:r>
      <w:r w:rsidRPr="005B5CB6">
        <w:rPr>
          <w:rFonts w:ascii="Verdana" w:eastAsia="Verdana" w:hAnsi="Verdana" w:cs="Verdana"/>
        </w:rPr>
        <w:t xml:space="preserve"> F</w:t>
      </w:r>
      <w:r w:rsidRPr="005B5CB6">
        <w:rPr>
          <w:rFonts w:ascii="Verdana" w:eastAsia="Verdana" w:hAnsi="Verdana" w:cs="Verdana"/>
          <w:color w:val="1A1A1A"/>
        </w:rPr>
        <w:t xml:space="preserve">acebook is being turned into a black box that no-one will have access to. Those who will get to research Facebook are going to become a specially chosen group of researchers (Social Science One). What chance have researchers got to ask difficult questions about the platform if Facebook, through Social Science One, are the arbiters? All of this presents </w:t>
      </w:r>
      <w:r w:rsidRPr="005B5CB6">
        <w:rPr>
          <w:rFonts w:ascii="Verdana" w:eastAsia="Verdana" w:hAnsi="Verdana" w:cs="Verdana"/>
          <w:color w:val="1A1A1A"/>
        </w:rPr>
        <w:t xml:space="preserve">an end to understanding Facebook at a time when its influence on participation is growing (Boulianne, 2018). </w:t>
      </w:r>
    </w:p>
    <w:p w:rsidR="00FB0B24" w:rsidRPr="005B5CB6" w:rsidP="003255A4">
      <w:pPr>
        <w:spacing w:after="271"/>
        <w:jc w:val="both"/>
        <w:rPr>
          <w:rFonts w:ascii="Verdana" w:hAnsi="Verdana"/>
        </w:rPr>
      </w:pPr>
      <w:r w:rsidRPr="005B5CB6">
        <w:rPr>
          <w:rFonts w:ascii="Verdana" w:eastAsia="Verdana" w:hAnsi="Verdana" w:cs="Verdana"/>
        </w:rPr>
        <w:t xml:space="preserve"> </w:t>
      </w:r>
    </w:p>
    <w:p w:rsidR="00FB0B24" w:rsidRPr="005B5CB6" w:rsidP="003255A4">
      <w:pPr>
        <w:spacing w:after="167" w:line="250" w:lineRule="auto"/>
        <w:ind w:left="11" w:hanging="10"/>
        <w:jc w:val="both"/>
        <w:rPr>
          <w:rFonts w:ascii="Verdana" w:hAnsi="Verdana"/>
        </w:rPr>
      </w:pPr>
      <w:r w:rsidRPr="005B5CB6">
        <w:rPr>
          <w:rFonts w:ascii="Verdana" w:eastAsia="Verdana" w:hAnsi="Verdana" w:cs="Verdana"/>
          <w:b/>
        </w:rPr>
        <w:t xml:space="preserve">References </w:t>
      </w:r>
    </w:p>
    <w:p w:rsidR="00FB0B24" w:rsidRPr="005B5CB6" w:rsidP="003255A4">
      <w:pPr>
        <w:spacing w:after="165" w:line="250" w:lineRule="auto"/>
        <w:ind w:left="23" w:right="11" w:hanging="8"/>
        <w:jc w:val="both"/>
        <w:rPr>
          <w:rFonts w:ascii="Verdana" w:hAnsi="Verdana"/>
        </w:rPr>
      </w:pPr>
      <w:r w:rsidRPr="005B5CB6">
        <w:rPr>
          <w:rFonts w:ascii="Verdana" w:eastAsia="Verdana" w:hAnsi="Verdana" w:cs="Verdana"/>
        </w:rPr>
        <w:t xml:space="preserve">Academic articles </w:t>
      </w:r>
    </w:p>
    <w:p w:rsidR="00FB0B24" w:rsidRPr="005B5CB6" w:rsidP="003255A4">
      <w:pPr>
        <w:numPr>
          <w:ilvl w:val="0"/>
          <w:numId w:val="48"/>
        </w:numPr>
        <w:spacing w:after="0" w:line="270" w:lineRule="auto"/>
        <w:ind w:hanging="360"/>
        <w:jc w:val="both"/>
        <w:rPr>
          <w:rFonts w:ascii="Verdana" w:hAnsi="Verdana"/>
        </w:rPr>
      </w:pPr>
      <w:r w:rsidRPr="005B5CB6">
        <w:rPr>
          <w:rFonts w:ascii="Verdana" w:eastAsia="Verdana" w:hAnsi="Verdana" w:cs="Verdana"/>
          <w:color w:val="222222"/>
        </w:rPr>
        <w:t xml:space="preserve">Senaweera, Malith, et al. "The Influence of Community Interactions on User Affinity in Social Networks: A Facebook Case Study." </w:t>
      </w:r>
      <w:r w:rsidRPr="005B5CB6">
        <w:rPr>
          <w:rFonts w:ascii="Verdana" w:eastAsia="Verdana" w:hAnsi="Verdana" w:cs="Verdana"/>
          <w:i/>
          <w:color w:val="222222"/>
        </w:rPr>
        <w:t>2018 National Information Technology Conference (NITC)</w:t>
      </w:r>
      <w:r w:rsidRPr="005B5CB6">
        <w:rPr>
          <w:rFonts w:ascii="Verdana" w:eastAsia="Verdana" w:hAnsi="Verdana" w:cs="Verdana"/>
          <w:color w:val="222222"/>
        </w:rPr>
        <w:t xml:space="preserve">. IEEE, 2018. </w:t>
      </w:r>
    </w:p>
    <w:p w:rsidR="00FB0B24" w:rsidRPr="005B5CB6" w:rsidP="003255A4">
      <w:pPr>
        <w:numPr>
          <w:ilvl w:val="0"/>
          <w:numId w:val="48"/>
        </w:numPr>
        <w:spacing w:after="5" w:line="249" w:lineRule="auto"/>
        <w:ind w:hanging="360"/>
        <w:jc w:val="both"/>
        <w:rPr>
          <w:rFonts w:ascii="Verdana" w:hAnsi="Verdana"/>
        </w:rPr>
      </w:pPr>
      <w:r w:rsidRPr="005B5CB6">
        <w:rPr>
          <w:rFonts w:ascii="Verdana" w:eastAsia="Verdana" w:hAnsi="Verdana" w:cs="Verdana"/>
          <w:color w:val="222222"/>
        </w:rPr>
        <w:t xml:space="preserve">Oklay, Tuğçe. "Hoax News Websites at the Crossroad between Popular and Political." </w:t>
      </w:r>
      <w:r w:rsidRPr="005B5CB6">
        <w:rPr>
          <w:rFonts w:ascii="Verdana" w:eastAsia="Verdana" w:hAnsi="Verdana" w:cs="Verdana"/>
          <w:i/>
          <w:color w:val="222222"/>
        </w:rPr>
        <w:t>Editorial Coordinators: Rufus Adebayo, Ismail Farouk, Steve Jones, Maleshoane Rapeane-Mathonsi</w:t>
      </w:r>
      <w:r w:rsidRPr="005B5CB6">
        <w:rPr>
          <w:rFonts w:ascii="Verdana" w:eastAsia="Verdana" w:hAnsi="Verdana" w:cs="Verdana"/>
          <w:color w:val="222222"/>
        </w:rPr>
        <w:t xml:space="preserve"> (2018): 291. </w:t>
      </w:r>
    </w:p>
    <w:p w:rsidR="00FB0B24" w:rsidRPr="005B5CB6" w:rsidP="003255A4">
      <w:pPr>
        <w:numPr>
          <w:ilvl w:val="0"/>
          <w:numId w:val="48"/>
        </w:numPr>
        <w:spacing w:after="149" w:line="270" w:lineRule="auto"/>
        <w:ind w:hanging="360"/>
        <w:jc w:val="both"/>
        <w:rPr>
          <w:rFonts w:ascii="Verdana" w:hAnsi="Verdana"/>
        </w:rPr>
      </w:pPr>
      <w:r w:rsidRPr="005B5CB6">
        <w:rPr>
          <w:rFonts w:ascii="Verdana" w:eastAsia="Verdana" w:hAnsi="Verdana" w:cs="Verdana"/>
          <w:color w:val="222222"/>
        </w:rPr>
        <w:t xml:space="preserve">Boulianne, Shelley. "Twenty years of digital media effects on civic and political participation." </w:t>
      </w:r>
      <w:r w:rsidRPr="005B5CB6">
        <w:rPr>
          <w:rFonts w:ascii="Verdana" w:eastAsia="Verdana" w:hAnsi="Verdana" w:cs="Verdana"/>
          <w:i/>
          <w:color w:val="222222"/>
        </w:rPr>
        <w:t>Communication research</w:t>
      </w:r>
      <w:r w:rsidRPr="005B5CB6">
        <w:rPr>
          <w:rFonts w:ascii="Verdana" w:eastAsia="Verdana" w:hAnsi="Verdana" w:cs="Verdana"/>
          <w:color w:val="222222"/>
        </w:rPr>
        <w:t xml:space="preserve"> (2018): 0093650218808186. </w:t>
      </w:r>
    </w:p>
    <w:p w:rsidR="00FB0B24" w:rsidRPr="005B5CB6" w:rsidP="003255A4">
      <w:pPr>
        <w:spacing w:after="165" w:line="250" w:lineRule="auto"/>
        <w:ind w:left="23" w:right="11" w:hanging="8"/>
        <w:jc w:val="both"/>
        <w:rPr>
          <w:rFonts w:ascii="Verdana" w:hAnsi="Verdana"/>
        </w:rPr>
      </w:pPr>
      <w:r w:rsidRPr="005B5CB6">
        <w:rPr>
          <w:rFonts w:ascii="Verdana" w:eastAsia="Verdana" w:hAnsi="Verdana" w:cs="Verdana"/>
        </w:rPr>
        <w:t xml:space="preserve">Other </w:t>
      </w:r>
    </w:p>
    <w:p w:rsidR="00FB0B24" w:rsidRPr="005B5CB6" w:rsidP="003255A4">
      <w:pPr>
        <w:numPr>
          <w:ilvl w:val="0"/>
          <w:numId w:val="48"/>
        </w:numPr>
        <w:spacing w:after="5" w:line="250" w:lineRule="auto"/>
        <w:ind w:hanging="360"/>
        <w:jc w:val="both"/>
        <w:rPr>
          <w:rFonts w:ascii="Verdana" w:hAnsi="Verdana"/>
        </w:rPr>
      </w:pPr>
      <w:r w:rsidRPr="005B5CB6">
        <w:rPr>
          <w:rFonts w:ascii="Verdana" w:eastAsia="Verdana" w:hAnsi="Verdana" w:cs="Verdana"/>
        </w:rPr>
        <w:t xml:space="preserve">YouTube – Bitrate Politics – Is Facebook starting a war on knowledge? – By Tristan Hotham https://www.youtube.com/watch?v=5EyUSnvCl6M </w:t>
      </w:r>
    </w:p>
    <w:p w:rsidR="00FB0B24" w:rsidRPr="005B5CB6" w:rsidP="003255A4">
      <w:pPr>
        <w:numPr>
          <w:ilvl w:val="0"/>
          <w:numId w:val="48"/>
        </w:numPr>
        <w:spacing w:after="5" w:line="250" w:lineRule="auto"/>
        <w:ind w:hanging="360"/>
        <w:jc w:val="both"/>
        <w:rPr>
          <w:rFonts w:ascii="Verdana" w:hAnsi="Verdana"/>
        </w:rPr>
      </w:pPr>
      <w:r w:rsidRPr="005B5CB6">
        <w:rPr>
          <w:rFonts w:ascii="Verdana" w:eastAsia="Verdana" w:hAnsi="Verdana" w:cs="Verdana"/>
        </w:rPr>
        <w:t xml:space="preserve">Buzzfeed News - Exclusive: Funders Have Given Facebook A Deadline To Share Data With Researchers Or They’re Pulling – By Craig Silverman Outhttps://www.buzzfeednews.com/article/craigsilverman/funders-areready-to-pull-out-of-facebooks-academic-data </w:t>
      </w:r>
    </w:p>
    <w:p w:rsidR="00FB0B24" w:rsidRPr="005B5CB6" w:rsidP="003255A4">
      <w:pPr>
        <w:jc w:val="both"/>
        <w:rPr>
          <w:rFonts w:ascii="Verdana" w:hAnsi="Verdana"/>
        </w:rPr>
        <w:sectPr w:rsidSect="006539CA">
          <w:headerReference w:type="even" r:id="rId98"/>
          <w:headerReference w:type="default" r:id="rId99"/>
          <w:footerReference w:type="even" r:id="rId100"/>
          <w:footerReference w:type="default" r:id="rId101"/>
          <w:headerReference w:type="first" r:id="rId102"/>
          <w:footerReference w:type="first" r:id="rId103"/>
          <w:pgSz w:w="11906" w:h="16838"/>
          <w:pgMar w:top="1492" w:right="1436" w:bottom="1818" w:left="1440" w:header="720" w:footer="710" w:gutter="0"/>
          <w:cols w:space="720"/>
        </w:sectPr>
      </w:pPr>
    </w:p>
    <w:p w:rsidR="00FB0B24" w:rsidRPr="005B5CB6" w:rsidP="00A1624B">
      <w:pPr>
        <w:pStyle w:val="Heading1"/>
        <w:rPr>
          <w:sz w:val="22"/>
        </w:rPr>
      </w:pPr>
      <w:bookmarkStart w:id="17" w:name="_Toc44517705"/>
      <w:r w:rsidRPr="005B5CB6">
        <w:rPr>
          <w:sz w:val="22"/>
        </w:rPr>
        <w:t>The University of Liverpool – written evidence (DAD0022)</w:t>
      </w:r>
      <w:bookmarkEnd w:id="17"/>
      <w:r w:rsidRPr="005B5CB6">
        <w:rPr>
          <w:sz w:val="22"/>
        </w:rPr>
        <w:t xml:space="preserve"> </w:t>
      </w:r>
    </w:p>
    <w:p w:rsidR="00FB0B24" w:rsidRPr="005B5CB6" w:rsidP="00951A38">
      <w:pPr>
        <w:spacing w:after="156"/>
        <w:jc w:val="both"/>
        <w:rPr>
          <w:rFonts w:ascii="Verdana" w:hAnsi="Verdana"/>
        </w:rPr>
      </w:pPr>
      <w:r w:rsidRPr="005B5CB6">
        <w:rPr>
          <w:rFonts w:ascii="Verdana" w:eastAsia="Verdana" w:hAnsi="Verdana" w:cs="Verdana"/>
        </w:rPr>
        <w:t xml:space="preserve"> </w:t>
      </w:r>
    </w:p>
    <w:p w:rsidR="00FB0B24" w:rsidRPr="005B5CB6" w:rsidP="00951A38">
      <w:pPr>
        <w:numPr>
          <w:ilvl w:val="0"/>
          <w:numId w:val="49"/>
        </w:numPr>
        <w:spacing w:after="166" w:line="249" w:lineRule="auto"/>
        <w:ind w:right="12" w:hanging="360"/>
        <w:jc w:val="both"/>
        <w:rPr>
          <w:rFonts w:ascii="Verdana" w:hAnsi="Verdana"/>
        </w:rPr>
      </w:pPr>
      <w:r w:rsidRPr="005B5CB6">
        <w:rPr>
          <w:rFonts w:ascii="Verdana" w:eastAsia="Verdana" w:hAnsi="Verdana" w:cs="Verdana"/>
        </w:rPr>
        <w:t xml:space="preserve">Here, we submit evidence primarily in answer to the question 8 posed in the call for evidence; ‘To what extent does social media negatively shape public debate, either through encouraging polarisation or through abuse deterring individuals from engaging in public life?’ </w:t>
      </w:r>
    </w:p>
    <w:p w:rsidR="00FB0B24" w:rsidRPr="005B5CB6" w:rsidP="00951A38">
      <w:pPr>
        <w:spacing w:after="156"/>
        <w:jc w:val="both"/>
        <w:rPr>
          <w:rFonts w:ascii="Verdana" w:hAnsi="Verdana"/>
        </w:rPr>
      </w:pPr>
      <w:r w:rsidRPr="005B5CB6">
        <w:rPr>
          <w:rFonts w:ascii="Verdana" w:eastAsia="Verdana" w:hAnsi="Verdana" w:cs="Verdana"/>
        </w:rPr>
        <w:t xml:space="preserve"> </w:t>
      </w:r>
    </w:p>
    <w:p w:rsidR="00FB0B24" w:rsidRPr="005B5CB6" w:rsidP="00951A38">
      <w:pPr>
        <w:numPr>
          <w:ilvl w:val="0"/>
          <w:numId w:val="49"/>
        </w:numPr>
        <w:spacing w:after="5" w:line="249" w:lineRule="auto"/>
        <w:ind w:right="12" w:hanging="360"/>
        <w:jc w:val="both"/>
        <w:rPr>
          <w:rFonts w:ascii="Verdana" w:hAnsi="Verdana"/>
        </w:rPr>
      </w:pPr>
      <w:r w:rsidRPr="005B5CB6">
        <w:rPr>
          <w:rFonts w:ascii="Verdana" w:eastAsia="Verdana" w:hAnsi="Verdana" w:cs="Verdana"/>
        </w:rPr>
        <w:t xml:space="preserve">We submit this evidence as individuals but conduct out work as part of our roles as academics working for University of Liverpool.  We are academics at the University of Liverpool who specialise in online political communication and gender.  </w:t>
      </w:r>
    </w:p>
    <w:p w:rsidR="00FB0B24" w:rsidRPr="005B5CB6" w:rsidP="00951A38">
      <w:pPr>
        <w:spacing w:after="0"/>
        <w:ind w:left="720"/>
        <w:jc w:val="both"/>
        <w:rPr>
          <w:rFonts w:ascii="Verdana" w:hAnsi="Verdana"/>
        </w:rPr>
      </w:pPr>
      <w:r w:rsidRPr="005B5CB6">
        <w:rPr>
          <w:rFonts w:ascii="Verdana" w:eastAsia="Verdana" w:hAnsi="Verdana" w:cs="Verdana"/>
        </w:rPr>
        <w:t xml:space="preserve"> </w:t>
      </w:r>
    </w:p>
    <w:p w:rsidR="00FB0B24" w:rsidRPr="005B5CB6" w:rsidP="00951A38">
      <w:pPr>
        <w:numPr>
          <w:ilvl w:val="0"/>
          <w:numId w:val="49"/>
        </w:numPr>
        <w:spacing w:after="5" w:line="249" w:lineRule="auto"/>
        <w:ind w:right="12" w:hanging="360"/>
        <w:jc w:val="both"/>
        <w:rPr>
          <w:rFonts w:ascii="Verdana" w:hAnsi="Verdana"/>
        </w:rPr>
      </w:pPr>
      <w:r w:rsidRPr="005B5CB6">
        <w:rPr>
          <w:rFonts w:ascii="Verdana" w:eastAsia="Verdana" w:hAnsi="Verdana" w:cs="Verdana"/>
        </w:rPr>
        <w:t xml:space="preserve">As part of a project we conducted, we produced two outputs that assessed almost 120, 000 tweets sent to UK Members of Parliament over a two-week period in 2018. We then conducted two separate analyses on these tweets. The first focussed qualitatively on the abuse and othering that ‘intersectional’ MPs received. This is where MPs possess two or more marginalised characteristics, for example being a black woman or a gay woman. The second was a mixed methods study whereby we conducted a large-scale quantitative analysis of the differences in incivility received by male and female MPs on Twitter. We then supplemented this with qualitative work assessing the different types of gendered incivility being sent to MPs on Twitter. </w:t>
      </w:r>
    </w:p>
    <w:p w:rsidR="00FB0B24" w:rsidRPr="005B5CB6" w:rsidP="00951A38">
      <w:pPr>
        <w:spacing w:after="0"/>
        <w:ind w:left="720"/>
        <w:jc w:val="both"/>
        <w:rPr>
          <w:rFonts w:ascii="Verdana" w:hAnsi="Verdana"/>
        </w:rPr>
      </w:pPr>
      <w:r w:rsidRPr="005B5CB6">
        <w:rPr>
          <w:rFonts w:ascii="Verdana" w:eastAsia="Verdana" w:hAnsi="Verdana" w:cs="Verdana"/>
        </w:rPr>
        <w:t xml:space="preserve"> </w:t>
      </w:r>
    </w:p>
    <w:p w:rsidR="00FB0B24" w:rsidRPr="005B5CB6" w:rsidP="00951A38">
      <w:pPr>
        <w:numPr>
          <w:ilvl w:val="0"/>
          <w:numId w:val="49"/>
        </w:numPr>
        <w:spacing w:after="5" w:line="249" w:lineRule="auto"/>
        <w:ind w:right="12" w:hanging="360"/>
        <w:jc w:val="both"/>
        <w:rPr>
          <w:rFonts w:ascii="Verdana" w:hAnsi="Verdana"/>
        </w:rPr>
      </w:pPr>
      <w:r w:rsidRPr="005B5CB6">
        <w:rPr>
          <w:rFonts w:ascii="Verdana" w:eastAsia="Verdana" w:hAnsi="Verdana" w:cs="Verdana"/>
        </w:rPr>
        <w:t xml:space="preserve">For our qualitative study (Southern and Harmer, 2019a) we found that abuse against MPs of intersectional identity broadly fell into four key themes. These were 1) outright misogynistic and racist abuse; 2) silencing and dismissal; the questioning of the MP’s intelligence or position as a representative and 4) ‘benevolent’ othering of an MP with a disability.  </w:t>
      </w:r>
    </w:p>
    <w:p w:rsidR="00FB0B24" w:rsidRPr="005B5CB6" w:rsidP="00951A38">
      <w:pPr>
        <w:spacing w:after="0"/>
        <w:ind w:left="720"/>
        <w:jc w:val="both"/>
        <w:rPr>
          <w:rFonts w:ascii="Verdana" w:hAnsi="Verdana"/>
        </w:rPr>
      </w:pPr>
      <w:r w:rsidRPr="005B5CB6">
        <w:rPr>
          <w:rFonts w:ascii="Verdana" w:eastAsia="Verdana" w:hAnsi="Verdana" w:cs="Verdana"/>
        </w:rPr>
        <w:t xml:space="preserve"> </w:t>
      </w:r>
    </w:p>
    <w:p w:rsidR="00FB0B24" w:rsidRPr="005B5CB6" w:rsidP="00951A38">
      <w:pPr>
        <w:numPr>
          <w:ilvl w:val="0"/>
          <w:numId w:val="49"/>
        </w:numPr>
        <w:spacing w:after="5" w:line="249" w:lineRule="auto"/>
        <w:ind w:right="12" w:hanging="360"/>
        <w:jc w:val="both"/>
        <w:rPr>
          <w:rFonts w:ascii="Verdana" w:hAnsi="Verdana"/>
        </w:rPr>
      </w:pPr>
      <w:r w:rsidRPr="005B5CB6">
        <w:rPr>
          <w:rFonts w:ascii="Verdana" w:eastAsia="Verdana" w:hAnsi="Verdana" w:cs="Verdana"/>
        </w:rPr>
        <w:t xml:space="preserve">The first three categories or abuse contribute to a sense that representatives who do not fit the image of a traditional MP (that is, essentially a white, able-bodied man) are not welcome in politics. The final category, while not meant negatively by the people who posted the messages to the MP in question still contributes to the sense that disabled MPs are ‘different’ than those without disabilities, which still reinforces the political sphere as one for individuals without disabilities.  </w:t>
      </w:r>
    </w:p>
    <w:p w:rsidR="00FB0B24" w:rsidRPr="005B5CB6" w:rsidP="00951A38">
      <w:pPr>
        <w:spacing w:after="0"/>
        <w:ind w:left="720"/>
        <w:jc w:val="both"/>
        <w:rPr>
          <w:rFonts w:ascii="Verdana" w:hAnsi="Verdana"/>
        </w:rPr>
      </w:pPr>
      <w:r w:rsidRPr="005B5CB6">
        <w:rPr>
          <w:rFonts w:ascii="Verdana" w:eastAsia="Verdana" w:hAnsi="Verdana" w:cs="Verdana"/>
        </w:rPr>
        <w:t xml:space="preserve"> </w:t>
      </w:r>
    </w:p>
    <w:p w:rsidR="00FB0B24" w:rsidRPr="005B5CB6" w:rsidP="00951A38">
      <w:pPr>
        <w:numPr>
          <w:ilvl w:val="0"/>
          <w:numId w:val="49"/>
        </w:numPr>
        <w:spacing w:after="5" w:line="249" w:lineRule="auto"/>
        <w:ind w:right="12" w:hanging="360"/>
        <w:jc w:val="both"/>
        <w:rPr>
          <w:rFonts w:ascii="Verdana" w:hAnsi="Verdana"/>
        </w:rPr>
      </w:pPr>
      <w:r w:rsidRPr="005B5CB6">
        <w:rPr>
          <w:rFonts w:ascii="Verdana" w:eastAsia="Verdana" w:hAnsi="Verdana" w:cs="Verdana"/>
        </w:rPr>
        <w:t xml:space="preserve">For the broader study (Southern and Harmer, 2019b), all of the 120, 000 tweets were analysed against nine separate categories of incivility. These were 1) general incivility 2) stereotyping 3) name calling 4) calling the recipient a liar 5) calling them unintelligent and 6) profanity aimed at the MP 7) silencing 8) questioning their position as an MP (for example imploring them to resign or otherwise leave the political sphere) and 9) outright threats of violence. We also separated any tweets with what could be considered ‘gendered’ incivility in order to analyse them qualitatively.  </w:t>
      </w:r>
    </w:p>
    <w:p w:rsidR="00FB0B24" w:rsidRPr="005B5CB6" w:rsidP="00951A38">
      <w:pPr>
        <w:spacing w:after="0"/>
        <w:ind w:left="720"/>
        <w:jc w:val="both"/>
        <w:rPr>
          <w:rFonts w:ascii="Verdana" w:hAnsi="Verdana"/>
        </w:rPr>
      </w:pPr>
      <w:r w:rsidRPr="005B5CB6">
        <w:rPr>
          <w:rFonts w:ascii="Verdana" w:eastAsia="Verdana" w:hAnsi="Verdana" w:cs="Verdana"/>
        </w:rPr>
        <w:t xml:space="preserve"> </w:t>
      </w:r>
    </w:p>
    <w:p w:rsidR="00FB0B24" w:rsidRPr="005B5CB6" w:rsidP="00951A38">
      <w:pPr>
        <w:numPr>
          <w:ilvl w:val="0"/>
          <w:numId w:val="49"/>
        </w:numPr>
        <w:spacing w:after="5" w:line="249" w:lineRule="auto"/>
        <w:ind w:right="12" w:hanging="360"/>
        <w:jc w:val="both"/>
        <w:rPr>
          <w:rFonts w:ascii="Verdana" w:hAnsi="Verdana"/>
        </w:rPr>
      </w:pPr>
      <w:r w:rsidRPr="005B5CB6">
        <w:rPr>
          <w:rFonts w:ascii="Verdana" w:eastAsia="Verdana" w:hAnsi="Verdana" w:cs="Verdana"/>
        </w:rPr>
        <w:t xml:space="preserve">In the quantitative analysis, we found that although male MPs were more likely to receive tweets containing incivility, female MPs were more likely to receive tweets which stereotyped them, questioned their position as an MP and outright threats of violence. These are arguably the ‘worst’ types of incivility to receive as they contribute to discrimination (stereotyping), feed into the pervasive atmosphere that women are not welcome in politics (questioning their position) and a feeling that politics may be less safe for women (threats of violence). This air of being reminded that they are representatives of their identity / gender rather than themselves as an individual (and are therefore held to different standards than male MPs), being told more often that they should leave politics altogether, and a receiving higher levels of threats of violence shows that political Twitter is pervaded by ‘ambient sexism’. </w:t>
      </w:r>
    </w:p>
    <w:p w:rsidR="00FB0B24" w:rsidRPr="005B5CB6" w:rsidP="00951A38">
      <w:pPr>
        <w:spacing w:after="0"/>
        <w:ind w:left="720"/>
        <w:jc w:val="both"/>
        <w:rPr>
          <w:rFonts w:ascii="Verdana" w:hAnsi="Verdana"/>
        </w:rPr>
      </w:pPr>
      <w:r w:rsidRPr="005B5CB6">
        <w:rPr>
          <w:rFonts w:ascii="Verdana" w:eastAsia="Verdana" w:hAnsi="Verdana" w:cs="Verdana"/>
        </w:rPr>
        <w:t xml:space="preserve"> </w:t>
      </w:r>
    </w:p>
    <w:p w:rsidR="00FB0B24" w:rsidRPr="005B5CB6" w:rsidP="00951A38">
      <w:pPr>
        <w:numPr>
          <w:ilvl w:val="0"/>
          <w:numId w:val="49"/>
        </w:numPr>
        <w:spacing w:after="5" w:line="249" w:lineRule="auto"/>
        <w:ind w:right="12" w:hanging="360"/>
        <w:jc w:val="both"/>
        <w:rPr>
          <w:rFonts w:ascii="Verdana" w:hAnsi="Verdana"/>
        </w:rPr>
      </w:pPr>
      <w:r w:rsidRPr="005B5CB6">
        <w:rPr>
          <w:rFonts w:ascii="Verdana" w:eastAsia="Verdana" w:hAnsi="Verdana" w:cs="Verdana"/>
        </w:rPr>
        <w:t xml:space="preserve">In the qualitative analysis the abusive tweets fell into four categories. These were 1) outright gendered or misogynistic abuse 2) demonization of female MPs 3) sexual objectification of female MPs and 4) feminization of male MPs. The first three categories are fairly self-explanatory in terms of meaning, but the final category is interesting in that, although the abuse is aimed at male MPs, the effect of the abuse is still to reinforce online political spaces as male, due to the fact that the posters insulted them by likening them to women.  </w:t>
      </w:r>
    </w:p>
    <w:p w:rsidR="00FB0B24" w:rsidRPr="005B5CB6" w:rsidP="00951A38">
      <w:pPr>
        <w:spacing w:after="0"/>
        <w:ind w:left="720"/>
        <w:jc w:val="both"/>
        <w:rPr>
          <w:rFonts w:ascii="Verdana" w:hAnsi="Verdana"/>
        </w:rPr>
      </w:pPr>
      <w:r w:rsidRPr="005B5CB6">
        <w:rPr>
          <w:rFonts w:ascii="Verdana" w:eastAsia="Verdana" w:hAnsi="Verdana" w:cs="Verdana"/>
        </w:rPr>
        <w:t xml:space="preserve"> </w:t>
      </w:r>
    </w:p>
    <w:p w:rsidR="00FB0B24" w:rsidRPr="005B5CB6" w:rsidP="00951A38">
      <w:pPr>
        <w:numPr>
          <w:ilvl w:val="0"/>
          <w:numId w:val="49"/>
        </w:numPr>
        <w:spacing w:after="5" w:line="249" w:lineRule="auto"/>
        <w:ind w:right="12" w:hanging="360"/>
        <w:jc w:val="both"/>
        <w:rPr>
          <w:rFonts w:ascii="Verdana" w:hAnsi="Verdana"/>
        </w:rPr>
      </w:pPr>
      <w:r w:rsidRPr="005B5CB6">
        <w:rPr>
          <w:rFonts w:ascii="Verdana" w:eastAsia="Verdana" w:hAnsi="Verdana" w:cs="Verdana"/>
        </w:rPr>
        <w:t xml:space="preserve">However, there are some positives here too. Around 10% of all Tweets sent to MPs were uncivil. This suggests that while it is certainly not an insignificant problem, it is not the online tsunami of abuse that is often portrayed in the mainstream media. Over a third of MPs in our sample received no uncivil tweets for the whole of the sampling period. A large proportion of the tweets send to members were respectful, supportive and even reverential on occasion.  </w:t>
      </w:r>
    </w:p>
    <w:p w:rsidR="00FB0B24" w:rsidRPr="005B5CB6" w:rsidP="00951A38">
      <w:pPr>
        <w:spacing w:after="0"/>
        <w:ind w:left="720"/>
        <w:jc w:val="both"/>
        <w:rPr>
          <w:rFonts w:ascii="Verdana" w:hAnsi="Verdana"/>
        </w:rPr>
      </w:pPr>
      <w:r w:rsidRPr="005B5CB6">
        <w:rPr>
          <w:rFonts w:ascii="Verdana" w:eastAsia="Verdana" w:hAnsi="Verdana" w:cs="Verdana"/>
        </w:rPr>
        <w:t xml:space="preserve"> </w:t>
      </w:r>
    </w:p>
    <w:p w:rsidR="00FB0B24" w:rsidRPr="005B5CB6" w:rsidP="00951A38">
      <w:pPr>
        <w:spacing w:after="171" w:line="249" w:lineRule="auto"/>
        <w:ind w:left="721" w:right="12" w:hanging="360"/>
        <w:jc w:val="both"/>
        <w:rPr>
          <w:rFonts w:ascii="Verdana" w:hAnsi="Verdana"/>
        </w:rPr>
      </w:pPr>
      <w:r w:rsidRPr="005B5CB6">
        <w:rPr>
          <w:rFonts w:ascii="Verdana" w:eastAsia="Verdana" w:hAnsi="Verdana" w:cs="Verdana"/>
        </w:rPr>
        <w:t xml:space="preserve">10.There were also fewer differences than might be expected in the way MPs were treated online in terms of gender. This is not to underplay the misogynistic abuse that was found and then differences that were at play. However, there is some suggestion that online abuse may be putting younger women off entering politics and if that is the case it is also important to outline that these fears may be exaggerated somewhat, or may be experienced disproportionately by more high profile politicians.  </w:t>
      </w:r>
    </w:p>
    <w:p w:rsidR="00FB0B24" w:rsidRPr="005B5CB6" w:rsidP="00951A38">
      <w:pPr>
        <w:pStyle w:val="Heading2"/>
        <w:rPr>
          <w:sz w:val="22"/>
        </w:rPr>
      </w:pPr>
      <w:r w:rsidRPr="005B5CB6">
        <w:rPr>
          <w:b w:val="0"/>
          <w:sz w:val="22"/>
          <w:u w:val="single" w:color="000000"/>
        </w:rPr>
        <w:t>References</w:t>
      </w:r>
      <w:r w:rsidRPr="005B5CB6">
        <w:rPr>
          <w:b w:val="0"/>
          <w:sz w:val="22"/>
        </w:rPr>
        <w:t xml:space="preserve"> </w:t>
      </w:r>
    </w:p>
    <w:p w:rsidR="00FB0B24" w:rsidRPr="005B5CB6" w:rsidP="003255A4">
      <w:pPr>
        <w:spacing w:line="258" w:lineRule="auto"/>
        <w:ind w:right="1"/>
        <w:jc w:val="both"/>
        <w:rPr>
          <w:rFonts w:ascii="Verdana" w:hAnsi="Verdana"/>
        </w:rPr>
      </w:pPr>
      <w:r w:rsidRPr="005B5CB6">
        <w:rPr>
          <w:rFonts w:ascii="Verdana" w:eastAsia="Verdana" w:hAnsi="Verdana" w:cs="Verdana"/>
          <w:i/>
          <w:color w:val="333333"/>
        </w:rPr>
        <w:t xml:space="preserve">Southern, R., &amp; Harmer, E. (2019). Othering Political Women: Online Misogyny, Racism and Ableism Towards Women in Public Life. In K. Lumsden, &amp; E. Harmer (Eds.), Online Othering Exploring Digital Violence and Discrimination on the Web (pp. 187-210). Springer. doi:10.1007/978-3-030-12633-9_8 </w:t>
      </w:r>
    </w:p>
    <w:p w:rsidR="00FB0B24" w:rsidRPr="005B5CB6" w:rsidP="003255A4">
      <w:pPr>
        <w:spacing w:after="167" w:line="249" w:lineRule="auto"/>
        <w:ind w:left="-2" w:hanging="10"/>
        <w:jc w:val="both"/>
        <w:rPr>
          <w:rFonts w:ascii="Verdana" w:hAnsi="Verdana"/>
        </w:rPr>
      </w:pPr>
      <w:r w:rsidRPr="005B5CB6">
        <w:rPr>
          <w:rFonts w:ascii="Verdana" w:eastAsia="Verdana" w:hAnsi="Verdana" w:cs="Verdana"/>
          <w:i/>
          <w:color w:val="333333"/>
        </w:rPr>
        <w:t xml:space="preserve">Southern, R., &amp; Harmer, E. (2019). Twitter, Incivility and "Everyday" Gendered Othering: An Analysis of Tweets Sent to UK Members of Parliament. SOCIAL SCIENCE COMPUTER REVIEW. doi:10.1177/0894439319865519 </w:t>
      </w:r>
      <w:r w:rsidRPr="005B5CB6">
        <w:rPr>
          <w:rFonts w:ascii="Verdana" w:eastAsia="Verdana" w:hAnsi="Verdana" w:cs="Verdana"/>
        </w:rPr>
        <w:t xml:space="preserve">Rosalynd Southern is a Lecturer in Political Communication at the University of Liverpool. Her research focuses on online political communication during election campaigns. </w:t>
      </w:r>
      <w:r w:rsidRPr="005B5CB6">
        <w:rPr>
          <w:rFonts w:ascii="Verdana" w:eastAsia="Verdana" w:hAnsi="Verdana" w:cs="Verdana"/>
        </w:rPr>
        <w:t xml:space="preserve">She has analysed online campaigning by UK parties at the last three UK general elections and during the EU referendum. In addition to this, she has conducted work on female politicians and their use of, and treatment via, various media.  </w:t>
      </w:r>
    </w:p>
    <w:p w:rsidR="00FB0B24" w:rsidRPr="005B5CB6" w:rsidP="003255A4">
      <w:pPr>
        <w:spacing w:after="165" w:line="249" w:lineRule="auto"/>
        <w:ind w:left="-4" w:hanging="10"/>
        <w:jc w:val="both"/>
        <w:rPr>
          <w:rFonts w:ascii="Verdana" w:hAnsi="Verdana"/>
        </w:rPr>
      </w:pPr>
      <w:r w:rsidRPr="005B5CB6">
        <w:rPr>
          <w:rFonts w:ascii="Verdana" w:eastAsia="Verdana" w:hAnsi="Verdana" w:cs="Verdana"/>
        </w:rPr>
        <w:t xml:space="preserve">Email: </w:t>
      </w:r>
      <w:r w:rsidRPr="005B5CB6">
        <w:rPr>
          <w:rFonts w:ascii="Verdana" w:eastAsia="Verdana" w:hAnsi="Verdana" w:cs="Verdana"/>
          <w:color w:val="0563C1"/>
          <w:u w:val="single" w:color="0563C1"/>
        </w:rPr>
        <w:t>r.southern@liverpool.ac.uk</w:t>
      </w:r>
      <w:r w:rsidRPr="005B5CB6">
        <w:rPr>
          <w:rFonts w:ascii="Verdana" w:eastAsia="Verdana" w:hAnsi="Verdana" w:cs="Verdana"/>
        </w:rPr>
        <w:t xml:space="preserve">  </w:t>
      </w:r>
    </w:p>
    <w:p w:rsidR="00FB0B24" w:rsidRPr="005B5CB6" w:rsidP="003255A4">
      <w:pPr>
        <w:spacing w:after="165" w:line="249" w:lineRule="auto"/>
        <w:ind w:left="-4" w:hanging="10"/>
        <w:jc w:val="both"/>
        <w:rPr>
          <w:rFonts w:ascii="Verdana" w:hAnsi="Verdana"/>
        </w:rPr>
      </w:pPr>
      <w:r w:rsidRPr="005B5CB6">
        <w:rPr>
          <w:rFonts w:ascii="Verdana" w:eastAsia="Verdana" w:hAnsi="Verdana" w:cs="Verdana"/>
        </w:rPr>
        <w:t xml:space="preserve">Website: </w:t>
      </w:r>
      <w:r>
        <w:fldChar w:fldCharType="begin"/>
      </w:r>
      <w:r>
        <w:instrText xml:space="preserve"> HYPERLINK "https://www.liverpool.ac.uk/communication-and-media/staff/rosalynd-southern/publications/" </w:instrText>
      </w:r>
      <w:r>
        <w:fldChar w:fldCharType="separate"/>
      </w:r>
      <w:r w:rsidRPr="005B5CB6">
        <w:rPr>
          <w:rFonts w:ascii="Verdana" w:eastAsia="Verdana" w:hAnsi="Verdana" w:cs="Verdana"/>
          <w:color w:val="0563C1"/>
          <w:u w:val="single" w:color="0563C1"/>
        </w:rPr>
        <w:t>https://www.liverpool.ac.uk/communication-and-media/staff/rosalynd-southern/publications/</w:t>
      </w:r>
      <w:r>
        <w:fldChar w:fldCharType="end"/>
      </w:r>
      <w:r>
        <w:fldChar w:fldCharType="begin"/>
      </w:r>
      <w:r>
        <w:instrText xml:space="preserve"> HYPERLINK "https://www.liverpool.ac.uk/communication-and-media/staff/rosalynd-southern/publications/" </w:instrText>
      </w:r>
      <w:r>
        <w:fldChar w:fldCharType="separate"/>
      </w:r>
      <w:r w:rsidRPr="005B5CB6">
        <w:rPr>
          <w:rFonts w:ascii="Verdana" w:eastAsia="Verdana" w:hAnsi="Verdana" w:cs="Verdana"/>
        </w:rPr>
        <w:t xml:space="preserve"> </w:t>
      </w:r>
      <w:r>
        <w:fldChar w:fldCharType="end"/>
      </w:r>
    </w:p>
    <w:p w:rsidR="00FB0B24" w:rsidRPr="005B5CB6" w:rsidP="003255A4">
      <w:pPr>
        <w:spacing w:after="166" w:line="249" w:lineRule="auto"/>
        <w:ind w:left="-2" w:hanging="10"/>
        <w:jc w:val="both"/>
        <w:rPr>
          <w:rFonts w:ascii="Verdana" w:hAnsi="Verdana"/>
        </w:rPr>
      </w:pPr>
      <w:r w:rsidRPr="005B5CB6">
        <w:rPr>
          <w:rFonts w:ascii="Verdana" w:eastAsia="Verdana" w:hAnsi="Verdana" w:cs="Verdana"/>
        </w:rPr>
        <w:t xml:space="preserve">Emily Harmer is a Lecturer in Media at the University of Liverpool. Her research interests centre on the relationship between gender, media and politics, and the extent to which these have changed over time. Emily has co-convened the UK Political Studies Association’s Media and Politics Specialist Group since 2013, and is Assistant Editor for the </w:t>
      </w:r>
      <w:r w:rsidRPr="005B5CB6">
        <w:rPr>
          <w:rFonts w:ascii="Verdana" w:eastAsia="Verdana" w:hAnsi="Verdana" w:cs="Verdana"/>
          <w:i/>
        </w:rPr>
        <w:t>European Journal of Communication.</w:t>
      </w:r>
      <w:r w:rsidRPr="005B5CB6">
        <w:rPr>
          <w:rFonts w:ascii="Verdana" w:eastAsia="Verdana" w:hAnsi="Verdana" w:cs="Verdana"/>
        </w:rPr>
        <w:t xml:space="preserve"> </w:t>
      </w:r>
    </w:p>
    <w:p w:rsidR="00FB0B24" w:rsidRPr="005B5CB6" w:rsidP="003255A4">
      <w:pPr>
        <w:spacing w:after="165" w:line="249" w:lineRule="auto"/>
        <w:ind w:left="-4" w:hanging="10"/>
        <w:jc w:val="both"/>
        <w:rPr>
          <w:rFonts w:ascii="Verdana" w:hAnsi="Verdana"/>
        </w:rPr>
      </w:pPr>
      <w:r w:rsidRPr="005B5CB6">
        <w:rPr>
          <w:rFonts w:ascii="Verdana" w:eastAsia="Verdana" w:hAnsi="Verdana" w:cs="Verdana"/>
        </w:rPr>
        <w:t xml:space="preserve">Email: </w:t>
      </w:r>
      <w:r w:rsidRPr="005B5CB6">
        <w:rPr>
          <w:rFonts w:ascii="Verdana" w:eastAsia="Verdana" w:hAnsi="Verdana" w:cs="Verdana"/>
          <w:color w:val="0563C1"/>
          <w:u w:val="single" w:color="0563C1"/>
        </w:rPr>
        <w:t>e.harmer@liverpool.ac.uk</w:t>
      </w:r>
      <w:r w:rsidRPr="005B5CB6">
        <w:rPr>
          <w:rFonts w:ascii="Verdana" w:eastAsia="Verdana" w:hAnsi="Verdana" w:cs="Verdana"/>
        </w:rPr>
        <w:t xml:space="preserve">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jc w:val="both"/>
        <w:rPr>
          <w:rFonts w:ascii="Verdana" w:hAnsi="Verdana"/>
        </w:rPr>
        <w:sectPr w:rsidSect="006539CA">
          <w:headerReference w:type="even" r:id="rId104"/>
          <w:headerReference w:type="default" r:id="rId105"/>
          <w:footerReference w:type="even" r:id="rId106"/>
          <w:footerReference w:type="default" r:id="rId107"/>
          <w:headerReference w:type="first" r:id="rId108"/>
          <w:footerReference w:type="first" r:id="rId109"/>
          <w:pgSz w:w="11906" w:h="16838"/>
          <w:pgMar w:top="1478" w:right="1437" w:bottom="1562" w:left="1440" w:header="720" w:footer="709" w:gutter="0"/>
          <w:cols w:space="720"/>
        </w:sectPr>
      </w:pPr>
    </w:p>
    <w:p w:rsidR="00FB0B24" w:rsidRPr="005B5CB6" w:rsidP="00A1624B">
      <w:pPr>
        <w:pStyle w:val="Heading1"/>
        <w:rPr>
          <w:sz w:val="22"/>
        </w:rPr>
      </w:pPr>
      <w:bookmarkStart w:id="18" w:name="_Toc44517706"/>
      <w:r w:rsidRPr="005B5CB6">
        <w:rPr>
          <w:sz w:val="22"/>
        </w:rPr>
        <w:t>Mr James Craske – written evidence (DAD0023)</w:t>
      </w:r>
      <w:bookmarkEnd w:id="18"/>
      <w:r w:rsidRPr="005B5CB6">
        <w:rPr>
          <w:sz w:val="22"/>
        </w:rPr>
        <w:t xml:space="preserve"> </w:t>
      </w:r>
    </w:p>
    <w:p w:rsidR="00FB0B24" w:rsidRPr="005B5CB6" w:rsidP="003255A4">
      <w:pPr>
        <w:spacing w:after="219"/>
        <w:ind w:left="1"/>
        <w:jc w:val="both"/>
        <w:rPr>
          <w:rFonts w:ascii="Verdana" w:hAnsi="Verdana"/>
        </w:rPr>
      </w:pPr>
      <w:r w:rsidRPr="005B5CB6">
        <w:rPr>
          <w:rFonts w:ascii="Verdana" w:eastAsia="Verdana" w:hAnsi="Verdana" w:cs="Verdana"/>
          <w:b/>
        </w:rPr>
        <w:t xml:space="preserve"> </w:t>
      </w:r>
    </w:p>
    <w:p w:rsidR="00FB0B24" w:rsidRPr="005B5CB6" w:rsidP="003255A4">
      <w:pPr>
        <w:spacing w:after="230" w:line="250" w:lineRule="auto"/>
        <w:ind w:left="11" w:hanging="10"/>
        <w:jc w:val="both"/>
        <w:rPr>
          <w:rFonts w:ascii="Verdana" w:hAnsi="Verdana"/>
        </w:rPr>
      </w:pPr>
      <w:r w:rsidRPr="005B5CB6">
        <w:rPr>
          <w:rFonts w:ascii="Verdana" w:eastAsia="Verdana" w:hAnsi="Verdana" w:cs="Verdana"/>
          <w:b/>
        </w:rPr>
        <w:t xml:space="preserve">Authors: </w:t>
      </w:r>
      <w:r w:rsidRPr="005B5CB6">
        <w:rPr>
          <w:rFonts w:ascii="Verdana" w:eastAsia="Verdana" w:hAnsi="Verdana" w:cs="Verdana"/>
        </w:rPr>
        <w:t xml:space="preserve"> </w:t>
      </w:r>
    </w:p>
    <w:p w:rsidR="00FB0B24" w:rsidRPr="005B5CB6" w:rsidP="003255A4">
      <w:pPr>
        <w:numPr>
          <w:ilvl w:val="0"/>
          <w:numId w:val="50"/>
        </w:numPr>
        <w:spacing w:after="5" w:line="250" w:lineRule="auto"/>
        <w:ind w:right="11" w:hanging="286"/>
        <w:jc w:val="both"/>
        <w:rPr>
          <w:rFonts w:ascii="Verdana" w:hAnsi="Verdana"/>
        </w:rPr>
      </w:pPr>
      <w:r w:rsidRPr="005B5CB6">
        <w:rPr>
          <w:rFonts w:ascii="Verdana" w:eastAsia="Verdana" w:hAnsi="Verdana" w:cs="Verdana"/>
          <w:b/>
        </w:rPr>
        <w:t>James Craske</w:t>
      </w:r>
      <w:r>
        <w:rPr>
          <w:rFonts w:ascii="Verdana" w:eastAsia="Verdana" w:hAnsi="Verdana" w:cs="Verdana"/>
          <w:b/>
          <w:vertAlign w:val="superscript"/>
        </w:rPr>
        <w:footnoteReference w:id="133"/>
      </w:r>
      <w:r w:rsidRPr="005B5CB6">
        <w:rPr>
          <w:rFonts w:ascii="Verdana" w:eastAsia="Verdana" w:hAnsi="Verdana" w:cs="Verdana"/>
          <w:b/>
        </w:rPr>
        <w:t xml:space="preserve"> </w:t>
      </w:r>
      <w:r w:rsidRPr="005B5CB6">
        <w:rPr>
          <w:rFonts w:ascii="Verdana" w:eastAsia="Verdana" w:hAnsi="Verdana" w:cs="Verdana"/>
        </w:rPr>
        <w:t xml:space="preserve">(Research Associate at the Centre for Competition Policy; </w:t>
      </w:r>
    </w:p>
    <w:p w:rsidR="00FB0B24" w:rsidRPr="005B5CB6" w:rsidP="003255A4">
      <w:pPr>
        <w:spacing w:after="5" w:line="250" w:lineRule="auto"/>
        <w:ind w:left="436" w:right="11" w:hanging="8"/>
        <w:jc w:val="both"/>
        <w:rPr>
          <w:rFonts w:ascii="Verdana" w:hAnsi="Verdana"/>
        </w:rPr>
      </w:pPr>
      <w:r w:rsidRPr="005B5CB6">
        <w:rPr>
          <w:rFonts w:ascii="Verdana" w:eastAsia="Verdana" w:hAnsi="Verdana" w:cs="Verdana"/>
        </w:rPr>
        <w:t xml:space="preserve">Doctoral Researcher in the Schools of Education and Lifelong Learning; Politics, </w:t>
      </w:r>
    </w:p>
    <w:p w:rsidR="00FB0B24" w:rsidRPr="005B5CB6" w:rsidP="003255A4">
      <w:pPr>
        <w:spacing w:after="5" w:line="250" w:lineRule="auto"/>
        <w:ind w:left="436" w:right="11" w:hanging="8"/>
        <w:jc w:val="both"/>
        <w:rPr>
          <w:rFonts w:ascii="Verdana" w:hAnsi="Verdana"/>
        </w:rPr>
      </w:pPr>
      <w:r w:rsidRPr="005B5CB6">
        <w:rPr>
          <w:rFonts w:ascii="Verdana" w:eastAsia="Verdana" w:hAnsi="Verdana" w:cs="Verdana"/>
        </w:rPr>
        <w:t xml:space="preserve">Philosophy, Language and Communication Studies) </w:t>
      </w:r>
    </w:p>
    <w:p w:rsidR="00FB0B24" w:rsidRPr="005B5CB6" w:rsidP="003255A4">
      <w:pPr>
        <w:numPr>
          <w:ilvl w:val="0"/>
          <w:numId w:val="50"/>
        </w:numPr>
        <w:spacing w:after="5" w:line="250" w:lineRule="auto"/>
        <w:ind w:right="11" w:hanging="286"/>
        <w:jc w:val="both"/>
        <w:rPr>
          <w:rFonts w:ascii="Verdana" w:hAnsi="Verdana"/>
        </w:rPr>
      </w:pPr>
      <w:r w:rsidRPr="005B5CB6">
        <w:rPr>
          <w:rFonts w:ascii="Verdana" w:eastAsia="Verdana" w:hAnsi="Verdana" w:cs="Verdana"/>
          <w:b/>
        </w:rPr>
        <w:t xml:space="preserve">Dr Harry T. Dyer </w:t>
      </w:r>
      <w:r w:rsidRPr="005B5CB6">
        <w:rPr>
          <w:rFonts w:ascii="Verdana" w:eastAsia="Verdana" w:hAnsi="Verdana" w:cs="Verdana"/>
        </w:rPr>
        <w:t>(Lecturer in Education at the School of Education and Lifelong Learning)</w:t>
      </w:r>
      <w:r w:rsidRPr="005B5CB6">
        <w:rPr>
          <w:rFonts w:ascii="Verdana" w:eastAsia="Verdana" w:hAnsi="Verdana" w:cs="Verdana"/>
          <w:b/>
        </w:rPr>
        <w:t xml:space="preserve"> </w:t>
      </w:r>
    </w:p>
    <w:p w:rsidR="00FB0B24" w:rsidRPr="005B5CB6" w:rsidP="003255A4">
      <w:pPr>
        <w:numPr>
          <w:ilvl w:val="0"/>
          <w:numId w:val="50"/>
        </w:numPr>
        <w:spacing w:after="111" w:line="250" w:lineRule="auto"/>
        <w:ind w:right="11" w:hanging="286"/>
        <w:jc w:val="both"/>
        <w:rPr>
          <w:rFonts w:ascii="Verdana" w:hAnsi="Verdana"/>
        </w:rPr>
      </w:pPr>
      <w:r w:rsidRPr="005B5CB6">
        <w:rPr>
          <w:rFonts w:ascii="Verdana" w:eastAsia="Verdana" w:hAnsi="Verdana" w:cs="Verdana"/>
          <w:b/>
        </w:rPr>
        <w:t xml:space="preserve">Janis Loschmann </w:t>
      </w:r>
      <w:r w:rsidRPr="005B5CB6">
        <w:rPr>
          <w:rFonts w:ascii="Verdana" w:eastAsia="Verdana" w:hAnsi="Verdana" w:cs="Verdana"/>
        </w:rPr>
        <w:t>(Doctoral Researcher in the School of Politics, Philosophy, Language and Communication Studies)</w:t>
      </w:r>
      <w:r w:rsidRPr="005B5CB6">
        <w:rPr>
          <w:rFonts w:ascii="Verdana" w:eastAsia="Verdana" w:hAnsi="Verdana" w:cs="Verdana"/>
          <w:b/>
        </w:rPr>
        <w:t xml:space="preserve"> </w:t>
      </w:r>
    </w:p>
    <w:p w:rsidR="00FB0B24" w:rsidRPr="005B5CB6" w:rsidP="003255A4">
      <w:pPr>
        <w:spacing w:after="222" w:line="249" w:lineRule="auto"/>
        <w:ind w:left="10" w:right="679" w:hanging="9"/>
        <w:jc w:val="both"/>
        <w:rPr>
          <w:rFonts w:ascii="Verdana" w:hAnsi="Verdana"/>
        </w:rPr>
      </w:pPr>
      <w:r w:rsidRPr="005B5CB6">
        <w:rPr>
          <w:rFonts w:ascii="Verdana" w:eastAsia="Verdana" w:hAnsi="Verdana" w:cs="Verdana"/>
        </w:rPr>
        <w:t xml:space="preserve">This consultation response has been drafted by the named authors who retain responsibility for its content. They do not represent the views of the University of East Anglia.  </w:t>
      </w:r>
    </w:p>
    <w:p w:rsidR="00FB0B24" w:rsidRPr="005B5CB6" w:rsidP="003255A4">
      <w:pPr>
        <w:spacing w:after="222" w:line="249" w:lineRule="auto"/>
        <w:ind w:left="10" w:right="678" w:hanging="9"/>
        <w:jc w:val="both"/>
        <w:rPr>
          <w:rFonts w:ascii="Verdana" w:hAnsi="Verdana"/>
        </w:rPr>
      </w:pPr>
      <w:r w:rsidRPr="005B5CB6">
        <w:rPr>
          <w:rFonts w:ascii="Verdana" w:eastAsia="Verdana" w:hAnsi="Verdana" w:cs="Verdana"/>
        </w:rPr>
        <w:t>As academics, w</w:t>
      </w:r>
      <w:r w:rsidRPr="005B5CB6">
        <w:rPr>
          <w:rFonts w:ascii="Verdana" w:eastAsia="Verdana" w:hAnsi="Verdana" w:cs="Verdana"/>
          <w:u w:val="single" w:color="000000"/>
        </w:rPr>
        <w:t>e welcome explicit citation and sharing</w:t>
      </w:r>
      <w:r w:rsidRPr="005B5CB6">
        <w:rPr>
          <w:rFonts w:ascii="Verdana" w:eastAsia="Verdana" w:hAnsi="Verdana" w:cs="Verdana"/>
        </w:rPr>
        <w:t xml:space="preserve"> of this consultation response and the research cited within it. If you would like to discuss the evidence in more detail, please feel free to approach us.  </w:t>
      </w:r>
    </w:p>
    <w:p w:rsidR="00FB0B24" w:rsidRPr="005B5CB6" w:rsidP="003255A4">
      <w:pPr>
        <w:spacing w:after="189" w:line="249" w:lineRule="auto"/>
        <w:ind w:left="10" w:right="677" w:hanging="9"/>
        <w:jc w:val="both"/>
        <w:rPr>
          <w:rFonts w:ascii="Verdana" w:hAnsi="Verdana"/>
        </w:rPr>
      </w:pPr>
      <w:r w:rsidRPr="005B5CB6">
        <w:rPr>
          <w:rFonts w:ascii="Verdana" w:eastAsia="Verdana" w:hAnsi="Verdana" w:cs="Verdana"/>
        </w:rPr>
        <w:t xml:space="preserve">1. We welcome the opportunity to respond to this timely consultation. Given our academic backgrounds and professional experience, we focus our attention on questions 3 and 12-14. For question 3, we begin by outlining the three underpinning principles that inform our following recommendations on how specific subjects in the school curriculum, mainly how Citizenship and English can provide a resource for teaching digital literacy. Proficiency in digital technology involves familiarity with the technology; a complete understanding, however, comes from paying attention to how digital technology is embedded in political communication and shaped by economic forces. We also respond to questions 12-14 by arguing that any attempt to use digital technology to engage with citizens must do so with an understanding that technology is imbued with and reinforces existing inequalities and hierarchies. This theme is something the terms of reference should overtly address if governments and civil society groups want to reach disadvantaged communities.  </w:t>
      </w:r>
    </w:p>
    <w:p w:rsidR="00FB0B24" w:rsidRPr="005B5CB6" w:rsidP="003255A4">
      <w:pPr>
        <w:spacing w:after="188" w:line="250" w:lineRule="auto"/>
        <w:ind w:left="11" w:right="678" w:hanging="10"/>
        <w:jc w:val="both"/>
        <w:rPr>
          <w:rFonts w:ascii="Verdana" w:hAnsi="Verdana"/>
        </w:rPr>
      </w:pPr>
      <w:r w:rsidRPr="005B5CB6">
        <w:rPr>
          <w:rFonts w:ascii="Verdana" w:eastAsia="Verdana" w:hAnsi="Verdana" w:cs="Verdana"/>
          <w:b/>
        </w:rPr>
        <w:t xml:space="preserve">3) What role should every stage of education play in helping to create a healthy, active, digitally literate democracy? </w:t>
      </w:r>
      <w:r w:rsidRPr="005B5CB6">
        <w:rPr>
          <w:rFonts w:ascii="Verdana" w:eastAsia="Verdana" w:hAnsi="Verdana" w:cs="Verdana"/>
          <w:i/>
        </w:rPr>
        <w:t xml:space="preserve">(Janis Loschmann and James Craske)  </w:t>
      </w:r>
    </w:p>
    <w:p w:rsidR="00FB0B24" w:rsidRPr="005B5CB6" w:rsidP="003255A4">
      <w:pPr>
        <w:spacing w:after="184" w:line="250" w:lineRule="auto"/>
        <w:ind w:left="11" w:hanging="10"/>
        <w:jc w:val="both"/>
        <w:rPr>
          <w:rFonts w:ascii="Verdana" w:hAnsi="Verdana"/>
        </w:rPr>
      </w:pPr>
      <w:r w:rsidRPr="005B5CB6">
        <w:rPr>
          <w:rFonts w:ascii="Verdana" w:eastAsia="Verdana" w:hAnsi="Verdana" w:cs="Verdana"/>
          <w:b/>
        </w:rPr>
        <w:t xml:space="preserve">Part One: Broad Principles: Education for Digital Literacy  </w:t>
      </w:r>
    </w:p>
    <w:p w:rsidR="00FB0B24" w:rsidRPr="005B5CB6" w:rsidP="003255A4">
      <w:pPr>
        <w:numPr>
          <w:ilvl w:val="0"/>
          <w:numId w:val="51"/>
        </w:numPr>
        <w:spacing w:after="5" w:line="249" w:lineRule="auto"/>
        <w:ind w:left="467" w:right="676" w:hanging="466"/>
        <w:jc w:val="both"/>
        <w:rPr>
          <w:rFonts w:ascii="Verdana" w:hAnsi="Verdana"/>
        </w:rPr>
      </w:pPr>
      <w:r w:rsidRPr="005B5CB6">
        <w:rPr>
          <w:rFonts w:ascii="Verdana" w:eastAsia="Verdana" w:hAnsi="Verdana" w:cs="Verdana"/>
        </w:rPr>
        <w:t xml:space="preserve">Janis Loschmann’s research analyses how, in the digital age, information is the ‘digital gold’ that has now become the primary source of value in our social and economic life (2019). Technology has made knowledge increasingly accessible and abundant. The scarce resource in the digital age is human attention. In the </w:t>
      </w:r>
      <w:r w:rsidRPr="005B5CB6">
        <w:rPr>
          <w:rFonts w:ascii="Verdana" w:eastAsia="Verdana" w:hAnsi="Verdana" w:cs="Verdana"/>
        </w:rPr>
        <w:t xml:space="preserve">information age, human attention is being fought over by competing digital platforms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22602" name="Group 52260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506" name="Shape 63550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55" style="height:0.72pt;mso-position-horizontal-relative:char;mso-position-vertical-relative:line;width:2in" coordsize="18288,91">
                <v:shape id="_x0000_s1156"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3255A4">
      <w:pPr>
        <w:spacing w:after="189" w:line="249" w:lineRule="auto"/>
        <w:ind w:left="10" w:right="678" w:hanging="9"/>
        <w:jc w:val="both"/>
        <w:rPr>
          <w:rFonts w:ascii="Verdana" w:hAnsi="Verdana"/>
        </w:rPr>
      </w:pPr>
      <w:r w:rsidRPr="005B5CB6">
        <w:rPr>
          <w:rFonts w:ascii="Verdana" w:eastAsia="Verdana" w:hAnsi="Verdana" w:cs="Verdana"/>
        </w:rPr>
        <w:t xml:space="preserve">(from social media Facebook, Snapchat, to entertainment (Netflix) or hybrids like Youtube. This means we need to equip students with the ability to understand how their attention is being directed, manipulated, and what techniques are being used and to what end. To put it in a simplified way, understanding that the autoplay feature on YouTube is essential for its economic survival and depends on gaining and keeping your attention has ramifications for how one understands Youtube as a source of knowledge and as a tool for its dissemination. In other words, students need to understand the political, economic and value (axiological) basis of technologies that they use every day and that serve as an interface between them and the world. Below we outline three key areas that are important for framing debates around digital society and education. </w:t>
      </w:r>
    </w:p>
    <w:p w:rsidR="00FB0B24" w:rsidRPr="005B5CB6" w:rsidP="003255A4">
      <w:pPr>
        <w:numPr>
          <w:ilvl w:val="1"/>
          <w:numId w:val="51"/>
        </w:numPr>
        <w:spacing w:after="5" w:line="249" w:lineRule="auto"/>
        <w:ind w:right="676" w:hanging="511"/>
        <w:jc w:val="both"/>
        <w:rPr>
          <w:rFonts w:ascii="Verdana" w:hAnsi="Verdana"/>
        </w:rPr>
      </w:pPr>
      <w:r w:rsidRPr="005B5CB6">
        <w:rPr>
          <w:rFonts w:ascii="Verdana" w:eastAsia="Verdana" w:hAnsi="Verdana" w:cs="Verdana"/>
        </w:rPr>
        <w:t xml:space="preserve">Understand the </w:t>
      </w:r>
      <w:r w:rsidRPr="005B5CB6">
        <w:rPr>
          <w:rFonts w:ascii="Verdana" w:eastAsia="Verdana" w:hAnsi="Verdana" w:cs="Verdana"/>
          <w:b/>
        </w:rPr>
        <w:t>languages of information</w:t>
      </w:r>
      <w:r w:rsidRPr="005B5CB6">
        <w:rPr>
          <w:rFonts w:ascii="Verdana" w:eastAsia="Verdana" w:hAnsi="Verdana" w:cs="Verdana"/>
        </w:rPr>
        <w:t xml:space="preserve">: mathematics, programming, music, graphics etc. How knowledge is used and understood depends on how it is designed, and these are the languages that digital curators of knowledge are proficient.  But we should also pay attention to a field that is often neglected: visual literacy. By this, we mean the skill to interpret images: understanding how ideas and emotions are expressed through the visual form (video, film, Youtube). Understanding the technical grammar of the visual form helps to show how attention is gained and directed. Social media is saturated with images that promote narratives and imbue values and even world views. Images are powerful and emotionally resonant and cultivating self-awareness of this is essential.  </w:t>
      </w:r>
    </w:p>
    <w:p w:rsidR="00FB0B24" w:rsidRPr="005B5CB6" w:rsidP="003255A4">
      <w:pPr>
        <w:spacing w:after="0"/>
        <w:ind w:left="721"/>
        <w:jc w:val="both"/>
        <w:rPr>
          <w:rFonts w:ascii="Verdana" w:hAnsi="Verdana"/>
        </w:rPr>
      </w:pPr>
      <w:r w:rsidRPr="005B5CB6">
        <w:rPr>
          <w:rFonts w:ascii="Verdana" w:eastAsia="Verdana" w:hAnsi="Verdana" w:cs="Verdana"/>
        </w:rPr>
        <w:t xml:space="preserve"> </w:t>
      </w:r>
    </w:p>
    <w:p w:rsidR="00FB0B24" w:rsidRPr="005B5CB6" w:rsidP="003255A4">
      <w:pPr>
        <w:numPr>
          <w:ilvl w:val="1"/>
          <w:numId w:val="51"/>
        </w:numPr>
        <w:spacing w:after="5" w:line="249" w:lineRule="auto"/>
        <w:ind w:right="676" w:hanging="511"/>
        <w:jc w:val="both"/>
        <w:rPr>
          <w:rFonts w:ascii="Verdana" w:hAnsi="Verdana"/>
        </w:rPr>
      </w:pPr>
      <w:r w:rsidRPr="005B5CB6">
        <w:rPr>
          <w:rFonts w:ascii="Verdana" w:eastAsia="Verdana" w:hAnsi="Verdana" w:cs="Verdana"/>
        </w:rPr>
        <w:t xml:space="preserve">Greater emphasis on </w:t>
      </w:r>
      <w:r w:rsidRPr="005B5CB6">
        <w:rPr>
          <w:rFonts w:ascii="Verdana" w:eastAsia="Verdana" w:hAnsi="Verdana" w:cs="Verdana"/>
          <w:b/>
        </w:rPr>
        <w:t>epistemic skills</w:t>
      </w:r>
      <w:r w:rsidRPr="005B5CB6">
        <w:rPr>
          <w:rFonts w:ascii="Verdana" w:eastAsia="Verdana" w:hAnsi="Verdana" w:cs="Verdana"/>
        </w:rPr>
        <w:t xml:space="preserve">: introduce philosophical education at every stage of schooling. A model here could be the IB compulsory subject Theory of Knowledge (TOK). This interdisciplinary subject gives students the skills to evaluate different areas of knowledge and their strengths and weaknesses. It is not merely a case of identifying fake or alternative facts, although this is an essential element (the critical skills of philosophy come in handy here), understanding the frameworks and contexts within which knowledge arises. This type of learning gives students different epistemic perspectives. It also understands the nature of knowledge and evaluates different kinds of knowledge claims. In a world where knowledge is overabundant with swathes of encyclopaedia entries being able to critically understand the </w:t>
      </w:r>
      <w:r w:rsidRPr="005B5CB6">
        <w:rPr>
          <w:rFonts w:ascii="Verdana" w:eastAsia="Verdana" w:hAnsi="Verdana" w:cs="Verdana"/>
          <w:i/>
        </w:rPr>
        <w:t>origin</w:t>
      </w:r>
      <w:r w:rsidRPr="005B5CB6">
        <w:rPr>
          <w:rFonts w:ascii="Verdana" w:eastAsia="Verdana" w:hAnsi="Verdana" w:cs="Verdana"/>
        </w:rPr>
        <w:t xml:space="preserve"> and </w:t>
      </w:r>
      <w:r w:rsidRPr="005B5CB6">
        <w:rPr>
          <w:rFonts w:ascii="Verdana" w:eastAsia="Verdana" w:hAnsi="Verdana" w:cs="Verdana"/>
          <w:i/>
        </w:rPr>
        <w:t>purpose</w:t>
      </w:r>
      <w:r w:rsidRPr="005B5CB6">
        <w:rPr>
          <w:rFonts w:ascii="Verdana" w:eastAsia="Verdana" w:hAnsi="Verdana" w:cs="Verdana"/>
        </w:rPr>
        <w:t xml:space="preserve"> of knowledge and its corresponding </w:t>
      </w:r>
      <w:r w:rsidRPr="005B5CB6">
        <w:rPr>
          <w:rFonts w:ascii="Verdana" w:eastAsia="Verdana" w:hAnsi="Verdana" w:cs="Verdana"/>
          <w:i/>
        </w:rPr>
        <w:t>value</w:t>
      </w:r>
      <w:r w:rsidRPr="005B5CB6">
        <w:rPr>
          <w:rFonts w:ascii="Verdana" w:eastAsia="Verdana" w:hAnsi="Verdana" w:cs="Verdana"/>
        </w:rPr>
        <w:t xml:space="preserve"> and </w:t>
      </w:r>
      <w:r w:rsidRPr="005B5CB6">
        <w:rPr>
          <w:rFonts w:ascii="Verdana" w:eastAsia="Verdana" w:hAnsi="Verdana" w:cs="Verdana"/>
          <w:i/>
        </w:rPr>
        <w:t>limitations</w:t>
      </w:r>
      <w:r w:rsidRPr="005B5CB6">
        <w:rPr>
          <w:rFonts w:ascii="Verdana" w:eastAsia="Verdana" w:hAnsi="Verdana" w:cs="Verdana"/>
        </w:rPr>
        <w:t xml:space="preserve"> is paramount.  </w:t>
      </w:r>
    </w:p>
    <w:p w:rsidR="00FB0B24" w:rsidRPr="005B5CB6" w:rsidP="003255A4">
      <w:pPr>
        <w:spacing w:after="0"/>
        <w:ind w:left="722"/>
        <w:jc w:val="both"/>
        <w:rPr>
          <w:rFonts w:ascii="Verdana" w:hAnsi="Verdana"/>
        </w:rPr>
      </w:pPr>
      <w:r w:rsidRPr="005B5CB6">
        <w:rPr>
          <w:rFonts w:ascii="Verdana" w:eastAsia="Verdana" w:hAnsi="Verdana" w:cs="Verdana"/>
        </w:rPr>
        <w:t xml:space="preserve"> </w:t>
      </w:r>
    </w:p>
    <w:p w:rsidR="00FB0B24" w:rsidRPr="005B5CB6" w:rsidP="003255A4">
      <w:pPr>
        <w:numPr>
          <w:ilvl w:val="1"/>
          <w:numId w:val="51"/>
        </w:numPr>
        <w:spacing w:after="5" w:line="249" w:lineRule="auto"/>
        <w:ind w:right="676" w:hanging="511"/>
        <w:jc w:val="both"/>
        <w:rPr>
          <w:rFonts w:ascii="Verdana" w:hAnsi="Verdana"/>
        </w:rPr>
      </w:pPr>
      <w:r w:rsidRPr="005B5CB6">
        <w:rPr>
          <w:rFonts w:ascii="Verdana" w:eastAsia="Verdana" w:hAnsi="Verdana" w:cs="Verdana"/>
        </w:rPr>
        <w:t xml:space="preserve">Emphasise skills </w:t>
      </w:r>
      <w:r w:rsidRPr="005B5CB6">
        <w:rPr>
          <w:rFonts w:ascii="Verdana" w:eastAsia="Verdana" w:hAnsi="Verdana" w:cs="Verdana"/>
          <w:b/>
        </w:rPr>
        <w:t>developing creative control over information</w:t>
      </w:r>
      <w:r w:rsidRPr="005B5CB6">
        <w:rPr>
          <w:rFonts w:ascii="Verdana" w:eastAsia="Verdana" w:hAnsi="Verdana" w:cs="Verdana"/>
        </w:rPr>
        <w:t xml:space="preserve">: “skills education” is often framed in terms of skills vs knowledge. Both are important; the first two points above outlined ways in which to frame thinking about knowledge and skills in the context of digital society. But they both treat students as passive recipients. What is needed today are students that not </w:t>
      </w:r>
      <w:r w:rsidRPr="005B5CB6">
        <w:rPr>
          <w:rFonts w:ascii="Verdana" w:eastAsia="Verdana" w:hAnsi="Verdana" w:cs="Verdana"/>
        </w:rPr>
        <w:t xml:space="preserve">only know how to understand and analyse knowledge ready at hand but also how to develop ‘knowledge </w:t>
      </w:r>
      <w:r w:rsidRPr="005B5CB6">
        <w:rPr>
          <w:rFonts w:ascii="Verdana" w:eastAsia="Verdana" w:hAnsi="Verdana" w:cs="Verdana"/>
          <w:i/>
        </w:rPr>
        <w:t>ability</w:t>
      </w:r>
      <w:r w:rsidRPr="005B5CB6">
        <w:rPr>
          <w:rFonts w:ascii="Verdana" w:eastAsia="Verdana" w:hAnsi="Verdana" w:cs="Verdana"/>
        </w:rPr>
        <w:t xml:space="preserve">’ – essentially ‘skills’ required to effectively create, design and transform information. It is not consumers and users of knowledge but producers and designers of it that will shape the world we live in, what motives are served by those designs, and how effectively it is used. </w:t>
      </w:r>
    </w:p>
    <w:p w:rsidR="00FB0B24" w:rsidRPr="005B5CB6" w:rsidP="003255A4">
      <w:pPr>
        <w:spacing w:after="5" w:line="249" w:lineRule="auto"/>
        <w:ind w:left="729" w:right="677" w:hanging="9"/>
        <w:jc w:val="both"/>
        <w:rPr>
          <w:rFonts w:ascii="Verdana" w:hAnsi="Verdana"/>
        </w:rPr>
      </w:pPr>
      <w:r w:rsidRPr="005B5CB6">
        <w:rPr>
          <w:rFonts w:ascii="Verdana" w:eastAsia="Verdana" w:hAnsi="Verdana" w:cs="Verdana"/>
        </w:rPr>
        <w:t xml:space="preserve">This means that we need to move away from framing the education debate in terms of </w:t>
      </w:r>
      <w:r w:rsidRPr="005B5CB6">
        <w:rPr>
          <w:rFonts w:ascii="Verdana" w:eastAsia="Verdana" w:hAnsi="Verdana" w:cs="Verdana"/>
          <w:i/>
        </w:rPr>
        <w:t>skills</w:t>
      </w:r>
      <w:r w:rsidRPr="005B5CB6">
        <w:rPr>
          <w:rFonts w:ascii="Verdana" w:eastAsia="Verdana" w:hAnsi="Verdana" w:cs="Verdana"/>
        </w:rPr>
        <w:t xml:space="preserve"> vs </w:t>
      </w:r>
      <w:r w:rsidRPr="005B5CB6">
        <w:rPr>
          <w:rFonts w:ascii="Verdana" w:eastAsia="Verdana" w:hAnsi="Verdana" w:cs="Verdana"/>
          <w:i/>
        </w:rPr>
        <w:t>knowledge</w:t>
      </w:r>
      <w:r w:rsidRPr="005B5CB6">
        <w:rPr>
          <w:rFonts w:ascii="Verdana" w:eastAsia="Verdana" w:hAnsi="Verdana" w:cs="Verdana"/>
        </w:rPr>
        <w:t xml:space="preserve"> and instead in terms of how both </w:t>
      </w:r>
      <w:r w:rsidRPr="005B5CB6">
        <w:rPr>
          <w:rFonts w:ascii="Verdana" w:eastAsia="Verdana" w:hAnsi="Verdana" w:cs="Verdana"/>
          <w:i/>
        </w:rPr>
        <w:t>knowing how</w:t>
      </w:r>
      <w:r w:rsidRPr="005B5CB6">
        <w:rPr>
          <w:rFonts w:ascii="Verdana" w:eastAsia="Verdana" w:hAnsi="Verdana" w:cs="Verdana"/>
        </w:rPr>
        <w:t xml:space="preserve"> and </w:t>
      </w:r>
      <w:r w:rsidRPr="005B5CB6">
        <w:rPr>
          <w:rFonts w:ascii="Verdana" w:eastAsia="Verdana" w:hAnsi="Verdana" w:cs="Verdana"/>
          <w:i/>
        </w:rPr>
        <w:t>knowing that</w:t>
      </w:r>
      <w:r w:rsidRPr="005B5CB6">
        <w:rPr>
          <w:rFonts w:ascii="Verdana" w:eastAsia="Verdana" w:hAnsi="Verdana" w:cs="Verdana"/>
        </w:rPr>
        <w:t xml:space="preserve"> can contribute to developing the knowledge and skill set of the knowledge curators of tomorrow.  </w:t>
      </w:r>
    </w:p>
    <w:p w:rsidR="00FB0B24" w:rsidRPr="005B5CB6" w:rsidP="003255A4">
      <w:pPr>
        <w:spacing w:after="0"/>
        <w:ind w:left="720"/>
        <w:jc w:val="both"/>
        <w:rPr>
          <w:rFonts w:ascii="Verdana" w:hAnsi="Verdana"/>
        </w:rPr>
      </w:pPr>
      <w:r w:rsidRPr="005B5CB6">
        <w:rPr>
          <w:rFonts w:ascii="Verdana" w:eastAsia="Verdana" w:hAnsi="Verdana" w:cs="Verdana"/>
        </w:rPr>
        <w:t xml:space="preserve"> </w:t>
      </w:r>
    </w:p>
    <w:p w:rsidR="00FB0B24" w:rsidRPr="005B5CB6" w:rsidP="003255A4">
      <w:pPr>
        <w:numPr>
          <w:ilvl w:val="0"/>
          <w:numId w:val="51"/>
        </w:numPr>
        <w:spacing w:after="191" w:line="249" w:lineRule="auto"/>
        <w:ind w:left="467" w:right="676" w:hanging="466"/>
        <w:jc w:val="both"/>
        <w:rPr>
          <w:rFonts w:ascii="Verdana" w:hAnsi="Verdana"/>
        </w:rPr>
      </w:pPr>
      <w:r w:rsidRPr="005B5CB6">
        <w:rPr>
          <w:rFonts w:ascii="Verdana" w:eastAsia="Verdana" w:hAnsi="Verdana" w:cs="Verdana"/>
        </w:rPr>
        <w:t xml:space="preserve">This takes us full circle to the first point; education policy should be framed in terms of how best to develop proficiency in the different languages in which information is transmitted, produced, manipulated and shared. This is primarily not a matter of </w:t>
      </w:r>
      <w:r w:rsidRPr="005B5CB6">
        <w:rPr>
          <w:rFonts w:ascii="Verdana" w:eastAsia="Verdana" w:hAnsi="Verdana" w:cs="Verdana"/>
          <w:i/>
        </w:rPr>
        <w:t xml:space="preserve">skills </w:t>
      </w:r>
      <w:r w:rsidRPr="005B5CB6">
        <w:rPr>
          <w:rFonts w:ascii="Verdana" w:eastAsia="Verdana" w:hAnsi="Verdana" w:cs="Verdana"/>
        </w:rPr>
        <w:t xml:space="preserve">or </w:t>
      </w:r>
      <w:r w:rsidRPr="005B5CB6">
        <w:rPr>
          <w:rFonts w:ascii="Verdana" w:eastAsia="Verdana" w:hAnsi="Verdana" w:cs="Verdana"/>
          <w:i/>
        </w:rPr>
        <w:t xml:space="preserve">knowledge </w:t>
      </w:r>
      <w:r w:rsidRPr="005B5CB6">
        <w:rPr>
          <w:rFonts w:ascii="Verdana" w:eastAsia="Verdana" w:hAnsi="Verdana" w:cs="Verdana"/>
        </w:rPr>
        <w:t xml:space="preserve">but creative </w:t>
      </w:r>
      <w:r w:rsidRPr="005B5CB6">
        <w:rPr>
          <w:rFonts w:ascii="Verdana" w:eastAsia="Verdana" w:hAnsi="Verdana" w:cs="Verdana"/>
          <w:i/>
        </w:rPr>
        <w:t>ability — e</w:t>
      </w:r>
      <w:r w:rsidRPr="005B5CB6">
        <w:rPr>
          <w:rFonts w:ascii="Verdana" w:eastAsia="Verdana" w:hAnsi="Verdana" w:cs="Verdana"/>
        </w:rPr>
        <w:t xml:space="preserve">ducation debate framed in terms of </w:t>
      </w:r>
      <w:r w:rsidRPr="005B5CB6">
        <w:rPr>
          <w:rFonts w:ascii="Verdana" w:eastAsia="Verdana" w:hAnsi="Verdana" w:cs="Verdana"/>
          <w:i/>
        </w:rPr>
        <w:t xml:space="preserve">knowing that </w:t>
      </w:r>
      <w:r w:rsidRPr="005B5CB6">
        <w:rPr>
          <w:rFonts w:ascii="Verdana" w:eastAsia="Verdana" w:hAnsi="Verdana" w:cs="Verdana"/>
        </w:rPr>
        <w:t xml:space="preserve">and </w:t>
      </w:r>
      <w:r w:rsidRPr="005B5CB6">
        <w:rPr>
          <w:rFonts w:ascii="Verdana" w:eastAsia="Verdana" w:hAnsi="Verdana" w:cs="Verdana"/>
          <w:i/>
        </w:rPr>
        <w:t>knowing how</w:t>
      </w:r>
      <w:r w:rsidRPr="005B5CB6">
        <w:rPr>
          <w:rFonts w:ascii="Verdana" w:eastAsia="Verdana" w:hAnsi="Verdana" w:cs="Verdana"/>
        </w:rPr>
        <w:t xml:space="preserve"> or between </w:t>
      </w:r>
      <w:r w:rsidRPr="005B5CB6">
        <w:rPr>
          <w:rFonts w:ascii="Verdana" w:eastAsia="Verdana" w:hAnsi="Verdana" w:cs="Verdana"/>
          <w:i/>
        </w:rPr>
        <w:t xml:space="preserve">skills </w:t>
      </w:r>
      <w:r w:rsidRPr="005B5CB6">
        <w:rPr>
          <w:rFonts w:ascii="Verdana" w:eastAsia="Verdana" w:hAnsi="Verdana" w:cs="Verdana"/>
        </w:rPr>
        <w:t xml:space="preserve">and </w:t>
      </w:r>
      <w:r w:rsidRPr="005B5CB6">
        <w:rPr>
          <w:rFonts w:ascii="Verdana" w:eastAsia="Verdana" w:hAnsi="Verdana" w:cs="Verdana"/>
          <w:i/>
        </w:rPr>
        <w:t>knowledge.</w:t>
      </w:r>
      <w:r w:rsidRPr="005B5CB6">
        <w:rPr>
          <w:rFonts w:ascii="Verdana" w:eastAsia="Verdana" w:hAnsi="Verdana" w:cs="Verdana"/>
        </w:rPr>
        <w:t xml:space="preserve"> We need to transcend this dichotomy even if creative </w:t>
      </w:r>
      <w:r w:rsidRPr="005B5CB6">
        <w:rPr>
          <w:rFonts w:ascii="Verdana" w:eastAsia="Verdana" w:hAnsi="Verdana" w:cs="Verdana"/>
          <w:i/>
        </w:rPr>
        <w:t>ability</w:t>
      </w:r>
      <w:r w:rsidRPr="005B5CB6">
        <w:rPr>
          <w:rFonts w:ascii="Verdana" w:eastAsia="Verdana" w:hAnsi="Verdana" w:cs="Verdana"/>
        </w:rPr>
        <w:t xml:space="preserve"> relies on the development of both these knowledge and skills.  </w:t>
      </w:r>
    </w:p>
    <w:p w:rsidR="00FB0B24" w:rsidRPr="005B5CB6" w:rsidP="003255A4">
      <w:pPr>
        <w:spacing w:after="184" w:line="250" w:lineRule="auto"/>
        <w:ind w:left="11" w:hanging="10"/>
        <w:jc w:val="both"/>
        <w:rPr>
          <w:rFonts w:ascii="Verdana" w:hAnsi="Verdana"/>
        </w:rPr>
      </w:pPr>
      <w:r w:rsidRPr="005B5CB6">
        <w:rPr>
          <w:rFonts w:ascii="Verdana" w:eastAsia="Verdana" w:hAnsi="Verdana" w:cs="Verdana"/>
          <w:b/>
        </w:rPr>
        <w:t xml:space="preserve">Part Two: School Curriculum and Delivery  </w:t>
      </w:r>
    </w:p>
    <w:p w:rsidR="00FB0B24" w:rsidRPr="005B5CB6" w:rsidP="003255A4">
      <w:pPr>
        <w:numPr>
          <w:ilvl w:val="0"/>
          <w:numId w:val="51"/>
        </w:numPr>
        <w:spacing w:after="188" w:line="250" w:lineRule="auto"/>
        <w:ind w:left="467" w:right="676" w:hanging="466"/>
        <w:jc w:val="both"/>
        <w:rPr>
          <w:rFonts w:ascii="Verdana" w:hAnsi="Verdana"/>
        </w:rPr>
      </w:pPr>
      <w:r w:rsidRPr="005B5CB6">
        <w:rPr>
          <w:rFonts w:ascii="Verdana" w:eastAsia="Verdana" w:hAnsi="Verdana" w:cs="Verdana"/>
          <w:b/>
        </w:rPr>
        <w:t xml:space="preserve">The education debate is often framed in terms of either </w:t>
      </w:r>
      <w:r w:rsidRPr="005B5CB6">
        <w:rPr>
          <w:rFonts w:ascii="Verdana" w:eastAsia="Verdana" w:hAnsi="Verdana" w:cs="Verdana"/>
          <w:b/>
          <w:i/>
        </w:rPr>
        <w:t xml:space="preserve">knowing that </w:t>
      </w:r>
      <w:r w:rsidRPr="005B5CB6">
        <w:rPr>
          <w:rFonts w:ascii="Verdana" w:eastAsia="Verdana" w:hAnsi="Verdana" w:cs="Verdana"/>
          <w:b/>
        </w:rPr>
        <w:t xml:space="preserve">and </w:t>
      </w:r>
      <w:r w:rsidRPr="005B5CB6">
        <w:rPr>
          <w:rFonts w:ascii="Verdana" w:eastAsia="Verdana" w:hAnsi="Verdana" w:cs="Verdana"/>
          <w:b/>
          <w:i/>
        </w:rPr>
        <w:t>knowing how</w:t>
      </w:r>
      <w:r w:rsidRPr="005B5CB6">
        <w:rPr>
          <w:rFonts w:ascii="Verdana" w:eastAsia="Verdana" w:hAnsi="Verdana" w:cs="Verdana"/>
          <w:b/>
        </w:rPr>
        <w:t xml:space="preserve"> or between </w:t>
      </w:r>
      <w:r w:rsidRPr="005B5CB6">
        <w:rPr>
          <w:rFonts w:ascii="Verdana" w:eastAsia="Verdana" w:hAnsi="Verdana" w:cs="Verdana"/>
          <w:b/>
          <w:i/>
        </w:rPr>
        <w:t xml:space="preserve">skills </w:t>
      </w:r>
      <w:r w:rsidRPr="005B5CB6">
        <w:rPr>
          <w:rFonts w:ascii="Verdana" w:eastAsia="Verdana" w:hAnsi="Verdana" w:cs="Verdana"/>
          <w:b/>
        </w:rPr>
        <w:t xml:space="preserve">and </w:t>
      </w:r>
      <w:r w:rsidRPr="005B5CB6">
        <w:rPr>
          <w:rFonts w:ascii="Verdana" w:eastAsia="Verdana" w:hAnsi="Verdana" w:cs="Verdana"/>
          <w:b/>
          <w:i/>
        </w:rPr>
        <w:t>knowledge.</w:t>
      </w:r>
      <w:r w:rsidRPr="005B5CB6">
        <w:rPr>
          <w:rFonts w:ascii="Verdana" w:eastAsia="Verdana" w:hAnsi="Verdana" w:cs="Verdana"/>
          <w:b/>
        </w:rPr>
        <w:t xml:space="preserve"> We need to transcend this dichotomy and find subjects that allow a pupil to develop creative ability towards digital technology.  </w:t>
      </w:r>
    </w:p>
    <w:p w:rsidR="00FB0B24" w:rsidRPr="005B5CB6" w:rsidP="003255A4">
      <w:pPr>
        <w:numPr>
          <w:ilvl w:val="0"/>
          <w:numId w:val="51"/>
        </w:numPr>
        <w:spacing w:after="189" w:line="249" w:lineRule="auto"/>
        <w:ind w:left="467" w:right="676" w:hanging="466"/>
        <w:jc w:val="both"/>
        <w:rPr>
          <w:rFonts w:ascii="Verdana" w:hAnsi="Verdana"/>
        </w:rPr>
      </w:pPr>
      <w:r w:rsidRPr="005B5CB6">
        <w:rPr>
          <w:rFonts w:ascii="Verdana" w:eastAsia="Verdana" w:hAnsi="Verdana" w:cs="Verdana"/>
        </w:rPr>
        <w:t xml:space="preserve">Current education thinking emphasises that subjects should be thought of as coherent bodies of core knowledge. In terms of </w:t>
      </w:r>
      <w:r w:rsidRPr="005B5CB6">
        <w:rPr>
          <w:rFonts w:ascii="Verdana" w:eastAsia="Verdana" w:hAnsi="Verdana" w:cs="Verdana"/>
          <w:i/>
        </w:rPr>
        <w:t>knowing that</w:t>
      </w:r>
      <w:r w:rsidRPr="005B5CB6">
        <w:rPr>
          <w:rFonts w:ascii="Verdana" w:eastAsia="Verdana" w:hAnsi="Verdana" w:cs="Verdana"/>
        </w:rPr>
        <w:t xml:space="preserve"> the most important thing to realise is that information always requires some older background information in order to be contextualised and made useful enough to be engaged with critically. Though something like the Finnish model has found success by producing a highly interdisciplinary curriculum, we still think that within English schooling, there is value in individual subjects but only when there is a recognition that some subjects (such as citizenship, history and English), can be adaptable and contain contested bodies of knowledge. These subjects might be fruitfully used to reflect a serious attempt to equip young people with what is needed to develop comprehensive digital literacy (including mastery visual literacy and taught about the situated awareness of its political, economic and axiological bases).  </w:t>
      </w:r>
    </w:p>
    <w:p w:rsidR="00FB0B24" w:rsidRPr="005B5CB6" w:rsidP="003255A4">
      <w:pPr>
        <w:numPr>
          <w:ilvl w:val="0"/>
          <w:numId w:val="51"/>
        </w:numPr>
        <w:spacing w:after="188" w:line="249" w:lineRule="auto"/>
        <w:ind w:left="467" w:right="676" w:hanging="466"/>
        <w:jc w:val="both"/>
        <w:rPr>
          <w:rFonts w:ascii="Verdana" w:hAnsi="Verdana"/>
        </w:rPr>
      </w:pPr>
      <w:r w:rsidRPr="005B5CB6">
        <w:rPr>
          <w:rFonts w:ascii="Verdana" w:eastAsia="Verdana" w:hAnsi="Verdana" w:cs="Verdana"/>
          <w:b/>
        </w:rPr>
        <w:t>Citizenship.</w:t>
      </w:r>
      <w:r w:rsidRPr="005B5CB6">
        <w:rPr>
          <w:rFonts w:ascii="Verdana" w:eastAsia="Verdana" w:hAnsi="Verdana" w:cs="Verdana"/>
        </w:rPr>
        <w:t xml:space="preserve"> We consider</w:t>
      </w:r>
      <w:r w:rsidRPr="005B5CB6">
        <w:rPr>
          <w:rFonts w:ascii="Verdana" w:eastAsia="Verdana" w:hAnsi="Verdana" w:cs="Verdana"/>
          <w:b/>
        </w:rPr>
        <w:t xml:space="preserve"> </w:t>
      </w:r>
      <w:r w:rsidRPr="005B5CB6">
        <w:rPr>
          <w:rFonts w:ascii="Verdana" w:eastAsia="Verdana" w:hAnsi="Verdana" w:cs="Verdana"/>
        </w:rPr>
        <w:t xml:space="preserve">citizenship education highly important and currently undervalued in English schooling. Bernard Crick, who led the advisory group on “Education for Citizenship” that helped shape statutory Citizenship for all students aged 11 till 16 in 2002, warned that ‘we should not, must not, dare not, be complacent about the health and future of British democracy. Unless we become a nation of engaged citizens, our democracy is not secure’ (Crick, 1998, 8). Two decades on Citizenship has been relegated as a school subject at a time we most need it. Instead, it should be revitalised with digital literacy as a core </w:t>
      </w:r>
      <w:r w:rsidRPr="005B5CB6">
        <w:rPr>
          <w:rFonts w:ascii="Verdana" w:eastAsia="Verdana" w:hAnsi="Verdana" w:cs="Verdana"/>
        </w:rPr>
        <w:t xml:space="preserve">component. This might start with teaching political literacy in early schooling (concepts, how democracy works, institutions etc). Once this body of knowledge has been grasped, and the further a pupil goes through their schooling, the more opportunity there should be to discuss citizenship and “digital literacy” within the principles outlined in Part One. Citizenship should be made as interdisciplinary (whilst maintaining coherence) and teach the specific ways in which history, geography, and politics have shaped our society and culture. Moreover, it should reflect on how digital technology has altered campaigning, political communication and the distribution of information through algorithms. Our relationship to digital technologies, data and advertising has radically changed given that </w:t>
      </w:r>
      <w:r w:rsidRPr="005B5CB6">
        <w:rPr>
          <w:rFonts w:ascii="Verdana" w:eastAsia="Verdana" w:hAnsi="Verdana" w:cs="Verdana"/>
          <w:i/>
        </w:rPr>
        <w:t>we</w:t>
      </w:r>
      <w:r w:rsidRPr="005B5CB6">
        <w:rPr>
          <w:rFonts w:ascii="Verdana" w:eastAsia="Verdana" w:hAnsi="Verdana" w:cs="Verdana"/>
        </w:rPr>
        <w:t xml:space="preserve"> are now the product (see Lanchester, 2017); our digital literacy should reflect this fact and its implications for us as citizens and consumers.  </w:t>
      </w:r>
    </w:p>
    <w:p w:rsidR="00FB0B24" w:rsidRPr="005B5CB6" w:rsidP="003255A4">
      <w:pPr>
        <w:numPr>
          <w:ilvl w:val="0"/>
          <w:numId w:val="51"/>
        </w:numPr>
        <w:spacing w:after="186" w:line="249" w:lineRule="auto"/>
        <w:ind w:left="467" w:right="676" w:hanging="466"/>
        <w:jc w:val="both"/>
        <w:rPr>
          <w:rFonts w:ascii="Verdana" w:hAnsi="Verdana"/>
        </w:rPr>
      </w:pPr>
      <w:r w:rsidRPr="005B5CB6">
        <w:rPr>
          <w:rFonts w:ascii="Verdana" w:eastAsia="Verdana" w:hAnsi="Verdana" w:cs="Verdana"/>
          <w:b/>
        </w:rPr>
        <w:t xml:space="preserve">English. </w:t>
      </w:r>
      <w:r w:rsidRPr="005B5CB6">
        <w:rPr>
          <w:rFonts w:ascii="Verdana" w:eastAsia="Verdana" w:hAnsi="Verdana" w:cs="Verdana"/>
        </w:rPr>
        <w:t xml:space="preserve"> In his research, James Craske (2019) has observed how secondary English teachers draw on platforms such as YouTube to introduce “Beat Poetry” and biographical pieces on poets such as Ted Hughes. Often, however, and within the current secondary curriculum, the use of platforms is confined to a ‘thin’ pedagogic tool. The 2013 GCSE English reform changes removed studying media, visual and online text from the curriculum and this has acted to deter teachers from fully exploring the importance of visual literacy in forms such as social media advertising. English language includes teaching persuasive writing techniques; the subject should extend to this to looking at how images are curated with text, audio and tropes in order to achieve a specific effect such as pathos. Studying various media has been applied in previous curricular (and has been part of the discussion about the subject since the 1930s). In our view, there was no compelling case given to entirely remove it. Learning to decode multimodal messages and checking for their veracity is an important skill that could be developed</w:t>
      </w:r>
      <w:r>
        <w:rPr>
          <w:rFonts w:ascii="Verdana" w:eastAsia="Verdana" w:hAnsi="Verdana" w:cs="Verdana"/>
          <w:vertAlign w:val="superscript"/>
        </w:rPr>
        <w:footnoteReference w:id="134"/>
      </w:r>
      <w:r w:rsidRPr="005B5CB6">
        <w:rPr>
          <w:rFonts w:ascii="Verdana" w:eastAsia="Verdana" w:hAnsi="Verdana" w:cs="Verdana"/>
        </w:rPr>
        <w:t xml:space="preserve">, set in a framework about how this knowledge arises.  </w:t>
      </w:r>
    </w:p>
    <w:p w:rsidR="00FB0B24" w:rsidRPr="005B5CB6" w:rsidP="003255A4">
      <w:pPr>
        <w:numPr>
          <w:ilvl w:val="0"/>
          <w:numId w:val="51"/>
        </w:numPr>
        <w:spacing w:after="189" w:line="249" w:lineRule="auto"/>
        <w:ind w:left="467" w:right="676" w:hanging="466"/>
        <w:jc w:val="both"/>
        <w:rPr>
          <w:rFonts w:ascii="Verdana" w:hAnsi="Verdana"/>
        </w:rPr>
      </w:pPr>
      <w:r w:rsidRPr="005B5CB6">
        <w:rPr>
          <w:rFonts w:ascii="Verdana" w:eastAsia="Verdana" w:hAnsi="Verdana" w:cs="Verdana"/>
          <w:b/>
        </w:rPr>
        <w:t>Education for Digital Literacy:</w:t>
      </w:r>
      <w:r w:rsidRPr="005B5CB6">
        <w:rPr>
          <w:rFonts w:ascii="Verdana" w:eastAsia="Verdana" w:hAnsi="Verdana" w:cs="Verdana"/>
        </w:rPr>
        <w:t xml:space="preserve"> Confining the teaching of digital literacy to assemblies, outreach events or one-off days would not likely provide the adequate time and tools to work through how digital technology impacts on a young person’s engagement with it as a citizen. Instead, to ensure consistency across all schools, there should be a mandatory syllabus. This syllabus would include the body of knowledge for political and digital literacy. School subjects should aid pupils to understand themselves in a broader social context, such as citizens of a wider community, in order to instil a sense of belonging and civic identity as well as a civic responsibility. After all, you can’t look up how to be a good citizen on Wikipedia. So, the key question is what type of knowledge, independent of it being able to be looked up on Wikipedia, must a student be equipped with? Citizenship as a subject would be ideally placed to take on this task – though subjects such as English might usefully tackle visual literacy, online text, moving image and knowledge claims. </w:t>
      </w:r>
    </w:p>
    <w:p w:rsidR="00FB0B24" w:rsidRPr="005B5CB6" w:rsidP="003255A4">
      <w:pPr>
        <w:numPr>
          <w:ilvl w:val="0"/>
          <w:numId w:val="51"/>
        </w:numPr>
        <w:spacing w:after="5" w:line="249" w:lineRule="auto"/>
        <w:ind w:left="467" w:right="676" w:hanging="466"/>
        <w:jc w:val="both"/>
        <w:rPr>
          <w:rFonts w:ascii="Verdana" w:hAnsi="Verdana"/>
        </w:rPr>
      </w:pPr>
      <w:r w:rsidRPr="005B5CB6">
        <w:rPr>
          <w:rFonts w:ascii="Verdana" w:eastAsia="Verdana" w:hAnsi="Verdana" w:cs="Verdana"/>
        </w:rPr>
        <w:t xml:space="preserve">We would also argue, though there is not space to elaborate here, that just because we are talking about “digital” technology, this does not mean that we must only think in terms of “digital solutions”. Part of democratic breakdown and polarisation is because there is no genuine perception that one shares a common set of values and epistemic assumptions about the world with others. This is an irony of the digitally collected world, but it becomes clearer once we realise that digital technology continues to individuate us through greater personalisation and nudge effects. A civic year after leaving school might be one avenue to explore. Within schools and outside of them: our aim should be to produce not cosmopolitan </w:t>
      </w:r>
      <w:r w:rsidRPr="005B5CB6">
        <w:rPr>
          <w:rFonts w:ascii="Verdana" w:eastAsia="Verdana" w:hAnsi="Verdana" w:cs="Verdana"/>
          <w:i/>
        </w:rPr>
        <w:t>citizens of nowhere</w:t>
      </w:r>
      <w:r w:rsidRPr="005B5CB6">
        <w:rPr>
          <w:rFonts w:ascii="Verdana" w:eastAsia="Verdana" w:hAnsi="Verdana" w:cs="Verdana"/>
        </w:rPr>
        <w:t xml:space="preserve"> but citizens firmly rooted in their local society but who have international cultural literacy. </w:t>
      </w:r>
    </w:p>
    <w:p w:rsidR="00FB0B24" w:rsidRPr="005B5CB6" w:rsidP="003255A4">
      <w:pPr>
        <w:spacing w:after="179" w:line="250" w:lineRule="auto"/>
        <w:ind w:left="23" w:right="11" w:hanging="8"/>
        <w:jc w:val="both"/>
        <w:rPr>
          <w:rFonts w:ascii="Verdana" w:hAnsi="Verdana"/>
        </w:rPr>
      </w:pPr>
      <w:r w:rsidRPr="005B5CB6">
        <w:rPr>
          <w:rFonts w:ascii="Verdana" w:eastAsia="Verdana" w:hAnsi="Verdana" w:cs="Verdana"/>
        </w:rPr>
        <w:t xml:space="preserve">We need to enable a narrative identity that provides pupils with an understanding of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21996" name="Group 52199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522" name="Shape 63552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57" style="height:0.72pt;mso-position-horizontal-relative:char;mso-position-vertical-relative:line;width:2in" coordsize="18288,91">
                <v:shape id="_x0000_s115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3255A4">
      <w:pPr>
        <w:spacing w:after="188" w:line="250" w:lineRule="auto"/>
        <w:ind w:left="23" w:right="391" w:hanging="8"/>
        <w:jc w:val="both"/>
        <w:rPr>
          <w:rFonts w:ascii="Verdana" w:hAnsi="Verdana"/>
        </w:rPr>
      </w:pPr>
      <w:r w:rsidRPr="005B5CB6">
        <w:rPr>
          <w:rFonts w:ascii="Verdana" w:eastAsia="Verdana" w:hAnsi="Verdana" w:cs="Verdana"/>
        </w:rPr>
        <w:t xml:space="preserve">the core values of our culture and the things that we all have in common regardless of our idiosyncratic background.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 xml:space="preserve">Response to Questions 12-14 </w:t>
      </w:r>
      <w:r w:rsidRPr="005B5CB6">
        <w:rPr>
          <w:rFonts w:ascii="Verdana" w:eastAsia="Verdana" w:hAnsi="Verdana" w:cs="Verdana"/>
          <w:i/>
        </w:rPr>
        <w:t>(Harry T. Dyer)</w:t>
      </w:r>
      <w:r w:rsidRPr="005B5CB6">
        <w:rPr>
          <w:rFonts w:ascii="Verdana" w:eastAsia="Verdana" w:hAnsi="Verdana" w:cs="Verdana"/>
        </w:rPr>
        <w:t xml:space="preserve">  </w:t>
      </w:r>
    </w:p>
    <w:p w:rsidR="00FB0B24" w:rsidRPr="005B5CB6" w:rsidP="003255A4">
      <w:pPr>
        <w:spacing w:after="0"/>
        <w:jc w:val="both"/>
        <w:rPr>
          <w:rFonts w:ascii="Verdana" w:hAnsi="Verdana"/>
        </w:rPr>
      </w:pPr>
      <w:r w:rsidRPr="005B5CB6">
        <w:rPr>
          <w:rFonts w:ascii="Verdana" w:eastAsia="Verdana" w:hAnsi="Verdana" w:cs="Verdana"/>
          <w:b/>
        </w:rPr>
        <w:t xml:space="preserve"> </w:t>
      </w:r>
    </w:p>
    <w:p w:rsidR="00FB0B24" w:rsidRPr="005B5CB6" w:rsidP="003255A4">
      <w:pPr>
        <w:numPr>
          <w:ilvl w:val="0"/>
          <w:numId w:val="51"/>
        </w:numPr>
        <w:spacing w:after="5" w:line="249" w:lineRule="auto"/>
        <w:ind w:left="467" w:right="676" w:hanging="466"/>
        <w:jc w:val="both"/>
        <w:rPr>
          <w:rFonts w:ascii="Verdana" w:hAnsi="Verdana"/>
        </w:rPr>
      </w:pPr>
      <w:r w:rsidRPr="005B5CB6">
        <w:rPr>
          <w:rFonts w:ascii="Verdana" w:eastAsia="Verdana" w:hAnsi="Verdana" w:cs="Verdana"/>
        </w:rPr>
        <w:t xml:space="preserve">In its terms of reference, the consultation asks about technology and democratic engagement (questions 12-14). Digital technologies may open up exciting avenues for civil society groups, politicians and policymakers to engage with the public. What is missing from this consultation, however, is a consideration of how users create personal and unique experiences with, through, and within technology, grounded in their socio-cultural realities (Bar, Weber, &amp; Pisani 2016). As I show with examples, our interactions are in some way, guided, constrained, and shaped by the technology available for us to express ourselves through and with it. Any engagement proposed as a way of increasing democratic engagement should not ignore the socio-cultural resources of users. Rather, as Chaudry (2015) notes, users approach, utilise, and understand social media differently, as a result of the socio-cultural resources they bring with them when they approach social media. This provides a large challenge to many stakeholders; policymakers, platform designers, businesses, and my own field - educational practitioners. This is nonetheless a challenge that is all too often ignored as technology is thrown at a citizen or student as a catch-all panacea. Individual differences are side-lined or disregarded in the hope that merely introducing technology will be enough.  </w:t>
      </w:r>
    </w:p>
    <w:p w:rsidR="00FB0B24" w:rsidRPr="005B5CB6" w:rsidP="003255A4">
      <w:pPr>
        <w:spacing w:after="0"/>
        <w:ind w:left="2"/>
        <w:jc w:val="both"/>
        <w:rPr>
          <w:rFonts w:ascii="Verdana" w:hAnsi="Verdana"/>
        </w:rPr>
      </w:pPr>
      <w:r w:rsidRPr="005B5CB6">
        <w:rPr>
          <w:rFonts w:ascii="Verdana" w:eastAsia="Verdana" w:hAnsi="Verdana" w:cs="Verdana"/>
        </w:rPr>
        <w:t xml:space="preserve"> </w:t>
      </w:r>
    </w:p>
    <w:p w:rsidR="00FB0B24" w:rsidRPr="005B5CB6" w:rsidP="003255A4">
      <w:pPr>
        <w:numPr>
          <w:ilvl w:val="0"/>
          <w:numId w:val="51"/>
        </w:numPr>
        <w:spacing w:after="5" w:line="249" w:lineRule="auto"/>
        <w:ind w:left="467" w:right="676" w:hanging="466"/>
        <w:jc w:val="both"/>
        <w:rPr>
          <w:rFonts w:ascii="Verdana" w:hAnsi="Verdana"/>
        </w:rPr>
      </w:pPr>
      <w:r w:rsidRPr="005B5CB6">
        <w:rPr>
          <w:rFonts w:ascii="Verdana" w:eastAsia="Verdana" w:hAnsi="Verdana" w:cs="Verdana"/>
        </w:rPr>
        <w:t xml:space="preserve">My research in this area has highlighted that technology is shaping the way students understand and experience universities as social, academic, and physical spaces, but that this is mediated in many nuanced ways by socio-cultural and socioeconomic factors (Dyer 2019). I would urge careful consideration of any intervention that is stripped from a socio-cultural context and impacts. Any intervention must consider how socio-culturally grounded users and designed technologies enmesh. </w:t>
      </w:r>
    </w:p>
    <w:p w:rsidR="00FB0B24" w:rsidRPr="005B5CB6" w:rsidP="003255A4">
      <w:pPr>
        <w:spacing w:after="0"/>
        <w:ind w:left="2"/>
        <w:jc w:val="both"/>
        <w:rPr>
          <w:rFonts w:ascii="Verdana" w:hAnsi="Verdana"/>
        </w:rPr>
      </w:pPr>
      <w:r w:rsidRPr="005B5CB6">
        <w:rPr>
          <w:rFonts w:ascii="Verdana" w:eastAsia="Verdana" w:hAnsi="Verdana" w:cs="Verdana"/>
          <w:b/>
        </w:rPr>
        <w:t xml:space="preserve"> </w:t>
      </w:r>
    </w:p>
    <w:p w:rsidR="00FB0B24" w:rsidRPr="005B5CB6" w:rsidP="003255A4">
      <w:pPr>
        <w:numPr>
          <w:ilvl w:val="0"/>
          <w:numId w:val="51"/>
        </w:numPr>
        <w:spacing w:after="5" w:line="250" w:lineRule="auto"/>
        <w:ind w:left="467" w:right="676" w:hanging="466"/>
        <w:jc w:val="both"/>
        <w:rPr>
          <w:rFonts w:ascii="Verdana" w:hAnsi="Verdana"/>
        </w:rPr>
      </w:pPr>
      <w:r w:rsidRPr="005B5CB6">
        <w:rPr>
          <w:rFonts w:ascii="Verdana" w:eastAsia="Verdana" w:hAnsi="Verdana" w:cs="Verdana"/>
          <w:b/>
        </w:rPr>
        <w:t xml:space="preserve">Digital technology is not neutral; it exacerbates existing power hierarchies </w:t>
      </w:r>
    </w:p>
    <w:p w:rsidR="00FB0B24" w:rsidRPr="005B5CB6" w:rsidP="003255A4">
      <w:pPr>
        <w:spacing w:after="0"/>
        <w:ind w:left="2"/>
        <w:jc w:val="both"/>
        <w:rPr>
          <w:rFonts w:ascii="Verdana" w:hAnsi="Verdana"/>
        </w:rPr>
      </w:pPr>
      <w:r w:rsidRPr="005B5CB6">
        <w:rPr>
          <w:rFonts w:ascii="Verdana" w:eastAsia="Verdana" w:hAnsi="Verdana" w:cs="Verdana"/>
        </w:rPr>
        <w:t xml:space="preserve"> </w:t>
      </w:r>
    </w:p>
    <w:p w:rsidR="00FB0B24" w:rsidRPr="005B5CB6" w:rsidP="003255A4">
      <w:pPr>
        <w:numPr>
          <w:ilvl w:val="0"/>
          <w:numId w:val="51"/>
        </w:numPr>
        <w:spacing w:after="5" w:line="249" w:lineRule="auto"/>
        <w:ind w:left="467" w:right="676" w:hanging="466"/>
        <w:jc w:val="both"/>
        <w:rPr>
          <w:rFonts w:ascii="Verdana" w:hAnsi="Verdana"/>
        </w:rPr>
      </w:pPr>
      <w:r w:rsidRPr="005B5CB6">
        <w:rPr>
          <w:rFonts w:ascii="Verdana" w:eastAsia="Verdana" w:hAnsi="Verdana" w:cs="Verdana"/>
        </w:rPr>
        <w:t xml:space="preserve">In 1996, John Perry Barlow wrote and released his much-cited ‘Declaration of the Independence of Cyberspace’. The short but provocative work sets out what the internet is and how it should be understood by users and governments. In one particularly telling paragraph, Barlow declares the following statement: </w:t>
      </w:r>
    </w:p>
    <w:p w:rsidR="00FB0B24" w:rsidRPr="005B5CB6" w:rsidP="003255A4">
      <w:pPr>
        <w:spacing w:after="0"/>
        <w:ind w:left="722"/>
        <w:jc w:val="both"/>
        <w:rPr>
          <w:rFonts w:ascii="Verdana" w:hAnsi="Verdana"/>
        </w:rPr>
      </w:pPr>
      <w:r w:rsidRPr="005B5CB6">
        <w:rPr>
          <w:rFonts w:ascii="Verdana" w:eastAsia="Verdana" w:hAnsi="Verdana" w:cs="Verdana"/>
        </w:rPr>
        <w:t xml:space="preserve"> </w:t>
      </w:r>
    </w:p>
    <w:p w:rsidR="00FB0B24" w:rsidRPr="005B5CB6" w:rsidP="003255A4">
      <w:pPr>
        <w:spacing w:after="2" w:line="249" w:lineRule="auto"/>
        <w:ind w:left="722" w:right="677"/>
        <w:jc w:val="both"/>
        <w:rPr>
          <w:rFonts w:ascii="Verdana" w:hAnsi="Verdana"/>
        </w:rPr>
      </w:pPr>
      <w:r w:rsidRPr="005B5CB6">
        <w:rPr>
          <w:rFonts w:ascii="Verdana" w:eastAsia="Verdana" w:hAnsi="Verdana" w:cs="Verdana"/>
          <w:i/>
        </w:rPr>
        <w:t>We are creating a world that all may enter without privilege or prejudice accorded by race, economic power, military force, or station of birth</w:t>
      </w:r>
      <w:r w:rsidRPr="005B5CB6">
        <w:rPr>
          <w:rFonts w:ascii="Verdana" w:eastAsia="Verdana" w:hAnsi="Verdana" w:cs="Verdana"/>
        </w:rPr>
        <w:t xml:space="preserve"> (Barlow, 1996) </w:t>
      </w:r>
    </w:p>
    <w:p w:rsidR="00FB0B24" w:rsidRPr="005B5CB6" w:rsidP="003255A4">
      <w:pPr>
        <w:spacing w:after="0"/>
        <w:ind w:left="2"/>
        <w:jc w:val="both"/>
        <w:rPr>
          <w:rFonts w:ascii="Verdana" w:hAnsi="Verdana"/>
        </w:rPr>
      </w:pPr>
      <w:r w:rsidRPr="005B5CB6">
        <w:rPr>
          <w:rFonts w:ascii="Verdana" w:eastAsia="Verdana" w:hAnsi="Verdana" w:cs="Verdana"/>
        </w:rPr>
        <w:t xml:space="preserve"> </w:t>
      </w:r>
    </w:p>
    <w:p w:rsidR="00FB0B24" w:rsidRPr="005B5CB6" w:rsidP="003255A4">
      <w:pPr>
        <w:numPr>
          <w:ilvl w:val="0"/>
          <w:numId w:val="51"/>
        </w:numPr>
        <w:spacing w:after="150" w:line="249" w:lineRule="auto"/>
        <w:ind w:left="467" w:right="676" w:hanging="466"/>
        <w:jc w:val="both"/>
        <w:rPr>
          <w:rFonts w:ascii="Verdana" w:hAnsi="Verdana"/>
        </w:rPr>
      </w:pPr>
      <w:r w:rsidRPr="005B5CB6">
        <w:rPr>
          <w:rFonts w:ascii="Verdana" w:eastAsia="Verdana" w:hAnsi="Verdana" w:cs="Verdana"/>
        </w:rPr>
        <w:t xml:space="preserve">Though admirable and understandable as a position, it is clear the internet cannot be viewed this way. It is apparent that socio-cultural and socio-economic resources shape how we use and experience technology. In this style, it is worth reflecting upon Melvin Kranzberg’s (1986) first law of technology: ‘technology is neither good, nor bad, nor is it neutral’. Though this may seem purposefully obfuscated, Kranzberg does frame his work as a nuanced look beyond ‘technological determinism’ - the idea that technology shapes our experiences in a one-way manner. Instead, Kranzberg’s aim was to consider how technology is experienced differently by users across sociocultural divides: </w:t>
      </w:r>
    </w:p>
    <w:p w:rsidR="00FB0B24" w:rsidRPr="005B5CB6" w:rsidP="003255A4">
      <w:pPr>
        <w:spacing w:after="151" w:line="249" w:lineRule="auto"/>
        <w:ind w:left="721" w:right="677"/>
        <w:jc w:val="both"/>
        <w:rPr>
          <w:rFonts w:ascii="Verdana" w:hAnsi="Verdana"/>
        </w:rPr>
      </w:pPr>
      <w:r w:rsidRPr="005B5CB6">
        <w:rPr>
          <w:rFonts w:ascii="Verdana" w:eastAsia="Verdana" w:hAnsi="Verdana" w:cs="Verdana"/>
          <w:i/>
        </w:rPr>
        <w:t>Technology's interaction with the social ecology is such that technical developments frequently have environmental, social, and human consequences that go far beyond the immediate purposes of the technical devices and practices themselves, and the same technology can have quite different results when introduced into different contexts or under different circumstances</w:t>
      </w:r>
      <w:r w:rsidRPr="005B5CB6">
        <w:rPr>
          <w:rFonts w:ascii="Verdana" w:eastAsia="Verdana" w:hAnsi="Verdana" w:cs="Verdana"/>
        </w:rPr>
        <w:t xml:space="preserve"> (Kranzberg 1986, 545-546) </w:t>
      </w:r>
    </w:p>
    <w:p w:rsidR="00FB0B24" w:rsidRPr="005B5CB6" w:rsidP="003255A4">
      <w:pPr>
        <w:numPr>
          <w:ilvl w:val="0"/>
          <w:numId w:val="51"/>
        </w:numPr>
        <w:spacing w:after="150" w:line="249" w:lineRule="auto"/>
        <w:ind w:left="467" w:right="676" w:hanging="466"/>
        <w:jc w:val="both"/>
        <w:rPr>
          <w:rFonts w:ascii="Verdana" w:hAnsi="Verdana"/>
        </w:rPr>
      </w:pPr>
      <w:r w:rsidRPr="005B5CB6">
        <w:rPr>
          <w:rFonts w:ascii="Verdana" w:eastAsia="Verdana" w:hAnsi="Verdana" w:cs="Verdana"/>
        </w:rPr>
        <w:t xml:space="preserve">Written in 1986, Kranzberg nonetheless foresaw the need to consider the way technology is experienced within socio-cultural and socio-economic contexts. Today, such divides are being seen in real-time, with emerging technologies such as the Internet of things (IoT) being experienced differently across socio-economic divides (van der Zeeuw, van Deursen, &amp; Jansen 2019). Van Deursen &amp; Mossberger (2018, 122) note that the “comparative advantages of the IoT to people will vary based on differentiated skills and resources, enabling smaller groups of people to benefit, and disadvantaging others in new ways”. Whilst technology may be shaping all of our collective experiences, as Wajcman &amp; Dodd (2017, 3) aptly note, the “powerful are fast, the powerless are slow”.  </w:t>
      </w:r>
    </w:p>
    <w:p w:rsidR="00FB0B24" w:rsidRPr="005B5CB6" w:rsidP="003255A4">
      <w:pPr>
        <w:numPr>
          <w:ilvl w:val="0"/>
          <w:numId w:val="51"/>
        </w:numPr>
        <w:spacing w:after="146" w:line="250" w:lineRule="auto"/>
        <w:ind w:left="467" w:right="676" w:hanging="466"/>
        <w:jc w:val="both"/>
        <w:rPr>
          <w:rFonts w:ascii="Verdana" w:hAnsi="Verdana"/>
        </w:rPr>
      </w:pPr>
      <w:r w:rsidRPr="005B5CB6">
        <w:rPr>
          <w:rFonts w:ascii="Verdana" w:eastAsia="Verdana" w:hAnsi="Verdana" w:cs="Verdana"/>
          <w:b/>
        </w:rPr>
        <w:t xml:space="preserve">Socio-technical Inequality  </w:t>
      </w:r>
    </w:p>
    <w:p w:rsidR="00FB0B24" w:rsidRPr="005B5CB6" w:rsidP="003255A4">
      <w:pPr>
        <w:numPr>
          <w:ilvl w:val="0"/>
          <w:numId w:val="51"/>
        </w:numPr>
        <w:spacing w:after="151" w:line="249" w:lineRule="auto"/>
        <w:ind w:left="467" w:right="676" w:hanging="466"/>
        <w:jc w:val="both"/>
        <w:rPr>
          <w:rFonts w:ascii="Verdana" w:hAnsi="Verdana"/>
        </w:rPr>
      </w:pPr>
      <w:r w:rsidRPr="005B5CB6">
        <w:rPr>
          <w:rFonts w:ascii="Verdana" w:eastAsia="Verdana" w:hAnsi="Verdana" w:cs="Verdana"/>
        </w:rPr>
        <w:t xml:space="preserve">Importantly, even seemingly inconsequential technological systems are not devoid of impacting different communities differently and are not created in a vacuum separated from socio-cultural reality. Instead, these technologies have exacerbated extant social disparities in both intended and unintended ways. This point is made by Safiya Umoja Noble (2018, 1) in her recent book ‘Algorithms of Oppression’, the introduction of which notes that “on the Internet and in our </w:t>
      </w:r>
      <w:r w:rsidRPr="005B5CB6">
        <w:rPr>
          <w:rFonts w:ascii="Verdana" w:eastAsia="Verdana" w:hAnsi="Verdana" w:cs="Verdana"/>
        </w:rPr>
        <w:t xml:space="preserve">everyday uses of technology, discrimination is also embedded in computer code and, increasingly, in artificial intelligence technologies that we are reliant on, by choice or not”. Noble provides detailed examples of how search engines extend and exacerbate bias around the presentation of gender and race, effectively privileging whiteness. Similar trends have been noted by a number of researchers. Patton et al. (2017, 3) point to the website ‘Geofeedia’, a location-based social platforms which pinpoint hotspots of expected crime and trouble that these platforms: </w:t>
      </w:r>
    </w:p>
    <w:p w:rsidR="00FB0B24" w:rsidRPr="005B5CB6" w:rsidP="003255A4">
      <w:pPr>
        <w:spacing w:after="151" w:line="249" w:lineRule="auto"/>
        <w:ind w:left="721" w:right="1392"/>
        <w:jc w:val="both"/>
        <w:rPr>
          <w:rFonts w:ascii="Verdana" w:hAnsi="Verdana"/>
        </w:rPr>
      </w:pPr>
      <w:r w:rsidRPr="005B5CB6">
        <w:rPr>
          <w:rFonts w:ascii="Verdana" w:eastAsia="Verdana" w:hAnsi="Verdana" w:cs="Verdana"/>
          <w:i/>
        </w:rPr>
        <w:t xml:space="preserve">exclude communities of color and by so doing turns the technological gaze on them...If communities of color are socially constructed as problematic sites, then this is where the technological gaze goes, in anticipation of a problem—the social controls morphing into punitive cognitive controls </w:t>
      </w:r>
    </w:p>
    <w:p w:rsidR="00FB0B24" w:rsidRPr="005B5CB6" w:rsidP="003255A4">
      <w:pPr>
        <w:numPr>
          <w:ilvl w:val="0"/>
          <w:numId w:val="51"/>
        </w:numPr>
        <w:spacing w:after="150" w:line="249" w:lineRule="auto"/>
        <w:ind w:left="467" w:right="676" w:hanging="466"/>
        <w:jc w:val="both"/>
        <w:rPr>
          <w:rFonts w:ascii="Verdana" w:hAnsi="Verdana"/>
        </w:rPr>
      </w:pPr>
      <w:r w:rsidRPr="005B5CB6">
        <w:rPr>
          <w:rFonts w:ascii="Verdana" w:eastAsia="Verdana" w:hAnsi="Verdana" w:cs="Verdana"/>
        </w:rPr>
        <w:t xml:space="preserve">These new ways of experiencing, augmenting, and understanding social interaction are rife with their own socio-cultural biases which subsequently mean that not every user experiences these interactions nor relates to these technologies in the same manner. Cases have been documented, for example, of the systemic racial inequalities that manifest themselves when people of colour (PoC) attempt to play Pokemon Go. In white neighbourhoods, PoC are treated as if they are acting suspiciously (Crockett, 2016), In predominantly PoC neighbourhoods, Pokemon Go has been noted to have a lack of in-game resources like PokeStops and Gyms compared to white neighbourhoods (Akhtar 2016). Others still have found ridesharing apps like Uber discriminate against women and PoC (Ge, Knittel, MacKenzie, &amp; Zoepf 2016). In this manner, technology exacerbates and creates manifestations of extant socio-cultural divides, emphasising some voices and ways of being social and minimizing others. Added to other socio-economic inequalities around access to technology and data, these technologies become enmeshed into complex sociotechnical assemblages which can present new social dynamics and exacerbate extant issues. As such, any ‘solutions’ to digital engagement should not be presented in a way that is blind to which voices might be emphasised and minimised by any intervention, nor to which voices are currently being emphasised and minimised in the democratic process.   </w:t>
      </w:r>
    </w:p>
    <w:p w:rsidR="00FB0B24" w:rsidRPr="005B5CB6" w:rsidP="003255A4">
      <w:pPr>
        <w:spacing w:after="0"/>
        <w:ind w:left="1"/>
        <w:jc w:val="both"/>
        <w:rPr>
          <w:rFonts w:ascii="Verdana" w:hAnsi="Verdana"/>
        </w:rPr>
      </w:pPr>
      <w:r w:rsidRPr="005B5CB6">
        <w:rPr>
          <w:rFonts w:ascii="Verdana" w:eastAsia="Verdana" w:hAnsi="Verdana" w:cs="Verdana"/>
          <w:b/>
        </w:rPr>
        <w:t xml:space="preserve"> </w:t>
      </w:r>
    </w:p>
    <w:p w:rsidR="00FB0B24" w:rsidRPr="005B5CB6" w:rsidP="003255A4">
      <w:pPr>
        <w:spacing w:after="124" w:line="250" w:lineRule="auto"/>
        <w:ind w:left="11" w:hanging="10"/>
        <w:jc w:val="both"/>
        <w:rPr>
          <w:rFonts w:ascii="Verdana" w:hAnsi="Verdana"/>
        </w:rPr>
      </w:pPr>
      <w:r w:rsidRPr="005B5CB6">
        <w:rPr>
          <w:rFonts w:ascii="Verdana" w:eastAsia="Verdana" w:hAnsi="Verdana" w:cs="Verdana"/>
          <w:b/>
        </w:rPr>
        <w:t xml:space="preserve">References </w:t>
      </w:r>
    </w:p>
    <w:p w:rsidR="00FB0B24" w:rsidRPr="005B5CB6" w:rsidP="003255A4">
      <w:pPr>
        <w:spacing w:after="71" w:line="249" w:lineRule="auto"/>
        <w:ind w:left="706" w:hanging="720"/>
        <w:jc w:val="both"/>
        <w:rPr>
          <w:rFonts w:ascii="Verdana" w:hAnsi="Verdana"/>
        </w:rPr>
      </w:pPr>
      <w:r w:rsidRPr="005B5CB6">
        <w:rPr>
          <w:rFonts w:ascii="Verdana" w:eastAsia="Verdana" w:hAnsi="Verdana" w:cs="Verdana"/>
        </w:rPr>
        <w:t xml:space="preserve">Akhtar, A (2016). Is Pokémon Go racist? How the app may be redlining communities of color. USAToday, August 2016. Accessed 08/2019: </w:t>
      </w:r>
      <w:r>
        <w:fldChar w:fldCharType="begin"/>
      </w:r>
      <w:r>
        <w:instrText xml:space="preserve"> HYPERLINK "https://www.usatoday.com/story/tech/news/2016/08/09/pokemon-go-racist-app-redlining-communities-color-racist-pokestops-gyms/87732734/" </w:instrText>
      </w:r>
      <w:r>
        <w:fldChar w:fldCharType="separate"/>
      </w:r>
      <w:r w:rsidRPr="005B5CB6">
        <w:rPr>
          <w:rFonts w:ascii="Verdana" w:eastAsia="Verdana" w:hAnsi="Verdana" w:cs="Verdana"/>
          <w:u w:val="single" w:color="000000"/>
        </w:rPr>
        <w:t>https://www.usatoday.com/story/tech/news/2016/08/09/pokemon-go-racist-app-redlining</w:t>
      </w:r>
      <w:r>
        <w:fldChar w:fldCharType="end"/>
      </w:r>
      <w:r>
        <w:fldChar w:fldCharType="begin"/>
      </w:r>
      <w:r>
        <w:instrText xml:space="preserve"> HYPERLINK "https://www.usatoday.com/story/tech/news/2016/08/09/pokemon-go-racist-app-redlining-communities-color-racist-pokestops-gyms/87732734/" </w:instrText>
      </w:r>
      <w:r>
        <w:fldChar w:fldCharType="separate"/>
      </w:r>
      <w:r w:rsidRPr="005B5CB6">
        <w:rPr>
          <w:rFonts w:ascii="Verdana" w:eastAsia="Verdana" w:hAnsi="Verdana" w:cs="Verdana"/>
          <w:u w:val="single" w:color="000000"/>
        </w:rPr>
        <w:t>communities-color-racist-pokestops-gyms/87732734/</w:t>
      </w:r>
      <w:r>
        <w:fldChar w:fldCharType="end"/>
      </w:r>
      <w:r>
        <w:fldChar w:fldCharType="begin"/>
      </w:r>
      <w:r>
        <w:instrText xml:space="preserve"> HYPERLINK "https://www.usatoday.com/story/tech/news/2016/08/09/pokemon-go-racist-app-redlining-communities-color-racist-pokestops-gyms/87732734/" </w:instrText>
      </w:r>
      <w:r>
        <w:fldChar w:fldCharType="separate"/>
      </w:r>
      <w:r w:rsidRPr="005B5CB6">
        <w:rPr>
          <w:rFonts w:ascii="Verdana" w:eastAsia="Verdana" w:hAnsi="Verdana" w:cs="Verdana"/>
        </w:rPr>
        <w:t xml:space="preserve"> </w:t>
      </w:r>
      <w:r>
        <w:fldChar w:fldCharType="end"/>
      </w:r>
    </w:p>
    <w:p w:rsidR="00FB0B24" w:rsidRPr="005B5CB6" w:rsidP="003255A4">
      <w:pPr>
        <w:spacing w:after="72" w:line="249" w:lineRule="auto"/>
        <w:ind w:left="708" w:hanging="720"/>
        <w:jc w:val="both"/>
        <w:rPr>
          <w:rFonts w:ascii="Verdana" w:hAnsi="Verdana"/>
        </w:rPr>
      </w:pPr>
      <w:r w:rsidRPr="005B5CB6">
        <w:rPr>
          <w:rFonts w:ascii="Verdana" w:eastAsia="Verdana" w:hAnsi="Verdana" w:cs="Verdana"/>
        </w:rPr>
        <w:t xml:space="preserve">Bar, F., Weber, M. S., &amp; Pisani, F. (2016). Mobile technology appropriation in a distant mirror: Baroquization, creolization, and cannibalism. New Media &amp; Society 18(4), 617–636 </w:t>
      </w:r>
    </w:p>
    <w:p w:rsidR="00FB0B24" w:rsidRPr="005B5CB6" w:rsidP="003255A4">
      <w:pPr>
        <w:spacing w:after="72" w:line="249" w:lineRule="auto"/>
        <w:ind w:left="708" w:hanging="720"/>
        <w:jc w:val="both"/>
        <w:rPr>
          <w:rFonts w:ascii="Verdana" w:hAnsi="Verdana"/>
        </w:rPr>
      </w:pPr>
      <w:r w:rsidRPr="005B5CB6">
        <w:rPr>
          <w:rFonts w:ascii="Verdana" w:eastAsia="Verdana" w:hAnsi="Verdana" w:cs="Verdana"/>
        </w:rPr>
        <w:t xml:space="preserve">Barlow, J. P. (1996) A Declaration of the Independence of Cyberspace. Eff.org, Access 08/2019: </w:t>
      </w:r>
      <w:r>
        <w:fldChar w:fldCharType="begin"/>
      </w:r>
      <w:r>
        <w:instrText xml:space="preserve"> HYPERLINK "http://www.eff.org/cyberspace-independence" </w:instrText>
      </w:r>
      <w:r>
        <w:fldChar w:fldCharType="separate"/>
      </w:r>
      <w:r w:rsidRPr="005B5CB6">
        <w:rPr>
          <w:rFonts w:ascii="Verdana" w:eastAsia="Verdana" w:hAnsi="Verdana" w:cs="Verdana"/>
          <w:u w:val="single" w:color="000000"/>
        </w:rPr>
        <w:t>www.eff.org/cyberspace</w:t>
      </w:r>
      <w:r>
        <w:fldChar w:fldCharType="end"/>
      </w:r>
      <w:r>
        <w:fldChar w:fldCharType="begin"/>
      </w:r>
      <w:r>
        <w:instrText xml:space="preserve"> HYPERLINK "http://www.eff.org/cyberspace-independence" </w:instrText>
      </w:r>
      <w:r>
        <w:fldChar w:fldCharType="separate"/>
      </w:r>
      <w:r w:rsidRPr="005B5CB6">
        <w:rPr>
          <w:rFonts w:ascii="Verdana" w:eastAsia="Verdana" w:hAnsi="Verdana" w:cs="Verdana"/>
          <w:u w:val="single" w:color="000000"/>
        </w:rPr>
        <w:t>independence</w:t>
      </w:r>
      <w:r>
        <w:fldChar w:fldCharType="end"/>
      </w:r>
      <w:r>
        <w:fldChar w:fldCharType="begin"/>
      </w:r>
      <w:r>
        <w:instrText xml:space="preserve"> HYPERLINK "http://www.eff.org/cyberspace-independence" </w:instrText>
      </w:r>
      <w:r>
        <w:fldChar w:fldCharType="separate"/>
      </w:r>
      <w:r w:rsidRPr="005B5CB6">
        <w:rPr>
          <w:rFonts w:ascii="Verdana" w:eastAsia="Verdana" w:hAnsi="Verdana" w:cs="Verdana"/>
        </w:rPr>
        <w:t xml:space="preserve"> </w:t>
      </w:r>
      <w:r>
        <w:fldChar w:fldCharType="end"/>
      </w:r>
    </w:p>
    <w:p w:rsidR="00FB0B24" w:rsidRPr="005B5CB6" w:rsidP="003255A4">
      <w:pPr>
        <w:spacing w:after="72" w:line="249" w:lineRule="auto"/>
        <w:ind w:left="-2" w:hanging="10"/>
        <w:jc w:val="both"/>
        <w:rPr>
          <w:rFonts w:ascii="Verdana" w:hAnsi="Verdana"/>
        </w:rPr>
      </w:pPr>
      <w:r w:rsidRPr="005B5CB6">
        <w:rPr>
          <w:rFonts w:ascii="Verdana" w:eastAsia="Verdana" w:hAnsi="Verdana" w:cs="Verdana"/>
        </w:rPr>
        <w:t xml:space="preserve">Craske, J. (2019). English Reform from Whitehall to the Classroom: Reform, resistance, reality (doctoral thesis).  </w:t>
      </w:r>
    </w:p>
    <w:p w:rsidR="00FB0B24" w:rsidRPr="005B5CB6" w:rsidP="003255A4">
      <w:pPr>
        <w:spacing w:after="4" w:line="249" w:lineRule="auto"/>
        <w:ind w:left="-2" w:hanging="10"/>
        <w:jc w:val="both"/>
        <w:rPr>
          <w:rFonts w:ascii="Verdana" w:hAnsi="Verdana"/>
        </w:rPr>
      </w:pPr>
      <w:r w:rsidRPr="005B5CB6">
        <w:rPr>
          <w:rFonts w:ascii="Verdana" w:eastAsia="Verdana" w:hAnsi="Verdana" w:cs="Verdana"/>
        </w:rPr>
        <w:t xml:space="preserve">Crick, B. (1998). Education for Citizenship and the Teaching of Democracy in Schools, Final Report of the Advisory Group on </w:t>
      </w:r>
    </w:p>
    <w:p w:rsidR="00FB0B24" w:rsidRPr="005B5CB6" w:rsidP="003255A4">
      <w:pPr>
        <w:spacing w:after="71" w:line="249" w:lineRule="auto"/>
        <w:ind w:left="731" w:hanging="10"/>
        <w:jc w:val="both"/>
        <w:rPr>
          <w:rFonts w:ascii="Verdana" w:hAnsi="Verdana"/>
        </w:rPr>
      </w:pPr>
      <w:r w:rsidRPr="005B5CB6">
        <w:rPr>
          <w:rFonts w:ascii="Verdana" w:eastAsia="Verdana" w:hAnsi="Verdana" w:cs="Verdana"/>
        </w:rPr>
        <w:t>Citizenship. September 1998. Available:</w:t>
      </w:r>
      <w:r>
        <w:fldChar w:fldCharType="begin"/>
      </w:r>
      <w:r>
        <w:instrText xml:space="preserve"> HYPERLINK "https://dera.ioe.ac.uk/4385/1/crickreport1998.pdf"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"https://dera.ioe.ac.uk/4385/1/crickreport1998.pdf" </w:instrText>
      </w:r>
      <w:r>
        <w:fldChar w:fldCharType="separate"/>
      </w:r>
      <w:r w:rsidRPr="005B5CB6">
        <w:rPr>
          <w:rFonts w:ascii="Verdana" w:eastAsia="Verdana" w:hAnsi="Verdana" w:cs="Verdana"/>
          <w:u w:val="single" w:color="000000"/>
        </w:rPr>
        <w:t>https://dera.ioe.ac.uk/4385/1/crickreport1998.pdf</w:t>
      </w:r>
      <w:r>
        <w:fldChar w:fldCharType="end"/>
      </w:r>
      <w:r>
        <w:fldChar w:fldCharType="begin"/>
      </w:r>
      <w:r>
        <w:instrText xml:space="preserve"> HYPERLINK "https://dera.ioe.ac.uk/4385/1/crickreport1998.pdf"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p>
    <w:p w:rsidR="00FB0B24" w:rsidRPr="005B5CB6" w:rsidP="003255A4">
      <w:pPr>
        <w:spacing w:after="4" w:line="249" w:lineRule="auto"/>
        <w:ind w:left="-2" w:hanging="10"/>
        <w:jc w:val="both"/>
        <w:rPr>
          <w:rFonts w:ascii="Verdana" w:hAnsi="Verdana"/>
        </w:rPr>
      </w:pPr>
      <w:r w:rsidRPr="005B5CB6">
        <w:rPr>
          <w:rFonts w:ascii="Verdana" w:eastAsia="Verdana" w:hAnsi="Verdana" w:cs="Verdana"/>
        </w:rPr>
        <w:t xml:space="preserve">Crockett, E. (2016) Pokemon Go is augmented reality. Too bad reality is still racist. VOX.com, July 2016. Accessed </w:t>
      </w:r>
    </w:p>
    <w:p w:rsidR="00FB0B24" w:rsidRPr="005B5CB6" w:rsidP="003255A4">
      <w:pPr>
        <w:spacing w:after="71" w:line="249" w:lineRule="auto"/>
        <w:ind w:left="731" w:hanging="10"/>
        <w:jc w:val="both"/>
        <w:rPr>
          <w:rFonts w:ascii="Verdana" w:hAnsi="Verdana"/>
        </w:rPr>
      </w:pPr>
      <w:r w:rsidRPr="005B5CB6">
        <w:rPr>
          <w:rFonts w:ascii="Verdana" w:eastAsia="Verdana" w:hAnsi="Verdana" w:cs="Verdana"/>
        </w:rPr>
        <w:t>08/2019:</w:t>
      </w:r>
      <w:r>
        <w:fldChar w:fldCharType="begin"/>
      </w:r>
      <w:r>
        <w:instrText xml:space="preserve"> HYPERLINK "https://www.vox.com/2016/7/11/12149664/pokemon-go-augmented-reality-racist"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"https://www.vox.com/2016/7/11/12149664/pokemon-go-augmented-reality-racist" </w:instrText>
      </w:r>
      <w:r>
        <w:fldChar w:fldCharType="separate"/>
      </w:r>
      <w:r w:rsidRPr="005B5CB6">
        <w:rPr>
          <w:rFonts w:ascii="Verdana" w:eastAsia="Verdana" w:hAnsi="Verdana" w:cs="Verdana"/>
          <w:u w:val="single" w:color="000000"/>
        </w:rPr>
        <w:t>https://www.vox.com/2016/7/11/12149664/pokemon-go-augmented-reality-racist</w:t>
      </w:r>
      <w:r>
        <w:fldChar w:fldCharType="end"/>
      </w:r>
      <w:r>
        <w:fldChar w:fldCharType="begin"/>
      </w:r>
      <w:r>
        <w:instrText xml:space="preserve"> HYPERLINK "https://www.vox.com/2016/7/11/12149664/pokemon-go-augmented-reality-racist" </w:instrText>
      </w:r>
      <w:r>
        <w:fldChar w:fldCharType="separate"/>
      </w:r>
      <w:r w:rsidRPr="005B5CB6">
        <w:rPr>
          <w:rFonts w:ascii="Verdana" w:eastAsia="Verdana" w:hAnsi="Verdana" w:cs="Verdana"/>
        </w:rPr>
        <w:t xml:space="preserve"> </w:t>
      </w:r>
      <w:r>
        <w:fldChar w:fldCharType="end"/>
      </w:r>
    </w:p>
    <w:p w:rsidR="00FB0B24" w:rsidRPr="005B5CB6" w:rsidP="003255A4">
      <w:pPr>
        <w:spacing w:after="75" w:line="249" w:lineRule="auto"/>
        <w:ind w:left="708" w:hanging="720"/>
        <w:jc w:val="both"/>
        <w:rPr>
          <w:rFonts w:ascii="Verdana" w:hAnsi="Verdana"/>
        </w:rPr>
      </w:pPr>
      <w:r w:rsidRPr="005B5CB6">
        <w:rPr>
          <w:rFonts w:ascii="Verdana" w:eastAsia="Verdana" w:hAnsi="Verdana" w:cs="Verdana"/>
        </w:rPr>
        <w:t xml:space="preserve">Dyer, H. (2019). The role of technology in shaping student identity during transitions to university: How technology is affecting the way students experience and conceptualise of university as a social, academic, and physical space. In L. P. Rajendran &amp; N. D. Odeleye (eds). Emerging Identities in the Futures of Place: Mediated Practices and Spatial Cultures. London: Springer Publishing </w:t>
      </w:r>
    </w:p>
    <w:p w:rsidR="00FB0B24" w:rsidRPr="005B5CB6" w:rsidP="003255A4">
      <w:pPr>
        <w:spacing w:after="72" w:line="249" w:lineRule="auto"/>
        <w:ind w:left="708" w:hanging="720"/>
        <w:jc w:val="both"/>
        <w:rPr>
          <w:rFonts w:ascii="Verdana" w:hAnsi="Verdana"/>
        </w:rPr>
      </w:pPr>
      <w:r w:rsidRPr="005B5CB6">
        <w:rPr>
          <w:rFonts w:ascii="Verdana" w:eastAsia="Verdana" w:hAnsi="Verdana" w:cs="Verdana"/>
        </w:rPr>
        <w:t xml:space="preserve">Ge, Y., Knittel, C. R., MacKenzie, D., &amp; Zoepf, S. (2016). Racial and gender discrimination in transportation network companies (No. w22776). National Bureau of Economic Research. </w:t>
      </w:r>
    </w:p>
    <w:p w:rsidR="00FB0B24" w:rsidRPr="005B5CB6" w:rsidP="003255A4">
      <w:pPr>
        <w:spacing w:after="72" w:line="249" w:lineRule="auto"/>
        <w:ind w:left="-2" w:hanging="10"/>
        <w:jc w:val="both"/>
        <w:rPr>
          <w:rFonts w:ascii="Verdana" w:hAnsi="Verdana"/>
        </w:rPr>
      </w:pPr>
      <w:r w:rsidRPr="005B5CB6">
        <w:rPr>
          <w:rFonts w:ascii="Verdana" w:eastAsia="Verdana" w:hAnsi="Verdana" w:cs="Verdana"/>
        </w:rPr>
        <w:t xml:space="preserve">Kranzberg, M. (1986) Technology and History: ‘Kranzberg’s Laws’. Technology &amp; Culture 27(3) 544-560 </w:t>
      </w:r>
    </w:p>
    <w:p w:rsidR="00FB0B24" w:rsidRPr="005B5CB6" w:rsidP="003255A4">
      <w:pPr>
        <w:spacing w:after="69" w:line="249" w:lineRule="auto"/>
        <w:ind w:left="-2" w:hanging="10"/>
        <w:jc w:val="both"/>
        <w:rPr>
          <w:rFonts w:ascii="Verdana" w:hAnsi="Verdana"/>
        </w:rPr>
      </w:pPr>
      <w:r w:rsidRPr="005B5CB6">
        <w:rPr>
          <w:rFonts w:ascii="Verdana" w:eastAsia="Verdana" w:hAnsi="Verdana" w:cs="Verdana"/>
        </w:rPr>
        <w:t xml:space="preserve">Noble, S. U (2018) Algorithms of Oppression: How Search Engines Reinforce Racism. New York: New York University Press </w:t>
      </w:r>
    </w:p>
    <w:p w:rsidR="00FB0B24" w:rsidRPr="005B5CB6" w:rsidP="003255A4">
      <w:pPr>
        <w:spacing w:after="66" w:line="249" w:lineRule="auto"/>
        <w:ind w:left="708" w:hanging="720"/>
        <w:jc w:val="both"/>
        <w:rPr>
          <w:rFonts w:ascii="Verdana" w:hAnsi="Verdana"/>
        </w:rPr>
      </w:pPr>
      <w:r w:rsidRPr="005B5CB6">
        <w:rPr>
          <w:rFonts w:ascii="Verdana" w:eastAsia="Verdana" w:hAnsi="Verdana" w:cs="Verdana"/>
        </w:rPr>
        <w:t xml:space="preserve">Patton, D. U., Brunton, D. W., Dixon, A., Miller, R. J., Leonard, P., &amp; Hackman, R. (2017). Stop and frisk online: theorizing everyday racism in digital policing in the use of social media for identification of criminal conduct and associations. Social Media+ Society, July-September 2017: 1-10 </w:t>
      </w:r>
    </w:p>
    <w:p w:rsidR="00FB0B24" w:rsidRPr="005B5CB6" w:rsidP="003255A4">
      <w:pPr>
        <w:spacing w:after="87" w:line="249" w:lineRule="auto"/>
        <w:ind w:left="-2" w:hanging="10"/>
        <w:jc w:val="both"/>
        <w:rPr>
          <w:rFonts w:ascii="Verdana" w:hAnsi="Verdana"/>
        </w:rPr>
      </w:pPr>
      <w:r w:rsidRPr="005B5CB6">
        <w:rPr>
          <w:rFonts w:ascii="Verdana" w:eastAsia="Verdana" w:hAnsi="Verdana" w:cs="Verdana"/>
        </w:rPr>
        <w:t>Lanchester, J. (2017) You are the Product, London Review of Books, 39 (16), 3-10. 17</w:t>
      </w:r>
      <w:r w:rsidRPr="005B5CB6">
        <w:rPr>
          <w:rFonts w:ascii="Verdana" w:eastAsia="Verdana" w:hAnsi="Verdana" w:cs="Verdana"/>
          <w:vertAlign w:val="superscript"/>
        </w:rPr>
        <w:t>th</w:t>
      </w:r>
      <w:r w:rsidRPr="005B5CB6">
        <w:rPr>
          <w:rFonts w:ascii="Verdana" w:eastAsia="Verdana" w:hAnsi="Verdana" w:cs="Verdana"/>
        </w:rPr>
        <w:t xml:space="preserve"> August. </w:t>
      </w:r>
    </w:p>
    <w:p w:rsidR="00FB0B24" w:rsidRPr="005B5CB6" w:rsidP="003255A4">
      <w:pPr>
        <w:spacing w:after="62" w:line="249" w:lineRule="auto"/>
        <w:ind w:left="708" w:hanging="720"/>
        <w:jc w:val="both"/>
        <w:rPr>
          <w:rFonts w:ascii="Verdana" w:hAnsi="Verdana"/>
        </w:rPr>
      </w:pPr>
      <w:r w:rsidRPr="005B5CB6">
        <w:rPr>
          <w:rFonts w:ascii="Verdana" w:eastAsia="Verdana" w:hAnsi="Verdana" w:cs="Verdana"/>
        </w:rPr>
        <w:t>Loschmann, J. (2019) The Commons in the 21</w:t>
      </w:r>
      <w:r w:rsidRPr="005B5CB6">
        <w:rPr>
          <w:rFonts w:ascii="Verdana" w:eastAsia="Verdana" w:hAnsi="Verdana" w:cs="Verdana"/>
          <w:vertAlign w:val="superscript"/>
        </w:rPr>
        <w:t>st</w:t>
      </w:r>
      <w:r w:rsidRPr="005B5CB6">
        <w:rPr>
          <w:rFonts w:ascii="Verdana" w:eastAsia="Verdana" w:hAnsi="Verdana" w:cs="Verdana"/>
        </w:rPr>
        <w:t xml:space="preserve"> Century: Investigating the commons as a tool for economic demoncracy (doctoral thesis) </w:t>
      </w:r>
    </w:p>
    <w:p w:rsidR="00FB0B24" w:rsidRPr="005B5CB6" w:rsidP="003255A4">
      <w:pPr>
        <w:spacing w:after="90" w:line="249" w:lineRule="auto"/>
        <w:ind w:left="-2" w:hanging="10"/>
        <w:jc w:val="both"/>
        <w:rPr>
          <w:rFonts w:ascii="Verdana" w:hAnsi="Verdana"/>
        </w:rPr>
      </w:pPr>
      <w:r w:rsidRPr="005B5CB6">
        <w:rPr>
          <w:rFonts w:ascii="Verdana" w:eastAsia="Verdana" w:hAnsi="Verdana" w:cs="Verdana"/>
        </w:rPr>
        <w:t>Siqqique, H. (2017) Teach Schoolchildren how to Spot the Fake News says OECD, The Guardian, 18</w:t>
      </w:r>
      <w:r w:rsidRPr="005B5CB6">
        <w:rPr>
          <w:rFonts w:ascii="Verdana" w:eastAsia="Verdana" w:hAnsi="Verdana" w:cs="Verdana"/>
          <w:vertAlign w:val="superscript"/>
        </w:rPr>
        <w:t>th</w:t>
      </w:r>
      <w:r w:rsidRPr="005B5CB6">
        <w:rPr>
          <w:rFonts w:ascii="Verdana" w:eastAsia="Verdana" w:hAnsi="Verdana" w:cs="Verdana"/>
        </w:rPr>
        <w:t xml:space="preserve"> March 2017. </w:t>
      </w:r>
    </w:p>
    <w:p w:rsidR="00FB0B24" w:rsidRPr="005B5CB6" w:rsidP="003255A4">
      <w:pPr>
        <w:spacing w:after="75" w:line="249" w:lineRule="auto"/>
        <w:ind w:left="708" w:hanging="720"/>
        <w:jc w:val="both"/>
        <w:rPr>
          <w:rFonts w:ascii="Verdana" w:hAnsi="Verdana"/>
        </w:rPr>
      </w:pPr>
      <w:r w:rsidRPr="005B5CB6">
        <w:rPr>
          <w:rFonts w:ascii="Verdana" w:eastAsia="Verdana" w:hAnsi="Verdana" w:cs="Verdana"/>
        </w:rPr>
        <w:t xml:space="preserve">Sweeney, M. E., &amp; Whaley, K. (2019). Technically white: Emoji skin-tone modifiers as American technoculture. First Monday, 24(7). </w:t>
      </w:r>
    </w:p>
    <w:p w:rsidR="00FB0B24" w:rsidRPr="005B5CB6" w:rsidP="003255A4">
      <w:pPr>
        <w:spacing w:after="72" w:line="249" w:lineRule="auto"/>
        <w:ind w:left="708" w:hanging="720"/>
        <w:jc w:val="both"/>
        <w:rPr>
          <w:rFonts w:ascii="Verdana" w:hAnsi="Verdana"/>
        </w:rPr>
      </w:pPr>
      <w:r w:rsidRPr="005B5CB6">
        <w:rPr>
          <w:rFonts w:ascii="Verdana" w:eastAsia="Verdana" w:hAnsi="Verdana" w:cs="Verdana"/>
        </w:rPr>
        <w:t xml:space="preserve">van der Zeeuw, A., van Deursen, A. J. A. M., &amp; Jansen, G. (2019) Inequalities in the social use of the Internet of things: A capital and skills perspective. New Media &amp; Society 21(6) 1344-1361 </w:t>
      </w:r>
    </w:p>
    <w:p w:rsidR="00FB0B24" w:rsidRPr="005B5CB6" w:rsidP="003255A4">
      <w:pPr>
        <w:spacing w:after="72" w:line="249" w:lineRule="auto"/>
        <w:ind w:left="708" w:hanging="720"/>
        <w:jc w:val="both"/>
        <w:rPr>
          <w:rFonts w:ascii="Verdana" w:hAnsi="Verdana"/>
        </w:rPr>
      </w:pPr>
      <w:r w:rsidRPr="005B5CB6">
        <w:rPr>
          <w:rFonts w:ascii="Verdana" w:eastAsia="Verdana" w:hAnsi="Verdana" w:cs="Verdana"/>
        </w:rPr>
        <w:t xml:space="preserve">van Deursen, A. J. A. M., &amp; Mossberger, K (2018) Any Thing for Anyone? A New Digital Divide in Internet-of-Things Skills. Policy &amp; Internet 10(2), 122-140 </w:t>
      </w:r>
    </w:p>
    <w:p w:rsidR="00FB0B24" w:rsidRPr="005B5CB6" w:rsidP="003255A4">
      <w:pPr>
        <w:spacing w:after="4" w:line="249" w:lineRule="auto"/>
        <w:ind w:left="708" w:hanging="720"/>
        <w:jc w:val="both"/>
        <w:rPr>
          <w:rFonts w:ascii="Verdana" w:hAnsi="Verdana"/>
        </w:rPr>
      </w:pPr>
      <w:r w:rsidRPr="005B5CB6">
        <w:rPr>
          <w:rFonts w:ascii="Verdana" w:eastAsia="Verdana" w:hAnsi="Verdana" w:cs="Verdana"/>
        </w:rPr>
        <w:t xml:space="preserve">Wajcman, J., &amp; Dodd, N. (Eds.) (2017). The sociology of speed: Digital, organizational, and social temporalities. Oxford: Oxford University Press. </w:t>
      </w:r>
    </w:p>
    <w:p w:rsidR="00FB0B24" w:rsidRPr="005B5CB6" w:rsidP="003255A4">
      <w:pPr>
        <w:jc w:val="both"/>
        <w:rPr>
          <w:rFonts w:ascii="Verdana" w:hAnsi="Verdana"/>
        </w:rPr>
        <w:sectPr w:rsidSect="006539CA">
          <w:headerReference w:type="even" r:id="rId110"/>
          <w:headerReference w:type="default" r:id="rId111"/>
          <w:footerReference w:type="even" r:id="rId112"/>
          <w:footerReference w:type="default" r:id="rId113"/>
          <w:headerReference w:type="first" r:id="rId114"/>
          <w:footerReference w:type="first" r:id="rId115"/>
          <w:pgSz w:w="12240" w:h="15840"/>
          <w:pgMar w:top="1492" w:right="760" w:bottom="1440" w:left="1439" w:header="720" w:footer="709" w:gutter="0"/>
          <w:cols w:space="720"/>
        </w:sectPr>
      </w:pPr>
    </w:p>
    <w:p w:rsidR="00FB0B24" w:rsidRPr="005B5CB6" w:rsidP="00A1624B">
      <w:pPr>
        <w:pStyle w:val="Heading1"/>
        <w:rPr>
          <w:sz w:val="22"/>
        </w:rPr>
      </w:pPr>
      <w:bookmarkStart w:id="19" w:name="_Toc44517707"/>
      <w:r w:rsidRPr="005B5CB6">
        <w:rPr>
          <w:sz w:val="22"/>
        </w:rPr>
        <w:t>mySociety – written evidence (DAD0024)</w:t>
      </w:r>
      <w:bookmarkEnd w:id="19"/>
      <w:r w:rsidRPr="005B5CB6">
        <w:rPr>
          <w:sz w:val="22"/>
        </w:rPr>
        <w:t xml:space="preserve"> </w:t>
      </w:r>
    </w:p>
    <w:p w:rsidR="00FB0B24" w:rsidRPr="005B5CB6" w:rsidP="003255A4">
      <w:pPr>
        <w:spacing w:after="211" w:line="249" w:lineRule="auto"/>
        <w:ind w:left="10" w:hanging="10"/>
        <w:jc w:val="both"/>
        <w:rPr>
          <w:rFonts w:ascii="Verdana" w:hAnsi="Verdana"/>
        </w:rPr>
      </w:pPr>
      <w:r w:rsidRPr="005B5CB6">
        <w:rPr>
          <w:rFonts w:ascii="Verdana" w:eastAsia="Verdana" w:hAnsi="Verdana" w:cs="Verdana"/>
          <w:i/>
        </w:rPr>
        <w:t xml:space="preserve">Dr Rebecca Rumbul &amp; Alex Parsons </w:t>
      </w:r>
    </w:p>
    <w:p w:rsidR="00FB0B24" w:rsidRPr="005B5CB6" w:rsidP="003255A4">
      <w:pPr>
        <w:spacing w:after="5" w:line="310" w:lineRule="auto"/>
        <w:ind w:left="23" w:right="11" w:hanging="8"/>
        <w:jc w:val="both"/>
        <w:rPr>
          <w:rFonts w:ascii="Verdana" w:hAnsi="Verdana"/>
        </w:rPr>
      </w:pPr>
      <w:r w:rsidRPr="005B5CB6">
        <w:rPr>
          <w:rFonts w:ascii="Verdana" w:eastAsia="Verdana" w:hAnsi="Verdana" w:cs="Verdana"/>
        </w:rPr>
        <w:t xml:space="preserve">As one of the world’s first civic technology companies, mySociety has a broad understanding of the themes raised in this consultation. The submission is longer than requested, in order to fully explore the questions raised and to make distinctions between the range of digital tools being used for democratic engagement, and their various merits. This submission covers the majority of questions raised in the consultation document, and provides balanced opinions </w:t>
      </w:r>
    </w:p>
    <w:p w:rsidR="00FB0B24" w:rsidRPr="005B5CB6" w:rsidP="003255A4">
      <w:pPr>
        <w:tabs>
          <w:tab w:val="right" w:pos="9037"/>
        </w:tabs>
        <w:spacing w:after="297" w:line="250" w:lineRule="auto"/>
        <w:jc w:val="both"/>
        <w:rPr>
          <w:rFonts w:ascii="Verdana" w:hAnsi="Verdana"/>
        </w:rPr>
      </w:pPr>
      <w:r w:rsidRPr="005B5CB6">
        <w:rPr>
          <w:rFonts w:ascii="Verdana" w:eastAsia="Verdana" w:hAnsi="Verdana" w:cs="Verdana"/>
        </w:rPr>
        <w:t>based upon research and evidence.</w:t>
      </w:r>
      <w:r w:rsidRPr="005B5CB6">
        <w:rPr>
          <w:rFonts w:ascii="Verdana" w:hAnsi="Verdana"/>
        </w:rPr>
        <w:t xml:space="preserve"> </w:t>
      </w:r>
      <w:r w:rsidRPr="005B5CB6">
        <w:rPr>
          <w:rFonts w:ascii="Verdana" w:hAnsi="Verdana"/>
        </w:rPr>
        <w:tab/>
        <w:t xml:space="preserve">0 </w:t>
      </w:r>
    </w:p>
    <w:p w:rsidR="00FB0B24" w:rsidRPr="005B5CB6" w:rsidP="003255A4">
      <w:pPr>
        <w:spacing w:after="55"/>
        <w:ind w:left="3"/>
        <w:jc w:val="both"/>
        <w:rPr>
          <w:rFonts w:ascii="Verdana" w:hAnsi="Verdana"/>
        </w:rPr>
      </w:pPr>
      <w:r w:rsidRPr="005B5CB6">
        <w:rPr>
          <w:rFonts w:ascii="Verdana" w:eastAsia="Verdana" w:hAnsi="Verdana" w:cs="Verdana"/>
          <w:b/>
        </w:rPr>
        <w:t xml:space="preserve"> </w:t>
      </w:r>
    </w:p>
    <w:p w:rsidR="00FB0B24" w:rsidRPr="005B5CB6" w:rsidP="003255A4">
      <w:pPr>
        <w:spacing w:after="287" w:line="250" w:lineRule="auto"/>
        <w:ind w:left="11" w:hanging="10"/>
        <w:jc w:val="both"/>
        <w:rPr>
          <w:rFonts w:ascii="Verdana" w:hAnsi="Verdana"/>
        </w:rPr>
      </w:pPr>
      <w:r w:rsidRPr="005B5CB6">
        <w:rPr>
          <w:rFonts w:ascii="Verdana" w:eastAsia="Verdana" w:hAnsi="Verdana" w:cs="Verdana"/>
          <w:b/>
        </w:rPr>
        <w:t xml:space="preserve">About mySociety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mySociety is an international not-for-profit social enterprise based in the UK and working internationally. We provide technology, research and data that give people the power to get things changed and help them to be active citizens. We work internationally to support partners who use our technology and data in over 40 countries around the world. As one of the first civic technology organisations in the world, we are committed to building the civic technology community and undertaking rigorous research that tests our actions, assumptions and impacts. </w:t>
      </w:r>
    </w:p>
    <w:p w:rsidR="00FB0B24" w:rsidRPr="005B5CB6" w:rsidP="003255A4">
      <w:pPr>
        <w:spacing w:after="276"/>
        <w:ind w:left="2"/>
        <w:jc w:val="both"/>
        <w:rPr>
          <w:rFonts w:ascii="Verdana" w:hAnsi="Verdana"/>
        </w:rPr>
      </w:pPr>
      <w:r w:rsidRPr="005B5CB6">
        <w:rPr>
          <w:rFonts w:ascii="Verdana" w:eastAsia="Verdana" w:hAnsi="Verdana" w:cs="Verdana"/>
        </w:rPr>
        <w:t xml:space="preserve"> </w:t>
      </w:r>
    </w:p>
    <w:p w:rsidR="00FB0B24" w:rsidRPr="005B5CB6" w:rsidP="003255A4">
      <w:pPr>
        <w:spacing w:after="287" w:line="250" w:lineRule="auto"/>
        <w:ind w:left="11" w:hanging="10"/>
        <w:jc w:val="both"/>
        <w:rPr>
          <w:rFonts w:ascii="Verdana" w:hAnsi="Verdana"/>
        </w:rPr>
      </w:pPr>
      <w:r w:rsidRPr="005B5CB6">
        <w:rPr>
          <w:rFonts w:ascii="Verdana" w:eastAsia="Verdana" w:hAnsi="Verdana" w:cs="Verdana"/>
          <w:b/>
        </w:rPr>
        <w:t xml:space="preserve">Summary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As one of the world’s first civic technology companies, mySociety has a broad understanding of the themes raised in this consultation. The submission is longer than requested, in order to fully explore the questions raised and to make distinctions between the range of digital tools being used for democratic engagement, and their various merits. This submission covers the majority of questions raised in the consultation document, and provides balanced opinions based upon research and evidence.  </w:t>
      </w:r>
    </w:p>
    <w:p w:rsidR="00FB0B24" w:rsidRPr="005B5CB6" w:rsidP="003255A4">
      <w:pPr>
        <w:spacing w:after="0"/>
        <w:ind w:left="2"/>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The key points raised include: </w:t>
      </w:r>
    </w:p>
    <w:p w:rsidR="00FB0B24" w:rsidRPr="005B5CB6" w:rsidP="003255A4">
      <w:pPr>
        <w:spacing w:after="0"/>
        <w:ind w:left="2"/>
        <w:jc w:val="both"/>
        <w:rPr>
          <w:rFonts w:ascii="Verdana" w:hAnsi="Verdana"/>
        </w:rPr>
      </w:pPr>
      <w:r w:rsidRPr="005B5CB6">
        <w:rPr>
          <w:rFonts w:ascii="Verdana" w:eastAsia="Verdana" w:hAnsi="Verdana" w:cs="Verdana"/>
        </w:rPr>
        <w:t xml:space="preserve"> </w:t>
      </w:r>
    </w:p>
    <w:p w:rsidR="00FB0B24" w:rsidRPr="005B5CB6" w:rsidP="003255A4">
      <w:pPr>
        <w:numPr>
          <w:ilvl w:val="0"/>
          <w:numId w:val="52"/>
        </w:numPr>
        <w:spacing w:after="5" w:line="249" w:lineRule="auto"/>
        <w:ind w:right="12" w:hanging="281"/>
        <w:jc w:val="both"/>
        <w:rPr>
          <w:rFonts w:ascii="Verdana" w:hAnsi="Verdana"/>
        </w:rPr>
      </w:pPr>
      <w:r w:rsidRPr="005B5CB6">
        <w:rPr>
          <w:rFonts w:ascii="Verdana" w:eastAsia="Verdana" w:hAnsi="Verdana" w:cs="Verdana"/>
        </w:rPr>
        <w:t xml:space="preserve">The need to make a clear distinction between for-profit and social media platforms, and non-profit purpose-built democracy platforms. Different platforms have different virtues, and digital tools for democracy cannot be judged equally.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0"/>
          <w:numId w:val="52"/>
        </w:numPr>
        <w:spacing w:after="5" w:line="249" w:lineRule="auto"/>
        <w:ind w:right="12" w:hanging="281"/>
        <w:jc w:val="both"/>
        <w:rPr>
          <w:rFonts w:ascii="Verdana" w:hAnsi="Verdana"/>
        </w:rPr>
      </w:pPr>
      <w:r w:rsidRPr="005B5CB6">
        <w:rPr>
          <w:rFonts w:ascii="Verdana" w:eastAsia="Verdana" w:hAnsi="Verdana" w:cs="Verdana"/>
        </w:rPr>
        <w:t xml:space="preserve">The inherent difficulty in engaging in democratic debate on digital platforms not designed for such interactions. The levels of toxicity on certain platforms demonstrate definite negative impacts upon diversity of debate and quality of engagement.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0"/>
          <w:numId w:val="52"/>
        </w:numPr>
        <w:spacing w:after="5" w:line="249" w:lineRule="auto"/>
        <w:ind w:right="12" w:hanging="281"/>
        <w:jc w:val="both"/>
        <w:rPr>
          <w:rFonts w:ascii="Verdana" w:hAnsi="Verdana"/>
        </w:rPr>
      </w:pPr>
      <w:r w:rsidRPr="005B5CB6">
        <w:rPr>
          <w:rFonts w:ascii="Verdana" w:eastAsia="Verdana" w:hAnsi="Verdana" w:cs="Verdana"/>
        </w:rPr>
        <w:t xml:space="preserve">The improbability of achieving meaningful regulation of commercial digital platforms (however desirable), given the speed with which platforms and </w:t>
      </w:r>
      <w:r w:rsidRPr="005B5CB6">
        <w:rPr>
          <w:rFonts w:ascii="Verdana" w:eastAsia="Verdana" w:hAnsi="Verdana" w:cs="Verdana"/>
        </w:rPr>
        <w:t xml:space="preserve">algorithms evolve. Parliament has neither the expertise nor the agility to properly regulate digital platforms over the long term.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0"/>
          <w:numId w:val="52"/>
        </w:numPr>
        <w:spacing w:after="5" w:line="249" w:lineRule="auto"/>
        <w:ind w:right="12" w:hanging="281"/>
        <w:jc w:val="both"/>
        <w:rPr>
          <w:rFonts w:ascii="Verdana" w:hAnsi="Verdana"/>
        </w:rPr>
      </w:pPr>
      <w:r w:rsidRPr="005B5CB6">
        <w:rPr>
          <w:rFonts w:ascii="Verdana" w:eastAsia="Verdana" w:hAnsi="Verdana" w:cs="Verdana"/>
        </w:rPr>
        <w:t xml:space="preserve">The enduring digital divide and embedded biases in digital engagement. Large sections of the population remain offline, and the profile of those actively engaging in democratic debate online does not adequately represent national demographic breakdown.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0"/>
          <w:numId w:val="52"/>
        </w:numPr>
        <w:spacing w:after="5" w:line="249" w:lineRule="auto"/>
        <w:ind w:right="12" w:hanging="281"/>
        <w:jc w:val="both"/>
        <w:rPr>
          <w:rFonts w:ascii="Verdana" w:hAnsi="Verdana"/>
        </w:rPr>
      </w:pPr>
      <w:r w:rsidRPr="005B5CB6">
        <w:rPr>
          <w:rFonts w:ascii="Verdana" w:eastAsia="Verdana" w:hAnsi="Verdana" w:cs="Verdana"/>
        </w:rPr>
        <w:t xml:space="preserve">The feedback loop between citizen and institution needs to be closed in order to rebuild trust. Digital platforms that foster high quality interactions and responses demonstrate significantly higher positive impact than interactions on social media.  </w:t>
      </w:r>
    </w:p>
    <w:p w:rsidR="00FB0B24" w:rsidRPr="005B5CB6" w:rsidP="003255A4">
      <w:pPr>
        <w:spacing w:after="276"/>
        <w:ind w:left="3"/>
        <w:jc w:val="both"/>
        <w:rPr>
          <w:rFonts w:ascii="Verdana" w:hAnsi="Verdana"/>
        </w:rPr>
      </w:pPr>
      <w:r w:rsidRPr="005B5CB6">
        <w:rPr>
          <w:rFonts w:ascii="Verdana" w:eastAsia="Verdana" w:hAnsi="Verdana" w:cs="Verdana"/>
        </w:rPr>
        <w:t xml:space="preserve"> </w:t>
      </w:r>
    </w:p>
    <w:p w:rsidR="00FB0B24" w:rsidRPr="005B5CB6" w:rsidP="003255A4">
      <w:pPr>
        <w:spacing w:after="290" w:line="250" w:lineRule="auto"/>
        <w:ind w:left="11" w:hanging="10"/>
        <w:jc w:val="both"/>
        <w:rPr>
          <w:rFonts w:ascii="Verdana" w:hAnsi="Verdana"/>
        </w:rPr>
      </w:pPr>
      <w:r w:rsidRPr="005B5CB6">
        <w:rPr>
          <w:rFonts w:ascii="Verdana" w:eastAsia="Verdana" w:hAnsi="Verdana" w:cs="Verdana"/>
          <w:b/>
        </w:rPr>
        <w:t xml:space="preserve">General </w:t>
      </w:r>
    </w:p>
    <w:p w:rsidR="00FB0B24" w:rsidRPr="005B5CB6" w:rsidP="003255A4">
      <w:pPr>
        <w:spacing w:after="221" w:line="309" w:lineRule="auto"/>
        <w:ind w:left="11" w:hanging="10"/>
        <w:jc w:val="both"/>
        <w:rPr>
          <w:rFonts w:ascii="Verdana" w:hAnsi="Verdana"/>
        </w:rPr>
      </w:pPr>
      <w:r w:rsidRPr="005B5CB6">
        <w:rPr>
          <w:rFonts w:ascii="Verdana" w:eastAsia="Verdana" w:hAnsi="Verdana" w:cs="Verdana"/>
          <w:b/>
        </w:rPr>
        <w:t xml:space="preserve">How has digital technology changed the way that democracy works in the UK and has this been a net positive or negative effect? </w:t>
      </w:r>
    </w:p>
    <w:p w:rsidR="00FB0B24" w:rsidRPr="005B5CB6" w:rsidP="003255A4">
      <w:pPr>
        <w:numPr>
          <w:ilvl w:val="0"/>
          <w:numId w:val="53"/>
        </w:numPr>
        <w:spacing w:after="5" w:line="249" w:lineRule="auto"/>
        <w:ind w:left="361" w:right="12" w:hanging="360"/>
        <w:jc w:val="both"/>
        <w:rPr>
          <w:rFonts w:ascii="Verdana" w:hAnsi="Verdana"/>
        </w:rPr>
      </w:pPr>
      <w:r w:rsidRPr="005B5CB6">
        <w:rPr>
          <w:rFonts w:ascii="Verdana" w:eastAsia="Verdana" w:hAnsi="Verdana" w:cs="Verdana"/>
        </w:rPr>
        <w:t xml:space="preserve">Digital technologies have significantly altered the way in which individuals, organisations and institutions experience and make sense of democracy in the UK. The nature of communication between citizens and their institutions, officials and politicians has evolved significantly, to a state that would have seemed impossible (and not necessarily wholly desirable) only 30 years ago. Whereas correspondence via letter or in person through a constituency surgery or other formal channel would have been the only way for the general citizenry to make direct contact with their officials in the past, multiple digital channels now exist to communicate information back and forth directly and at scale. The apparatus of political campaigns has gone through waves of digital transformation, hugely affecting how people engage with parties and candidates at election time.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0"/>
          <w:numId w:val="53"/>
        </w:numPr>
        <w:spacing w:after="5" w:line="249" w:lineRule="auto"/>
        <w:ind w:left="361" w:right="12" w:hanging="360"/>
        <w:jc w:val="both"/>
        <w:rPr>
          <w:rFonts w:ascii="Verdana" w:hAnsi="Verdana"/>
        </w:rPr>
      </w:pPr>
      <w:r w:rsidRPr="005B5CB6">
        <w:rPr>
          <w:rFonts w:ascii="Verdana" w:eastAsia="Verdana" w:hAnsi="Verdana" w:cs="Verdana"/>
        </w:rPr>
        <w:t xml:space="preserve">In understanding how ‘digital technology’ has changed democracy, it is important to understand what a wide array of technologies are being referred to in practice. Digital technologies that affect democracy exist on a wide and varied spectrum, and a wholesale judgement on whether they are beneficial or not is overly simplistic and unhelpful. Digital technologies relevant to democracy include (but are not limited to):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1"/>
          <w:numId w:val="53"/>
        </w:numPr>
        <w:spacing w:after="5" w:line="250" w:lineRule="auto"/>
        <w:ind w:right="11" w:hanging="360"/>
        <w:jc w:val="both"/>
        <w:rPr>
          <w:rFonts w:ascii="Verdana" w:hAnsi="Verdana"/>
        </w:rPr>
      </w:pPr>
      <w:r w:rsidRPr="005B5CB6">
        <w:rPr>
          <w:rFonts w:ascii="Verdana" w:eastAsia="Verdana" w:hAnsi="Verdana" w:cs="Verdana"/>
        </w:rPr>
        <w:t xml:space="preserve">Email (eg Gmail, Outlook)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1"/>
          <w:numId w:val="53"/>
        </w:numPr>
        <w:spacing w:after="5" w:line="250" w:lineRule="auto"/>
        <w:ind w:right="11" w:hanging="360"/>
        <w:jc w:val="both"/>
        <w:rPr>
          <w:rFonts w:ascii="Verdana" w:hAnsi="Verdana"/>
        </w:rPr>
      </w:pPr>
      <w:r w:rsidRPr="005B5CB6">
        <w:rPr>
          <w:rFonts w:ascii="Verdana" w:eastAsia="Verdana" w:hAnsi="Verdana" w:cs="Verdana"/>
        </w:rPr>
        <w:t xml:space="preserve">Websites: </w:t>
      </w:r>
    </w:p>
    <w:p w:rsidR="00FB0B24" w:rsidRPr="005B5CB6" w:rsidP="003255A4">
      <w:pPr>
        <w:numPr>
          <w:ilvl w:val="2"/>
          <w:numId w:val="53"/>
        </w:numPr>
        <w:spacing w:after="5" w:line="250" w:lineRule="auto"/>
        <w:ind w:left="731" w:right="1956" w:hanging="8"/>
        <w:jc w:val="both"/>
        <w:rPr>
          <w:rFonts w:ascii="Verdana" w:hAnsi="Verdana"/>
        </w:rPr>
      </w:pPr>
      <w:r w:rsidRPr="005B5CB6">
        <w:rPr>
          <w:rFonts w:ascii="Verdana" w:eastAsia="Verdana" w:hAnsi="Verdana" w:cs="Verdana"/>
        </w:rPr>
        <w:t>official (eg individual MP websites, political party websites) ii)</w:t>
      </w:r>
      <w:r w:rsidRPr="005B5CB6">
        <w:rPr>
          <w:rFonts w:ascii="Verdana" w:eastAsia="Arial" w:hAnsi="Verdana" w:cs="Arial"/>
        </w:rPr>
        <w:t xml:space="preserve"> </w:t>
      </w:r>
      <w:r w:rsidRPr="005B5CB6">
        <w:rPr>
          <w:rFonts w:ascii="Verdana" w:eastAsia="Verdana" w:hAnsi="Verdana" w:cs="Verdana"/>
        </w:rPr>
        <w:t>unofficial (eg campaigning sites) iii)</w:t>
      </w:r>
      <w:r w:rsidRPr="005B5CB6">
        <w:rPr>
          <w:rFonts w:ascii="Verdana" w:eastAsia="Arial" w:hAnsi="Verdana" w:cs="Arial"/>
        </w:rPr>
        <w:t xml:space="preserve"> </w:t>
      </w:r>
      <w:r w:rsidRPr="005B5CB6">
        <w:rPr>
          <w:rFonts w:ascii="Verdana" w:eastAsia="Verdana" w:hAnsi="Verdana" w:cs="Verdana"/>
        </w:rPr>
        <w:t xml:space="preserve"> traditional media (eg BBC, Daily Mail, The Guardian) iv)</w:t>
      </w:r>
      <w:r w:rsidRPr="005B5CB6">
        <w:rPr>
          <w:rFonts w:ascii="Verdana" w:eastAsia="Arial" w:hAnsi="Verdana" w:cs="Arial"/>
        </w:rPr>
        <w:t xml:space="preserve"> </w:t>
      </w:r>
      <w:r w:rsidRPr="005B5CB6">
        <w:rPr>
          <w:rFonts w:ascii="Verdana" w:eastAsia="Verdana" w:hAnsi="Verdana" w:cs="Verdana"/>
        </w:rPr>
        <w:t xml:space="preserve">non-traditional media / blogs (eg Guido Fawkes) </w:t>
      </w:r>
    </w:p>
    <w:p w:rsidR="00FB0B24" w:rsidRPr="005B5CB6" w:rsidP="003255A4">
      <w:pPr>
        <w:spacing w:after="0"/>
        <w:ind w:left="1083"/>
        <w:jc w:val="both"/>
        <w:rPr>
          <w:rFonts w:ascii="Verdana" w:hAnsi="Verdana"/>
        </w:rPr>
      </w:pPr>
      <w:r w:rsidRPr="005B5CB6">
        <w:rPr>
          <w:rFonts w:ascii="Verdana" w:eastAsia="Verdana" w:hAnsi="Verdana" w:cs="Verdana"/>
        </w:rPr>
        <w:t xml:space="preserve"> </w:t>
      </w:r>
    </w:p>
    <w:p w:rsidR="00FB0B24" w:rsidRPr="005B5CB6" w:rsidP="003255A4">
      <w:pPr>
        <w:numPr>
          <w:ilvl w:val="1"/>
          <w:numId w:val="53"/>
        </w:numPr>
        <w:spacing w:after="5" w:line="250" w:lineRule="auto"/>
        <w:ind w:right="11" w:hanging="360"/>
        <w:jc w:val="both"/>
        <w:rPr>
          <w:rFonts w:ascii="Verdana" w:hAnsi="Verdana"/>
        </w:rPr>
      </w:pPr>
      <w:r w:rsidRPr="005B5CB6">
        <w:rPr>
          <w:rFonts w:ascii="Verdana" w:eastAsia="Verdana" w:hAnsi="Verdana" w:cs="Verdana"/>
        </w:rPr>
        <w:t xml:space="preserve">Social media: </w:t>
      </w:r>
    </w:p>
    <w:p w:rsidR="00FB0B24" w:rsidRPr="005B5CB6" w:rsidP="003255A4">
      <w:pPr>
        <w:numPr>
          <w:ilvl w:val="2"/>
          <w:numId w:val="53"/>
        </w:numPr>
        <w:spacing w:after="5" w:line="250" w:lineRule="auto"/>
        <w:ind w:left="731" w:right="1956" w:hanging="8"/>
        <w:jc w:val="both"/>
        <w:rPr>
          <w:rFonts w:ascii="Verdana" w:hAnsi="Verdana"/>
        </w:rPr>
      </w:pPr>
      <w:r w:rsidRPr="005B5CB6">
        <w:rPr>
          <w:rFonts w:ascii="Verdana" w:eastAsia="Verdana" w:hAnsi="Verdana" w:cs="Verdana"/>
        </w:rPr>
        <w:t>public broadcast (eg Facebook, Twitter, Instagram) ii)</w:t>
      </w:r>
      <w:r w:rsidRPr="005B5CB6">
        <w:rPr>
          <w:rFonts w:ascii="Verdana" w:eastAsia="Arial" w:hAnsi="Verdana" w:cs="Arial"/>
        </w:rPr>
        <w:t xml:space="preserve"> </w:t>
      </w:r>
      <w:r w:rsidRPr="005B5CB6">
        <w:rPr>
          <w:rFonts w:ascii="Verdana" w:eastAsia="Verdana" w:hAnsi="Verdana" w:cs="Verdana"/>
        </w:rPr>
        <w:t xml:space="preserve">non-public interaction (eg WhatsApp, Snapchat) </w:t>
      </w:r>
    </w:p>
    <w:p w:rsidR="00FB0B24" w:rsidRPr="005B5CB6" w:rsidP="003255A4">
      <w:pPr>
        <w:spacing w:after="0"/>
        <w:ind w:left="1083"/>
        <w:jc w:val="both"/>
        <w:rPr>
          <w:rFonts w:ascii="Verdana" w:hAnsi="Verdana"/>
        </w:rPr>
      </w:pPr>
      <w:r w:rsidRPr="005B5CB6">
        <w:rPr>
          <w:rFonts w:ascii="Verdana" w:eastAsia="Verdana" w:hAnsi="Verdana" w:cs="Verdana"/>
        </w:rPr>
        <w:t xml:space="preserve"> </w:t>
      </w:r>
    </w:p>
    <w:p w:rsidR="00FB0B24" w:rsidRPr="005B5CB6" w:rsidP="003255A4">
      <w:pPr>
        <w:numPr>
          <w:ilvl w:val="1"/>
          <w:numId w:val="53"/>
        </w:numPr>
        <w:spacing w:after="5" w:line="250" w:lineRule="auto"/>
        <w:ind w:right="11" w:hanging="360"/>
        <w:jc w:val="both"/>
        <w:rPr>
          <w:rFonts w:ascii="Verdana" w:hAnsi="Verdana"/>
        </w:rPr>
      </w:pPr>
      <w:r w:rsidRPr="005B5CB6">
        <w:rPr>
          <w:rFonts w:ascii="Verdana" w:eastAsia="Verdana" w:hAnsi="Verdana" w:cs="Verdana"/>
        </w:rPr>
        <w:t xml:space="preserve">Petitioning platforms - low level, mass contribution (eg Change.org)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1"/>
          <w:numId w:val="53"/>
        </w:numPr>
        <w:spacing w:after="5" w:line="250" w:lineRule="auto"/>
        <w:ind w:right="11" w:hanging="360"/>
        <w:jc w:val="both"/>
        <w:rPr>
          <w:rFonts w:ascii="Verdana" w:hAnsi="Verdana"/>
        </w:rPr>
      </w:pPr>
      <w:r w:rsidRPr="005B5CB6">
        <w:rPr>
          <w:rFonts w:ascii="Verdana" w:eastAsia="Verdana" w:hAnsi="Verdana" w:cs="Verdana"/>
        </w:rPr>
        <w:t xml:space="preserve">Civic technologies: </w:t>
      </w:r>
    </w:p>
    <w:p w:rsidR="00FB0B24" w:rsidRPr="005B5CB6" w:rsidP="003255A4">
      <w:pPr>
        <w:numPr>
          <w:ilvl w:val="2"/>
          <w:numId w:val="53"/>
        </w:numPr>
        <w:spacing w:after="5" w:line="250" w:lineRule="auto"/>
        <w:ind w:left="731" w:right="1956" w:hanging="8"/>
        <w:jc w:val="both"/>
        <w:rPr>
          <w:rFonts w:ascii="Verdana" w:hAnsi="Verdana"/>
        </w:rPr>
      </w:pPr>
      <w:r w:rsidRPr="005B5CB6">
        <w:rPr>
          <w:rFonts w:ascii="Verdana" w:eastAsia="Verdana" w:hAnsi="Verdana" w:cs="Verdana"/>
        </w:rPr>
        <w:t>monitoring platforms (eg TheyWorkForYou.com) ii)</w:t>
      </w:r>
      <w:r w:rsidRPr="005B5CB6">
        <w:rPr>
          <w:rFonts w:ascii="Verdana" w:eastAsia="Arial" w:hAnsi="Verdana" w:cs="Arial"/>
        </w:rPr>
        <w:t xml:space="preserve"> </w:t>
      </w:r>
      <w:r w:rsidRPr="005B5CB6">
        <w:rPr>
          <w:rFonts w:ascii="Verdana" w:eastAsia="Verdana" w:hAnsi="Verdana" w:cs="Verdana"/>
        </w:rPr>
        <w:t xml:space="preserve">reporting platforms (eg FixMyStreet.com) </w:t>
      </w:r>
    </w:p>
    <w:p w:rsidR="00FB0B24" w:rsidRPr="005B5CB6" w:rsidP="003255A4">
      <w:pPr>
        <w:spacing w:after="5" w:line="250" w:lineRule="auto"/>
        <w:ind w:left="731" w:right="11" w:hanging="8"/>
        <w:jc w:val="both"/>
        <w:rPr>
          <w:rFonts w:ascii="Verdana" w:hAnsi="Verdana"/>
        </w:rPr>
      </w:pPr>
      <w:r w:rsidRPr="005B5CB6">
        <w:rPr>
          <w:rFonts w:ascii="Verdana" w:eastAsia="Verdana" w:hAnsi="Verdana" w:cs="Verdana"/>
        </w:rPr>
        <w:t>iii)</w:t>
      </w:r>
      <w:r w:rsidRPr="005B5CB6">
        <w:rPr>
          <w:rFonts w:ascii="Verdana" w:eastAsia="Arial" w:hAnsi="Verdana" w:cs="Arial"/>
        </w:rPr>
        <w:t xml:space="preserve"> </w:t>
      </w:r>
      <w:r w:rsidRPr="005B5CB6">
        <w:rPr>
          <w:rFonts w:ascii="Verdana" w:eastAsia="Verdana" w:hAnsi="Verdana" w:cs="Verdana"/>
        </w:rPr>
        <w:t xml:space="preserve">deliberative platforms (eg online consultations) </w:t>
      </w:r>
    </w:p>
    <w:p w:rsidR="00FB0B24" w:rsidRPr="005B5CB6" w:rsidP="003255A4">
      <w:pPr>
        <w:spacing w:after="0"/>
        <w:ind w:left="1083"/>
        <w:jc w:val="both"/>
        <w:rPr>
          <w:rFonts w:ascii="Verdana" w:hAnsi="Verdana"/>
        </w:rPr>
      </w:pPr>
      <w:r w:rsidRPr="005B5CB6">
        <w:rPr>
          <w:rFonts w:ascii="Verdana" w:eastAsia="Verdana" w:hAnsi="Verdana" w:cs="Verdana"/>
        </w:rPr>
        <w:t xml:space="preserve"> </w:t>
      </w:r>
    </w:p>
    <w:p w:rsidR="00FB0B24" w:rsidRPr="005B5CB6" w:rsidP="003255A4">
      <w:pPr>
        <w:numPr>
          <w:ilvl w:val="1"/>
          <w:numId w:val="53"/>
        </w:numPr>
        <w:spacing w:after="5" w:line="250" w:lineRule="auto"/>
        <w:ind w:right="11" w:hanging="360"/>
        <w:jc w:val="both"/>
        <w:rPr>
          <w:rFonts w:ascii="Verdana" w:hAnsi="Verdana"/>
        </w:rPr>
      </w:pPr>
      <w:r w:rsidRPr="005B5CB6">
        <w:rPr>
          <w:rFonts w:ascii="Verdana" w:eastAsia="Verdana" w:hAnsi="Verdana" w:cs="Verdana"/>
        </w:rPr>
        <w:t xml:space="preserve">GovTech (eg GovTech Catalyst) </w:t>
      </w:r>
    </w:p>
    <w:p w:rsidR="00FB0B24" w:rsidRPr="005B5CB6" w:rsidP="003255A4">
      <w:pPr>
        <w:spacing w:after="0"/>
        <w:ind w:left="723"/>
        <w:jc w:val="both"/>
        <w:rPr>
          <w:rFonts w:ascii="Verdana" w:hAnsi="Verdana"/>
        </w:rPr>
      </w:pPr>
      <w:r w:rsidRPr="005B5CB6">
        <w:rPr>
          <w:rFonts w:ascii="Verdana" w:eastAsia="Verdana" w:hAnsi="Verdana" w:cs="Verdana"/>
        </w:rPr>
        <w:t xml:space="preserve"> </w:t>
      </w:r>
    </w:p>
    <w:p w:rsidR="00FB0B24" w:rsidRPr="005B5CB6" w:rsidP="003255A4">
      <w:pPr>
        <w:numPr>
          <w:ilvl w:val="0"/>
          <w:numId w:val="53"/>
        </w:numPr>
        <w:spacing w:after="5" w:line="249" w:lineRule="auto"/>
        <w:ind w:left="361" w:right="12" w:hanging="360"/>
        <w:jc w:val="both"/>
        <w:rPr>
          <w:rFonts w:ascii="Verdana" w:hAnsi="Verdana"/>
        </w:rPr>
      </w:pPr>
      <w:r w:rsidRPr="005B5CB6">
        <w:rPr>
          <w:rFonts w:ascii="Verdana" w:eastAsia="Verdana" w:hAnsi="Verdana" w:cs="Verdana"/>
        </w:rPr>
        <w:t xml:space="preserve">These digital platforms overlap and interact, creating a vast and fluid network of information publication and dissemination, through which individual consumers can navigate unique paths. While something may be widely shared on social media, it may have originated on a completely different platform (often screenshots from one social network recirculate on others).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0"/>
          <w:numId w:val="53"/>
        </w:numPr>
        <w:spacing w:after="5" w:line="249" w:lineRule="auto"/>
        <w:ind w:left="361" w:right="12" w:hanging="360"/>
        <w:jc w:val="both"/>
        <w:rPr>
          <w:rFonts w:ascii="Verdana" w:hAnsi="Verdana"/>
        </w:rPr>
      </w:pPr>
      <w:r w:rsidRPr="005B5CB6">
        <w:rPr>
          <w:rFonts w:ascii="Verdana" w:eastAsia="Verdana" w:hAnsi="Verdana" w:cs="Verdana"/>
        </w:rPr>
        <w:t xml:space="preserve">Digital communication allows for anyone, anywhere, to create and massdistribute political content, in a way that was traditionally only accessible to professional journalists and broadcasters. No formal qualifications, quality control processes or consideration of ethical issues are now needed for individuals or groups to author and disseminate information. That said, it is important not to overstate the ethical or quality standards of publications prior to the internet —  and one boon of the internet, from the 2000s blogosphere to the current Twittersphere is that it is a space to articulate the critiques of previously hard-to-challenge institutions. All that can really be said is that the cost of publishing has dropped dramatically, to the benefit of honest and dishonest motivations alike.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53"/>
        </w:numPr>
        <w:spacing w:after="5" w:line="249" w:lineRule="auto"/>
        <w:ind w:left="361" w:right="12" w:hanging="360"/>
        <w:jc w:val="both"/>
        <w:rPr>
          <w:rFonts w:ascii="Verdana" w:hAnsi="Verdana"/>
        </w:rPr>
      </w:pPr>
      <w:r w:rsidRPr="005B5CB6">
        <w:rPr>
          <w:rFonts w:ascii="Verdana" w:eastAsia="Verdana" w:hAnsi="Verdana" w:cs="Verdana"/>
        </w:rPr>
        <w:t xml:space="preserve">Democratic services have also been transformed. At a basic and important level, the process of registering to vote has been greatly simplified through online technology. This has made it easier for groups that move more often (eg renters) to claim their right to participate in the process. In the 2017 election this arguably contributed to the increase in renter turnout which had a practical impact on the result (Bloomberg, 2018). This demonstrates a fundamental issue when evaluating whether digital tools are good for “democracy”: unless a specific change increases everyone’s capacity equally, they are likely to have an effect on outcome. This means that arguments about democracy can often be proxy arguments about changes in outcomes (or “politics”) and have to be examined carefully.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53"/>
        </w:numPr>
        <w:spacing w:after="5" w:line="249" w:lineRule="auto"/>
        <w:ind w:left="361" w:right="12" w:hanging="360"/>
        <w:jc w:val="both"/>
        <w:rPr>
          <w:rFonts w:ascii="Verdana" w:hAnsi="Verdana"/>
        </w:rPr>
      </w:pPr>
      <w:r w:rsidRPr="005B5CB6">
        <w:rPr>
          <w:rFonts w:ascii="Verdana" w:eastAsia="Verdana" w:hAnsi="Verdana" w:cs="Verdana"/>
        </w:rPr>
        <w:t xml:space="preserve">Understanding these emerging issues is extremely complex, and landmark data manipulation scandals such as Cambridge Analytica's supposed influence on Brexit or the USA's allegation of Russian digital influence in the 2016 US Presidential election, have demonstrated not only the new ways in which political and official information can be manipulated and disseminated, but how the digital effect on democracy cannot be isolated as a single variable, and is tightly bound in other contested issues. These stories illuminate the importance </w:t>
      </w:r>
      <w:r w:rsidRPr="005B5CB6">
        <w:rPr>
          <w:rFonts w:ascii="Verdana" w:eastAsia="Verdana" w:hAnsi="Verdana" w:cs="Verdana"/>
        </w:rPr>
        <w:t xml:space="preserve">of subtlety, context and social ties in introducing and disseminating information relating to politics and government, and show that communication of information is necessarily different across different nations, identities, cultures, demographics and environments.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53"/>
        </w:numPr>
        <w:spacing w:after="2" w:line="249" w:lineRule="auto"/>
        <w:ind w:left="361" w:right="12" w:hanging="360"/>
        <w:jc w:val="both"/>
        <w:rPr>
          <w:rFonts w:ascii="Verdana" w:hAnsi="Verdana"/>
        </w:rPr>
      </w:pPr>
      <w:r w:rsidRPr="005B5CB6">
        <w:rPr>
          <w:rFonts w:ascii="Verdana" w:eastAsia="Verdana" w:hAnsi="Verdana" w:cs="Verdana"/>
        </w:rPr>
        <w:t>As explored in our research on digital tools being used for democratic participation, these tools have enormous positive potential: they “</w:t>
      </w:r>
      <w:r w:rsidRPr="005B5CB6">
        <w:rPr>
          <w:rFonts w:ascii="Verdana" w:eastAsia="Verdana" w:hAnsi="Verdana" w:cs="Verdana"/>
          <w:i/>
        </w:rPr>
        <w:t>can allow simple transactional actions to be performed more cheaply, can make it easy to engage with individuals simultaneously based in different geographic regions, shift what was previously one-to-one communication to one-to-many, and such a shift opens up opportunities for novel forms of participation to be explored”</w:t>
      </w:r>
      <w:r w:rsidRPr="005B5CB6">
        <w:rPr>
          <w:rFonts w:ascii="Verdana" w:eastAsia="Verdana" w:hAnsi="Verdana" w:cs="Verdana"/>
        </w:rPr>
        <w:t xml:space="preserve">. (mySociety, 2019)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53"/>
        </w:numPr>
        <w:spacing w:after="5" w:line="249" w:lineRule="auto"/>
        <w:ind w:left="361" w:right="12" w:hanging="360"/>
        <w:jc w:val="both"/>
        <w:rPr>
          <w:rFonts w:ascii="Verdana" w:hAnsi="Verdana"/>
        </w:rPr>
      </w:pPr>
      <w:r w:rsidRPr="005B5CB6">
        <w:rPr>
          <w:rFonts w:ascii="Verdana" w:eastAsia="Verdana" w:hAnsi="Verdana" w:cs="Verdana"/>
        </w:rPr>
        <w:t xml:space="preserve">However, positives are not automatic and there are significant potential pitfalls. Generally when tools make it easier for those excluded from the democratic process to engage, they also make it easier for those already well represented. Expanding the reach of a consultation through digital means may not shift the demographics if it also means that the kind of groups already likely to reply, simply reply more. While the early hope for the internet was as a democratic medium that allowed more people a voice, in many cases debates can still be dominated by those who have the time and resources to engage. While social media platforms make it far easier for, say,  women and ethnic minorities to take part in public discourse (compared, for instance, to alternative routes of being elected or becoming employed by media organisations), those people can also then receive abuse that other members of the platform do not. This means that technologically neutral platforms in reality are not neutral in terms of the kind of person they help to enter public discourse. Digital spaces do not offer an escape from the societies that they exist in and in some cases have recreated their worst aspects in new forms.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0"/>
          <w:numId w:val="53"/>
        </w:numPr>
        <w:spacing w:after="5" w:line="249" w:lineRule="auto"/>
        <w:ind w:left="361" w:right="12" w:hanging="360"/>
        <w:jc w:val="both"/>
        <w:rPr>
          <w:rFonts w:ascii="Verdana" w:hAnsi="Verdana"/>
        </w:rPr>
      </w:pPr>
      <w:r w:rsidRPr="005B5CB6">
        <w:rPr>
          <w:rFonts w:ascii="Verdana" w:eastAsia="Verdana" w:hAnsi="Verdana" w:cs="Verdana"/>
        </w:rPr>
        <w:t xml:space="preserve">Examining the effects of civic technology, this reveals how evaluations of digital tools are bound up in ongoing debates about democracy. On a purely factual level, civic technologies facilitate better information exchange between citizens and the state. mySociety research found that over 90% of TheyWorkForYou.com users surveyed believed that being able to see parliamentary information in such a consumable format enables them, at least in part, to hold their representatives to account (Rumbul, 2016). A similar percentage believed that representatives would behave in a different manner if this information was not publicly available.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53"/>
        </w:numPr>
        <w:spacing w:after="5" w:line="249" w:lineRule="auto"/>
        <w:ind w:left="361" w:right="12" w:hanging="360"/>
        <w:jc w:val="both"/>
        <w:rPr>
          <w:rFonts w:ascii="Verdana" w:hAnsi="Verdana"/>
        </w:rPr>
      </w:pPr>
      <w:r w:rsidRPr="005B5CB6">
        <w:rPr>
          <w:rFonts w:ascii="Verdana" w:eastAsia="Verdana" w:hAnsi="Verdana" w:cs="Verdana"/>
        </w:rPr>
        <w:t xml:space="preserve">However, MPs have occasionally claimed that TheyWorkForYou has negative effects, in terms of representing the work that they do, and this relates to a fundamental divide between how MPs see their role and how the public does. A 2019 YouGov survey found that 80 out of a sample of 100 MPs thought they should act according to their own judgements — while 63% of the public thought they should act according to the wishes of their constituents, even when they disagreed (YouGov, 2019).  This is not to say that the 63% is right and MPs are wrong — but that there are two very different conceptions of an MP’s role present in the same system. Is a digital tool that helps keep </w:t>
      </w:r>
      <w:r w:rsidRPr="005B5CB6">
        <w:rPr>
          <w:rFonts w:ascii="Verdana" w:eastAsia="Verdana" w:hAnsi="Verdana" w:cs="Verdana"/>
        </w:rPr>
        <w:t xml:space="preserve">representatives to account (and possibly closer to the views of their constituents) a net positive or negative for democracy? It depends who you ask.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0"/>
          <w:numId w:val="53"/>
        </w:numPr>
        <w:spacing w:after="5" w:line="249" w:lineRule="auto"/>
        <w:ind w:left="361" w:right="12" w:hanging="360"/>
        <w:jc w:val="both"/>
        <w:rPr>
          <w:rFonts w:ascii="Verdana" w:hAnsi="Verdana"/>
        </w:rPr>
      </w:pPr>
      <w:r w:rsidRPr="005B5CB6">
        <w:rPr>
          <w:rFonts w:ascii="Verdana" w:eastAsia="Verdana" w:hAnsi="Verdana" w:cs="Verdana"/>
        </w:rPr>
        <w:t xml:space="preserve">Similarly, civic technology is difficult to judge in isolation as regards its effectiveness, because it cannot wholly close the feedback loop. If it makes it easier for people to contact their representative but if the interaction is not positive, this can count as a negative interaction with civic technology. </w:t>
      </w:r>
    </w:p>
    <w:p w:rsidR="00FB0B24" w:rsidRPr="005B5CB6" w:rsidP="003255A4">
      <w:pPr>
        <w:spacing w:after="5" w:line="250" w:lineRule="auto"/>
        <w:ind w:left="371" w:right="11" w:hanging="8"/>
        <w:jc w:val="both"/>
        <w:rPr>
          <w:rFonts w:ascii="Verdana" w:hAnsi="Verdana"/>
        </w:rPr>
      </w:pPr>
      <w:r w:rsidRPr="005B5CB6">
        <w:rPr>
          <w:rFonts w:ascii="Verdana" w:eastAsia="Verdana" w:hAnsi="Verdana" w:cs="Verdana"/>
        </w:rPr>
        <w:t xml:space="preserve">Similarly, transparency does not automatically create trust — indeed, transparency may reveal reasons to distrust.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53"/>
        </w:numPr>
        <w:spacing w:after="5" w:line="249" w:lineRule="auto"/>
        <w:ind w:left="361" w:right="12" w:hanging="360"/>
        <w:jc w:val="both"/>
        <w:rPr>
          <w:rFonts w:ascii="Verdana" w:hAnsi="Verdana"/>
        </w:rPr>
      </w:pPr>
      <w:r w:rsidRPr="005B5CB6">
        <w:rPr>
          <w:rFonts w:ascii="Verdana" w:eastAsia="Verdana" w:hAnsi="Verdana" w:cs="Verdana"/>
        </w:rPr>
        <w:t xml:space="preserve">The speed at which digital tools have grown has outpaced the abilities of lawmakers to regulate the space, the ability of behavioural experts to understand how this form of discourse affects citizen attitudes and actions, and the capability of the tech giants themselves to identify and prevent pernicious uses of their own platforms. Society is only now in the early stages of understanding how the communication of official (and unofficial) political and parliamentary information is shaping societies and institutions, and what the implications of this shift may be. For a historical analogy, the invention of the printing press led to political, scientific and religious revolutions, causing wars that resulted in widespread death and human misery. An evaluation now might decide it had “net positives”, but an evaluation closer to the time might have had different conclusions.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53"/>
        </w:numPr>
        <w:spacing w:after="5" w:line="249" w:lineRule="auto"/>
        <w:ind w:left="361" w:right="12" w:hanging="360"/>
        <w:jc w:val="both"/>
        <w:rPr>
          <w:rFonts w:ascii="Verdana" w:hAnsi="Verdana"/>
        </w:rPr>
      </w:pPr>
      <w:r w:rsidRPr="005B5CB6">
        <w:rPr>
          <w:rFonts w:ascii="Verdana" w:eastAsia="Verdana" w:hAnsi="Verdana" w:cs="Verdana"/>
        </w:rPr>
        <w:t xml:space="preserve">Any evaluation of the role of digital tools in democracy needs to go beyond whether they are broadly good or broadly bad and address exactly how they fit into precise understandings of democracy as a whole. Ultimately the debate about digital tools is not about how they can best fit into the democracy that we have, but should inform the arguments about what kind of democracy we want in the future — and which tools help us down which potential paths.  </w:t>
      </w:r>
    </w:p>
    <w:p w:rsidR="00FB0B24" w:rsidRPr="005B5CB6" w:rsidP="003255A4">
      <w:pPr>
        <w:spacing w:after="55"/>
        <w:ind w:left="722"/>
        <w:jc w:val="both"/>
        <w:rPr>
          <w:rFonts w:ascii="Verdana" w:hAnsi="Verdana"/>
        </w:rPr>
      </w:pPr>
      <w:r w:rsidRPr="005B5CB6">
        <w:rPr>
          <w:rFonts w:ascii="Verdana" w:eastAsia="Verdana" w:hAnsi="Verdana" w:cs="Verdana"/>
        </w:rPr>
        <w:t xml:space="preserve">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spacing w:after="220" w:line="310" w:lineRule="auto"/>
        <w:ind w:left="-2" w:hanging="10"/>
        <w:jc w:val="both"/>
        <w:rPr>
          <w:rFonts w:ascii="Verdana" w:hAnsi="Verdana"/>
        </w:rPr>
      </w:pPr>
      <w:r w:rsidRPr="005B5CB6">
        <w:rPr>
          <w:rFonts w:ascii="Verdana" w:eastAsia="Verdana" w:hAnsi="Verdana" w:cs="Verdana"/>
          <w:b/>
        </w:rPr>
        <w:t xml:space="preserve">2. How have the design of algorithms used by social media platforms shaped democratic debate? To what extent should there be greater accountability for the design of these algorithms? </w:t>
      </w:r>
    </w:p>
    <w:p w:rsidR="00FB0B24" w:rsidRPr="005B5CB6" w:rsidP="003255A4">
      <w:pPr>
        <w:numPr>
          <w:ilvl w:val="0"/>
          <w:numId w:val="54"/>
        </w:numPr>
        <w:spacing w:after="2" w:line="249" w:lineRule="auto"/>
        <w:ind w:right="12" w:hanging="367"/>
        <w:jc w:val="both"/>
        <w:rPr>
          <w:rFonts w:ascii="Verdana" w:hAnsi="Verdana"/>
        </w:rPr>
      </w:pPr>
      <w:r w:rsidRPr="005B5CB6">
        <w:rPr>
          <w:rFonts w:ascii="Verdana" w:eastAsia="Verdana" w:hAnsi="Verdana" w:cs="Verdana"/>
        </w:rPr>
        <w:t xml:space="preserve">The hostility of online discourse is readily apparent, but explanations for this vary. While the format itself is often described as making users more hostile to each other, we must also consider the effect of the voices that people hear most loudly. These are not representative of all the people online. Bor and Peterson (2019) argue that </w:t>
      </w:r>
      <w:r w:rsidRPr="005B5CB6">
        <w:rPr>
          <w:rFonts w:ascii="Verdana" w:eastAsia="Verdana" w:hAnsi="Verdana" w:cs="Verdana"/>
          <w:i/>
        </w:rPr>
        <w:t xml:space="preserve">“online political hostility is committed by individuals who are predisposed to be hostile in all contexts. The perception that online discussions are more hostile seemingly emerges because other people are more likely to witness the actions of these individuals in the large, public network structure of online platforms compared to more private offline settings”. </w:t>
      </w:r>
    </w:p>
    <w:p w:rsidR="00FB0B24" w:rsidRPr="005B5CB6" w:rsidP="003255A4">
      <w:pPr>
        <w:spacing w:after="0"/>
        <w:ind w:left="363"/>
        <w:jc w:val="both"/>
        <w:rPr>
          <w:rFonts w:ascii="Verdana" w:hAnsi="Verdana"/>
        </w:rPr>
      </w:pPr>
      <w:r w:rsidRPr="005B5CB6">
        <w:rPr>
          <w:rFonts w:ascii="Verdana" w:eastAsia="Verdana" w:hAnsi="Verdana" w:cs="Verdana"/>
          <w:i/>
        </w:rPr>
        <w:t xml:space="preserve"> </w:t>
      </w:r>
    </w:p>
    <w:p w:rsidR="00FB0B24" w:rsidRPr="005B5CB6" w:rsidP="003255A4">
      <w:pPr>
        <w:numPr>
          <w:ilvl w:val="0"/>
          <w:numId w:val="54"/>
        </w:numPr>
        <w:spacing w:after="5" w:line="249" w:lineRule="auto"/>
        <w:ind w:right="12" w:hanging="367"/>
        <w:jc w:val="both"/>
        <w:rPr>
          <w:rFonts w:ascii="Verdana" w:hAnsi="Verdana"/>
        </w:rPr>
      </w:pPr>
      <w:r w:rsidRPr="005B5CB6">
        <w:rPr>
          <w:rFonts w:ascii="Verdana" w:eastAsia="Verdana" w:hAnsi="Verdana" w:cs="Verdana"/>
        </w:rPr>
        <w:t xml:space="preserve">That a small amount of participants create the majority of communication is a feature of even kindergarten parents’ Whatsapp groups (Gov-Ari, 2017), but what makes social media different is that there is often an algorithm selecting which contributions people see. This can result in emotive comments being promoted because they fit with the goals of the service, rather than the goal of producing good quality debate.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54"/>
        </w:numPr>
        <w:spacing w:after="5" w:line="249" w:lineRule="auto"/>
        <w:ind w:right="12" w:hanging="367"/>
        <w:jc w:val="both"/>
        <w:rPr>
          <w:rFonts w:ascii="Verdana" w:hAnsi="Verdana"/>
        </w:rPr>
      </w:pPr>
      <w:r w:rsidRPr="005B5CB6">
        <w:rPr>
          <w:rFonts w:ascii="Verdana" w:eastAsia="Verdana" w:hAnsi="Verdana" w:cs="Verdana"/>
        </w:rPr>
        <w:t xml:space="preserve">Social media platforms were not designed to shape democratic debate. Each different platform has a different focus. The purpose of Twitter was originally ‘micro-blogging’, essentially a system through which to broadcast soundbite type opinions or thoughts. Facebook was designed to link people known to each other in the real world, online, in order to share thoughts and pictures. While these platforms have mushroomed into key political battlegrounds, the fact remains that their business models are not focused on contributing to responsible democracy.  Rather, their business models and algorithms are tailored towards monetising their platforms and the data they gather. As organisations are motivated to maximise profit and minimise waste, their efforts in assuming greater responsibility for content contained on their platforms (which is not ‘profitable’ work) remains limited.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0"/>
          <w:numId w:val="54"/>
        </w:numPr>
        <w:spacing w:after="5" w:line="249" w:lineRule="auto"/>
        <w:ind w:right="12" w:hanging="367"/>
        <w:jc w:val="both"/>
        <w:rPr>
          <w:rFonts w:ascii="Verdana" w:hAnsi="Verdana"/>
        </w:rPr>
      </w:pPr>
      <w:r w:rsidRPr="005B5CB6">
        <w:rPr>
          <w:rFonts w:ascii="Verdana" w:eastAsia="Verdana" w:hAnsi="Verdana" w:cs="Verdana"/>
        </w:rPr>
        <w:t xml:space="preserve">Usage of social media for political information gathering is correlated with lower trust in government, in particular when compared with information gathering from online and offline traditional media sources (Ceron, 2015). Citizens are happy to use social media as their main source of political or policy news, but have lower levels of trust in government regardless of whether they assess the news/information itself as reliable. In addition, social media use is positively correlated with increases in anxiety, depression and other mental health issues (Primack et al, 2017). The relative anonymity provided by the internet, the ability of motivated groups to organise and overwhelm, and the opportunities for intimidation on social media make such platforms much more difficult and mentally challenging to traverse for citizen, state and individual officials.   </w:t>
      </w:r>
    </w:p>
    <w:p w:rsidR="00FB0B24" w:rsidRPr="005B5CB6" w:rsidP="003255A4">
      <w:pPr>
        <w:numPr>
          <w:ilvl w:val="0"/>
          <w:numId w:val="54"/>
        </w:numPr>
        <w:spacing w:after="5" w:line="249" w:lineRule="auto"/>
        <w:ind w:right="12" w:hanging="367"/>
        <w:jc w:val="both"/>
        <w:rPr>
          <w:rFonts w:ascii="Verdana" w:hAnsi="Verdana"/>
        </w:rPr>
      </w:pPr>
      <w:r w:rsidRPr="005B5CB6">
        <w:rPr>
          <w:rFonts w:ascii="Verdana" w:eastAsia="Verdana" w:hAnsi="Verdana" w:cs="Verdana"/>
        </w:rPr>
        <w:t xml:space="preserve">Just as front-page anger sells newspapers, an algorithm can reinvent this approach from first principles solely to optimise engagement, promoting posts and videos that will lead people to longer engagement with the site. YouTube’s approach to this ends up creating a radicalisation process, where viewers are drawn into progressively more extreme subcultures not out of any objective goal to do this — but as a result of trying to maximise the watch time of users (New York Times, 2018). </w:t>
      </w:r>
    </w:p>
    <w:p w:rsidR="00FB0B24" w:rsidRPr="005B5CB6" w:rsidP="003255A4">
      <w:pPr>
        <w:spacing w:after="0"/>
        <w:ind w:left="362"/>
        <w:jc w:val="both"/>
        <w:rPr>
          <w:rFonts w:ascii="Verdana" w:hAnsi="Verdana"/>
        </w:rPr>
      </w:pPr>
      <w:r w:rsidRPr="005B5CB6">
        <w:rPr>
          <w:rFonts w:ascii="Verdana" w:eastAsia="Verdana" w:hAnsi="Verdana" w:cs="Verdana"/>
        </w:rPr>
        <w:t xml:space="preserve"> </w:t>
      </w:r>
    </w:p>
    <w:p w:rsidR="00FB0B24" w:rsidRPr="005B5CB6" w:rsidP="003255A4">
      <w:pPr>
        <w:numPr>
          <w:ilvl w:val="0"/>
          <w:numId w:val="54"/>
        </w:numPr>
        <w:spacing w:after="5" w:line="249" w:lineRule="auto"/>
        <w:ind w:right="12" w:hanging="367"/>
        <w:jc w:val="both"/>
        <w:rPr>
          <w:rFonts w:ascii="Verdana" w:hAnsi="Verdana"/>
        </w:rPr>
      </w:pPr>
      <w:r w:rsidRPr="005B5CB6">
        <w:rPr>
          <w:rFonts w:ascii="Verdana" w:eastAsia="Verdana" w:hAnsi="Verdana" w:cs="Verdana"/>
        </w:rPr>
        <w:t xml:space="preserve">The lack of transparency of algorithms means that harmful effects such as those cited above have to be deduced through use. An algorithm can be simply described as a decision-making process — and while many might be complicated, in principle they could be made public for examination. However, the progression towards algorithms driven by deep-learning (or AI) that learn how to create a decision-making process to reach set goals means that the decision-making process is obscure even to the people running it — let alone the wider community. This creates ‘black box’ processes, where it is unclear </w:t>
      </w:r>
      <w:r w:rsidRPr="005B5CB6">
        <w:rPr>
          <w:rFonts w:ascii="Verdana" w:eastAsia="Verdana" w:hAnsi="Verdana" w:cs="Verdana"/>
        </w:rPr>
        <w:t xml:space="preserve">exactly what the connection is between inputs and outputs, and the decisionmaking process is impossible to describe transparently.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0"/>
          <w:numId w:val="54"/>
        </w:numPr>
        <w:spacing w:after="5" w:line="249" w:lineRule="auto"/>
        <w:ind w:right="12" w:hanging="367"/>
        <w:jc w:val="both"/>
        <w:rPr>
          <w:rFonts w:ascii="Verdana" w:hAnsi="Verdana"/>
        </w:rPr>
      </w:pPr>
      <w:r w:rsidRPr="005B5CB6">
        <w:rPr>
          <w:rFonts w:ascii="Verdana" w:eastAsia="Verdana" w:hAnsi="Verdana" w:cs="Verdana"/>
        </w:rPr>
        <w:t xml:space="preserve">There is an additional set of problems associated with the fact that a small set of services is enormously influential. Changes to Facebook and Google’s algorithms can have huge effects on the viability of entire industries. After the 2016 US election Facebook modified its algorithm in a way that reduced the prevalence of news and focused more on updates from friends and family —  but this had the effect of dramatically reducing the amount of journalism people were exposed to through the service and disrupting the media ecosystem that had developed around it.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0"/>
          <w:numId w:val="54"/>
        </w:numPr>
        <w:spacing w:after="5" w:line="249" w:lineRule="auto"/>
        <w:ind w:right="12" w:hanging="367"/>
        <w:jc w:val="both"/>
        <w:rPr>
          <w:rFonts w:ascii="Verdana" w:hAnsi="Verdana"/>
        </w:rPr>
      </w:pPr>
      <w:r w:rsidRPr="005B5CB6">
        <w:rPr>
          <w:rFonts w:ascii="Verdana" w:eastAsia="Verdana" w:hAnsi="Verdana" w:cs="Verdana"/>
        </w:rPr>
        <w:t xml:space="preserve">The assumption from the above is that the changes to public discourse triggered by social media have been a byproduct of their commercial impetus rather than a deliberate goal. However, that large commercial bodies dominating public discourse might not only have political preferences, but try and achieve them through their product design is not unthinkable. Svantesson and Van Caenegem (2017) in an Australian context propose a specific offence of attempting electoral manipulation through algorithmic manipulation. Jennifer Grygiel (2019) argues that similar to quiet periods in the financial industries, prohibitions on algorithm changes in the run up to elections would act as a bar to sudden tweaks that might have a political impact.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54"/>
        </w:numPr>
        <w:spacing w:after="5" w:line="249" w:lineRule="auto"/>
        <w:ind w:right="12" w:hanging="367"/>
        <w:jc w:val="both"/>
        <w:rPr>
          <w:rFonts w:ascii="Verdana" w:hAnsi="Verdana"/>
        </w:rPr>
      </w:pPr>
      <w:r w:rsidRPr="005B5CB6">
        <w:rPr>
          <w:rFonts w:ascii="Verdana" w:eastAsia="Verdana" w:hAnsi="Verdana" w:cs="Verdana"/>
        </w:rPr>
        <w:t xml:space="preserve">The algorithms used by social media organisations are designed to instigate, retain, maintain, and increase the use of the platform. Armies of user experience researchers and designers are employed to achieve this, and to seamlessly integrate profitable aspects of the platform, such as groups that may be of interest; or adverts for items; or campaigns that align with the users’ evidenced interests. The more time that a user can be retained on the platform, the more the platform can learn about them, and the greater the opportunities for micro-targeted marketing to that individual. Historically, social media platforms have treated political advertising much like any other product; however, Facebook has taken steps towards increasing the transparency of political advertising, with limited results. Regulation presents a “red queen” problem where innovations are constantly required just to stay in place. As soon as rules or regulations are implemented, motivated groups immediately find a work-around. As such, the ability of democratic institutions to hold social media platforms to account for their algorithms is extremely limited. Such institutions do not have the access to examine these algorithms, nor do they possess the expertise to understand them well enough to regulate or legislate; and they move so slowly that even if the previous two conditions were satisfied, the algorithms in question would have evolved by the time any analysis and legislation could have been undertaken.  </w:t>
      </w:r>
    </w:p>
    <w:p w:rsidR="00FB0B24" w:rsidRPr="005B5CB6" w:rsidP="003255A4">
      <w:pPr>
        <w:spacing w:after="279"/>
        <w:ind w:left="3"/>
        <w:jc w:val="both"/>
        <w:rPr>
          <w:rFonts w:ascii="Verdana" w:hAnsi="Verdana"/>
        </w:rPr>
      </w:pPr>
      <w:r w:rsidRPr="005B5CB6">
        <w:rPr>
          <w:rFonts w:ascii="Verdana" w:eastAsia="Verdana" w:hAnsi="Verdana" w:cs="Verdana"/>
          <w:b/>
        </w:rPr>
        <w:t xml:space="preserve"> </w:t>
      </w:r>
    </w:p>
    <w:p w:rsidR="00FB0B24" w:rsidRPr="005B5CB6" w:rsidP="003255A4">
      <w:pPr>
        <w:spacing w:after="287" w:line="250" w:lineRule="auto"/>
        <w:ind w:left="11" w:hanging="10"/>
        <w:jc w:val="both"/>
        <w:rPr>
          <w:rFonts w:ascii="Verdana" w:hAnsi="Verdana"/>
        </w:rPr>
      </w:pPr>
      <w:r w:rsidRPr="005B5CB6">
        <w:rPr>
          <w:rFonts w:ascii="Verdana" w:eastAsia="Verdana" w:hAnsi="Verdana" w:cs="Verdana"/>
          <w:b/>
        </w:rPr>
        <w:t xml:space="preserve">Education </w:t>
      </w:r>
    </w:p>
    <w:p w:rsidR="00FB0B24" w:rsidRPr="005B5CB6" w:rsidP="003255A4">
      <w:pPr>
        <w:spacing w:after="223" w:line="309" w:lineRule="auto"/>
        <w:ind w:left="11" w:hanging="10"/>
        <w:jc w:val="both"/>
        <w:rPr>
          <w:rFonts w:ascii="Verdana" w:hAnsi="Verdana"/>
        </w:rPr>
      </w:pPr>
      <w:r w:rsidRPr="005B5CB6">
        <w:rPr>
          <w:rFonts w:ascii="Verdana" w:eastAsia="Verdana" w:hAnsi="Verdana" w:cs="Verdana"/>
          <w:b/>
        </w:rPr>
        <w:t xml:space="preserve">3. What role should every stage of education play in helping to create a healthy, active, digitally literate democracy? </w:t>
      </w:r>
    </w:p>
    <w:p w:rsidR="00FB0B24" w:rsidRPr="005B5CB6" w:rsidP="003255A4">
      <w:pPr>
        <w:numPr>
          <w:ilvl w:val="0"/>
          <w:numId w:val="55"/>
        </w:numPr>
        <w:spacing w:after="5" w:line="249" w:lineRule="auto"/>
        <w:ind w:left="361" w:right="12" w:hanging="360"/>
        <w:jc w:val="both"/>
        <w:rPr>
          <w:rFonts w:ascii="Verdana" w:hAnsi="Verdana"/>
        </w:rPr>
      </w:pPr>
      <w:r w:rsidRPr="005B5CB6">
        <w:rPr>
          <w:rFonts w:ascii="Verdana" w:eastAsia="Verdana" w:hAnsi="Verdana" w:cs="Verdana"/>
        </w:rPr>
        <w:t xml:space="preserve">In order to engage digitally with democracy, citizens must have a working understanding of the digital world, and also of parliamentary, electoral and government structures. While there is a small component of current secondary education that covers citizenship, this is wholly insufficient in equipping individuals to engage meaningfully in democracy or to critically assess political information, and a lack of understanding of democratic structures amongst the general populace is one of the key drivers in public dissatisfaction with politics in general. Citizens who do not understand how the democratic and parliamentary system works are, understandably, frustrated by what they perceive as inertia, ignorance, indifference and incompetence in the political class.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5"/>
        </w:numPr>
        <w:spacing w:after="5" w:line="249" w:lineRule="auto"/>
        <w:ind w:left="361" w:right="12" w:hanging="360"/>
        <w:jc w:val="both"/>
        <w:rPr>
          <w:rFonts w:ascii="Verdana" w:hAnsi="Verdana"/>
        </w:rPr>
      </w:pPr>
      <w:r w:rsidRPr="005B5CB6">
        <w:rPr>
          <w:rFonts w:ascii="Verdana" w:eastAsia="Verdana" w:hAnsi="Verdana" w:cs="Verdana"/>
        </w:rPr>
        <w:t xml:space="preserve">Digital skills are also required to engage meaningfully with democracy. While the majority of children are now familiar with mobile and computing devices before they begin school, and recent research has shown that younger people are much less susceptible to ‘fake news’ than older people, there remains a small percentage of the population, usually the most economically disadvantaged, that do not have good access to devices or the requisite digital skills to navigate the online world with ease and understanding. While there is sometimes the assumption that younger generations will naturally develop these skills, the Nominet trust found that there are 300,000 alleged ‘digital natives’ who do not in fact have basic digital skills, so active education in this area is still required (GoodThingsFoundation, 2019).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5"/>
        </w:numPr>
        <w:spacing w:after="5" w:line="249" w:lineRule="auto"/>
        <w:ind w:left="361" w:right="12" w:hanging="360"/>
        <w:jc w:val="both"/>
        <w:rPr>
          <w:rFonts w:ascii="Verdana" w:hAnsi="Verdana"/>
        </w:rPr>
      </w:pPr>
      <w:r w:rsidRPr="005B5CB6">
        <w:rPr>
          <w:rFonts w:ascii="Verdana" w:eastAsia="Verdana" w:hAnsi="Verdana" w:cs="Verdana"/>
        </w:rPr>
        <w:t xml:space="preserve">There are also significant parts of the country, primarily rural areas that suffer persistent connectivity issues, and as such may also lag behind in the normalisation of digital skills. This relates to a double digital divide: there is less physical access to the internet, but also the demographics of rural areas (on average older, poorer and less well educated) are factors known to lead to different profiles of internet use. While Blank and Graham (2014) were expecting demographic factors in their model of internet use to weaken geographic effects, they found geographic effects became insignificant and that differing demographics were a better explanation of differences in internet use. This means these groups may not be well represented in discourse conducted solely online, to the potential detriment of their unique policy needs. While various factors intersect in rural areas, the problem of both access and education is likely to need unique policy solutions.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5"/>
        </w:numPr>
        <w:spacing w:after="5" w:line="249" w:lineRule="auto"/>
        <w:ind w:left="361" w:right="12" w:hanging="360"/>
        <w:jc w:val="both"/>
        <w:rPr>
          <w:rFonts w:ascii="Verdana" w:hAnsi="Verdana"/>
        </w:rPr>
      </w:pPr>
      <w:r w:rsidRPr="005B5CB6">
        <w:rPr>
          <w:rFonts w:ascii="Verdana" w:eastAsia="Verdana" w:hAnsi="Verdana" w:cs="Verdana"/>
        </w:rPr>
        <w:t xml:space="preserve">Both of these strands — democracy and digital competence —  should of course be taught at every stage of education; however, provision for adult learners should not be overlooked. The fast pace of technological change means that a focus on early education will rapidly become out of date. Adults, particularly in professions for which the use of computers is not a requirement, may lack the digital skills to engage fully with democratic debate and activity online. Community-based provision for digital learning and democratic engagement should therefore be considered essential in developing and retaining both digital and civic skills accessible for all.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5"/>
        </w:numPr>
        <w:spacing w:after="5" w:line="249" w:lineRule="auto"/>
        <w:ind w:left="361" w:right="12" w:hanging="360"/>
        <w:jc w:val="both"/>
        <w:rPr>
          <w:rFonts w:ascii="Verdana" w:hAnsi="Verdana"/>
        </w:rPr>
      </w:pPr>
      <w:r w:rsidRPr="005B5CB6">
        <w:rPr>
          <w:rFonts w:ascii="Verdana" w:eastAsia="Verdana" w:hAnsi="Verdana" w:cs="Verdana"/>
        </w:rPr>
        <w:t xml:space="preserve">Digital democracy platforms such as TheyWorkForYou.com attempt to bridge some of these gaps in understanding, providing a range of democratic information in a user-friendly format, and advising how best to engage with political representatives. These platforms proactively work to manage expectations around democracy and encourage meaningful interactions. Such platforms are, however, relatively unknown and significantly underfunded.  </w:t>
      </w:r>
    </w:p>
    <w:p w:rsidR="00FB0B24" w:rsidRPr="005B5CB6" w:rsidP="003255A4">
      <w:pPr>
        <w:spacing w:after="294"/>
        <w:ind w:left="2"/>
        <w:jc w:val="both"/>
        <w:rPr>
          <w:rFonts w:ascii="Verdana" w:hAnsi="Verdana"/>
        </w:rPr>
      </w:pPr>
      <w:r w:rsidRPr="005B5CB6">
        <w:rPr>
          <w:rFonts w:ascii="Verdana" w:eastAsia="Verdana" w:hAnsi="Verdana" w:cs="Verdana"/>
        </w:rPr>
        <w:t xml:space="preserve"> </w:t>
      </w:r>
    </w:p>
    <w:p w:rsidR="00FB0B24" w:rsidRPr="005B5CB6" w:rsidP="003255A4">
      <w:pPr>
        <w:spacing w:after="0"/>
        <w:ind w:left="362"/>
        <w:jc w:val="both"/>
        <w:rPr>
          <w:rFonts w:ascii="Verdana" w:hAnsi="Verdana"/>
        </w:rPr>
      </w:pPr>
      <w:r w:rsidRPr="005B5CB6">
        <w:rPr>
          <w:rFonts w:ascii="Verdana" w:eastAsia="Arial" w:hAnsi="Verdana" w:cs="Arial"/>
          <w:b/>
          <w:color w:val="333333"/>
        </w:rPr>
        <w:t xml:space="preserve"> </w:t>
      </w:r>
      <w:r w:rsidRPr="005B5CB6">
        <w:rPr>
          <w:rFonts w:ascii="Verdana" w:eastAsia="Arial" w:hAnsi="Verdana" w:cs="Arial"/>
          <w:b/>
          <w:color w:val="333333"/>
        </w:rPr>
        <w:tab/>
      </w:r>
      <w:r w:rsidRPr="005B5CB6">
        <w:rPr>
          <w:rFonts w:ascii="Verdana" w:eastAsia="Verdana" w:hAnsi="Verdana" w:cs="Verdana"/>
          <w:b/>
          <w:color w:val="333333"/>
        </w:rPr>
        <w:t xml:space="preserve"> </w:t>
      </w:r>
    </w:p>
    <w:p w:rsidR="00FB0B24" w:rsidRPr="005B5CB6" w:rsidP="003255A4">
      <w:pPr>
        <w:spacing w:after="287" w:line="250" w:lineRule="auto"/>
        <w:ind w:left="11" w:hanging="10"/>
        <w:jc w:val="both"/>
        <w:rPr>
          <w:rFonts w:ascii="Verdana" w:hAnsi="Verdana"/>
        </w:rPr>
      </w:pPr>
      <w:r w:rsidRPr="005B5CB6">
        <w:rPr>
          <w:rFonts w:ascii="Verdana" w:eastAsia="Verdana" w:hAnsi="Verdana" w:cs="Verdana"/>
          <w:b/>
        </w:rPr>
        <w:t xml:space="preserve">Online campaigning </w:t>
      </w:r>
    </w:p>
    <w:p w:rsidR="00FB0B24" w:rsidRPr="005B5CB6" w:rsidP="003255A4">
      <w:pPr>
        <w:spacing w:after="222" w:line="310" w:lineRule="auto"/>
        <w:ind w:left="-2" w:hanging="10"/>
        <w:jc w:val="both"/>
        <w:rPr>
          <w:rFonts w:ascii="Verdana" w:hAnsi="Verdana"/>
        </w:rPr>
      </w:pPr>
      <w:r w:rsidRPr="005B5CB6">
        <w:rPr>
          <w:rFonts w:ascii="Verdana" w:eastAsia="Verdana" w:hAnsi="Verdana" w:cs="Verdana"/>
          <w:b/>
        </w:rPr>
        <w:t xml:space="preserve">4. Would greater transparency in the online spending and campaigning of political groups improve the electoral process in the UK by ensuring accountability, and if so what should this transparency look like? </w:t>
      </w:r>
    </w:p>
    <w:p w:rsidR="00FB0B24" w:rsidRPr="005B5CB6" w:rsidP="003255A4">
      <w:pPr>
        <w:numPr>
          <w:ilvl w:val="0"/>
          <w:numId w:val="56"/>
        </w:numPr>
        <w:spacing w:after="5" w:line="249" w:lineRule="auto"/>
        <w:ind w:left="361" w:right="12" w:hanging="360"/>
        <w:jc w:val="both"/>
        <w:rPr>
          <w:rFonts w:ascii="Verdana" w:hAnsi="Verdana"/>
        </w:rPr>
      </w:pPr>
      <w:r w:rsidRPr="005B5CB6">
        <w:rPr>
          <w:rFonts w:ascii="Verdana" w:eastAsia="Verdana" w:hAnsi="Verdana" w:cs="Verdana"/>
        </w:rPr>
        <w:t xml:space="preserve">Transparency in the online spending and campaigning of political groups in the UK is a vital component of moving towards greater accountability in the democratic process; however, this is only one of several key components. Free data creates benefits, but to have a significant payoff it requires additional investment over time by third parties. ‘Transparency’ can often be quite opaque (Fox, 2007)  — for example, simply requiring the publication of long lists of donors and fragmented groups involved in financing online campaigns will not necessarily lead to greater accountability. However, it is a necessary prerequisite.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56"/>
        </w:numPr>
        <w:spacing w:after="5" w:line="249" w:lineRule="auto"/>
        <w:ind w:left="361" w:right="12" w:hanging="360"/>
        <w:jc w:val="both"/>
        <w:rPr>
          <w:rFonts w:ascii="Verdana" w:hAnsi="Verdana"/>
        </w:rPr>
      </w:pPr>
      <w:r w:rsidRPr="005B5CB6">
        <w:rPr>
          <w:rFonts w:ascii="Verdana" w:eastAsia="Verdana" w:hAnsi="Verdana" w:cs="Verdana"/>
        </w:rPr>
        <w:t xml:space="preserve">One specific concern has been “dark ads” — micro-targeted content on websites allowing different messages to be shared to different audiences without any public awareness of this. In response, Facebook and others have made their ad libraries transparent (Facebook, 2019), allowing in principle all adverts displayed at an election to be examined. However, dark ads require active investigation for critique, as opposed to national campaigns which can enter the public debate organically.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6"/>
        </w:numPr>
        <w:spacing w:after="5" w:line="249" w:lineRule="auto"/>
        <w:ind w:left="361" w:right="12" w:hanging="360"/>
        <w:jc w:val="both"/>
        <w:rPr>
          <w:rFonts w:ascii="Verdana" w:hAnsi="Verdana"/>
        </w:rPr>
      </w:pPr>
      <w:r w:rsidRPr="005B5CB6">
        <w:rPr>
          <w:rFonts w:ascii="Verdana" w:eastAsia="Verdana" w:hAnsi="Verdana" w:cs="Verdana"/>
        </w:rPr>
        <w:t xml:space="preserve">The Electoral Commission has also recommended that all digital election ads need to be clearly labelled with information about who paid for them (Electoral Commission, 2019). The ability of campaign financiers to conceal their affiliations and identities is also of concern, and again, it requires significant work to unpick those connections. This is work which often must be conducted after the fact, and therefore cannot truly correct any egregious activity that may have influenced electoral outcomes.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6"/>
        </w:numPr>
        <w:spacing w:after="5" w:line="249" w:lineRule="auto"/>
        <w:ind w:left="361" w:right="12" w:hanging="360"/>
        <w:jc w:val="both"/>
        <w:rPr>
          <w:rFonts w:ascii="Verdana" w:hAnsi="Verdana"/>
        </w:rPr>
      </w:pPr>
      <w:r w:rsidRPr="005B5CB6">
        <w:rPr>
          <w:rFonts w:ascii="Verdana" w:eastAsia="Verdana" w:hAnsi="Verdana" w:cs="Verdana"/>
        </w:rPr>
        <w:t xml:space="preserve">As such, true transparency in this area should require not only disclosure of payments, but fit into broader anti-corruption data availability such as understanding of linked business interests and beneficial ownership. Donation information should be produced in open data formats available to the public (the US FEC site is a good model), and this information should be published where possible while the campaign is ongoing (as happens quarterly in the US — but this in part reflects a longer election period). Stronger requirements for parties to know the identity of donors would help address concerns that funding </w:t>
      </w:r>
      <w:r w:rsidRPr="005B5CB6">
        <w:rPr>
          <w:rFonts w:ascii="Verdana" w:eastAsia="Verdana" w:hAnsi="Verdana" w:cs="Verdana"/>
        </w:rPr>
        <w:t xml:space="preserve">limits can be circumvented through multiple donations below the £500 limit before stronger disclosure standards come into effect.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6"/>
        </w:numPr>
        <w:spacing w:after="5" w:line="249" w:lineRule="auto"/>
        <w:ind w:left="361" w:right="12" w:hanging="360"/>
        <w:jc w:val="both"/>
        <w:rPr>
          <w:rFonts w:ascii="Verdana" w:hAnsi="Verdana"/>
        </w:rPr>
      </w:pPr>
      <w:r w:rsidRPr="005B5CB6">
        <w:rPr>
          <w:rFonts w:ascii="Verdana" w:eastAsia="Verdana" w:hAnsi="Verdana" w:cs="Verdana"/>
        </w:rPr>
        <w:t>Such measures would not automatically resolve actual or perceived issues in campaign finance, but would enable greater potential for examining and discovering wrongdoing sooner. This would provide a clearer picture of how elections are funded in the UK.</w:t>
      </w:r>
      <w:r w:rsidRPr="005B5CB6">
        <w:rPr>
          <w:rFonts w:ascii="Verdana" w:eastAsia="Arial" w:hAnsi="Verdana" w:cs="Arial"/>
        </w:rPr>
        <w:t xml:space="preserve"> </w:t>
      </w:r>
      <w:r w:rsidRPr="005B5CB6">
        <w:rPr>
          <w:rFonts w:ascii="Verdana" w:eastAsia="Verdana" w:hAnsi="Verdana" w:cs="Verdana"/>
        </w:rPr>
        <w:t xml:space="preserve"> </w:t>
      </w:r>
    </w:p>
    <w:p w:rsidR="00FB0B24" w:rsidRPr="005B5CB6" w:rsidP="003255A4">
      <w:pPr>
        <w:spacing w:after="220" w:line="310" w:lineRule="auto"/>
        <w:ind w:left="-2" w:hanging="10"/>
        <w:jc w:val="both"/>
        <w:rPr>
          <w:rFonts w:ascii="Verdana" w:hAnsi="Verdana"/>
        </w:rPr>
      </w:pPr>
      <w:r w:rsidRPr="005B5CB6">
        <w:rPr>
          <w:rFonts w:ascii="Verdana" w:eastAsia="Verdana" w:hAnsi="Verdana" w:cs="Verdana"/>
          <w:b/>
        </w:rPr>
        <w:t xml:space="preserve">5. What effect does online targeted advertising have on the political process, and what effects could it have in the future? Should there be additional regulation of political advertising? </w:t>
      </w:r>
    </w:p>
    <w:p w:rsidR="00FB0B24" w:rsidRPr="005B5CB6" w:rsidP="003255A4">
      <w:pPr>
        <w:numPr>
          <w:ilvl w:val="0"/>
          <w:numId w:val="57"/>
        </w:numPr>
        <w:spacing w:after="5" w:line="249" w:lineRule="auto"/>
        <w:ind w:left="361" w:right="12" w:hanging="360"/>
        <w:jc w:val="both"/>
        <w:rPr>
          <w:rFonts w:ascii="Verdana" w:hAnsi="Verdana"/>
        </w:rPr>
      </w:pPr>
      <w:r w:rsidRPr="005B5CB6">
        <w:rPr>
          <w:rFonts w:ascii="Verdana" w:eastAsia="Verdana" w:hAnsi="Verdana" w:cs="Verdana"/>
        </w:rPr>
        <w:t xml:space="preserve">Online advertising allows for very narrow distribution of material. Microtargeting allows campaigners to isolate individual political messages and display them to those that are most interested. This can be replicated multiple times within multiple different interest groups, and such fragmented campaigning reduces the ability of individual voters to compare policies and overall political messages of each advertiser.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7"/>
        </w:numPr>
        <w:spacing w:after="5" w:line="249" w:lineRule="auto"/>
        <w:ind w:left="361" w:right="12" w:hanging="360"/>
        <w:jc w:val="both"/>
        <w:rPr>
          <w:rFonts w:ascii="Verdana" w:hAnsi="Verdana"/>
        </w:rPr>
      </w:pPr>
      <w:r w:rsidRPr="005B5CB6">
        <w:rPr>
          <w:rFonts w:ascii="Verdana" w:eastAsia="Verdana" w:hAnsi="Verdana" w:cs="Verdana"/>
        </w:rPr>
        <w:t xml:space="preserve">The provenance of such advertising is also often difficult to identify, and even where it is identifiable, it can be unclear whether sources are legitimate or official. Much advertising is difficult to even distinguish as advertising, and may take the form of an interest group or page to be ‘joined’ or ‘liked’ seemingly run by ordinary citizens. Such tactics further erode trust in online political information, and enable misinformation to proliferate.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7"/>
        </w:numPr>
        <w:spacing w:after="5" w:line="249" w:lineRule="auto"/>
        <w:ind w:left="361" w:right="12" w:hanging="360"/>
        <w:jc w:val="both"/>
        <w:rPr>
          <w:rFonts w:ascii="Verdana" w:hAnsi="Verdana"/>
        </w:rPr>
      </w:pPr>
      <w:r w:rsidRPr="005B5CB6">
        <w:rPr>
          <w:rFonts w:ascii="Verdana" w:eastAsia="Verdana" w:hAnsi="Verdana" w:cs="Verdana"/>
        </w:rPr>
        <w:t xml:space="preserve">The fast pace of technological change is not matched by changes in regulation — which is now 20 years old. Any update to address specific instances of malpractice in recent referendums and elections runs the risk of quickly becoming out of date again. There is a risk that regulating to address current political advertising issues would be futile in reducing unscrupulous campaigning in a more digitally sophisticated future referendum or election. There cannot be a single digital catch-up, but rather a constant programme of evaluation and response.  </w:t>
      </w:r>
    </w:p>
    <w:p w:rsidR="00FB0B24" w:rsidRPr="005B5CB6" w:rsidP="003255A4">
      <w:pPr>
        <w:spacing w:after="197"/>
        <w:ind w:left="3"/>
        <w:jc w:val="both"/>
        <w:rPr>
          <w:rFonts w:ascii="Verdana" w:hAnsi="Verdana"/>
        </w:rPr>
      </w:pPr>
      <w:r w:rsidRPr="005B5CB6">
        <w:rPr>
          <w:rFonts w:ascii="Verdana" w:eastAsia="Verdana" w:hAnsi="Verdana" w:cs="Verdana"/>
          <w:b/>
          <w:color w:val="333333"/>
        </w:rPr>
        <w:t xml:space="preserve"> </w:t>
      </w:r>
    </w:p>
    <w:p w:rsidR="00FB0B24" w:rsidRPr="005B5CB6" w:rsidP="003255A4">
      <w:pPr>
        <w:spacing w:after="294"/>
        <w:ind w:left="3"/>
        <w:jc w:val="both"/>
        <w:rPr>
          <w:rFonts w:ascii="Verdana" w:hAnsi="Verdana"/>
        </w:rPr>
      </w:pPr>
      <w:r w:rsidRPr="005B5CB6">
        <w:rPr>
          <w:rFonts w:ascii="Verdana" w:eastAsia="Verdana" w:hAnsi="Verdana" w:cs="Verdana"/>
        </w:rPr>
        <w:t xml:space="preserve"> </w:t>
      </w:r>
    </w:p>
    <w:p w:rsidR="00FB0B24" w:rsidRPr="005B5CB6" w:rsidP="003255A4">
      <w:pPr>
        <w:spacing w:after="0"/>
        <w:ind w:left="363"/>
        <w:jc w:val="both"/>
        <w:rPr>
          <w:rFonts w:ascii="Verdana" w:hAnsi="Verdana"/>
        </w:rPr>
      </w:pPr>
      <w:r w:rsidRPr="005B5CB6">
        <w:rPr>
          <w:rFonts w:ascii="Verdana" w:eastAsia="Arial" w:hAnsi="Verdana" w:cs="Arial"/>
          <w:b/>
          <w:color w:val="333333"/>
        </w:rPr>
        <w:t xml:space="preserve"> </w:t>
      </w:r>
      <w:r w:rsidRPr="005B5CB6">
        <w:rPr>
          <w:rFonts w:ascii="Verdana" w:eastAsia="Arial" w:hAnsi="Verdana" w:cs="Arial"/>
          <w:b/>
          <w:color w:val="333333"/>
        </w:rPr>
        <w:tab/>
      </w:r>
      <w:r w:rsidRPr="005B5CB6">
        <w:rPr>
          <w:rFonts w:ascii="Verdana" w:eastAsia="Verdana" w:hAnsi="Verdana" w:cs="Verdana"/>
          <w:b/>
          <w:color w:val="333333"/>
        </w:rPr>
        <w:t xml:space="preserve"> </w:t>
      </w:r>
    </w:p>
    <w:p w:rsidR="00FB0B24" w:rsidRPr="005B5CB6" w:rsidP="003255A4">
      <w:pPr>
        <w:spacing w:after="287" w:line="250" w:lineRule="auto"/>
        <w:ind w:left="11" w:hanging="10"/>
        <w:jc w:val="both"/>
        <w:rPr>
          <w:rFonts w:ascii="Verdana" w:hAnsi="Verdana"/>
        </w:rPr>
      </w:pPr>
      <w:r w:rsidRPr="005B5CB6">
        <w:rPr>
          <w:rFonts w:ascii="Verdana" w:eastAsia="Verdana" w:hAnsi="Verdana" w:cs="Verdana"/>
          <w:b/>
        </w:rPr>
        <w:t xml:space="preserve">Privacy and anonymity </w:t>
      </w:r>
    </w:p>
    <w:p w:rsidR="00FB0B24" w:rsidRPr="005B5CB6" w:rsidP="003255A4">
      <w:pPr>
        <w:spacing w:after="5" w:line="311" w:lineRule="auto"/>
        <w:ind w:left="723" w:hanging="360"/>
        <w:jc w:val="both"/>
        <w:rPr>
          <w:rFonts w:ascii="Verdana" w:hAnsi="Verdana"/>
        </w:rPr>
      </w:pPr>
      <w:r w:rsidRPr="005B5CB6">
        <w:rPr>
          <w:rFonts w:ascii="Verdana" w:eastAsia="Verdana" w:hAnsi="Verdana" w:cs="Verdana"/>
          <w:b/>
        </w:rPr>
        <w:t>6.</w:t>
      </w:r>
      <w:r w:rsidRPr="005B5CB6">
        <w:rPr>
          <w:rFonts w:ascii="Verdana" w:eastAsia="Arial" w:hAnsi="Verdana" w:cs="Arial"/>
          <w:b/>
        </w:rPr>
        <w:t xml:space="preserve"> </w:t>
      </w:r>
      <w:r w:rsidRPr="005B5CB6">
        <w:rPr>
          <w:rFonts w:ascii="Verdana" w:eastAsia="Verdana" w:hAnsi="Verdana" w:cs="Verdana"/>
          <w:b/>
        </w:rPr>
        <w:t xml:space="preserve">To what extent does increasing use of encrypted messaging and private groups present a challenge to the democratic process?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There are two aspects to this question. While it apparently focuses on the use of encrypted messaging by private citizens, it is also worth considering how the use by elected politicians can present challenges to the democratic process.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In the US, in the wake of the 2016 DNC hack, political parties moved towards using more encrypted messaging tools (The Verge, 2017). Encrypted communications and good data security practice by candidates are important in minimising the risk of hostile hacks interfering with the ordinary process of an election.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But when candidates become office-holders, encrypted messages pose new questions for records management. As reported in Wired magazine, Whatsapp is used as an organisational tool by MPs in part because of a belief that it is safe from public disclosure: </w:t>
      </w:r>
      <w:r w:rsidRPr="005B5CB6">
        <w:rPr>
          <w:rFonts w:ascii="Verdana" w:eastAsia="Verdana" w:hAnsi="Verdana" w:cs="Verdana"/>
          <w:i/>
        </w:rPr>
        <w:t>“[M]ultiple MPs say they use it in the belief that conversations aren’t subject to Freedom of Information requests – in fact, WhatsApp messages are still subjected to FOIA if they concern government business”.</w:t>
      </w:r>
      <w:r w:rsidRPr="005B5CB6">
        <w:rPr>
          <w:rFonts w:ascii="Verdana" w:eastAsia="Verdana" w:hAnsi="Verdana" w:cs="Verdana"/>
        </w:rPr>
        <w:t xml:space="preserve"> Indeed, in Ireland there has been a successful FOI request for Whatsapp conversations between government communications staff (Wired, 2019).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Where encrypted messaging platforms are used to attempt to avoid mechanisms of accountability and transparency, this presents a challenge to the democratic process.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Turning to the use of private groups by citizens, this is a complicated issue. Concerns are rooted in stories of how services like Whatsapp are used in other countries: however, this is missing the important effect of local culture on technology. The use of WhatsApp and the internet in general can be radically different in contexts abroad, compared to the UK.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As explored in mySociety research examining the availability of parliamentary information in various countries in Sub Saharan Africa, high use of Whatsapp and other social networks is driven by differences in the cost of data, where special data plans that cheaply give access to social networks can in part explain big differences in engagement with the internet (Rumbul </w:t>
      </w:r>
      <w:r w:rsidRPr="005B5CB6">
        <w:rPr>
          <w:rFonts w:ascii="Verdana" w:eastAsia="Verdana" w:hAnsi="Verdana" w:cs="Verdana"/>
          <w:i/>
        </w:rPr>
        <w:t>et al</w:t>
      </w:r>
      <w:r w:rsidRPr="005B5CB6">
        <w:rPr>
          <w:rFonts w:ascii="Verdana" w:eastAsia="Verdana" w:hAnsi="Verdana" w:cs="Verdana"/>
        </w:rPr>
        <w:t xml:space="preserve">, 2018). In the UK it is not currently common to be engaged in multiple group chats with large memberships, whereas it is an important part of how information travels in Kenya and Nigeria.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In Hassan and Cheeseman’s study of Whatsapp in Nigeria they found high levels of overlap between the private group chats people were in and their existing networks — often replicating </w:t>
      </w:r>
      <w:r w:rsidRPr="005B5CB6">
        <w:rPr>
          <w:rFonts w:ascii="Verdana" w:eastAsia="Verdana" w:hAnsi="Verdana" w:cs="Verdana"/>
          <w:i/>
        </w:rPr>
        <w:t>“existing clientelistic networks”</w:t>
      </w:r>
      <w:r w:rsidRPr="005B5CB6">
        <w:rPr>
          <w:rFonts w:ascii="Verdana" w:eastAsia="Verdana" w:hAnsi="Verdana" w:cs="Verdana"/>
        </w:rPr>
        <w:t xml:space="preserve"> in a way that amplified </w:t>
      </w:r>
      <w:r w:rsidRPr="005B5CB6">
        <w:rPr>
          <w:rFonts w:ascii="Verdana" w:eastAsia="Verdana" w:hAnsi="Verdana" w:cs="Verdana"/>
          <w:i/>
        </w:rPr>
        <w:t xml:space="preserve">“the significance and influence of networks that already exist within Nigerian politics and society”.  </w:t>
      </w:r>
    </w:p>
    <w:p w:rsidR="00FB0B24" w:rsidRPr="005B5CB6" w:rsidP="003255A4">
      <w:pPr>
        <w:spacing w:after="0"/>
        <w:ind w:left="360"/>
        <w:jc w:val="both"/>
        <w:rPr>
          <w:rFonts w:ascii="Verdana" w:hAnsi="Verdana"/>
        </w:rPr>
      </w:pPr>
      <w:r w:rsidRPr="005B5CB6">
        <w:rPr>
          <w:rFonts w:ascii="Verdana" w:eastAsia="Verdana" w:hAnsi="Verdana" w:cs="Verdana"/>
          <w:i/>
        </w:rPr>
        <w:t xml:space="preserve">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For instance, one of the more bizarre examples of the rumours that spread on these networks was the idea that President Buhari had been replaced by a clone or imposter while under care in London. Hassan and Cheeseman contextualise this rumour, pointing out the role of influential figures in validating it, and recent history of a president disappearing from public view with an illness and never re-emerging. They argue that messages that </w:t>
      </w:r>
      <w:r w:rsidRPr="005B5CB6">
        <w:rPr>
          <w:rFonts w:ascii="Verdana" w:eastAsia="Verdana" w:hAnsi="Verdana" w:cs="Verdana"/>
          <w:i/>
        </w:rPr>
        <w:t>“are seen to be credible are those that resonate with individuals because they contain an element of the truth, or play on recent experiences.</w:t>
      </w:r>
      <w:r w:rsidRPr="005B5CB6">
        <w:rPr>
          <w:rFonts w:ascii="Verdana" w:eastAsia="Verdana" w:hAnsi="Verdana" w:cs="Verdana"/>
        </w:rPr>
        <w:t xml:space="preserve">” Misinformation is at its most dangerous when it is plausible, but this is also the situation where </w:t>
      </w:r>
      <w:r w:rsidRPr="005B5CB6">
        <w:rPr>
          <w:rFonts w:ascii="Verdana" w:eastAsia="Verdana" w:hAnsi="Verdana" w:cs="Verdana"/>
        </w:rPr>
        <w:t xml:space="preserve">it is hardest for platforms (and for citizens in general) to distinguish between rumours and fact.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The part played by Whatsapp in a wave of lynchings in India similarly has to be contextualised in the broader picture of vigilante violence. As Chinmayi Arun (2019) points out, there is also a recent history of both a migration triggered by rumours and threats of violence circulating over text message, and riots and a previous lynching attributed to Facebook.  Alongside this are </w:t>
      </w:r>
      <w:r w:rsidRPr="005B5CB6">
        <w:rPr>
          <w:rFonts w:ascii="Verdana" w:eastAsia="Verdana" w:hAnsi="Verdana" w:cs="Verdana"/>
          <w:i/>
        </w:rPr>
        <w:t>“occasions in which a cow carcass has triggered violence, incidents in which trucks have been attacked because they were carrying buffalo tallow, and that Dalits have been attacked for skinning a dead cow”.</w:t>
      </w:r>
      <w:r w:rsidRPr="005B5CB6">
        <w:rPr>
          <w:rFonts w:ascii="Verdana" w:eastAsia="Verdana" w:hAnsi="Verdana" w:cs="Verdana"/>
        </w:rPr>
        <w:t xml:space="preserve"> Vigilante violence in India is clearly related to factors that go beyond the particular nature of Whatsapp’s communication model.</w:t>
      </w:r>
      <w:r w:rsidRPr="005B5CB6">
        <w:rPr>
          <w:rFonts w:ascii="Verdana" w:eastAsia="Verdana" w:hAnsi="Verdana" w:cs="Verdana"/>
          <w:i/>
        </w:rPr>
        <w:t xml:space="preserve"> </w:t>
      </w:r>
    </w:p>
    <w:p w:rsidR="00FB0B24" w:rsidRPr="005B5CB6" w:rsidP="003255A4">
      <w:pPr>
        <w:spacing w:after="0"/>
        <w:ind w:left="360"/>
        <w:jc w:val="both"/>
        <w:rPr>
          <w:rFonts w:ascii="Verdana" w:hAnsi="Verdana"/>
        </w:rPr>
      </w:pPr>
      <w:r w:rsidRPr="005B5CB6">
        <w:rPr>
          <w:rFonts w:ascii="Verdana" w:eastAsia="Verdana" w:hAnsi="Verdana" w:cs="Verdana"/>
          <w:i/>
        </w:rPr>
        <w:t xml:space="preserve">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To return this picture to the UK, the growth of private messaging social media will not have the same effect as it has in other countries: it will have distinct effects — both positive and negative — rooted in the problems already manifest in the culture. That said, some aspects are universal: describing the role of Whatsapp groups on politics in India, a Guardian article says that </w:t>
      </w:r>
      <w:r w:rsidRPr="005B5CB6">
        <w:rPr>
          <w:rFonts w:ascii="Verdana" w:eastAsia="Verdana" w:hAnsi="Verdana" w:cs="Verdana"/>
          <w:i/>
        </w:rPr>
        <w:t xml:space="preserve">“significant parts of society are kept in a constant state of tension and polarisation, a state exacerbated by the algorithms that privilege outrage over nuance” </w:t>
      </w:r>
      <w:r w:rsidRPr="005B5CB6">
        <w:rPr>
          <w:rFonts w:ascii="Verdana" w:eastAsia="Verdana" w:hAnsi="Verdana" w:cs="Verdana"/>
        </w:rPr>
        <w:t>(The Guardian, 2019)</w:t>
      </w:r>
      <w:r w:rsidRPr="005B5CB6">
        <w:rPr>
          <w:rFonts w:ascii="Verdana" w:eastAsia="Verdana" w:hAnsi="Verdana" w:cs="Verdana"/>
          <w:i/>
        </w:rPr>
        <w:t>.</w:t>
      </w:r>
      <w:r w:rsidRPr="005B5CB6">
        <w:rPr>
          <w:rFonts w:ascii="Verdana" w:eastAsia="Verdana" w:hAnsi="Verdana" w:cs="Verdana"/>
        </w:rPr>
        <w:t xml:space="preserve"> But this description applies far beyond India and Whatsapp, and could equally apply to cable news in the United States, or newspapers in the UK.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Established media organisations are at least technically regulatable, while it is unclear how this could be managed for private groups. However, this is a distinction without a practical difference. In reality there is a reluctance to regulate news organisations to the extent required to counteract their worst effects because of the belief that this would inevitably harm their positive effects. If it was practically possible to moderate content on private groups, this precedent suggests that, in reality, policy makers would decline heavyhanded use of it because of the positive uses of the service such action would interfere with.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58"/>
        </w:numPr>
        <w:spacing w:after="2" w:line="249" w:lineRule="auto"/>
        <w:ind w:right="12" w:hanging="367"/>
        <w:jc w:val="both"/>
        <w:rPr>
          <w:rFonts w:ascii="Verdana" w:hAnsi="Verdana"/>
        </w:rPr>
      </w:pPr>
      <w:r w:rsidRPr="005B5CB6">
        <w:rPr>
          <w:rFonts w:ascii="Verdana" w:eastAsia="Verdana" w:hAnsi="Verdana" w:cs="Verdana"/>
        </w:rPr>
        <w:t xml:space="preserve">Hassan and Cheeseman argue that the private messaging ecosystem also had numerous positive uses in the Nigerian context, both for the political process and ordinary citizens: </w:t>
      </w:r>
      <w:r w:rsidRPr="005B5CB6">
        <w:rPr>
          <w:rFonts w:ascii="Verdana" w:eastAsia="Verdana" w:hAnsi="Verdana" w:cs="Verdana"/>
          <w:i/>
        </w:rPr>
        <w:t>“WhatsApp is used to both spread disinformation and to counter it. The private messenger application is also used to observe elections and to share fact-checked information. It therefore represents a competitive information environment that may spread misinformation but also levels the playing field between the ruling party and the opposition and can be used to boost electoral transparency and accountability.”</w:t>
      </w:r>
      <w:r w:rsidRPr="005B5CB6">
        <w:rPr>
          <w:rFonts w:ascii="Verdana" w:eastAsia="Verdana" w:hAnsi="Verdana" w:cs="Verdana"/>
        </w:rPr>
        <w:t xml:space="preserve">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Public policy may have to adapt to the fact that large numbers of people conducting their lives and communications in ways that are observable (and subject to mass surveillance) is not a permanent development, but a feature of a relatively small period of time at the start of the 21st century. People may revert to talking in the relative privacy of small personal and professional </w:t>
      </w:r>
      <w:r w:rsidRPr="005B5CB6">
        <w:rPr>
          <w:rFonts w:ascii="Verdana" w:eastAsia="Verdana" w:hAnsi="Verdana" w:cs="Verdana"/>
        </w:rPr>
        <w:t xml:space="preserve">groups —  just as they had done before. Communication may be faster, but ultimately these groups contain many of the same participants talking about the same things.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The historian Matthew Lockwood argues that despite advances in forensic science, most modern homicide cases are solved in the same way they were in the early-modern period, through witness evidence (Lockwood, 2017).  Similarly, while encrypted messages are technically impenetrable, in reality the people sending and receiving the messages continue to be the weakest point. Private group chats, whether between teenagers or MPs, are frequently leaked via screenshots. In Nigeria, the major political parties accept that “moles” are likely to be present on group chats — because otherwise they could not be public enough to share the messages needed.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One problem with Whatsapp is that while the maximum group size is large (256 people), it is also small, in that to reach a truly mass audience, messages have to be shared through multiple groups. This means that attribution quickly gets lost and the original author of a message is difficult to determine. However, this is also effectively the case here in the UK, given how screenshots jump between social media services. This also means messages have to pass through multiple gate-keepers to reach a mass audience: if poorly designed, a single algorithm cannot show content to millions of voters: thousands of people have to make the decision to share the information.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58"/>
        </w:numPr>
        <w:spacing w:after="5" w:line="249" w:lineRule="auto"/>
        <w:ind w:right="12" w:hanging="367"/>
        <w:jc w:val="both"/>
        <w:rPr>
          <w:rFonts w:ascii="Verdana" w:hAnsi="Verdana"/>
        </w:rPr>
      </w:pPr>
      <w:r w:rsidRPr="005B5CB6">
        <w:rPr>
          <w:rFonts w:ascii="Verdana" w:eastAsia="Verdana" w:hAnsi="Verdana" w:cs="Verdana"/>
        </w:rPr>
        <w:t xml:space="preserve">In short, increased use of encrypted group chats in the UK will present some new challenges, but also new opportunities. The privacy features of encrypted communications have benefits in increasing the security of ordinary citizens and political candidates from hostile action, and any attempt to degrade that encryption would open up citizens to greater risk of fraud, and the electoral process to greater risk of interference.  </w:t>
      </w:r>
      <w:r w:rsidRPr="005B5CB6">
        <w:rPr>
          <w:rFonts w:ascii="Verdana" w:eastAsia="Arial" w:hAnsi="Verdana" w:cs="Arial"/>
          <w:b/>
          <w:color w:val="333333"/>
        </w:rPr>
        <w:t xml:space="preserve"> </w:t>
      </w:r>
      <w:r w:rsidRPr="005B5CB6">
        <w:rPr>
          <w:rFonts w:ascii="Verdana" w:eastAsia="Arial" w:hAnsi="Verdana" w:cs="Arial"/>
          <w:b/>
          <w:color w:val="333333"/>
        </w:rPr>
        <w:tab/>
      </w:r>
      <w:r w:rsidRPr="005B5CB6">
        <w:rPr>
          <w:rFonts w:ascii="Verdana" w:eastAsia="Verdana" w:hAnsi="Verdana" w:cs="Verdana"/>
          <w:b/>
          <w:color w:val="333333"/>
        </w:rPr>
        <w:t xml:space="preserve"> </w:t>
      </w:r>
    </w:p>
    <w:p w:rsidR="00FB0B24" w:rsidRPr="005B5CB6" w:rsidP="003255A4">
      <w:pPr>
        <w:spacing w:after="5" w:line="311" w:lineRule="auto"/>
        <w:ind w:left="723" w:hanging="360"/>
        <w:jc w:val="both"/>
        <w:rPr>
          <w:rFonts w:ascii="Verdana" w:hAnsi="Verdana"/>
        </w:rPr>
      </w:pPr>
      <w:r w:rsidRPr="005B5CB6">
        <w:rPr>
          <w:rFonts w:ascii="Verdana" w:eastAsia="Verdana" w:hAnsi="Verdana" w:cs="Verdana"/>
          <w:b/>
        </w:rPr>
        <w:t>7.</w:t>
      </w:r>
      <w:r w:rsidRPr="005B5CB6">
        <w:rPr>
          <w:rFonts w:ascii="Verdana" w:eastAsia="Arial" w:hAnsi="Verdana" w:cs="Arial"/>
          <w:b/>
        </w:rPr>
        <w:t xml:space="preserve"> </w:t>
      </w:r>
      <w:r w:rsidRPr="005B5CB6">
        <w:rPr>
          <w:rFonts w:ascii="Verdana" w:eastAsia="Verdana" w:hAnsi="Verdana" w:cs="Verdana"/>
          <w:b/>
        </w:rPr>
        <w:t xml:space="preserve">What are the positive or negative effects of anonymity on online democratic discourse? </w:t>
      </w:r>
    </w:p>
    <w:p w:rsidR="00FB0B24" w:rsidRPr="005B5CB6" w:rsidP="003255A4">
      <w:pPr>
        <w:numPr>
          <w:ilvl w:val="0"/>
          <w:numId w:val="59"/>
        </w:numPr>
        <w:spacing w:after="5" w:line="249" w:lineRule="auto"/>
        <w:ind w:left="361" w:right="12" w:hanging="360"/>
        <w:jc w:val="both"/>
        <w:rPr>
          <w:rFonts w:ascii="Verdana" w:hAnsi="Verdana"/>
        </w:rPr>
      </w:pPr>
      <w:r w:rsidRPr="005B5CB6">
        <w:rPr>
          <w:rFonts w:ascii="Verdana" w:eastAsia="Verdana" w:hAnsi="Verdana" w:cs="Verdana"/>
        </w:rPr>
        <w:t xml:space="preserve">Anonymity in online political discourse has positive and negative aspects, both enabling engagement for individuals for whom privacy is essential to their personal safety, and concealing the identities of those pursuing more harmful goals. Research has shown that anonymity in itself does not </w:t>
      </w:r>
      <w:r w:rsidRPr="005B5CB6">
        <w:rPr>
          <w:rFonts w:ascii="Verdana" w:eastAsia="Verdana" w:hAnsi="Verdana" w:cs="Verdana"/>
          <w:i/>
        </w:rPr>
        <w:t>necessarily</w:t>
      </w:r>
      <w:r w:rsidRPr="005B5CB6">
        <w:rPr>
          <w:rFonts w:ascii="Verdana" w:eastAsia="Verdana" w:hAnsi="Verdana" w:cs="Verdana"/>
        </w:rPr>
        <w:t xml:space="preserve"> have an egregious effect on political discourse, and it is rather the controversiality of the issue being debated that inflames tensions (Berg, 2016); however, other studies have shown that the likelihood of escalation in language and personal attacks online increases where anonymity is provided (Rowe, 2015). These are just two of many studies concerning anonymity and political discourse online which appear to conflict in their conclusions: differences in experimentation, methodology and participant culture account for such varied results. As with many questions concerning this subject, the answer is neither net positive or negative, but a matter of nuance, affected by cultural norms.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59"/>
        </w:numPr>
        <w:spacing w:after="5" w:line="249" w:lineRule="auto"/>
        <w:ind w:left="361" w:right="12" w:hanging="360"/>
        <w:jc w:val="both"/>
        <w:rPr>
          <w:rFonts w:ascii="Verdana" w:hAnsi="Verdana"/>
        </w:rPr>
      </w:pPr>
      <w:r w:rsidRPr="005B5CB6">
        <w:rPr>
          <w:rFonts w:ascii="Verdana" w:eastAsia="Verdana" w:hAnsi="Verdana" w:cs="Verdana"/>
        </w:rPr>
        <w:t xml:space="preserve">Away from the social media aspect of political discourse, it is important to raise the issue of anonymity in the sourcing of legitimate information for public distribution. Freedom of Information law, for example, may be used in the </w:t>
      </w:r>
      <w:r w:rsidRPr="005B5CB6">
        <w:rPr>
          <w:rFonts w:ascii="Verdana" w:eastAsia="Verdana" w:hAnsi="Verdana" w:cs="Verdana"/>
        </w:rPr>
        <w:t xml:space="preserve">public interest by those with good reason not to use their real names, such as whistleblowers within public bodies. While it is understood that the code of practice must reflect the law, the code should note the Information Commissioner’s guidance on what constitutes a “real name” (again in its document on recognising a Freedom of Information request) and promote the fact that a request can be made using a maiden name, any name by which you are “widely known and/or is regularly used”, or the name of an organisation / a company. Public bodies regularly ask for a requestor’s name when requests are submitted in the name of organisations, and this is not technically required. </w:t>
      </w:r>
    </w:p>
    <w:p w:rsidR="00FB0B24" w:rsidRPr="005B5CB6" w:rsidP="003255A4">
      <w:pPr>
        <w:spacing w:after="294"/>
        <w:ind w:left="3"/>
        <w:jc w:val="both"/>
        <w:rPr>
          <w:rFonts w:ascii="Verdana" w:hAnsi="Verdana"/>
        </w:rPr>
      </w:pPr>
      <w:r w:rsidRPr="005B5CB6">
        <w:rPr>
          <w:rFonts w:ascii="Verdana" w:eastAsia="Verdana" w:hAnsi="Verdana" w:cs="Verdana"/>
        </w:rPr>
        <w:t xml:space="preserve"> </w:t>
      </w:r>
    </w:p>
    <w:p w:rsidR="00FB0B24" w:rsidRPr="005B5CB6" w:rsidP="003255A4">
      <w:pPr>
        <w:spacing w:after="0"/>
        <w:ind w:left="363"/>
        <w:jc w:val="both"/>
        <w:rPr>
          <w:rFonts w:ascii="Verdana" w:hAnsi="Verdana"/>
        </w:rPr>
      </w:pP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b/>
        </w:rPr>
        <w:t xml:space="preserve"> </w:t>
      </w:r>
    </w:p>
    <w:p w:rsidR="00FB0B24" w:rsidRPr="005B5CB6" w:rsidP="003255A4">
      <w:pPr>
        <w:spacing w:after="276"/>
        <w:ind w:left="3"/>
        <w:jc w:val="both"/>
        <w:rPr>
          <w:rFonts w:ascii="Verdana" w:hAnsi="Verdana"/>
        </w:rPr>
      </w:pPr>
      <w:r w:rsidRPr="005B5CB6">
        <w:rPr>
          <w:rFonts w:ascii="Verdana" w:eastAsia="Verdana" w:hAnsi="Verdana" w:cs="Verdana"/>
          <w:b/>
        </w:rPr>
        <w:t xml:space="preserve"> </w:t>
      </w:r>
    </w:p>
    <w:p w:rsidR="00FB0B24" w:rsidRPr="005B5CB6" w:rsidP="003255A4">
      <w:pPr>
        <w:spacing w:after="290" w:line="250" w:lineRule="auto"/>
        <w:ind w:left="11" w:hanging="10"/>
        <w:jc w:val="both"/>
        <w:rPr>
          <w:rFonts w:ascii="Verdana" w:hAnsi="Verdana"/>
        </w:rPr>
      </w:pPr>
      <w:r w:rsidRPr="005B5CB6">
        <w:rPr>
          <w:rFonts w:ascii="Verdana" w:eastAsia="Verdana" w:hAnsi="Verdana" w:cs="Verdana"/>
          <w:b/>
        </w:rPr>
        <w:t xml:space="preserve">Democratic debate </w:t>
      </w:r>
    </w:p>
    <w:p w:rsidR="00FB0B24" w:rsidRPr="005B5CB6" w:rsidP="003255A4">
      <w:pPr>
        <w:spacing w:after="5" w:line="311" w:lineRule="auto"/>
        <w:ind w:left="723" w:hanging="360"/>
        <w:jc w:val="both"/>
        <w:rPr>
          <w:rFonts w:ascii="Verdana" w:hAnsi="Verdana"/>
        </w:rPr>
      </w:pPr>
      <w:r w:rsidRPr="005B5CB6">
        <w:rPr>
          <w:rFonts w:ascii="Verdana" w:eastAsia="Verdana" w:hAnsi="Verdana" w:cs="Verdana"/>
          <w:b/>
        </w:rPr>
        <w:t>8.</w:t>
      </w:r>
      <w:r w:rsidRPr="005B5CB6">
        <w:rPr>
          <w:rFonts w:ascii="Verdana" w:eastAsia="Arial" w:hAnsi="Verdana" w:cs="Arial"/>
          <w:b/>
        </w:rPr>
        <w:t xml:space="preserve"> </w:t>
      </w:r>
      <w:r w:rsidRPr="005B5CB6">
        <w:rPr>
          <w:rFonts w:ascii="Verdana" w:eastAsia="Verdana" w:hAnsi="Verdana" w:cs="Verdana"/>
          <w:b/>
        </w:rPr>
        <w:t xml:space="preserve">To what extent does social media negatively shape public debate, either through encouraging polarisation or through abuse deterring individuals from engaging in public life? </w:t>
      </w:r>
    </w:p>
    <w:p w:rsidR="00FB0B24" w:rsidRPr="005B5CB6" w:rsidP="003255A4">
      <w:pPr>
        <w:numPr>
          <w:ilvl w:val="0"/>
          <w:numId w:val="60"/>
        </w:numPr>
        <w:spacing w:after="5" w:line="249" w:lineRule="auto"/>
        <w:ind w:left="721" w:right="12" w:hanging="720"/>
        <w:jc w:val="both"/>
        <w:rPr>
          <w:rFonts w:ascii="Verdana" w:hAnsi="Verdana"/>
        </w:rPr>
      </w:pPr>
      <w:r w:rsidRPr="005B5CB6">
        <w:rPr>
          <w:rFonts w:ascii="Verdana" w:eastAsia="Verdana" w:hAnsi="Verdana" w:cs="Verdana"/>
        </w:rPr>
        <w:t xml:space="preserve">Social media can have both a cooling and heating effect on public democratic debate. The heating effect can be seemingly spontaneous and frenzied, arising in response to a specific incident or statement, and can quickly be blown out of all proportion. The way in which platforms — in particular Twitter — are designed, means that individuals can quickly come to crave the immediate gratification that comes with mass online engagement on a specific issue. These platforms are designed to appeal to our pleasure receptors, and it is therefore unsurprising that individuals can lose some sense of proportion when language and engagement escalate online. Often, escalation leads to a polarisation of views, and increasingly toxic language can emerge. The voices that shout the loudest and longest tend to monopolise headlines, whether or not those voices are factual or the headlines are favourable, and this gives broader media coverage to factually inaccurate or opinion-based stories. This further fuels polarisation, and acts as a deterrent to moderate voices.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60"/>
        </w:numPr>
        <w:spacing w:after="292" w:line="249" w:lineRule="auto"/>
        <w:ind w:left="721" w:right="12" w:hanging="720"/>
        <w:jc w:val="both"/>
        <w:rPr>
          <w:rFonts w:ascii="Verdana" w:hAnsi="Verdana"/>
        </w:rPr>
      </w:pPr>
      <w:r w:rsidRPr="005B5CB6">
        <w:rPr>
          <w:rFonts w:ascii="Verdana" w:eastAsia="Verdana" w:hAnsi="Verdana" w:cs="Verdana"/>
        </w:rPr>
        <w:t xml:space="preserve">The well publicised ‘sinister’ side of social media has had an understandable cooling effect on debate, both in terms of politicians refusing to make statements or give opinions, and in terms of individuals declining to become involved in public life at all in order to avoid the almost inevitable online abuse so commonly experienced by politicians in the UK. This increasing reticence to be subjected to the rigours of social media is already cited by many individuals, women and minorities in particular, for deciding against pursuing roles in public office. Where once the confrontational nature of the House of Commons was often cited as unappealing to politically underrepresented individuals in pursuing a career in politics, now, it is the potential for relentless social media abuse that deters high calibre individuals from the House. The social media deterrent to engaging in public life should be taken very seriously, as the likely effect will be to reduce </w:t>
      </w:r>
      <w:r w:rsidRPr="005B5CB6">
        <w:rPr>
          <w:rFonts w:ascii="Verdana" w:eastAsia="Verdana" w:hAnsi="Verdana" w:cs="Verdana"/>
        </w:rPr>
        <w:t xml:space="preserve">diversity and meaningful representation in the House of Commons, with a correlating impact on the quality and appropriateness of legislation.    </w:t>
      </w:r>
    </w:p>
    <w:p w:rsidR="00FB0B24" w:rsidRPr="005B5CB6" w:rsidP="003255A4">
      <w:pPr>
        <w:numPr>
          <w:ilvl w:val="1"/>
          <w:numId w:val="60"/>
        </w:numPr>
        <w:spacing w:after="219" w:line="310" w:lineRule="auto"/>
        <w:ind w:hanging="360"/>
        <w:jc w:val="both"/>
        <w:rPr>
          <w:rFonts w:ascii="Verdana" w:hAnsi="Verdana"/>
        </w:rPr>
      </w:pPr>
      <w:r w:rsidRPr="005B5CB6">
        <w:rPr>
          <w:rFonts w:ascii="Verdana" w:eastAsia="Verdana" w:hAnsi="Verdana" w:cs="Verdana"/>
          <w:b/>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3255A4">
      <w:pPr>
        <w:spacing w:after="29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60"/>
        </w:numPr>
        <w:spacing w:after="292" w:line="250" w:lineRule="auto"/>
        <w:ind w:left="721" w:right="12" w:hanging="720"/>
        <w:jc w:val="both"/>
        <w:rPr>
          <w:rFonts w:ascii="Verdana" w:hAnsi="Verdana"/>
        </w:rPr>
      </w:pPr>
      <w:r w:rsidRPr="005B5CB6">
        <w:rPr>
          <w:rFonts w:ascii="Verdana" w:eastAsia="Verdana" w:hAnsi="Verdana" w:cs="Verdana"/>
        </w:rPr>
        <w:t xml:space="preserve">N/A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spacing w:after="0"/>
        <w:ind w:left="363"/>
        <w:jc w:val="both"/>
        <w:rPr>
          <w:rFonts w:ascii="Verdana" w:hAnsi="Verdana"/>
        </w:rPr>
      </w:pPr>
      <w:r w:rsidRPr="005B5CB6">
        <w:rPr>
          <w:rFonts w:ascii="Verdana" w:eastAsia="Arial" w:hAnsi="Verdana" w:cs="Arial"/>
          <w:b/>
          <w:color w:val="333333"/>
        </w:rPr>
        <w:t xml:space="preserve"> </w:t>
      </w:r>
      <w:r w:rsidRPr="005B5CB6">
        <w:rPr>
          <w:rFonts w:ascii="Verdana" w:eastAsia="Arial" w:hAnsi="Verdana" w:cs="Arial"/>
          <w:b/>
          <w:color w:val="333333"/>
        </w:rPr>
        <w:tab/>
      </w:r>
      <w:r w:rsidRPr="005B5CB6">
        <w:rPr>
          <w:rFonts w:ascii="Verdana" w:eastAsia="Verdana" w:hAnsi="Verdana" w:cs="Verdana"/>
          <w:b/>
          <w:color w:val="333333"/>
        </w:rPr>
        <w:t xml:space="preserve"> </w:t>
      </w:r>
      <w:r w:rsidRPr="005B5CB6">
        <w:rPr>
          <w:rFonts w:ascii="Verdana" w:hAnsi="Verdana"/>
        </w:rPr>
        <w:br w:type="page"/>
      </w:r>
    </w:p>
    <w:p w:rsidR="00FB0B24" w:rsidRPr="005B5CB6" w:rsidP="003255A4">
      <w:pPr>
        <w:spacing w:after="287" w:line="250" w:lineRule="auto"/>
        <w:ind w:left="11" w:hanging="10"/>
        <w:jc w:val="both"/>
        <w:rPr>
          <w:rFonts w:ascii="Verdana" w:hAnsi="Verdana"/>
        </w:rPr>
      </w:pPr>
      <w:r w:rsidRPr="005B5CB6">
        <w:rPr>
          <w:rFonts w:ascii="Verdana" w:eastAsia="Verdana" w:hAnsi="Verdana" w:cs="Verdana"/>
          <w:b/>
        </w:rPr>
        <w:t xml:space="preserve">Misinformation </w:t>
      </w:r>
    </w:p>
    <w:p w:rsidR="00FB0B24" w:rsidRPr="005B5CB6" w:rsidP="003255A4">
      <w:pPr>
        <w:numPr>
          <w:ilvl w:val="1"/>
          <w:numId w:val="60"/>
        </w:numPr>
        <w:spacing w:after="5" w:line="311" w:lineRule="auto"/>
        <w:ind w:hanging="360"/>
        <w:jc w:val="both"/>
        <w:rPr>
          <w:rFonts w:ascii="Verdana" w:hAnsi="Verdana"/>
        </w:rPr>
      </w:pPr>
      <w:r w:rsidRPr="005B5CB6">
        <w:rPr>
          <w:rFonts w:ascii="Verdana" w:eastAsia="Verdana" w:hAnsi="Verdana" w:cs="Verdana"/>
          <w:b/>
        </w:rPr>
        <w:t xml:space="preserve">What might be the best ways of reducing the effects of misinformation on social media platforms? </w:t>
      </w:r>
    </w:p>
    <w:p w:rsidR="00FB0B24" w:rsidRPr="005B5CB6" w:rsidP="003255A4">
      <w:pPr>
        <w:numPr>
          <w:ilvl w:val="0"/>
          <w:numId w:val="61"/>
        </w:numPr>
        <w:spacing w:after="5" w:line="249" w:lineRule="auto"/>
        <w:ind w:left="361" w:right="12" w:hanging="360"/>
        <w:jc w:val="both"/>
        <w:rPr>
          <w:rFonts w:ascii="Verdana" w:hAnsi="Verdana"/>
        </w:rPr>
      </w:pPr>
      <w:r w:rsidRPr="005B5CB6">
        <w:rPr>
          <w:rFonts w:ascii="Verdana" w:eastAsia="Verdana" w:hAnsi="Verdana" w:cs="Verdana"/>
        </w:rPr>
        <w:t xml:space="preserve">The fundamental issue with misinformation, whether online or offline, is the difficulty in disseminating the corrected facts sufficiently to reach all those that consumed the misinformation, and to persuade them of the veracity and legitimacy of the correction. The medical sector has spent 20 years and countless hours of campaigning in an attempt to persuade individuals that the MMR jab is, in fact, safe and not a cause of autism in children. However, the original erroneous claim that the jab is not safe retains some of its potency to this day, resulting in lower levels of take up and increases in infection. While anti-vaccination messaging and communities flourish on social media, it is important to remember that initial MMR stories were supported by mainstream newspapers. Social media is not unique in spreading misinformation, and ‘Information’, once published and reported on, takes on a life of its own and cannot easily be retracted or corrected.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61"/>
        </w:numPr>
        <w:spacing w:after="5" w:line="249" w:lineRule="auto"/>
        <w:ind w:left="361" w:right="12" w:hanging="360"/>
        <w:jc w:val="both"/>
        <w:rPr>
          <w:rFonts w:ascii="Verdana" w:hAnsi="Verdana"/>
        </w:rPr>
      </w:pPr>
      <w:r w:rsidRPr="005B5CB6">
        <w:rPr>
          <w:rFonts w:ascii="Verdana" w:eastAsia="Verdana" w:hAnsi="Verdana" w:cs="Verdana"/>
        </w:rPr>
        <w:t xml:space="preserve">Social media platforms are able to design algorithms that vary the presentation of political information, and studies have shown (Bode &amp; Vraga, 2015) that presenting the same story to users with and without misinformation reduces the likelihood of the erroneous story being believed. This does, however, rely on the platform presenting the right kind of information, and consumers reading multiple sources thoroughly. When compared, the use of sources within stories referencing facts has been shown to increase the perception of the validity of information consumed online (Vraga &amp; Bode, 2018); however, the absence of such sources without a comparative opportunity does not significantly negatively impact upon the perception of validity, demonstrating that individuals do not actively critique the validity of source references unless comparing two stories. Again, this validity test only works where the consumer is sufficiently interested in a subject to read multiple stories on the same subject.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61"/>
        </w:numPr>
        <w:spacing w:after="5" w:line="249" w:lineRule="auto"/>
        <w:ind w:left="361" w:right="12" w:hanging="360"/>
        <w:jc w:val="both"/>
        <w:rPr>
          <w:rFonts w:ascii="Verdana" w:hAnsi="Verdana"/>
        </w:rPr>
      </w:pPr>
      <w:r w:rsidRPr="005B5CB6">
        <w:rPr>
          <w:rFonts w:ascii="Verdana" w:eastAsia="Verdana" w:hAnsi="Verdana" w:cs="Verdana"/>
        </w:rPr>
        <w:t xml:space="preserve">A relatively simple requirement for online platforms to alert readers to the lack of citations (much like Wikipedia) contained within political content may go some way to encouraging more critical assessment of online information.   </w:t>
      </w:r>
    </w:p>
    <w:p w:rsidR="00FB0B24" w:rsidRPr="005B5CB6" w:rsidP="003255A4">
      <w:pPr>
        <w:spacing w:after="294"/>
        <w:ind w:left="3"/>
        <w:jc w:val="both"/>
        <w:rPr>
          <w:rFonts w:ascii="Verdana" w:hAnsi="Verdana"/>
        </w:rPr>
      </w:pPr>
      <w:r w:rsidRPr="005B5CB6">
        <w:rPr>
          <w:rFonts w:ascii="Verdana" w:eastAsia="Verdana" w:hAnsi="Verdana" w:cs="Verdana"/>
        </w:rPr>
        <w:t xml:space="preserve"> </w:t>
      </w:r>
    </w:p>
    <w:p w:rsidR="00FB0B24" w:rsidRPr="005B5CB6" w:rsidP="003255A4">
      <w:pPr>
        <w:spacing w:after="0"/>
        <w:ind w:left="363"/>
        <w:jc w:val="both"/>
        <w:rPr>
          <w:rFonts w:ascii="Verdana" w:hAnsi="Verdana"/>
        </w:rPr>
      </w:pPr>
      <w:r w:rsidRPr="005B5CB6">
        <w:rPr>
          <w:rFonts w:ascii="Verdana" w:eastAsia="Arial" w:hAnsi="Verdana" w:cs="Arial"/>
          <w:b/>
          <w:color w:val="333333"/>
        </w:rPr>
        <w:t xml:space="preserve"> </w:t>
      </w:r>
      <w:r w:rsidRPr="005B5CB6">
        <w:rPr>
          <w:rFonts w:ascii="Verdana" w:eastAsia="Arial" w:hAnsi="Verdana" w:cs="Arial"/>
          <w:b/>
          <w:color w:val="333333"/>
        </w:rPr>
        <w:tab/>
      </w:r>
      <w:r w:rsidRPr="005B5CB6">
        <w:rPr>
          <w:rFonts w:ascii="Verdana" w:eastAsia="Verdana" w:hAnsi="Verdana" w:cs="Verdana"/>
          <w:b/>
          <w:color w:val="333333"/>
        </w:rPr>
        <w:t xml:space="preserve"> </w:t>
      </w:r>
    </w:p>
    <w:p w:rsidR="00FB0B24" w:rsidRPr="005B5CB6" w:rsidP="003255A4">
      <w:pPr>
        <w:spacing w:after="287" w:line="250" w:lineRule="auto"/>
        <w:ind w:left="11" w:hanging="10"/>
        <w:jc w:val="both"/>
        <w:rPr>
          <w:rFonts w:ascii="Verdana" w:hAnsi="Verdana"/>
        </w:rPr>
      </w:pPr>
      <w:r w:rsidRPr="005B5CB6">
        <w:rPr>
          <w:rFonts w:ascii="Verdana" w:eastAsia="Verdana" w:hAnsi="Verdana" w:cs="Verdana"/>
          <w:b/>
        </w:rPr>
        <w:t xml:space="preserve">Moderation </w:t>
      </w:r>
    </w:p>
    <w:p w:rsidR="00FB0B24" w:rsidRPr="005B5CB6" w:rsidP="003255A4">
      <w:pPr>
        <w:spacing w:after="222" w:line="310" w:lineRule="auto"/>
        <w:ind w:left="723" w:hanging="360"/>
        <w:jc w:val="both"/>
        <w:rPr>
          <w:rFonts w:ascii="Verdana" w:hAnsi="Verdana"/>
        </w:rPr>
      </w:pPr>
      <w:r w:rsidRPr="005B5CB6">
        <w:rPr>
          <w:rFonts w:ascii="Verdana" w:eastAsia="Verdana" w:hAnsi="Verdana" w:cs="Verdana"/>
          <w:b/>
        </w:rPr>
        <w:t>11.</w:t>
      </w:r>
      <w:r w:rsidRPr="005B5CB6">
        <w:rPr>
          <w:rFonts w:ascii="Verdana" w:eastAsia="Arial" w:hAnsi="Verdana" w:cs="Arial"/>
          <w:b/>
        </w:rPr>
        <w:t xml:space="preserve"> </w:t>
      </w:r>
      <w:r w:rsidRPr="005B5CB6">
        <w:rPr>
          <w:rFonts w:ascii="Verdana" w:eastAsia="Verdana" w:hAnsi="Verdana" w:cs="Verdana"/>
          <w:b/>
        </w:rPr>
        <w:t xml:space="preserve">How could the moderation processes of large technology companies be improved to better tackle abuse and misinformation, as well as helping public debate flourish? </w:t>
      </w:r>
    </w:p>
    <w:p w:rsidR="00FB0B24" w:rsidRPr="005B5CB6" w:rsidP="003255A4">
      <w:pPr>
        <w:spacing w:after="276"/>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62"/>
        </w:numPr>
        <w:spacing w:after="5" w:line="250" w:lineRule="auto"/>
        <w:ind w:right="12" w:hanging="367"/>
        <w:jc w:val="both"/>
        <w:rPr>
          <w:rFonts w:ascii="Verdana" w:hAnsi="Verdana"/>
        </w:rPr>
      </w:pPr>
      <w:r w:rsidRPr="005B5CB6">
        <w:rPr>
          <w:rFonts w:ascii="Verdana" w:eastAsia="Verdana" w:hAnsi="Verdana" w:cs="Verdana"/>
        </w:rPr>
        <w:t xml:space="preserve">Robyn Cablan (2018) distinguishes between three kinds of moderation policy: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1"/>
          <w:numId w:val="62"/>
        </w:numPr>
        <w:spacing w:after="5" w:line="249" w:lineRule="auto"/>
        <w:ind w:left="723" w:hanging="360"/>
        <w:jc w:val="both"/>
        <w:rPr>
          <w:rFonts w:ascii="Verdana" w:hAnsi="Verdana"/>
        </w:rPr>
      </w:pPr>
      <w:r w:rsidRPr="005B5CB6">
        <w:rPr>
          <w:rFonts w:ascii="Verdana" w:eastAsia="Verdana" w:hAnsi="Verdana" w:cs="Verdana"/>
          <w:i/>
        </w:rPr>
        <w:t xml:space="preserve">Artisanal, for platforms such as Vimeo, Medium, Patreon, or Discord; </w:t>
      </w:r>
    </w:p>
    <w:p w:rsidR="00FB0B24" w:rsidRPr="005B5CB6" w:rsidP="003255A4">
      <w:pPr>
        <w:numPr>
          <w:ilvl w:val="1"/>
          <w:numId w:val="62"/>
        </w:numPr>
        <w:spacing w:after="5" w:line="249" w:lineRule="auto"/>
        <w:ind w:left="723" w:hanging="360"/>
        <w:jc w:val="both"/>
        <w:rPr>
          <w:rFonts w:ascii="Verdana" w:hAnsi="Verdana"/>
        </w:rPr>
      </w:pPr>
      <w:r w:rsidRPr="005B5CB6">
        <w:rPr>
          <w:rFonts w:ascii="Verdana" w:eastAsia="Verdana" w:hAnsi="Verdana" w:cs="Verdana"/>
          <w:i/>
        </w:rPr>
        <w:t xml:space="preserve">Community-Reliant, for platforms such as Wikimedia and Reddit; and </w:t>
      </w:r>
    </w:p>
    <w:p w:rsidR="00FB0B24" w:rsidRPr="005B5CB6" w:rsidP="003255A4">
      <w:pPr>
        <w:numPr>
          <w:ilvl w:val="1"/>
          <w:numId w:val="62"/>
        </w:numPr>
        <w:spacing w:after="5" w:line="249" w:lineRule="auto"/>
        <w:ind w:left="723" w:hanging="360"/>
        <w:jc w:val="both"/>
        <w:rPr>
          <w:rFonts w:ascii="Verdana" w:hAnsi="Verdana"/>
        </w:rPr>
      </w:pPr>
      <w:r w:rsidRPr="005B5CB6">
        <w:rPr>
          <w:rFonts w:ascii="Verdana" w:eastAsia="Verdana" w:hAnsi="Verdana" w:cs="Verdana"/>
          <w:i/>
        </w:rPr>
        <w:t xml:space="preserve">Industrial approaches, for platforms such as Facebook or Google. </w:t>
      </w:r>
    </w:p>
    <w:p w:rsidR="00FB0B24" w:rsidRPr="005B5CB6" w:rsidP="003255A4">
      <w:pPr>
        <w:spacing w:after="0"/>
        <w:ind w:left="2"/>
        <w:jc w:val="both"/>
        <w:rPr>
          <w:rFonts w:ascii="Verdana" w:hAnsi="Verdana"/>
        </w:rPr>
      </w:pPr>
      <w:r w:rsidRPr="005B5CB6">
        <w:rPr>
          <w:rFonts w:ascii="Verdana" w:eastAsia="Verdana" w:hAnsi="Verdana" w:cs="Verdana"/>
          <w:i/>
        </w:rPr>
        <w:t xml:space="preserve"> </w:t>
      </w:r>
    </w:p>
    <w:p w:rsidR="00FB0B24" w:rsidRPr="005B5CB6" w:rsidP="003255A4">
      <w:pPr>
        <w:numPr>
          <w:ilvl w:val="0"/>
          <w:numId w:val="62"/>
        </w:numPr>
        <w:spacing w:after="5" w:line="249" w:lineRule="auto"/>
        <w:ind w:right="12" w:hanging="367"/>
        <w:jc w:val="both"/>
        <w:rPr>
          <w:rFonts w:ascii="Verdana" w:hAnsi="Verdana"/>
        </w:rPr>
      </w:pPr>
      <w:r w:rsidRPr="005B5CB6">
        <w:rPr>
          <w:rFonts w:ascii="Verdana" w:eastAsia="Verdana" w:hAnsi="Verdana" w:cs="Verdana"/>
        </w:rPr>
        <w:t xml:space="preserve">The content moderation practiced by mySociety on its own sites falls into the artisanal category, with each case considered on an ad hoc basis with bespoke solutions applied to suit the circumstances. </w:t>
      </w:r>
    </w:p>
    <w:p w:rsidR="00FB0B24" w:rsidRPr="005B5CB6" w:rsidP="003255A4">
      <w:pPr>
        <w:spacing w:after="0"/>
        <w:ind w:left="2"/>
        <w:jc w:val="both"/>
        <w:rPr>
          <w:rFonts w:ascii="Verdana" w:hAnsi="Verdana"/>
        </w:rPr>
      </w:pPr>
      <w:r w:rsidRPr="005B5CB6">
        <w:rPr>
          <w:rFonts w:ascii="Verdana" w:eastAsia="Verdana" w:hAnsi="Verdana" w:cs="Verdana"/>
        </w:rPr>
        <w:t xml:space="preserve"> </w:t>
      </w:r>
    </w:p>
    <w:p w:rsidR="00FB0B24" w:rsidRPr="005B5CB6" w:rsidP="003255A4">
      <w:pPr>
        <w:numPr>
          <w:ilvl w:val="0"/>
          <w:numId w:val="62"/>
        </w:numPr>
        <w:spacing w:after="5" w:line="249" w:lineRule="auto"/>
        <w:ind w:right="12" w:hanging="367"/>
        <w:jc w:val="both"/>
        <w:rPr>
          <w:rFonts w:ascii="Verdana" w:hAnsi="Verdana"/>
        </w:rPr>
      </w:pPr>
      <w:r w:rsidRPr="005B5CB6">
        <w:rPr>
          <w:rFonts w:ascii="Verdana" w:eastAsia="Verdana" w:hAnsi="Verdana" w:cs="Verdana"/>
        </w:rPr>
        <w:t xml:space="preserve">The label of ‘industrial’ for the way in which large platforms approach moderation helps to emphasise that they are not just scaled up versions of a community forum, but require a distinct kind of work that has many of the same issues (environmental health, worker safety, off-shoring) as other industrial processes. While artisanal approaches are managed by a  relatively small number of staff who are able to make individual judgements, industrial approaches require the creation of standard definitions and approaches that can be distributed to a staff of thousands. YouTube and Facebook employ workers in the tens of thousands in their content moderation teams.  </w:t>
      </w:r>
    </w:p>
    <w:p w:rsidR="00FB0B24" w:rsidRPr="005B5CB6" w:rsidP="003255A4">
      <w:pPr>
        <w:spacing w:after="0"/>
        <w:ind w:left="2"/>
        <w:jc w:val="both"/>
        <w:rPr>
          <w:rFonts w:ascii="Verdana" w:hAnsi="Verdana"/>
        </w:rPr>
      </w:pPr>
      <w:r w:rsidRPr="005B5CB6">
        <w:rPr>
          <w:rFonts w:ascii="Verdana" w:eastAsia="Verdana" w:hAnsi="Verdana" w:cs="Verdana"/>
        </w:rPr>
        <w:t xml:space="preserve"> </w:t>
      </w:r>
    </w:p>
    <w:p w:rsidR="00FB0B24" w:rsidRPr="005B5CB6" w:rsidP="003255A4">
      <w:pPr>
        <w:numPr>
          <w:ilvl w:val="0"/>
          <w:numId w:val="62"/>
        </w:numPr>
        <w:spacing w:after="2" w:line="249" w:lineRule="auto"/>
        <w:ind w:right="12" w:hanging="367"/>
        <w:jc w:val="both"/>
        <w:rPr>
          <w:rFonts w:ascii="Verdana" w:hAnsi="Verdana"/>
        </w:rPr>
      </w:pPr>
      <w:r w:rsidRPr="005B5CB6">
        <w:rPr>
          <w:rFonts w:ascii="Verdana" w:eastAsia="Verdana" w:hAnsi="Verdana" w:cs="Verdana"/>
        </w:rPr>
        <w:t>The global nature of the platforms mean there are immediate difficulties to standardised approaches as “</w:t>
      </w:r>
      <w:r w:rsidRPr="005B5CB6">
        <w:rPr>
          <w:rFonts w:ascii="Verdana" w:eastAsia="Verdana" w:hAnsi="Verdana" w:cs="Verdana"/>
          <w:i/>
        </w:rPr>
        <w:t xml:space="preserve">they must carefully consider how to be sensitive to localized variations in how issues like context-based speech, like hate speech and disinformation, manifest in different regions and political circumstances” </w:t>
      </w:r>
      <w:r w:rsidRPr="005B5CB6">
        <w:rPr>
          <w:rFonts w:ascii="Verdana" w:eastAsia="Verdana" w:hAnsi="Verdana" w:cs="Verdana"/>
        </w:rPr>
        <w:t>(Cablan, 2018)</w:t>
      </w:r>
      <w:r w:rsidRPr="005B5CB6">
        <w:rPr>
          <w:rFonts w:ascii="Verdana" w:eastAsia="Verdana" w:hAnsi="Verdana" w:cs="Verdana"/>
          <w:i/>
        </w:rPr>
        <w:t xml:space="preserve">. </w:t>
      </w:r>
      <w:r w:rsidRPr="005B5CB6">
        <w:rPr>
          <w:rFonts w:ascii="Verdana" w:eastAsia="Verdana" w:hAnsi="Verdana" w:cs="Verdana"/>
        </w:rPr>
        <w:t>This also assigns the power to these organisations to define the kind of tricky and fiddly distinction between allowable and unallowable speech that had previously been debated in legislatures and court rooms. Cablan argues that “</w:t>
      </w:r>
      <w:r w:rsidRPr="005B5CB6">
        <w:rPr>
          <w:rFonts w:ascii="Verdana" w:eastAsia="Verdana" w:hAnsi="Verdana" w:cs="Verdana"/>
          <w:i/>
        </w:rPr>
        <w:t>tech companies, when made responsible for establishing the difference between hate speech and political expression, often search for straightforward, consistent calculations, which are all too often divorced from historical and cultural contexts”</w:t>
      </w:r>
      <w:r w:rsidRPr="005B5CB6">
        <w:rPr>
          <w:rFonts w:ascii="Verdana" w:eastAsia="Verdana" w:hAnsi="Verdana" w:cs="Verdana"/>
        </w:rPr>
        <w:t xml:space="preserve"> — but that on the other side allowing individual autonomy “</w:t>
      </w:r>
      <w:r w:rsidRPr="005B5CB6">
        <w:rPr>
          <w:rFonts w:ascii="Verdana" w:eastAsia="Verdana" w:hAnsi="Verdana" w:cs="Verdana"/>
          <w:i/>
        </w:rPr>
        <w:t xml:space="preserve">can lead to rules being applied inconsistently, letting through images of child abuse and instances of hate speech.”. </w:t>
      </w:r>
    </w:p>
    <w:p w:rsidR="00FB0B24" w:rsidRPr="005B5CB6" w:rsidP="003255A4">
      <w:pPr>
        <w:spacing w:after="0"/>
        <w:ind w:left="2"/>
        <w:jc w:val="both"/>
        <w:rPr>
          <w:rFonts w:ascii="Verdana" w:hAnsi="Verdana"/>
        </w:rPr>
      </w:pPr>
      <w:r w:rsidRPr="005B5CB6">
        <w:rPr>
          <w:rFonts w:ascii="Verdana" w:eastAsia="Verdana" w:hAnsi="Verdana" w:cs="Verdana"/>
          <w:i/>
        </w:rPr>
        <w:t xml:space="preserve"> </w:t>
      </w:r>
    </w:p>
    <w:p w:rsidR="00FB0B24" w:rsidRPr="005B5CB6" w:rsidP="003255A4">
      <w:pPr>
        <w:numPr>
          <w:ilvl w:val="0"/>
          <w:numId w:val="62"/>
        </w:numPr>
        <w:spacing w:after="2" w:line="249" w:lineRule="auto"/>
        <w:ind w:right="12" w:hanging="367"/>
        <w:jc w:val="both"/>
        <w:rPr>
          <w:rFonts w:ascii="Verdana" w:hAnsi="Verdana"/>
        </w:rPr>
      </w:pPr>
      <w:r w:rsidRPr="005B5CB6">
        <w:rPr>
          <w:rFonts w:ascii="Verdana" w:eastAsia="Verdana" w:hAnsi="Verdana" w:cs="Verdana"/>
        </w:rPr>
        <w:t xml:space="preserve">American tech companies policing content worldwide cause additional problems when they are successful. Arun (2019) points out that Facebook </w:t>
      </w:r>
      <w:r w:rsidRPr="005B5CB6">
        <w:rPr>
          <w:rFonts w:ascii="Verdana" w:eastAsia="Verdana" w:hAnsi="Verdana" w:cs="Verdana"/>
          <w:i/>
        </w:rPr>
        <w:t xml:space="preserve">“has incorrectly flagged the phrase “Free Kashmir” as locally illegal content for censorship purposes, when it is in fact constitutionally protected speech.” </w:t>
      </w:r>
    </w:p>
    <w:p w:rsidR="00FB0B24" w:rsidRPr="005B5CB6" w:rsidP="003255A4">
      <w:pPr>
        <w:spacing w:after="0"/>
        <w:ind w:left="2"/>
        <w:jc w:val="both"/>
        <w:rPr>
          <w:rFonts w:ascii="Verdana" w:hAnsi="Verdana"/>
        </w:rPr>
      </w:pPr>
      <w:r w:rsidRPr="005B5CB6">
        <w:rPr>
          <w:rFonts w:ascii="Verdana" w:eastAsia="Verdana" w:hAnsi="Verdana" w:cs="Verdana"/>
        </w:rPr>
        <w:t xml:space="preserve"> </w:t>
      </w:r>
    </w:p>
    <w:p w:rsidR="00FB0B24" w:rsidRPr="005B5CB6" w:rsidP="003255A4">
      <w:pPr>
        <w:numPr>
          <w:ilvl w:val="0"/>
          <w:numId w:val="62"/>
        </w:numPr>
        <w:spacing w:after="5" w:line="249" w:lineRule="auto"/>
        <w:ind w:right="12" w:hanging="367"/>
        <w:jc w:val="both"/>
        <w:rPr>
          <w:rFonts w:ascii="Verdana" w:hAnsi="Verdana"/>
        </w:rPr>
      </w:pPr>
      <w:r w:rsidRPr="005B5CB6">
        <w:rPr>
          <w:rFonts w:ascii="Verdana" w:eastAsia="Verdana" w:hAnsi="Verdana" w:cs="Verdana"/>
        </w:rPr>
        <w:t xml:space="preserve">Moderation guidelines show both subtle — but also questionable — decisions made in what is and is not considered hate speech (The Guardian, 2018). The more complicated and specific the policy, the harder it is to train workers (especially if not working in the same country) in applying the difference.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62"/>
        </w:numPr>
        <w:spacing w:after="5" w:line="249" w:lineRule="auto"/>
        <w:ind w:right="12" w:hanging="367"/>
        <w:jc w:val="both"/>
        <w:rPr>
          <w:rFonts w:ascii="Verdana" w:hAnsi="Verdana"/>
        </w:rPr>
      </w:pPr>
      <w:r w:rsidRPr="005B5CB6">
        <w:rPr>
          <w:rFonts w:ascii="Verdana" w:eastAsia="Verdana" w:hAnsi="Verdana" w:cs="Verdana"/>
        </w:rPr>
        <w:t xml:space="preserve">Reducing the human component through deep learning tools does not necessarily remove these problems, as the training dataset from human operators is used, carrying any misidentifications made into the automated </w:t>
      </w:r>
      <w:r w:rsidRPr="005B5CB6">
        <w:rPr>
          <w:rFonts w:ascii="Verdana" w:eastAsia="Verdana" w:hAnsi="Verdana" w:cs="Verdana"/>
        </w:rPr>
        <w:t xml:space="preserve">process. Ultimately this is a hard problem that requires consistent standards, contextually applied — and where even correctly identifying and removing 99.99% of flagged content may still leave up thousands of instances of problematic content. Ultimately the intractableness of the problem combined with the increasing public relations issue is likely to be part of the motivation in Facebook’s future direction of moving towards private groups with no public moderation needs.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62"/>
        </w:numPr>
        <w:spacing w:after="5" w:line="249" w:lineRule="auto"/>
        <w:ind w:right="12" w:hanging="367"/>
        <w:jc w:val="both"/>
        <w:rPr>
          <w:rFonts w:ascii="Verdana" w:hAnsi="Verdana"/>
        </w:rPr>
      </w:pPr>
      <w:r w:rsidRPr="005B5CB6">
        <w:rPr>
          <w:rFonts w:ascii="Verdana" w:eastAsia="Verdana" w:hAnsi="Verdana" w:cs="Verdana"/>
        </w:rPr>
        <w:t xml:space="preserve">In principle, many of these issues can be resolved in a single country, with large well-resourced moderation teams working to standards that reflect current law or developed in conjunction with citizen input. Worldwide this has difficulties because it involves contradictory stances on content, and may require decisions that an American entity is uncomfortable with, especially when dealing with non-democracies.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62"/>
        </w:numPr>
        <w:spacing w:after="5" w:line="249" w:lineRule="auto"/>
        <w:ind w:right="12" w:hanging="367"/>
        <w:jc w:val="both"/>
        <w:rPr>
          <w:rFonts w:ascii="Verdana" w:hAnsi="Verdana"/>
        </w:rPr>
      </w:pPr>
      <w:r w:rsidRPr="005B5CB6">
        <w:rPr>
          <w:rFonts w:ascii="Verdana" w:eastAsia="Verdana" w:hAnsi="Verdana" w:cs="Verdana"/>
        </w:rPr>
        <w:t xml:space="preserve">Aside from the effect these rules have on the wider system, the need for moderation also has intense effects on the workers involved. Asking “Facebook” or “Twitter” to remove harmful content from their platforms, in reality means employing thousands of people whose day-to-day jobs involve reviewing flagged material — including deeply violent and distressing material (The Verge, 2019). This is low-paid, stressful and traumatising work. While platforms hope to move more and more of this work to AI tools, the sheer scale means that humans remain deeply involved in the process.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0"/>
          <w:numId w:val="62"/>
        </w:numPr>
        <w:spacing w:after="5" w:line="249" w:lineRule="auto"/>
        <w:ind w:right="12" w:hanging="367"/>
        <w:jc w:val="both"/>
        <w:rPr>
          <w:rFonts w:ascii="Verdana" w:hAnsi="Verdana"/>
        </w:rPr>
      </w:pPr>
      <w:r w:rsidRPr="005B5CB6">
        <w:rPr>
          <w:rFonts w:ascii="Verdana" w:eastAsia="Verdana" w:hAnsi="Verdana" w:cs="Verdana"/>
        </w:rPr>
        <w:t xml:space="preserve">The need to sift distressing materials out of social media platforms creates a form of psychological toxic waste (Arsct &amp; Etcovitch, 2018; Rolling Stone, 2017). Regulations related to moderation should also include regulations on the safety and care of those disposing of it. </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b/>
        </w:rPr>
        <w:t xml:space="preserve"> </w:t>
      </w:r>
    </w:p>
    <w:p w:rsidR="00FB0B24" w:rsidRPr="005B5CB6" w:rsidP="003255A4">
      <w:pPr>
        <w:spacing w:after="287" w:line="250" w:lineRule="auto"/>
        <w:ind w:left="11" w:hanging="10"/>
        <w:jc w:val="both"/>
        <w:rPr>
          <w:rFonts w:ascii="Verdana" w:hAnsi="Verdana"/>
        </w:rPr>
      </w:pPr>
      <w:r w:rsidRPr="005B5CB6">
        <w:rPr>
          <w:rFonts w:ascii="Verdana" w:eastAsia="Verdana" w:hAnsi="Verdana" w:cs="Verdana"/>
          <w:b/>
        </w:rPr>
        <w:t xml:space="preserve">Technology and democratic engagement </w:t>
      </w:r>
    </w:p>
    <w:p w:rsidR="00FB0B24" w:rsidRPr="005B5CB6" w:rsidP="003255A4">
      <w:pPr>
        <w:spacing w:after="5" w:line="311" w:lineRule="auto"/>
        <w:ind w:left="723" w:hanging="360"/>
        <w:jc w:val="both"/>
        <w:rPr>
          <w:rFonts w:ascii="Verdana" w:hAnsi="Verdana"/>
        </w:rPr>
      </w:pPr>
      <w:r w:rsidRPr="005B5CB6">
        <w:rPr>
          <w:rFonts w:ascii="Verdana" w:eastAsia="Verdana" w:hAnsi="Verdana" w:cs="Verdana"/>
          <w:b/>
        </w:rPr>
        <w:t>12.</w:t>
      </w:r>
      <w:r w:rsidRPr="005B5CB6">
        <w:rPr>
          <w:rFonts w:ascii="Verdana" w:eastAsia="Arial" w:hAnsi="Verdana" w:cs="Arial"/>
          <w:b/>
        </w:rPr>
        <w:t xml:space="preserve"> </w:t>
      </w:r>
      <w:r w:rsidRPr="005B5CB6">
        <w:rPr>
          <w:rFonts w:ascii="Verdana" w:eastAsia="Verdana" w:hAnsi="Verdana" w:cs="Verdana"/>
          <w:b/>
        </w:rPr>
        <w:t xml:space="preserve">How could the Government better support the positive work of civil society organisations using technology to facilitate engagement with democratic processes? </w:t>
      </w:r>
    </w:p>
    <w:p w:rsidR="00FB0B24" w:rsidRPr="005B5CB6" w:rsidP="003255A4">
      <w:pPr>
        <w:numPr>
          <w:ilvl w:val="0"/>
          <w:numId w:val="63"/>
        </w:numPr>
        <w:spacing w:after="5" w:line="249" w:lineRule="auto"/>
        <w:ind w:right="12" w:hanging="360"/>
        <w:jc w:val="both"/>
        <w:rPr>
          <w:rFonts w:ascii="Verdana" w:hAnsi="Verdana"/>
        </w:rPr>
      </w:pPr>
      <w:r w:rsidRPr="005B5CB6">
        <w:rPr>
          <w:rFonts w:ascii="Verdana" w:eastAsia="Verdana" w:hAnsi="Verdana" w:cs="Verdana"/>
        </w:rPr>
        <w:t xml:space="preserve">Online and digital technologies that enable citizens to hold governments to account, known as </w:t>
      </w:r>
      <w:r w:rsidRPr="005B5CB6">
        <w:rPr>
          <w:rFonts w:ascii="Verdana" w:eastAsia="Verdana" w:hAnsi="Verdana" w:cs="Verdana"/>
          <w:b/>
        </w:rPr>
        <w:t>civic technology</w:t>
      </w:r>
      <w:r w:rsidRPr="005B5CB6">
        <w:rPr>
          <w:rFonts w:ascii="Verdana" w:eastAsia="Verdana" w:hAnsi="Verdana" w:cs="Verdana"/>
        </w:rPr>
        <w:t xml:space="preserve">, are proliferating at a steady rate around the world. The potential for these platforms to invigorate citizen engagement, increase transparency, and broaden public debate has been recognised not only by those in civil society, but by governments, by development agencies and by philanthropists. The publication and dissemination of parliamentary information in developed countries has been shown to improve citizen engagement in governance and reduce the distance between the representative and the represented (Rumbul, 2016). Over the last 20 years, there have been increasing efforts to use digital tools to facilitate this process, which has resulted in highly successful parliamentary monitoring websites such as TheyWorkForYou.com in the UK.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63"/>
        </w:numPr>
        <w:spacing w:after="5" w:line="249" w:lineRule="auto"/>
        <w:ind w:right="12" w:hanging="360"/>
        <w:jc w:val="both"/>
        <w:rPr>
          <w:rFonts w:ascii="Verdana" w:hAnsi="Verdana"/>
        </w:rPr>
      </w:pPr>
      <w:r w:rsidRPr="005B5CB6">
        <w:rPr>
          <w:rFonts w:ascii="Verdana" w:eastAsia="Verdana" w:hAnsi="Verdana" w:cs="Verdana"/>
        </w:rPr>
        <w:t xml:space="preserve">The published academic research into digital tools for facilitating democratic activity with a UK focus is mainly splintered into several policy-related </w:t>
      </w:r>
      <w:r w:rsidRPr="005B5CB6">
        <w:rPr>
          <w:rFonts w:ascii="Verdana" w:eastAsia="Verdana" w:hAnsi="Verdana" w:cs="Verdana"/>
        </w:rPr>
        <w:t xml:space="preserve">categories. Broadly grouped, these consist of Digital and Health, Digital and Heritage/Culture, Digital and Physical Environment, Digital and Communities of Interest, Digital and Education, and Digital Infrastructure. A range of digital tools and initiatives within these policy areas are in their nascent stages, but are evidently targeted at very specific outcomes such as community planning or policy-focused consultations, rather than as all-encompassing platforms through which democratic activity and engagement can be fostered. Currently, digital solutions for broader democratic engagement that transcend individual policy or service concerns have not been widely attempted in the UK.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63"/>
        </w:numPr>
        <w:spacing w:after="5" w:line="249" w:lineRule="auto"/>
        <w:ind w:right="12" w:hanging="360"/>
        <w:jc w:val="both"/>
        <w:rPr>
          <w:rFonts w:ascii="Verdana" w:hAnsi="Verdana"/>
        </w:rPr>
      </w:pPr>
      <w:r w:rsidRPr="005B5CB6">
        <w:rPr>
          <w:rFonts w:ascii="Verdana" w:eastAsia="Verdana" w:hAnsi="Verdana" w:cs="Verdana"/>
        </w:rPr>
        <w:t xml:space="preserve">Static one-way websites where people could engage in transactional relationships with governments, such as paying bills or filing forms (West, 2004), have been the standard digital experience for citizens. More recently, social media platforms, and digital platforms specifically designed to reduce the distance between citizen and institution, have emerged as key means through which governments are attempting to become more responsive (Bryer &amp; Zavattaro, 2011; Mergel, 2013a). Social media platforms are varied, but exhibit common capabilities such as sharing, instant information gathering, networking, co-creation, and interactivity (Bryer &amp; Zavattaro, 2011; Mergel, 2013a, 2013b). Digital platforms designed specifically for the purpose of engaging citizens in democratic participation display similar features, such as spaces for learning, sharing, deliberation and decision-making, but tend towards being more focused on specific policy areas or locations, and require significant moderation and management in order to direct the activity effectively. Peer-to-peer digital platforms can amplify social inclinations to cooperate over assumed impulses of self-interest (Benkler, 2006; Glaeser, 2011). These innovations provide local government with the opportunity to engage a larger number of individuals with varying interests in governmental affairs than could be achieved offline.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63"/>
        </w:numPr>
        <w:spacing w:after="5" w:line="249" w:lineRule="auto"/>
        <w:ind w:right="12" w:hanging="360"/>
        <w:jc w:val="both"/>
        <w:rPr>
          <w:rFonts w:ascii="Verdana" w:hAnsi="Verdana"/>
        </w:rPr>
      </w:pPr>
      <w:r w:rsidRPr="005B5CB6">
        <w:rPr>
          <w:rFonts w:ascii="Verdana" w:eastAsia="Verdana" w:hAnsi="Verdana" w:cs="Verdana"/>
        </w:rPr>
        <w:t xml:space="preserve">There is evidence to suggest that public authorities may not be optimising their use of the interactional capabilities of these tools, and are only increasing capacity for one-way and directed participation, rather than meaningful citizen participation and engagement (Brainard &amp; Derrick-Mills, 2011; Brainard &amp; McNutt, 2010; Bryer, 2013; Hand &amp; Ching, 2011; Mergel, 2013a; Rishel, 2011; Zavattaro &amp; Sementelli, 2014).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63"/>
        </w:numPr>
        <w:spacing w:after="5" w:line="249" w:lineRule="auto"/>
        <w:ind w:right="12" w:hanging="360"/>
        <w:jc w:val="both"/>
        <w:rPr>
          <w:rFonts w:ascii="Verdana" w:hAnsi="Verdana"/>
        </w:rPr>
      </w:pPr>
      <w:r w:rsidRPr="005B5CB6">
        <w:rPr>
          <w:rFonts w:ascii="Verdana" w:eastAsia="Verdana" w:hAnsi="Verdana" w:cs="Verdana"/>
        </w:rPr>
        <w:t xml:space="preserve">Government support for civil society organisations using technology to bridge the citizen and institution divide should be significantly increased, both in providing sufficient financial support to develop and implement new digital tools, and in providing meaningful access to institutions in order to work collaboratively, rather than in piecemeal form as contracted ‘outsiders’. Useful digital tools require significant user research and development prior to being constructed, and stable data to build upon, and such things take significantly longer than short annual contracts to fulfil. There are numerous examples of digital tools around the world being created and implemented, only to fall out of use immediately, because they were not tailored to user needs. Such initiatives are expensive and disillusioning for citizens. High quality and </w:t>
      </w:r>
      <w:r w:rsidRPr="005B5CB6">
        <w:rPr>
          <w:rFonts w:ascii="Verdana" w:eastAsia="Verdana" w:hAnsi="Verdana" w:cs="Verdana"/>
        </w:rPr>
        <w:t xml:space="preserve">meaningful long-term support for digital civil society is the only way to create tools that work for the whole democratic ecosystem.  </w:t>
      </w:r>
      <w:r w:rsidRPr="005B5CB6">
        <w:rPr>
          <w:rFonts w:ascii="Verdana" w:eastAsia="Arial" w:hAnsi="Verdana" w:cs="Arial"/>
          <w:b/>
          <w:color w:val="333333"/>
        </w:rPr>
        <w:t xml:space="preserve"> </w:t>
      </w:r>
      <w:r w:rsidRPr="005B5CB6">
        <w:rPr>
          <w:rFonts w:ascii="Verdana" w:eastAsia="Arial" w:hAnsi="Verdana" w:cs="Arial"/>
          <w:b/>
          <w:color w:val="333333"/>
        </w:rPr>
        <w:tab/>
      </w:r>
      <w:r w:rsidRPr="005B5CB6">
        <w:rPr>
          <w:rFonts w:ascii="Verdana" w:eastAsia="Verdana" w:hAnsi="Verdana" w:cs="Verdana"/>
          <w:b/>
          <w:color w:val="333333"/>
        </w:rPr>
        <w:t xml:space="preserve"> </w:t>
      </w:r>
      <w:r w:rsidRPr="005B5CB6">
        <w:rPr>
          <w:rFonts w:ascii="Verdana" w:hAnsi="Verdana"/>
        </w:rPr>
        <w:br w:type="page"/>
      </w:r>
    </w:p>
    <w:p w:rsidR="00FB0B24" w:rsidRPr="005B5CB6" w:rsidP="003255A4">
      <w:pPr>
        <w:spacing w:after="5" w:line="310" w:lineRule="auto"/>
        <w:ind w:left="723" w:hanging="360"/>
        <w:jc w:val="both"/>
        <w:rPr>
          <w:rFonts w:ascii="Verdana" w:hAnsi="Verdana"/>
        </w:rPr>
      </w:pPr>
      <w:r w:rsidRPr="005B5CB6">
        <w:rPr>
          <w:rFonts w:ascii="Verdana" w:eastAsia="Verdana" w:hAnsi="Verdana" w:cs="Verdana"/>
          <w:b/>
        </w:rPr>
        <w:t>13.</w:t>
      </w:r>
      <w:r w:rsidRPr="005B5CB6">
        <w:rPr>
          <w:rFonts w:ascii="Verdana" w:eastAsia="Arial" w:hAnsi="Verdana" w:cs="Arial"/>
          <w:b/>
        </w:rPr>
        <w:t xml:space="preserve"> </w:t>
      </w:r>
      <w:r w:rsidRPr="005B5CB6">
        <w:rPr>
          <w:rFonts w:ascii="Verdana" w:eastAsia="Verdana" w:hAnsi="Verdana" w:cs="Verdana"/>
          <w:b/>
        </w:rPr>
        <w:t xml:space="preserve">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3255A4">
      <w:pPr>
        <w:numPr>
          <w:ilvl w:val="0"/>
          <w:numId w:val="64"/>
        </w:numPr>
        <w:spacing w:after="5" w:line="250" w:lineRule="auto"/>
        <w:ind w:right="12" w:hanging="367"/>
        <w:jc w:val="both"/>
        <w:rPr>
          <w:rFonts w:ascii="Verdana" w:hAnsi="Verdana"/>
        </w:rPr>
      </w:pPr>
      <w:r w:rsidRPr="005B5CB6">
        <w:rPr>
          <w:rFonts w:ascii="Verdana" w:eastAsia="Verdana" w:hAnsi="Verdana" w:cs="Verdana"/>
        </w:rPr>
        <w:t xml:space="preserve">As explored in our recent work investigating the role of digital tools in local government, there are a range of options available to better integrate citizens in decision making processes.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While online engagement lowers barriers to entry by reducing knowledge and time requirements to participation, online platforms have their own barriers to participation, still requiring internet access, knowledge that the activity is taking place, and the skills required to use the website. Individuals using smartphones rather than desktop computers are less likely to want to engage with lengthy PDF documents and clunky non-responsive surveys. On the other hand, online platforms have more scope for automatic translation, making the framework of the activity, evidence and public comments more accessible to people who use other languages (where their language is not a statutory requirement). They can also move a consultation from being a set of individual replies to building a better collective picture of opinions.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There are now digital tools specifically designed for consultative exercises that push away from this practice of minor digitisation of offline forms of participation.  Digital tools can make evidence and plans more readable by the general public, and add a layer of transparency to community feedback that would be absent in offline consultations designed to help communities discuss, refine and rate ideas.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Delib’s Citizen Space (https://www.delib.net/citizen_space) is used by various UK national and local government organisations to assist in running a consultation process. Digital tools can make evidence and plans more readable by the general public, and through the publication of responses, can add a layer of transparency to community feedback that would be absent in offline consultations. Social Pinpoint (https://www.socialpinpoint.com/) is a similar crowdsourcing platform that allows themed proposals to be commented on, voted for and ranked. Your Priorities (https://www.yrpri.org/domain/3) is an open source tool produced by Citizens Foundation and used in a Democratic </w:t>
      </w:r>
    </w:p>
    <w:p w:rsidR="00FB0B24" w:rsidRPr="005B5CB6" w:rsidP="003255A4">
      <w:pPr>
        <w:tabs>
          <w:tab w:val="center" w:pos="765"/>
          <w:tab w:val="center" w:pos="2674"/>
          <w:tab w:val="center" w:pos="4278"/>
          <w:tab w:val="center" w:pos="5812"/>
          <w:tab w:val="center" w:pos="7328"/>
          <w:tab w:val="right" w:pos="9037"/>
        </w:tabs>
        <w:spacing w:after="5" w:line="250" w:lineRule="auto"/>
        <w:jc w:val="both"/>
        <w:rPr>
          <w:rFonts w:ascii="Verdana" w:hAnsi="Verdana"/>
        </w:rPr>
      </w:pPr>
      <w:r w:rsidRPr="005B5CB6">
        <w:rPr>
          <w:rFonts w:ascii="Verdana" w:hAnsi="Verdana"/>
        </w:rPr>
        <w:tab/>
      </w:r>
      <w:r w:rsidRPr="005B5CB6">
        <w:rPr>
          <w:rFonts w:ascii="Verdana" w:eastAsia="Verdana" w:hAnsi="Verdana" w:cs="Verdana"/>
        </w:rPr>
        <w:t xml:space="preserve">Society </w:t>
      </w:r>
      <w:r w:rsidRPr="005B5CB6">
        <w:rPr>
          <w:rFonts w:ascii="Verdana" w:eastAsia="Verdana" w:hAnsi="Verdana" w:cs="Verdana"/>
        </w:rPr>
        <w:tab/>
        <w:t xml:space="preserve">project </w:t>
      </w:r>
      <w:r w:rsidRPr="005B5CB6">
        <w:rPr>
          <w:rFonts w:ascii="Verdana" w:eastAsia="Verdana" w:hAnsi="Verdana" w:cs="Verdana"/>
        </w:rPr>
        <w:tab/>
        <w:t xml:space="preserve">in </w:t>
      </w:r>
      <w:r w:rsidRPr="005B5CB6">
        <w:rPr>
          <w:rFonts w:ascii="Verdana" w:eastAsia="Verdana" w:hAnsi="Verdana" w:cs="Verdana"/>
        </w:rPr>
        <w:tab/>
        <w:t xml:space="preserve">Argyll </w:t>
      </w:r>
      <w:r w:rsidRPr="005B5CB6">
        <w:rPr>
          <w:rFonts w:ascii="Verdana" w:eastAsia="Verdana" w:hAnsi="Verdana" w:cs="Verdana"/>
        </w:rPr>
        <w:tab/>
        <w:t xml:space="preserve">&amp; </w:t>
      </w:r>
      <w:r w:rsidRPr="005B5CB6">
        <w:rPr>
          <w:rFonts w:ascii="Verdana" w:eastAsia="Verdana" w:hAnsi="Verdana" w:cs="Verdana"/>
        </w:rPr>
        <w:tab/>
        <w:t xml:space="preserve">Bute </w:t>
      </w:r>
    </w:p>
    <w:p w:rsidR="00FB0B24" w:rsidRPr="005B5CB6" w:rsidP="003255A4">
      <w:pPr>
        <w:spacing w:after="5" w:line="249" w:lineRule="auto"/>
        <w:ind w:left="369" w:right="12" w:hanging="9"/>
        <w:jc w:val="both"/>
        <w:rPr>
          <w:rFonts w:ascii="Verdana" w:hAnsi="Verdana"/>
        </w:rPr>
      </w:pPr>
      <w:r w:rsidRPr="005B5CB6">
        <w:rPr>
          <w:rFonts w:ascii="Verdana" w:eastAsia="Verdana" w:hAnsi="Verdana" w:cs="Verdana"/>
        </w:rPr>
        <w:t xml:space="preserve">(https://www.citizens.is/portfolio_page/councils-in-scotland/), a project that generated 150 ideas and in which more than 1,300 people contributed to discussions. Questions can be proposed, categorised and given positive or negative points.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Other tools are well adapted to consultations and engagement activities around geographic issues that suit the use of maps. Common Place (https://www.commonplace.is/) is a consultation platform/service used by local councils and developers to get feedback on aspects of development projects. It creates a sub-site that can then be divided into separate areas by </w:t>
      </w:r>
      <w:r w:rsidRPr="005B5CB6">
        <w:rPr>
          <w:rFonts w:ascii="Verdana" w:eastAsia="Verdana" w:hAnsi="Verdana" w:cs="Verdana"/>
        </w:rPr>
        <w:t xml:space="preserve">development or theme. It was used by the London Borough of Waltham Forest for the consultation surrounding the Mini Holland project. As in this example of </w:t>
      </w:r>
    </w:p>
    <w:p w:rsidR="00FB0B24" w:rsidRPr="005B5CB6" w:rsidP="003255A4">
      <w:pPr>
        <w:spacing w:after="5" w:line="249" w:lineRule="auto"/>
        <w:ind w:left="369" w:right="12" w:hanging="9"/>
        <w:jc w:val="both"/>
        <w:rPr>
          <w:rFonts w:ascii="Verdana" w:hAnsi="Verdana"/>
        </w:rPr>
      </w:pPr>
      <w:r w:rsidRPr="005B5CB6">
        <w:rPr>
          <w:rFonts w:ascii="Verdana" w:eastAsia="Verdana" w:hAnsi="Verdana" w:cs="Verdana"/>
        </w:rPr>
        <w:t xml:space="preserve">a road safety consultation (https://wfroadsafety.commonplace.is), reports can also be made directly onto a map to help people give more precise feedback. Similarly, EngagementHQ (https://www.bangthetable.com/engagementhqcommunity-software) has features for a wide array of possible modes of engagement, with the similar option of a place-based approach, as well as more general idea-sourcing features.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Platforms useful for consultations can also be pitched as more general tools. Consul (http://consulproject.org/en/) was initially a framework designed by Madrid City Council for a participatory budgeting process, but has now been used and adapted in 33 countries. It includes options for collaborative commenting on legislation, participatory budgeting, features for creating and gathering support on proposals and holding general online debates. Hence Consul can be used for consultations and other engagement activities (and is useful as an open source tool), but also has more specialised use as a participatory budgeting platform.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Some UK cities operate general online consultation platforms where citizens register and can then take part and receive updates about future consultations, importantly allowing participation through mobiles and tablets.  On Let’s Talk Newcastle (https://www.local.gov.uk/lets-talk-newcastle) engagement can vary between polls, surveys focus groups and “topic walls”, which allow group deliberation on an issue. Talk London (https://www.london.gov.uk/talklondon/) similarly allows comments, surveys and discussions for consultations, engagement activities, and programmes run by the GLA. Alternatively, automated tools can be used to indirectly gauge preferences and problems of citizens. Zencity (https://zencity.io/) is a US based tool that uses 311 reports and social media to produce analysis for local authorities.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Digital tools for consultation can also take the form of evaluation frameworks that allow councils to assess and make better decisions for an area. Public Health England’s SHAPE tool (https://www.local.gov.uk/gatheringevidence-digital-tools-yorkshire-and-humber) is a platform that includes a number of health assets to help understand patterns of ill health across an area to assist in medical planning and transportation decisions (eg where a trend of poorer health can be understood by inaccessible healthcare). The PLACE Standard (https://www.placestandard.scot/guide/quick) is a tool that uses 14 questions to assess the quality of place, and aggregate responses can be used to understand what people feel is good and bad about an area and to make simple comparisons to other areas.  </w:t>
      </w:r>
    </w:p>
    <w:p w:rsidR="00FB0B24" w:rsidRPr="005B5CB6" w:rsidP="003255A4">
      <w:pPr>
        <w:spacing w:after="0"/>
        <w:ind w:left="361"/>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Digital tools provide an opportunity to explore new ways of conducting conversations with the public, where both sides can be a part of question forming. Allourideas.org (https://www.allourideas.org/) explores the idea of </w:t>
      </w:r>
      <w:r w:rsidRPr="005B5CB6">
        <w:rPr>
          <w:rFonts w:ascii="Verdana" w:eastAsia="Verdana" w:hAnsi="Verdana" w:cs="Verdana"/>
        </w:rPr>
        <w:t xml:space="preserve">wikisurveys, which allow alternative options to be presented by users over time. Pol.is (https://pol.is/home) is designed for open-ended questions made to a large group. Based on the results of these answers, similar statements and votes are grouped together to understand the different kinds of opinions that are present among the users. This is useful as a way of hedging against skewed participation (NESTA, 2019) because it will help explain the different kinds of opinions (with different sets of preferences), instead of simply crowning winners.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The above examples show the diversity of ways in which digital tools can be used to create a more collaborative consultation process that helps the community build a collective picture of options from local knowledge and ideas. However, the most important element remains the question of whether the consulting authority is committed to engaging with the process in earnest.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There have been a number of Participatory Budgeting (PB) activities initiated by local governments in the UK, most related to small grants given to community organisations, although there has been a move towards using these approaches to decide authority spending priorities. Dundee ran the UK’s first participatory budgeting process using mainstream budget in 2018 (PB Scotland, 2018). The role of the public authority is both to provide funds for projects, but also to define the framework and process for public involvement.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2" w:line="249" w:lineRule="auto"/>
        <w:ind w:right="12" w:hanging="367"/>
        <w:jc w:val="both"/>
        <w:rPr>
          <w:rFonts w:ascii="Verdana" w:hAnsi="Verdana"/>
        </w:rPr>
      </w:pPr>
      <w:r w:rsidRPr="005B5CB6">
        <w:rPr>
          <w:rFonts w:ascii="Verdana" w:eastAsia="Verdana" w:hAnsi="Verdana" w:cs="Verdana"/>
        </w:rPr>
        <w:t xml:space="preserve">As explored in mySociety’s 2018 research into participatory budgeting (Rumbul </w:t>
      </w:r>
      <w:r w:rsidRPr="005B5CB6">
        <w:rPr>
          <w:rFonts w:ascii="Verdana" w:eastAsia="Verdana" w:hAnsi="Verdana" w:cs="Verdana"/>
          <w:i/>
        </w:rPr>
        <w:t>et al</w:t>
      </w:r>
      <w:r w:rsidRPr="005B5CB6">
        <w:rPr>
          <w:rFonts w:ascii="Verdana" w:eastAsia="Verdana" w:hAnsi="Verdana" w:cs="Verdana"/>
        </w:rPr>
        <w:t xml:space="preserve">, 2018), PB is a “fast policy” that has spread around the world, and not only has diverse forms, but diverse reasons for implementation: </w:t>
      </w:r>
      <w:r w:rsidRPr="005B5CB6">
        <w:rPr>
          <w:rFonts w:ascii="Verdana" w:eastAsia="Verdana" w:hAnsi="Verdana" w:cs="Verdana"/>
          <w:i/>
        </w:rPr>
        <w:t>“Government believes it can be used to increase democratic engagement, to generate public ownership of budgetary decision-making, and to tacitly generate public support for incumbent government. [...] And for citizens, it could provide a public route to request new or improved facilities or services that may not have been a political priority for governing parties or civil service managers”</w:t>
      </w:r>
      <w:r w:rsidRPr="005B5CB6">
        <w:rPr>
          <w:rFonts w:ascii="Verdana" w:eastAsia="Verdana" w:hAnsi="Verdana" w:cs="Verdana"/>
        </w:rPr>
        <w:t xml:space="preserve">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Participatory budgeting is at its most successful where it provides residents  with an opportunity to suggest new ideas for their community and to work together, rather than just inviting them to decide upon ideas developed by government. PB Scotland’s Charter reflects that PB does not inherently lead to good outcomes, but has to be rooted in principles and meet standards.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There are a variety of digital tools that can be used to enable participatory budgeting processes. These include tools that can be used to support the generation of proposals or activities to be funded,  including  Your Priorities created and maintained by Citizens Foundation, and tools that can support the decision-making process itself, such as Citizen Foundation’s Open Active Voting, or D21 (https://en.d21.me/). There are also tools that can support many different aspects of participatory budgeting including Participare (https://participare.io/), Consul (http://consulproject.org/en/), and Empatia (https://empatia-project.eu/). The proposal stage is a key area where digital </w:t>
      </w:r>
      <w:r w:rsidRPr="005B5CB6">
        <w:rPr>
          <w:rFonts w:ascii="Verdana" w:eastAsia="Verdana" w:hAnsi="Verdana" w:cs="Verdana"/>
        </w:rPr>
        <w:t xml:space="preserve">tools can be transformative, and they allow a wide array of ideas to be considered and presented before moving to a smaller list for the voting phase.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Thinking about how to best use these tools depends upon the design of the process itself. As with other digital tools, using online platforms for deliberation has benefits in allowing wider participation, but perhaps at the cost of some of the relationship building and resultant shared solution finding that is seen in face-to-face deliberation. Digital tools used for voting in participatory budgeting likewise can allow wider participation, and make it easy for those who are taking part in the process to view relevant information prior to selection. There is a problem, however, if increased participation (more people taking part) results in more concentrated participation from subsets of the population (who could skew the distribution of public money). </w:t>
      </w:r>
    </w:p>
    <w:p w:rsidR="00FB0B24" w:rsidRPr="005B5CB6" w:rsidP="003255A4">
      <w:pPr>
        <w:spacing w:after="55"/>
        <w:ind w:left="723"/>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Online voting can also open up security problems in the process, and trying to address these can increase barriers to participation (Rumbul </w:t>
      </w:r>
      <w:r w:rsidRPr="005B5CB6">
        <w:rPr>
          <w:rFonts w:ascii="Verdana" w:eastAsia="Verdana" w:hAnsi="Verdana" w:cs="Verdana"/>
          <w:i/>
        </w:rPr>
        <w:t>et al,</w:t>
      </w:r>
      <w:r w:rsidRPr="005B5CB6">
        <w:rPr>
          <w:rFonts w:ascii="Verdana" w:eastAsia="Verdana" w:hAnsi="Verdana" w:cs="Verdana"/>
        </w:rPr>
        <w:t xml:space="preserve"> 2017), where increasing the security of the process through adding verification removes some of the benefits of increasing access. Security related concerns may not be significant in the current UK context, when PB is used to to allocate comparatively small funds, but if PB becomes a means by which to allocate larger sums of money then this becomes more challenging. In EU countries, ID cards are often used as verification, but there is not a similar universal form of ID in the UK.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As such, digital tools do not provide easy answers to the problems of offline PB, but when deployed as part of a hybrid system they create greater reach. For instance, assisted kiosks to help people who do not have access to the online voting can help expand access and improve the management of a PB process.  </w:t>
      </w:r>
    </w:p>
    <w:p w:rsidR="00FB0B24" w:rsidRPr="005B5CB6" w:rsidP="003255A4">
      <w:pPr>
        <w:spacing w:after="0"/>
        <w:ind w:left="360"/>
        <w:jc w:val="both"/>
        <w:rPr>
          <w:rFonts w:ascii="Verdana" w:hAnsi="Verdana"/>
        </w:rPr>
      </w:pPr>
      <w:r w:rsidRPr="005B5CB6">
        <w:rPr>
          <w:rFonts w:ascii="Verdana" w:eastAsia="Verdana" w:hAnsi="Verdana" w:cs="Verdana"/>
        </w:rPr>
        <w:t xml:space="preserve"> </w:t>
      </w:r>
    </w:p>
    <w:p w:rsidR="00FB0B24" w:rsidRPr="005B5CB6" w:rsidP="003255A4">
      <w:pPr>
        <w:numPr>
          <w:ilvl w:val="0"/>
          <w:numId w:val="64"/>
        </w:numPr>
        <w:spacing w:after="5" w:line="249" w:lineRule="auto"/>
        <w:ind w:right="12" w:hanging="367"/>
        <w:jc w:val="both"/>
        <w:rPr>
          <w:rFonts w:ascii="Verdana" w:hAnsi="Verdana"/>
        </w:rPr>
      </w:pPr>
      <w:r w:rsidRPr="005B5CB6">
        <w:rPr>
          <w:rFonts w:ascii="Verdana" w:eastAsia="Verdana" w:hAnsi="Verdana" w:cs="Verdana"/>
        </w:rPr>
        <w:t xml:space="preserve">Overall, there are a number of digital tools and processes that can effect positive democratic engagement, however these all require both the active participation of citizens who may not feel the inclination to give up the time required to perform meaningful engagement activities, and the closure of the feedback loop by government that demonstrates that the activity was indeed worthwhile. </w:t>
      </w:r>
      <w:r w:rsidRPr="005B5CB6">
        <w:rPr>
          <w:rFonts w:ascii="Verdana" w:eastAsia="Arial" w:hAnsi="Verdana" w:cs="Arial"/>
          <w:b/>
          <w:color w:val="333333"/>
        </w:rPr>
        <w:t xml:space="preserve"> </w:t>
      </w:r>
      <w:r w:rsidRPr="005B5CB6">
        <w:rPr>
          <w:rFonts w:ascii="Verdana" w:eastAsia="Arial" w:hAnsi="Verdana" w:cs="Arial"/>
          <w:b/>
          <w:color w:val="333333"/>
        </w:rPr>
        <w:tab/>
      </w:r>
      <w:r w:rsidRPr="005B5CB6">
        <w:rPr>
          <w:rFonts w:ascii="Verdana" w:eastAsia="Verdana" w:hAnsi="Verdana" w:cs="Verdana"/>
          <w:b/>
          <w:color w:val="333333"/>
        </w:rPr>
        <w:t xml:space="preserve"> </w:t>
      </w:r>
    </w:p>
    <w:p w:rsidR="00FB0B24" w:rsidRPr="005B5CB6" w:rsidP="003255A4">
      <w:pPr>
        <w:spacing w:after="220" w:line="309" w:lineRule="auto"/>
        <w:ind w:left="723" w:hanging="360"/>
        <w:jc w:val="both"/>
        <w:rPr>
          <w:rFonts w:ascii="Verdana" w:hAnsi="Verdana"/>
        </w:rPr>
      </w:pPr>
      <w:r w:rsidRPr="005B5CB6">
        <w:rPr>
          <w:rFonts w:ascii="Verdana" w:eastAsia="Verdana" w:hAnsi="Verdana" w:cs="Verdana"/>
          <w:b/>
        </w:rPr>
        <w:t>14.</w:t>
      </w:r>
      <w:r w:rsidRPr="005B5CB6">
        <w:rPr>
          <w:rFonts w:ascii="Verdana" w:eastAsia="Arial" w:hAnsi="Verdana" w:cs="Arial"/>
          <w:b/>
        </w:rPr>
        <w:t xml:space="preserve"> </w:t>
      </w:r>
      <w:r w:rsidRPr="005B5CB6">
        <w:rPr>
          <w:rFonts w:ascii="Verdana" w:eastAsia="Verdana" w:hAnsi="Verdana" w:cs="Verdana"/>
          <w:b/>
        </w:rPr>
        <w:t xml:space="preserve">What positive examples are there of technology being used to enhance democracy? </w:t>
      </w:r>
    </w:p>
    <w:p w:rsidR="00FB0B24" w:rsidRPr="005B5CB6" w:rsidP="003255A4">
      <w:pPr>
        <w:spacing w:after="0"/>
        <w:ind w:left="3"/>
        <w:jc w:val="both"/>
        <w:rPr>
          <w:rFonts w:ascii="Verdana" w:hAnsi="Verdana"/>
        </w:rPr>
      </w:pPr>
      <w:r w:rsidRPr="005B5CB6">
        <w:rPr>
          <w:rFonts w:ascii="Verdana" w:eastAsia="Verdana" w:hAnsi="Verdana" w:cs="Verdana"/>
        </w:rPr>
        <w:t xml:space="preserve"> </w:t>
      </w:r>
    </w:p>
    <w:p w:rsidR="00FB0B24" w:rsidRPr="005B5CB6" w:rsidP="003255A4">
      <w:pPr>
        <w:numPr>
          <w:ilvl w:val="0"/>
          <w:numId w:val="65"/>
        </w:numPr>
        <w:spacing w:after="5" w:line="249" w:lineRule="auto"/>
        <w:ind w:right="12" w:hanging="367"/>
        <w:jc w:val="both"/>
        <w:rPr>
          <w:rFonts w:ascii="Verdana" w:hAnsi="Verdana"/>
        </w:rPr>
      </w:pPr>
      <w:r w:rsidRPr="005B5CB6">
        <w:rPr>
          <w:rFonts w:ascii="Verdana" w:eastAsia="Verdana" w:hAnsi="Verdana" w:cs="Verdana"/>
        </w:rPr>
        <w:t xml:space="preserve">There are many, varied examples of technology being used to enhance certain democratic events and features. Examining the effects of civic technology reveals how evaluations of digital tools are bound up in ongoing debates about democracy. On a purely factual level, civic technologies facilitate higher quality information exchange between citizens and the state than general sharing platforms, as these digital tools provide logical user journeys that shape interactions to maximise their clarity and relevance and direct them towards the most appropriate recipient. Civic technologies are designed to, as far as possible, close the feedback loop, and therefore encourage users towards </w:t>
      </w:r>
      <w:r w:rsidRPr="005B5CB6">
        <w:rPr>
          <w:rFonts w:ascii="Verdana" w:eastAsia="Verdana" w:hAnsi="Verdana" w:cs="Verdana"/>
        </w:rPr>
        <w:t xml:space="preserve">meaningful dialogue, problem solving and information facilitation, and away from ‘light touch’ opinion sharing on a general platform, which can be likened to shouting into a great void: it may be cathartic but is unlikely to achieve anything. Fostering better quality democratic interaction has benefits. mySociety research found that over 90% of TheyWorkForYou.com users surveyed believed that being able to see parliamentary information in such a consumable format enabled them, at least in part, to hold their representatives to account (Rumbul, 2016). A similar percentage believed that representatives would behave in a different manner if this information was not publicly available. This statistic is important in demonstrating that disclosure is one of the fundamental features of building trust in democratic process, something that can be further and more easily developed technologically.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0"/>
          <w:numId w:val="65"/>
        </w:numPr>
        <w:spacing w:after="5" w:line="249" w:lineRule="auto"/>
        <w:ind w:right="12" w:hanging="367"/>
        <w:jc w:val="both"/>
        <w:rPr>
          <w:rFonts w:ascii="Verdana" w:hAnsi="Verdana"/>
        </w:rPr>
      </w:pPr>
      <w:r w:rsidRPr="005B5CB6">
        <w:rPr>
          <w:rFonts w:ascii="Verdana" w:eastAsia="Verdana" w:hAnsi="Verdana" w:cs="Verdana"/>
        </w:rPr>
        <w:t xml:space="preserve">Studies demonstrate that local authority website usage is correlated with trust in local authorities (Tolbert &amp; Mossberger, 2006) and with the scope of interaction between citizens and local governments (Feeney, Welch, &amp; Haller, 2011; Garrett &amp; Jensen, 2011). The more citizens use local government websites, the more they communicate with local authorities and trust them, even more so than at the national level. Thus, local authority Facebook or Twitter activities have the potential to generate beneficial results for both citizen and institution. The development of local policy alongside new digital democracy services is also shown to produce better quality policy and services, compared to policy developed in isolation that is then digitised as a secondary activity or afterthought. The ‘Civic Tech Cities' report by mySociety (2017) evidences this, showing that the user design thinking brought to the table by tech experts positively affects how eventual policies are solidified and operationalised, creating not only better digital tools, but better policy too. This has a knock on effect of service users feeling more positive towards public bodies. Here again, as with other digital democratic activities, the closure of the feedback loop increases the trust citizens have in institutions.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0"/>
          <w:numId w:val="65"/>
        </w:numPr>
        <w:spacing w:after="5" w:line="249" w:lineRule="auto"/>
        <w:ind w:right="12" w:hanging="367"/>
        <w:jc w:val="both"/>
        <w:rPr>
          <w:rFonts w:ascii="Verdana" w:hAnsi="Verdana"/>
        </w:rPr>
      </w:pPr>
      <w:r w:rsidRPr="005B5CB6">
        <w:rPr>
          <w:rFonts w:ascii="Verdana" w:eastAsia="Verdana" w:hAnsi="Verdana" w:cs="Verdana"/>
        </w:rPr>
        <w:t xml:space="preserve">Democratic services provided by government have also been transformed over the last few years. At a basic and important level, the process of registering to vote has been greatly simplified through online technology. This has made it easier for groups that move more often (e.g renters and young people) to claim their right to participate in the process. In the 2017 election this arguably contributed to the increase in the renter turnout which had a practical impact on the result (Bloomberg, 2018).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0"/>
          <w:numId w:val="65"/>
        </w:numPr>
        <w:spacing w:after="5" w:line="249" w:lineRule="auto"/>
        <w:ind w:right="12" w:hanging="367"/>
        <w:jc w:val="both"/>
        <w:rPr>
          <w:rFonts w:ascii="Verdana" w:hAnsi="Verdana"/>
        </w:rPr>
      </w:pPr>
      <w:r w:rsidRPr="005B5CB6">
        <w:rPr>
          <w:rFonts w:ascii="Verdana" w:eastAsia="Verdana" w:hAnsi="Verdana" w:cs="Verdana"/>
        </w:rPr>
        <w:t xml:space="preserve">The parliamentary e-petition system has had positive impact. While most petitions are rejected, few create debates, and even fewer have a meaningful impact, some do have an impact, especially through the ability of the petitions committee to gather additional evidence and information. Such petitions also mobilise debate around specific issues that can then be amplified by the press.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0"/>
          <w:numId w:val="65"/>
        </w:numPr>
        <w:spacing w:after="2" w:line="249" w:lineRule="auto"/>
        <w:ind w:right="12" w:hanging="367"/>
        <w:jc w:val="both"/>
        <w:rPr>
          <w:rFonts w:ascii="Verdana" w:hAnsi="Verdana"/>
        </w:rPr>
      </w:pPr>
      <w:r w:rsidRPr="005B5CB6">
        <w:rPr>
          <w:rFonts w:ascii="Verdana" w:eastAsia="Verdana" w:hAnsi="Verdana" w:cs="Verdana"/>
        </w:rPr>
        <w:t>Cristina Leston-Bandeira (2019) argues that the e-petition system highlights “</w:t>
      </w:r>
      <w:r w:rsidRPr="005B5CB6">
        <w:rPr>
          <w:rFonts w:ascii="Verdana" w:eastAsia="Verdana" w:hAnsi="Verdana" w:cs="Verdana"/>
          <w:i/>
        </w:rPr>
        <w:t xml:space="preserve">issues dispersed across the country, of no particular significance within specific constituencies. The high heels petition is a good example of this: in the first instance seemingly trivial, its rapid collation of signatures </w:t>
      </w:r>
      <w:r w:rsidRPr="005B5CB6">
        <w:rPr>
          <w:rFonts w:ascii="Verdana" w:eastAsia="Verdana" w:hAnsi="Verdana" w:cs="Verdana"/>
          <w:i/>
        </w:rPr>
        <w:t>highlighted it as a serious issue affecting many women across the country. Besides inquiries, the gathering evidence role is also evident in oral evidence sessions held, such as the ones on the Meningitis B vaccination (Petition 108072), grouse shooting (Petitions 125003 and 164851) and a cap on young people’s car insurance (Petition 166847). In all three, the evidence gathered would then inform the petitions’ respective debates. [T]he Meningitis B epetition’s evidence sessions were key for the Committee to press on policy change”</w:t>
      </w:r>
      <w:r w:rsidRPr="005B5CB6">
        <w:rPr>
          <w:rFonts w:ascii="Verdana" w:eastAsia="Verdana" w:hAnsi="Verdana" w:cs="Verdana"/>
        </w:rPr>
        <w:t xml:space="preserve">. </w:t>
      </w:r>
    </w:p>
    <w:p w:rsidR="00FB0B24" w:rsidRPr="005B5CB6" w:rsidP="003255A4">
      <w:pPr>
        <w:spacing w:after="0"/>
        <w:ind w:left="363"/>
        <w:jc w:val="both"/>
        <w:rPr>
          <w:rFonts w:ascii="Verdana" w:hAnsi="Verdana"/>
        </w:rPr>
      </w:pPr>
      <w:r w:rsidRPr="005B5CB6">
        <w:rPr>
          <w:rFonts w:ascii="Verdana" w:eastAsia="Verdana" w:hAnsi="Verdana" w:cs="Verdana"/>
        </w:rPr>
        <w:t xml:space="preserve"> </w:t>
      </w:r>
    </w:p>
    <w:p w:rsidR="00FB0B24" w:rsidRPr="005B5CB6" w:rsidP="003255A4">
      <w:pPr>
        <w:numPr>
          <w:ilvl w:val="0"/>
          <w:numId w:val="65"/>
        </w:numPr>
        <w:spacing w:after="5" w:line="249" w:lineRule="auto"/>
        <w:ind w:right="12" w:hanging="367"/>
        <w:jc w:val="both"/>
        <w:rPr>
          <w:rFonts w:ascii="Verdana" w:hAnsi="Verdana"/>
        </w:rPr>
      </w:pPr>
      <w:r w:rsidRPr="005B5CB6">
        <w:rPr>
          <w:rFonts w:ascii="Verdana" w:eastAsia="Verdana" w:hAnsi="Verdana" w:cs="Verdana"/>
        </w:rPr>
        <w:t xml:space="preserve">On a very broad level, technology has empowered many individuals to learn more about democracy and engage in it, even if only at a very low level, through reading, sharing or commenting. While the quality of this experience, and its level of informedness will be variable, there is a net benefit to individuals being able to easily access information and opinion concerning their democracy. If the pernicious heating and cooling effects of certain aspects of the digital democracy experience can be managed more effectively, technology can represent a net benefit to citizens and representatives alike in levelling opportunities to engage, promoting diversity in public life, and better informing policy-making for the benefit of all.  </w:t>
      </w:r>
    </w:p>
    <w:p w:rsidR="00FB0B24" w:rsidRPr="005B5CB6" w:rsidP="003255A4">
      <w:pPr>
        <w:spacing w:after="279"/>
        <w:ind w:left="4"/>
        <w:jc w:val="both"/>
        <w:rPr>
          <w:rFonts w:ascii="Verdana" w:hAnsi="Verdana"/>
        </w:rPr>
      </w:pPr>
      <w:r w:rsidRPr="005B5CB6">
        <w:rPr>
          <w:rFonts w:ascii="Verdana" w:eastAsia="Verdana" w:hAnsi="Verdana" w:cs="Verdana"/>
        </w:rPr>
        <w:t xml:space="preserve"> </w:t>
      </w:r>
    </w:p>
    <w:p w:rsidR="00FB0B24" w:rsidRPr="005B5CB6" w:rsidP="003255A4">
      <w:pPr>
        <w:spacing w:after="291"/>
        <w:ind w:left="4"/>
        <w:jc w:val="both"/>
        <w:rPr>
          <w:rFonts w:ascii="Verdana" w:hAnsi="Verdana"/>
        </w:rPr>
      </w:pPr>
      <w:r w:rsidRPr="005B5CB6">
        <w:rPr>
          <w:rFonts w:ascii="Verdana" w:eastAsia="Verdana" w:hAnsi="Verdana" w:cs="Verdana"/>
        </w:rPr>
        <w:t xml:space="preserve"> </w:t>
      </w:r>
    </w:p>
    <w:p w:rsidR="00FB0B24" w:rsidRPr="005B5CB6" w:rsidP="003255A4">
      <w:pPr>
        <w:spacing w:after="0"/>
        <w:ind w:left="4"/>
        <w:jc w:val="both"/>
        <w:rPr>
          <w:rFonts w:ascii="Verdana" w:hAnsi="Verdana"/>
        </w:rPr>
      </w:pPr>
      <w:r w:rsidRPr="005B5CB6">
        <w:rPr>
          <w:rFonts w:ascii="Verdana" w:eastAsia="Arial" w:hAnsi="Verdana" w:cs="Arial"/>
          <w:b/>
          <w:color w:val="333333"/>
        </w:rPr>
        <w:t xml:space="preserve"> </w:t>
      </w:r>
      <w:r w:rsidRPr="005B5CB6">
        <w:rPr>
          <w:rFonts w:ascii="Verdana" w:eastAsia="Arial" w:hAnsi="Verdana" w:cs="Arial"/>
          <w:b/>
          <w:color w:val="333333"/>
        </w:rPr>
        <w:tab/>
      </w:r>
      <w:r w:rsidRPr="005B5CB6">
        <w:rPr>
          <w:rFonts w:ascii="Verdana" w:eastAsia="Verdana" w:hAnsi="Verdana" w:cs="Verdana"/>
          <w:b/>
          <w:color w:val="333333"/>
        </w:rPr>
        <w:t xml:space="preserve">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 xml:space="preserve">References </w:t>
      </w:r>
    </w:p>
    <w:p w:rsidR="00FB0B24" w:rsidRPr="005B5CB6" w:rsidP="003255A4">
      <w:pPr>
        <w:spacing w:after="4" w:line="249" w:lineRule="auto"/>
        <w:ind w:left="-2" w:hanging="10"/>
        <w:jc w:val="both"/>
        <w:rPr>
          <w:rFonts w:ascii="Verdana" w:hAnsi="Verdana"/>
        </w:rPr>
      </w:pPr>
      <w:r w:rsidRPr="005B5CB6">
        <w:rPr>
          <w:rFonts w:ascii="Verdana" w:eastAsia="Verdana" w:hAnsi="Verdana" w:cs="Verdana"/>
        </w:rPr>
        <w:t xml:space="preserve">Arun, C. (2019) ‘On Whatsapp, Rumours, and Lynchings’, Economic and Political Weekly, 54(6), pp. 30–35. </w:t>
      </w:r>
      <w:r w:rsidRPr="005B5CB6">
        <w:rPr>
          <w:rFonts w:ascii="Verdana" w:eastAsia="Verdana" w:hAnsi="Verdana" w:cs="Verdana"/>
          <w:color w:val="222222"/>
        </w:rPr>
        <w:t xml:space="preserve">Arsht, A., &amp; Etcovitch, D. (2018) The Human Cost of Online Content Moderation. [Accessed 17.9.19] </w:t>
      </w:r>
    </w:p>
    <w:p w:rsidR="00FB0B24" w:rsidRPr="005B5CB6" w:rsidP="003255A4">
      <w:pPr>
        <w:spacing w:after="3" w:line="249" w:lineRule="auto"/>
        <w:ind w:left="-2" w:right="16" w:hanging="10"/>
        <w:jc w:val="both"/>
        <w:rPr>
          <w:rFonts w:ascii="Verdana" w:hAnsi="Verdana"/>
        </w:rPr>
      </w:pPr>
      <w:r>
        <w:fldChar w:fldCharType="begin"/>
      </w:r>
      <w:r>
        <w:instrText xml:space="preserve"> HYPERLINK "https://jolt.law.harvard.edu/digest/the-human-cost-of-online-content-moderation" </w:instrText>
      </w:r>
      <w:r>
        <w:fldChar w:fldCharType="separate"/>
      </w:r>
      <w:r w:rsidRPr="005B5CB6" w:rsidR="00A72806">
        <w:rPr>
          <w:rFonts w:ascii="Verdana" w:eastAsia="Verdana" w:hAnsi="Verdana" w:cs="Verdana"/>
          <w:color w:val="1155CC"/>
          <w:u w:val="single" w:color="1155CC"/>
        </w:rPr>
        <w:t>https://jolt.law.harvard.edu/digest/the-human-cost-of-online-content-moderation</w:t>
      </w:r>
      <w:r>
        <w:fldChar w:fldCharType="end"/>
      </w:r>
      <w:r>
        <w:fldChar w:fldCharType="begin"/>
      </w:r>
      <w:r>
        <w:instrText xml:space="preserve"> HYPERLINK "https://jolt.law.harvard.edu/digest/the-human-cost-of-online-content-moderation" </w:instrText>
      </w:r>
      <w:r>
        <w:fldChar w:fldCharType="separate"/>
      </w:r>
      <w:r w:rsidRPr="005B5CB6" w:rsidR="00A72806">
        <w:rPr>
          <w:rFonts w:ascii="Verdana" w:eastAsia="Verdana" w:hAnsi="Verdana" w:cs="Verdana"/>
          <w:color w:val="222222"/>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Berg, J. (2016). The impact of anonymity and issue controversiality on the quality of online discussion. Journal of Information Technology &amp; Politics, 13(1), 37-51.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Benkler, Y. (2006). The wealth of networks. New Haven, CT: Yale University Press. </w:t>
      </w:r>
    </w:p>
    <w:p w:rsidR="00FB0B24" w:rsidRPr="005B5CB6" w:rsidP="003255A4">
      <w:pPr>
        <w:spacing w:after="4" w:line="249" w:lineRule="auto"/>
        <w:ind w:left="-2" w:hanging="10"/>
        <w:jc w:val="both"/>
        <w:rPr>
          <w:rFonts w:ascii="Verdana" w:hAnsi="Verdana"/>
        </w:rPr>
      </w:pPr>
      <w:r w:rsidRPr="005B5CB6">
        <w:rPr>
          <w:rFonts w:ascii="Verdana" w:eastAsia="Verdana" w:hAnsi="Verdana" w:cs="Verdana"/>
        </w:rPr>
        <w:t xml:space="preserve">Blank, G. &amp; Graham, M. (2017) ‘Local Geographies of Digital Inequality’, Social Science Computer Review. doi: </w:t>
      </w:r>
    </w:p>
    <w:p w:rsidR="00FB0B24" w:rsidRPr="005B5CB6" w:rsidP="003255A4">
      <w:pPr>
        <w:spacing w:after="4" w:line="249" w:lineRule="auto"/>
        <w:ind w:left="-2" w:hanging="10"/>
        <w:jc w:val="both"/>
        <w:rPr>
          <w:rFonts w:ascii="Verdana" w:hAnsi="Verdana"/>
        </w:rPr>
      </w:pPr>
      <w:r w:rsidRPr="005B5CB6">
        <w:rPr>
          <w:rFonts w:ascii="Verdana" w:eastAsia="Verdana" w:hAnsi="Verdana" w:cs="Verdana"/>
        </w:rPr>
        <w:t xml:space="preserve">10.1177/0894439317693332. </w:t>
      </w:r>
    </w:p>
    <w:p w:rsidR="00FB0B24" w:rsidRPr="005B5CB6" w:rsidP="003255A4">
      <w:pPr>
        <w:spacing w:after="3" w:line="249" w:lineRule="auto"/>
        <w:ind w:left="-2" w:right="16" w:hanging="10"/>
        <w:jc w:val="both"/>
        <w:rPr>
          <w:rFonts w:ascii="Verdana" w:hAnsi="Verdana"/>
        </w:rPr>
      </w:pPr>
      <w:r w:rsidRPr="005B5CB6">
        <w:rPr>
          <w:rFonts w:ascii="Verdana" w:eastAsia="Verdana" w:hAnsi="Verdana" w:cs="Verdana"/>
          <w:color w:val="222222"/>
        </w:rPr>
        <w:t xml:space="preserve">Bloomberg. (2018) Housing crisis renters are driving British voters to Labour. [Accessed 19.9.2019] </w:t>
      </w:r>
      <w:r>
        <w:fldChar w:fldCharType="begin"/>
      </w:r>
      <w:r>
        <w:instrText xml:space="preserve"> HYPERLINK "https://www.bloomberg.com/opinion/articles/2018-03-05/housing-crisis-renters-are-driving-british-voters-to-labour" </w:instrText>
      </w:r>
      <w:r>
        <w:fldChar w:fldCharType="separate"/>
      </w:r>
      <w:r w:rsidRPr="005B5CB6">
        <w:rPr>
          <w:rFonts w:ascii="Verdana" w:eastAsia="Verdana" w:hAnsi="Verdana" w:cs="Verdana"/>
          <w:color w:val="1155CC"/>
          <w:u w:val="single" w:color="1155CC"/>
        </w:rPr>
        <w:t>https://www.bloomberg.com/opinion/articles/2018-03-05/housing-crisis-renters-are-driving-british-voters-to</w:t>
      </w:r>
      <w:r>
        <w:fldChar w:fldCharType="end"/>
      </w:r>
      <w:r>
        <w:fldChar w:fldCharType="begin"/>
      </w:r>
      <w:r>
        <w:instrText xml:space="preserve"> HYPERLINK "https://www.bloomberg.com/opinion/articles/2018-03-05/housing-crisis-renters-are-driving-british-voters-to-labour" </w:instrText>
      </w:r>
      <w:r>
        <w:fldChar w:fldCharType="separate"/>
      </w:r>
      <w:r w:rsidRPr="005B5CB6">
        <w:rPr>
          <w:rFonts w:ascii="Verdana" w:eastAsia="Verdana" w:hAnsi="Verdana" w:cs="Verdana"/>
          <w:color w:val="1155CC"/>
          <w:u w:val="single" w:color="1155CC"/>
        </w:rPr>
        <w:t>labour</w:t>
      </w:r>
      <w:r>
        <w:fldChar w:fldCharType="end"/>
      </w:r>
      <w:r>
        <w:fldChar w:fldCharType="begin"/>
      </w:r>
      <w:r>
        <w:instrText xml:space="preserve"> HYPERLINK "https://www.bloomberg.com/opinion/articles/2018-03-05/housing-crisis-renters-are-driving-british-voters-to-labour" </w:instrText>
      </w:r>
      <w:r>
        <w:fldChar w:fldCharType="separate"/>
      </w:r>
      <w:r w:rsidRPr="005B5CB6">
        <w:rPr>
          <w:rFonts w:ascii="Verdana" w:eastAsia="Verdana" w:hAnsi="Verdana" w:cs="Verdana"/>
          <w:color w:val="222222"/>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Bode, L., &amp; Vraga, E. K. (2015). In related news, that was wrong: The correction of misinformation through related stories functionality in social media. </w:t>
      </w:r>
      <w:r w:rsidRPr="005B5CB6">
        <w:rPr>
          <w:rFonts w:ascii="Verdana" w:eastAsia="Verdana" w:hAnsi="Verdana" w:cs="Verdana"/>
          <w:i/>
          <w:color w:val="222222"/>
        </w:rPr>
        <w:t>Journal of Communication</w:t>
      </w:r>
      <w:r w:rsidRPr="005B5CB6">
        <w:rPr>
          <w:rFonts w:ascii="Verdana" w:eastAsia="Verdana" w:hAnsi="Verdana" w:cs="Verdana"/>
          <w:color w:val="222222"/>
        </w:rPr>
        <w:t xml:space="preserve">, </w:t>
      </w:r>
      <w:r w:rsidRPr="005B5CB6">
        <w:rPr>
          <w:rFonts w:ascii="Verdana" w:eastAsia="Verdana" w:hAnsi="Verdana" w:cs="Verdana"/>
          <w:i/>
          <w:color w:val="222222"/>
        </w:rPr>
        <w:t>65</w:t>
      </w:r>
      <w:r w:rsidRPr="005B5CB6">
        <w:rPr>
          <w:rFonts w:ascii="Verdana" w:eastAsia="Verdana" w:hAnsi="Verdana" w:cs="Verdana"/>
          <w:color w:val="222222"/>
        </w:rPr>
        <w:t xml:space="preserve">(4), 619-638. </w:t>
      </w:r>
    </w:p>
    <w:p w:rsidR="00FB0B24" w:rsidRPr="005B5CB6" w:rsidP="003255A4">
      <w:pPr>
        <w:spacing w:after="4" w:line="249" w:lineRule="auto"/>
        <w:ind w:left="-2" w:hanging="10"/>
        <w:jc w:val="both"/>
        <w:rPr>
          <w:rFonts w:ascii="Verdana" w:hAnsi="Verdana"/>
        </w:rPr>
      </w:pPr>
      <w:r w:rsidRPr="005B5CB6">
        <w:rPr>
          <w:rFonts w:ascii="Verdana" w:eastAsia="Verdana" w:hAnsi="Verdana" w:cs="Verdana"/>
        </w:rPr>
        <w:t>Bor, A., &amp; Petersen, M. B. (2019) Origins of Online Political Hostility: A Cross-National Test of the Psychological Mismatch Hypothesis.</w:t>
      </w:r>
      <w:r w:rsidRPr="005B5CB6">
        <w:rPr>
          <w:rFonts w:ascii="Verdana" w:eastAsia="Verdana" w:hAnsi="Verdana" w:cs="Verdana"/>
          <w:i/>
        </w:rPr>
        <w:t xml:space="preserve"> APSA 2019 </w:t>
      </w:r>
    </w:p>
    <w:p w:rsidR="00FB0B24" w:rsidRPr="005B5CB6" w:rsidP="003255A4">
      <w:pPr>
        <w:spacing w:after="4" w:line="249" w:lineRule="auto"/>
        <w:ind w:left="-2" w:hanging="10"/>
        <w:jc w:val="both"/>
        <w:rPr>
          <w:rFonts w:ascii="Verdana" w:hAnsi="Verdana"/>
        </w:rPr>
      </w:pPr>
      <w:r w:rsidRPr="005B5CB6">
        <w:rPr>
          <w:rFonts w:ascii="Verdana" w:eastAsia="Verdana" w:hAnsi="Verdana" w:cs="Verdana"/>
        </w:rPr>
        <w:t xml:space="preserve">Brainard, L.A., &amp; Derrick-Mills, T. (2011). Electronic commons, community policing and communication: On-line police –citizen discussion groups in Washington D.C. Administrative Theory &amp; Praxis, 33(3), 383–410. Brainard, L.A., &amp; McNutt, J.G. (2010). Virtual government–citizen relations: Informational, transactional or collaborative? Administration and Society, 42(7), 836–858. </w:t>
      </w:r>
    </w:p>
    <w:p w:rsidR="00FB0B24" w:rsidRPr="005B5CB6" w:rsidP="003255A4">
      <w:pPr>
        <w:spacing w:after="4" w:line="249" w:lineRule="auto"/>
        <w:ind w:left="-2" w:hanging="10"/>
        <w:jc w:val="both"/>
        <w:rPr>
          <w:rFonts w:ascii="Verdana" w:hAnsi="Verdana"/>
        </w:rPr>
      </w:pPr>
      <w:r w:rsidRPr="005B5CB6">
        <w:rPr>
          <w:rFonts w:ascii="Verdana" w:eastAsia="Verdana" w:hAnsi="Verdana" w:cs="Verdana"/>
        </w:rPr>
        <w:t xml:space="preserve">Bryer, T. A. (2013). Designing social media strategies for effective citizen engagement: A case example and model. National Civic Review, 102(1), 43–50. </w:t>
      </w:r>
    </w:p>
    <w:p w:rsidR="00FB0B24" w:rsidRPr="005B5CB6" w:rsidP="003255A4">
      <w:pPr>
        <w:spacing w:after="4" w:line="249" w:lineRule="auto"/>
        <w:ind w:left="-2" w:hanging="10"/>
        <w:jc w:val="both"/>
        <w:rPr>
          <w:rFonts w:ascii="Verdana" w:hAnsi="Verdana"/>
        </w:rPr>
      </w:pPr>
      <w:r w:rsidRPr="005B5CB6">
        <w:rPr>
          <w:rFonts w:ascii="Verdana" w:eastAsia="Verdana" w:hAnsi="Verdana" w:cs="Verdana"/>
        </w:rPr>
        <w:t xml:space="preserve">Bryer, T.A., &amp; Zavattaro, S.M. (2011). Social media and public administration. Administrative Theory &amp; Praxis, 33(3), 325–340. </w:t>
      </w:r>
    </w:p>
    <w:p w:rsidR="00FB0B24" w:rsidRPr="005B5CB6" w:rsidP="003255A4">
      <w:pPr>
        <w:spacing w:after="4" w:line="249" w:lineRule="auto"/>
        <w:ind w:left="-2" w:hanging="10"/>
        <w:jc w:val="both"/>
        <w:rPr>
          <w:rFonts w:ascii="Verdana" w:hAnsi="Verdana"/>
        </w:rPr>
      </w:pPr>
      <w:r w:rsidRPr="005B5CB6">
        <w:rPr>
          <w:rFonts w:ascii="Verdana" w:eastAsia="Verdana" w:hAnsi="Verdana" w:cs="Verdana"/>
        </w:rPr>
        <w:t xml:space="preserve">Caplan, R. (2018) Content Or Context Moderation? Artisanal, Community-reliant, And Industrial Approaches. </w:t>
      </w:r>
    </w:p>
    <w:p w:rsidR="00FB0B24" w:rsidRPr="005B5CB6" w:rsidP="003255A4">
      <w:pPr>
        <w:spacing w:after="3" w:line="249" w:lineRule="auto"/>
        <w:ind w:left="-2" w:right="16" w:hanging="10"/>
        <w:jc w:val="both"/>
        <w:rPr>
          <w:rFonts w:ascii="Verdana" w:hAnsi="Verdana"/>
        </w:rPr>
      </w:pPr>
      <w:r w:rsidRPr="005B5CB6">
        <w:rPr>
          <w:rFonts w:ascii="Verdana" w:eastAsia="Verdana" w:hAnsi="Verdana" w:cs="Verdana"/>
        </w:rPr>
        <w:t xml:space="preserve">[Accessed 17.9.19] </w:t>
      </w:r>
      <w:r>
        <w:fldChar w:fldCharType="begin"/>
      </w:r>
      <w:r>
        <w:instrText xml:space="preserve"> HYPERLINK "https://datasociety.net/output/content-or-context-moderation/" </w:instrText>
      </w:r>
      <w:r>
        <w:fldChar w:fldCharType="separate"/>
      </w:r>
      <w:r w:rsidRPr="005B5CB6">
        <w:rPr>
          <w:rFonts w:ascii="Verdana" w:eastAsia="Verdana" w:hAnsi="Verdana" w:cs="Verdana"/>
          <w:color w:val="1155CC"/>
          <w:u w:val="single" w:color="1155CC"/>
        </w:rPr>
        <w:t>https://datasociety.net/output/content-or-context-moderation/</w:t>
      </w:r>
      <w:r>
        <w:fldChar w:fldCharType="end"/>
      </w:r>
      <w:r>
        <w:fldChar w:fldCharType="begin"/>
      </w:r>
      <w:r>
        <w:instrText xml:space="preserve"> HYPERLINK "https://datasociety.net/output/content-or-context-moderation/" </w:instrText>
      </w:r>
      <w:r>
        <w:fldChar w:fldCharType="separate"/>
      </w:r>
      <w:r w:rsidRPr="005B5CB6">
        <w:rPr>
          <w:rFonts w:ascii="Verdana" w:eastAsia="Verdana" w:hAnsi="Verdana" w:cs="Verdana"/>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Ceron, A. (2015). Internet, news, and political trust: The difference between social media and online media outlets. </w:t>
      </w:r>
      <w:r w:rsidRPr="005B5CB6">
        <w:rPr>
          <w:rFonts w:ascii="Verdana" w:eastAsia="Verdana" w:hAnsi="Verdana" w:cs="Verdana"/>
          <w:i/>
          <w:color w:val="222222"/>
        </w:rPr>
        <w:t>Journal of Computer-Mediated Communication</w:t>
      </w:r>
      <w:r w:rsidRPr="005B5CB6">
        <w:rPr>
          <w:rFonts w:ascii="Verdana" w:eastAsia="Verdana" w:hAnsi="Verdana" w:cs="Verdana"/>
          <w:color w:val="222222"/>
        </w:rPr>
        <w:t xml:space="preserve">, </w:t>
      </w:r>
      <w:r w:rsidRPr="005B5CB6">
        <w:rPr>
          <w:rFonts w:ascii="Verdana" w:eastAsia="Verdana" w:hAnsi="Verdana" w:cs="Verdana"/>
          <w:i/>
          <w:color w:val="222222"/>
        </w:rPr>
        <w:t>20</w:t>
      </w:r>
      <w:r w:rsidRPr="005B5CB6">
        <w:rPr>
          <w:rFonts w:ascii="Verdana" w:eastAsia="Verdana" w:hAnsi="Verdana" w:cs="Verdana"/>
          <w:color w:val="222222"/>
        </w:rPr>
        <w:t xml:space="preserve">(5), 487-503.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Electoral Commission (2019) Transparent Digital Campaigning. [Accessed 17.9.19] </w:t>
      </w:r>
    </w:p>
    <w:p w:rsidR="00FB0B24" w:rsidRPr="005B5CB6" w:rsidP="003255A4">
      <w:pPr>
        <w:spacing w:after="3" w:line="249" w:lineRule="auto"/>
        <w:ind w:left="-2" w:right="16" w:hanging="10"/>
        <w:jc w:val="both"/>
        <w:rPr>
          <w:rFonts w:ascii="Verdana" w:hAnsi="Verdana"/>
        </w:rPr>
      </w:pPr>
      <w:r>
        <w:fldChar w:fldCharType="begin"/>
      </w:r>
      <w:r>
        <w:instrText xml:space="preserve"> HYPERLINK "https://www.electoralcommission.org.uk/who-we-are-and-what-we-do/changing-electoral-law/transparent-digital-campaigning" </w:instrText>
      </w:r>
      <w:r>
        <w:fldChar w:fldCharType="separate"/>
      </w:r>
      <w:r w:rsidRPr="005B5CB6" w:rsidR="00A72806">
        <w:rPr>
          <w:rFonts w:ascii="Verdana" w:eastAsia="Verdana" w:hAnsi="Verdana" w:cs="Verdana"/>
          <w:color w:val="1155CC"/>
          <w:u w:val="single" w:color="1155CC"/>
        </w:rPr>
        <w:t>https://www.electoralcommission.org.uk/who-we-are-and-what-we-do/changing-electoral-law/transparent</w:t>
      </w:r>
      <w:r>
        <w:fldChar w:fldCharType="end"/>
      </w:r>
      <w:r>
        <w:fldChar w:fldCharType="begin"/>
      </w:r>
      <w:r>
        <w:instrText xml:space="preserve"> HYPERLINK "https://www.electoralcommission.org.uk/who-we-are-and-what-we-do/changing-electoral-law/transparent-digital-campaigning" </w:instrText>
      </w:r>
      <w:r>
        <w:fldChar w:fldCharType="separate"/>
      </w:r>
      <w:r w:rsidRPr="005B5CB6" w:rsidR="00A72806">
        <w:rPr>
          <w:rFonts w:ascii="Verdana" w:eastAsia="Verdana" w:hAnsi="Verdana" w:cs="Verdana"/>
          <w:color w:val="1155CC"/>
          <w:u w:val="single" w:color="1155CC"/>
        </w:rPr>
        <w:t>digital-campaigning</w:t>
      </w:r>
      <w:r>
        <w:fldChar w:fldCharType="end"/>
      </w:r>
      <w:r>
        <w:fldChar w:fldCharType="begin"/>
      </w:r>
      <w:r>
        <w:instrText xml:space="preserve"> HYPERLINK "https://www.electoralcommission.org.uk/who-we-are-and-what-we-do/changing-electoral-law/transparent-digital-campaigning" </w:instrText>
      </w:r>
      <w:r>
        <w:fldChar w:fldCharType="separate"/>
      </w:r>
      <w:r w:rsidRPr="005B5CB6" w:rsidR="00A72806">
        <w:rPr>
          <w:rFonts w:ascii="Verdana" w:eastAsia="Verdana" w:hAnsi="Verdana" w:cs="Verdana"/>
          <w:color w:val="222222"/>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Facebook (2019) Facebook Ad Library. [Accessed 17.9.19] </w:t>
      </w:r>
      <w:r>
        <w:fldChar w:fldCharType="begin"/>
      </w:r>
      <w:r>
        <w:instrText xml:space="preserve"> HYPERLINK "https://www.facebook.com/ads/library/?active_status=all&amp;ad_type=political_and_issue_ads&amp;country=GB" </w:instrText>
      </w:r>
      <w:r>
        <w:fldChar w:fldCharType="separate"/>
      </w:r>
      <w:r w:rsidRPr="005B5CB6">
        <w:rPr>
          <w:rFonts w:ascii="Verdana" w:eastAsia="Verdana" w:hAnsi="Verdana" w:cs="Verdana"/>
          <w:color w:val="1155CC"/>
          <w:u w:val="single" w:color="1155CC"/>
        </w:rPr>
        <w:t>https://www.facebook.com/ads/library/?active_status=all&amp;ad_type=political_and_issue_ads&amp;country=GB</w:t>
      </w:r>
      <w:r>
        <w:fldChar w:fldCharType="end"/>
      </w:r>
      <w:r>
        <w:fldChar w:fldCharType="begin"/>
      </w:r>
      <w:r>
        <w:instrText xml:space="preserve"> HYPERLINK "https://www.facebook.com/ads/library/?active_status=all&amp;ad_type=political_and_issue_ads&amp;country=GB" </w:instrText>
      </w:r>
      <w:r>
        <w:fldChar w:fldCharType="separate"/>
      </w:r>
      <w:r w:rsidRPr="005B5CB6">
        <w:rPr>
          <w:rFonts w:ascii="Verdana" w:eastAsia="Verdana" w:hAnsi="Verdana" w:cs="Verdana"/>
          <w:color w:val="222222"/>
        </w:rPr>
        <w:t xml:space="preserve"> </w:t>
      </w:r>
      <w:r>
        <w:fldChar w:fldCharType="end"/>
      </w:r>
      <w:r w:rsidRPr="005B5CB6">
        <w:rPr>
          <w:rFonts w:ascii="Verdana" w:eastAsia="Verdana" w:hAnsi="Verdana" w:cs="Verdana"/>
          <w:color w:val="222222"/>
        </w:rPr>
        <w:t xml:space="preserve">Feeney,M.,Welch, E. W., &amp; Haller, M. (2011). Transparency, civic engagement, and technology use in local government agencies: Findings from a national survey. Institute for Policy and Civic Engagement, University of Illinois at Chicago.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Fox, J. (2007). The uncertain relationship between transparency and accountability. </w:t>
      </w:r>
      <w:r w:rsidRPr="005B5CB6">
        <w:rPr>
          <w:rFonts w:ascii="Verdana" w:eastAsia="Verdana" w:hAnsi="Verdana" w:cs="Verdana"/>
          <w:i/>
          <w:color w:val="222222"/>
        </w:rPr>
        <w:t>Development in practice</w:t>
      </w:r>
      <w:r w:rsidRPr="005B5CB6">
        <w:rPr>
          <w:rFonts w:ascii="Verdana" w:eastAsia="Verdana" w:hAnsi="Verdana" w:cs="Verdana"/>
          <w:color w:val="222222"/>
        </w:rPr>
        <w:t xml:space="preserve">, 17(4-5), 663-671.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Garrett, R. K., &amp; Jensen, M. J. (2011). E-democracy writ small: The impact of the Internet on citizen access to local elected officials. Information, Communication &amp; Society, 14(2), 177–197.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Glaeser, E. (2011). Triumph of the city: how our greatest invention makes us richer, smarter, greener, healthier, and happier. New York, NY: The Penguin Press.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GoodThingsFoundation (2019) Young Adults and the Digital Skills Gap. [Accessed 17.9.19] </w:t>
      </w:r>
    </w:p>
    <w:p w:rsidR="00FB0B24" w:rsidRPr="005B5CB6" w:rsidP="003255A4">
      <w:pPr>
        <w:spacing w:after="3" w:line="249" w:lineRule="auto"/>
        <w:ind w:left="-2" w:right="16" w:hanging="10"/>
        <w:jc w:val="both"/>
        <w:rPr>
          <w:rFonts w:ascii="Verdana" w:hAnsi="Verdana"/>
        </w:rPr>
      </w:pPr>
      <w:r>
        <w:fldChar w:fldCharType="begin"/>
      </w:r>
      <w:r>
        <w:instrText xml:space="preserve"> HYPERLINK "https://www.goodthingsfoundation.org/news-and-blogs/blogs/Young-adults-and-the-digital-skills-gap" </w:instrText>
      </w:r>
      <w:r>
        <w:fldChar w:fldCharType="separate"/>
      </w:r>
      <w:r w:rsidRPr="005B5CB6" w:rsidR="00A72806">
        <w:rPr>
          <w:rFonts w:ascii="Verdana" w:eastAsia="Verdana" w:hAnsi="Verdana" w:cs="Verdana"/>
          <w:color w:val="1155CC"/>
          <w:u w:val="single" w:color="1155CC"/>
        </w:rPr>
        <w:t>https://www.goodthingsfoundation.org/news-and-blogs/blogs/Young-adults-and-the-digital-skills-gap</w:t>
      </w:r>
      <w:r>
        <w:fldChar w:fldCharType="end"/>
      </w:r>
      <w:r>
        <w:fldChar w:fldCharType="begin"/>
      </w:r>
      <w:r>
        <w:instrText xml:space="preserve"> HYPERLINK "https://www.goodthingsfoundation.org/news-and-blogs/blogs/Young-adults-and-the-digital-skills-gap" </w:instrText>
      </w:r>
      <w:r>
        <w:fldChar w:fldCharType="separate"/>
      </w:r>
      <w:r w:rsidRPr="005B5CB6" w:rsidR="00A72806">
        <w:rPr>
          <w:rFonts w:ascii="Verdana" w:eastAsia="Verdana" w:hAnsi="Verdana" w:cs="Verdana"/>
          <w:color w:val="222222"/>
        </w:rPr>
        <w:t xml:space="preserve"> </w:t>
      </w:r>
      <w:r>
        <w:fldChar w:fldCharType="end"/>
      </w:r>
      <w:r w:rsidRPr="005B5CB6" w:rsidR="00A72806">
        <w:rPr>
          <w:rFonts w:ascii="Verdana" w:eastAsia="Verdana" w:hAnsi="Verdana" w:cs="Verdana"/>
          <w:color w:val="222222"/>
        </w:rPr>
        <w:t xml:space="preserve">Gov-Ari, E. (2017) What I’ve discovered when analyzing the “Parents” WhatsApp group. Medium [Accessed 17.9.19] </w:t>
      </w:r>
      <w:r>
        <w:fldChar w:fldCharType="begin"/>
      </w:r>
      <w:r>
        <w:instrText xml:space="preserve"> HYPERLINK "https://medium.com/@eladgovari/what-ive-discovered-when-analyzing-the-parents-whatsapp-group-dc1fe19f2e00" </w:instrText>
      </w:r>
      <w:r>
        <w:fldChar w:fldCharType="separate"/>
      </w:r>
      <w:r w:rsidRPr="005B5CB6" w:rsidR="00A72806">
        <w:rPr>
          <w:rFonts w:ascii="Verdana" w:eastAsia="Verdana" w:hAnsi="Verdana" w:cs="Verdana"/>
          <w:color w:val="1155CC"/>
          <w:u w:val="single" w:color="1155CC"/>
        </w:rPr>
        <w:t>https://medium.com/@eladgovari/what-ive-discovered-when-analyzing-the-parents-whatsapp-group</w:t>
      </w:r>
      <w:r>
        <w:fldChar w:fldCharType="end"/>
      </w:r>
      <w:r>
        <w:fldChar w:fldCharType="begin"/>
      </w:r>
      <w:r>
        <w:instrText xml:space="preserve"> HYPERLINK "https://medium.com/@eladgovari/what-ive-discovered-when-analyzing-the-parents-whatsapp-group-dc1fe19f2e00" </w:instrText>
      </w:r>
      <w:r>
        <w:fldChar w:fldCharType="separate"/>
      </w:r>
      <w:r w:rsidRPr="005B5CB6" w:rsidR="00A72806">
        <w:rPr>
          <w:rFonts w:ascii="Verdana" w:eastAsia="Verdana" w:hAnsi="Verdana" w:cs="Verdana"/>
          <w:color w:val="1155CC"/>
          <w:u w:val="single" w:color="1155CC"/>
        </w:rPr>
        <w:t>dc1fe19f2e00</w:t>
      </w:r>
      <w:r>
        <w:fldChar w:fldCharType="end"/>
      </w:r>
      <w:r>
        <w:fldChar w:fldCharType="begin"/>
      </w:r>
      <w:r>
        <w:instrText xml:space="preserve"> HYPERLINK "https://medium.com/@eladgovari/what-ive-discovered-when-analyzing-the-parents-whatsapp-group-dc1fe19f2e00" </w:instrText>
      </w:r>
      <w:r>
        <w:fldChar w:fldCharType="separate"/>
      </w:r>
      <w:r w:rsidRPr="005B5CB6" w:rsidR="00A72806">
        <w:rPr>
          <w:rFonts w:ascii="Verdana" w:eastAsia="Verdana" w:hAnsi="Verdana" w:cs="Verdana"/>
          <w:color w:val="222222"/>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Grygiel, J. (2019) Facebook algorithm changes suppressed journalism and meddled with democracy. The Conversation. [Accessed 17.9.19] </w:t>
      </w:r>
      <w:r>
        <w:fldChar w:fldCharType="begin"/>
      </w:r>
      <w:r>
        <w:instrText xml:space="preserve"> HYPERLINK "https://theconversation.com/facebook-algorithm-changes-suppressed-journalism-and-meddled-with-democracy-119446" </w:instrText>
      </w:r>
      <w:r>
        <w:fldChar w:fldCharType="separate"/>
      </w:r>
      <w:r w:rsidRPr="005B5CB6">
        <w:rPr>
          <w:rFonts w:ascii="Verdana" w:eastAsia="Verdana" w:hAnsi="Verdana" w:cs="Verdana"/>
          <w:color w:val="1155CC"/>
          <w:u w:val="single" w:color="1155CC"/>
        </w:rPr>
        <w:t>https://theconversation.com/facebook-algorithm-changes-suppressed</w:t>
      </w:r>
      <w:r>
        <w:fldChar w:fldCharType="end"/>
      </w:r>
      <w:r>
        <w:fldChar w:fldCharType="begin"/>
      </w:r>
      <w:r>
        <w:instrText xml:space="preserve"> HYPERLINK "https://theconversation.com/facebook-algorithm-changes-suppressed-journalism-and-meddled-with-democracy-119446" </w:instrText>
      </w:r>
      <w:r>
        <w:fldChar w:fldCharType="separate"/>
      </w:r>
      <w:r w:rsidRPr="005B5CB6">
        <w:rPr>
          <w:rFonts w:ascii="Verdana" w:eastAsia="Verdana" w:hAnsi="Verdana" w:cs="Verdana"/>
          <w:color w:val="1155CC"/>
          <w:u w:val="single" w:color="1155CC"/>
        </w:rPr>
        <w:t>journalism-and-meddled-with-democracy-119446</w:t>
      </w:r>
      <w:r>
        <w:fldChar w:fldCharType="end"/>
      </w:r>
      <w:r>
        <w:fldChar w:fldCharType="begin"/>
      </w:r>
      <w:r>
        <w:instrText xml:space="preserve"> HYPERLINK "https://theconversation.com/facebook-algorithm-changes-suppressed-journalism-and-meddled-with-democracy-119446" </w:instrText>
      </w:r>
      <w:r>
        <w:fldChar w:fldCharType="separate"/>
      </w:r>
      <w:r w:rsidRPr="005B5CB6">
        <w:rPr>
          <w:rFonts w:ascii="Verdana" w:eastAsia="Verdana" w:hAnsi="Verdana" w:cs="Verdana"/>
          <w:color w:val="222222"/>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rPr>
        <w:t xml:space="preserve">Hand, L.C., &amp; Ching, B.D. (2011). You have one friend request: An exploration of power and citizen engagement in local governments' use of social media. Administrative Theory &amp; Praxis, 33(3), 362–382. </w:t>
      </w:r>
      <w:r w:rsidRPr="005B5CB6">
        <w:rPr>
          <w:rFonts w:ascii="Verdana" w:eastAsia="Verdana" w:hAnsi="Verdana" w:cs="Verdana"/>
          <w:color w:val="222222"/>
        </w:rPr>
        <w:t xml:space="preserve">Leston-bandeira, C. (2019). Parliamentary petitions and public engagement: an empirical analysis of the role of e-petitions. Policy &amp; Politics, xx(xx), 1–22. </w:t>
      </w:r>
      <w:r>
        <w:fldChar w:fldCharType="begin"/>
      </w:r>
      <w:r>
        <w:instrText xml:space="preserve"> HYPERLINK "https://doi.org/10.1332/030557319X15579230420117" </w:instrText>
      </w:r>
      <w:r>
        <w:fldChar w:fldCharType="separate"/>
      </w:r>
      <w:r w:rsidRPr="005B5CB6">
        <w:rPr>
          <w:rFonts w:ascii="Verdana" w:eastAsia="Verdana" w:hAnsi="Verdana" w:cs="Verdana"/>
          <w:color w:val="1155CC"/>
          <w:u w:val="single" w:color="1155CC"/>
        </w:rPr>
        <w:t>https://doi.org/10.1332/030557319X15579230420117</w:t>
      </w:r>
      <w:r>
        <w:fldChar w:fldCharType="end"/>
      </w:r>
      <w:r>
        <w:fldChar w:fldCharType="begin"/>
      </w:r>
      <w:r>
        <w:instrText xml:space="preserve"> HYPERLINK "https://doi.org/10.1332/030557319X15579230420117" </w:instrText>
      </w:r>
      <w:r>
        <w:fldChar w:fldCharType="separate"/>
      </w:r>
      <w:r w:rsidRPr="005B5CB6">
        <w:rPr>
          <w:rFonts w:ascii="Verdana" w:eastAsia="Verdana" w:hAnsi="Verdana" w:cs="Verdana"/>
          <w:color w:val="222222"/>
        </w:rPr>
        <w:t xml:space="preserve"> </w:t>
      </w:r>
      <w:r>
        <w:fldChar w:fldCharType="end"/>
      </w:r>
      <w:r w:rsidRPr="005B5CB6">
        <w:rPr>
          <w:rFonts w:ascii="Verdana" w:eastAsia="Verdana" w:hAnsi="Verdana" w:cs="Verdana"/>
          <w:color w:val="222222"/>
        </w:rPr>
        <w:t xml:space="preserve">Lockwood, M. H. (2017). The Conquest of Death: Violence and the Birth of the Modern English State. Yale University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Mergel, I. (2013a). Social media adoption and resulting tactics in the U.S. federal government. Government Information Quarterly, 30(2), 123–130.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Mergel, I. (2013b). A framework for interpreting social media interactions in the public sector. Government Information Quarterly, 30(4), 327–334.Press.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mySociety (2019) Digital tools for democratic participation. </w:t>
      </w:r>
      <w:r w:rsidRPr="005B5CB6">
        <w:rPr>
          <w:rFonts w:ascii="Verdana" w:eastAsia="Verdana" w:hAnsi="Verdana" w:cs="Verdana"/>
          <w:i/>
          <w:color w:val="222222"/>
        </w:rPr>
        <w:t>mySociety</w:t>
      </w:r>
      <w:r w:rsidRPr="005B5CB6">
        <w:rPr>
          <w:rFonts w:ascii="Verdana" w:eastAsia="Verdana" w:hAnsi="Verdana" w:cs="Verdana"/>
          <w:color w:val="222222"/>
        </w:rPr>
        <w:t xml:space="preserve">.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NESTA (2019) Crowdsourcing for democracy using Wikisurveys. [Accessed 17.9.19] </w:t>
      </w:r>
      <w:r>
        <w:fldChar w:fldCharType="begin"/>
      </w:r>
      <w:r>
        <w:instrText xml:space="preserve"> HYPERLINK "https://www.nesta.org.uk/blog/crowdsourcing-democracy-using-wikisurveys/" </w:instrText>
      </w:r>
      <w:r>
        <w:fldChar w:fldCharType="separate"/>
      </w:r>
      <w:r w:rsidRPr="005B5CB6">
        <w:rPr>
          <w:rFonts w:ascii="Verdana" w:eastAsia="Verdana" w:hAnsi="Verdana" w:cs="Verdana"/>
          <w:color w:val="1155CC"/>
          <w:u w:val="single" w:color="1155CC"/>
        </w:rPr>
        <w:t>https://www.nesta.org.uk/blog/crowdsourcing-democracy-using-wikisurveys/</w:t>
      </w:r>
      <w:r>
        <w:fldChar w:fldCharType="end"/>
      </w:r>
      <w:r>
        <w:fldChar w:fldCharType="begin"/>
      </w:r>
      <w:r>
        <w:instrText xml:space="preserve"> HYPERLINK "https://www.nesta.org.uk/blog/crowdsourcing-democracy-using-wikisurveys/" </w:instrText>
      </w:r>
      <w:r>
        <w:fldChar w:fldCharType="separate"/>
      </w:r>
      <w:r w:rsidRPr="005B5CB6">
        <w:rPr>
          <w:rFonts w:ascii="Verdana" w:eastAsia="Verdana" w:hAnsi="Verdana" w:cs="Verdana"/>
          <w:color w:val="222222"/>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New York Times. (2018) YouTube, The Great Radicalizer. New York Times [Accessed 17.9.19] </w:t>
      </w:r>
      <w:r>
        <w:fldChar w:fldCharType="begin"/>
      </w:r>
      <w:r>
        <w:instrText xml:space="preserve"> HYPERLINK "https://www.nytimes.com/2018/03/10/opinion/sunday/youtube-politics-radical.html" </w:instrText>
      </w:r>
      <w:r>
        <w:fldChar w:fldCharType="separate"/>
      </w:r>
      <w:r w:rsidRPr="005B5CB6">
        <w:rPr>
          <w:rFonts w:ascii="Verdana" w:eastAsia="Verdana" w:hAnsi="Verdana" w:cs="Verdana"/>
          <w:color w:val="1155CC"/>
          <w:u w:val="single" w:color="1155CC"/>
        </w:rPr>
        <w:t>https://www.nytimes.com/2018/03/10/opinion/sunday/youtube-politics-radical.html</w:t>
      </w:r>
      <w:r>
        <w:fldChar w:fldCharType="end"/>
      </w:r>
      <w:r>
        <w:fldChar w:fldCharType="begin"/>
      </w:r>
      <w:r>
        <w:instrText xml:space="preserve"> HYPERLINK "https://www.nytimes.com/2018/03/10/opinion/sunday/youtube-politics-radical.html" </w:instrText>
      </w:r>
      <w:r>
        <w:fldChar w:fldCharType="separate"/>
      </w:r>
      <w:r w:rsidRPr="005B5CB6">
        <w:rPr>
          <w:rFonts w:ascii="Verdana" w:eastAsia="Verdana" w:hAnsi="Verdana" w:cs="Verdana"/>
          <w:color w:val="222222"/>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PB Scotland (2018)Dundee Decides: Results in for mainstream PB process.  [Accessed 17.9.19] </w:t>
      </w:r>
      <w:r>
        <w:fldChar w:fldCharType="begin"/>
      </w:r>
      <w:r>
        <w:instrText xml:space="preserve"> HYPERLINK "https://pbscotland.scot/blog/2018/4/3/dundee-decides-a-first-for-mainstreaming-in-scotland" </w:instrText>
      </w:r>
      <w:r>
        <w:fldChar w:fldCharType="separate"/>
      </w:r>
      <w:r w:rsidRPr="005B5CB6">
        <w:rPr>
          <w:rFonts w:ascii="Verdana" w:eastAsia="Verdana" w:hAnsi="Verdana" w:cs="Verdana"/>
          <w:color w:val="1155CC"/>
          <w:u w:val="single" w:color="1155CC"/>
        </w:rPr>
        <w:t>https://pbscotland.scot/blog/2018/4/3/dundee-decides-a-first-for-mainstreaming-in-scotland</w:t>
      </w:r>
      <w:r>
        <w:fldChar w:fldCharType="end"/>
      </w:r>
      <w:r>
        <w:fldChar w:fldCharType="begin"/>
      </w:r>
      <w:r>
        <w:instrText xml:space="preserve"> HYPERLINK "https://pbscotland.scot/blog/2018/4/3/dundee-decides-a-first-for-mainstreaming-in-scotland" </w:instrText>
      </w:r>
      <w:r>
        <w:fldChar w:fldCharType="separate"/>
      </w:r>
      <w:r w:rsidRPr="005B5CB6">
        <w:rPr>
          <w:rFonts w:ascii="Verdana" w:eastAsia="Verdana" w:hAnsi="Verdana" w:cs="Verdana"/>
          <w:color w:val="222222"/>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Primack, B. A., Shensa, A., Escobar-Viera, C. G., Barrett, E. L., Sidani, J. E., Colditz, J. B., &amp; James, A. E. (2017). Use of multiple social media platforms and symptoms of depression and anxiety: A nationallyrepresentative study among US young adults. </w:t>
      </w:r>
      <w:r w:rsidRPr="005B5CB6">
        <w:rPr>
          <w:rFonts w:ascii="Verdana" w:eastAsia="Verdana" w:hAnsi="Verdana" w:cs="Verdana"/>
          <w:i/>
          <w:color w:val="222222"/>
        </w:rPr>
        <w:t>Computers in human behavior</w:t>
      </w:r>
      <w:r w:rsidRPr="005B5CB6">
        <w:rPr>
          <w:rFonts w:ascii="Verdana" w:eastAsia="Verdana" w:hAnsi="Verdana" w:cs="Verdana"/>
          <w:color w:val="222222"/>
        </w:rPr>
        <w:t xml:space="preserve">, </w:t>
      </w:r>
      <w:r w:rsidRPr="005B5CB6">
        <w:rPr>
          <w:rFonts w:ascii="Verdana" w:eastAsia="Verdana" w:hAnsi="Verdana" w:cs="Verdana"/>
          <w:i/>
          <w:color w:val="222222"/>
        </w:rPr>
        <w:t>69</w:t>
      </w:r>
      <w:r w:rsidRPr="005B5CB6">
        <w:rPr>
          <w:rFonts w:ascii="Verdana" w:eastAsia="Verdana" w:hAnsi="Verdana" w:cs="Verdana"/>
          <w:color w:val="222222"/>
        </w:rPr>
        <w:t xml:space="preserve">, 1-9.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Rolling Stone (2017) The Human Cost of Monitoring the Internet. [Accessed 17.9.19] </w:t>
      </w:r>
      <w:r>
        <w:fldChar w:fldCharType="begin"/>
      </w:r>
      <w:r>
        <w:instrText xml:space="preserve"> HYPERLINK "https://www.rollingstone.com/culture/culture-features/the-human-cost-of-monitoring-the-internet-202291/" </w:instrText>
      </w:r>
      <w:r>
        <w:fldChar w:fldCharType="separate"/>
      </w:r>
      <w:r w:rsidRPr="005B5CB6">
        <w:rPr>
          <w:rFonts w:ascii="Verdana" w:eastAsia="Verdana" w:hAnsi="Verdana" w:cs="Verdana"/>
          <w:color w:val="1155CC"/>
          <w:u w:val="single" w:color="1155CC"/>
        </w:rPr>
        <w:t>https://www.rollingstone.com/culture/culture-features/the-human-cost-of-monitoring-the-internet-202291/</w:t>
      </w:r>
      <w:r>
        <w:fldChar w:fldCharType="end"/>
      </w:r>
      <w:r>
        <w:fldChar w:fldCharType="begin"/>
      </w:r>
      <w:r>
        <w:instrText xml:space="preserve"> HYPERLINK "https://www.rollingstone.com/culture/culture-features/the-human-cost-of-monitoring-the-internet-202291/" </w:instrText>
      </w:r>
      <w:r>
        <w:fldChar w:fldCharType="separate"/>
      </w:r>
      <w:r w:rsidRPr="005B5CB6">
        <w:rPr>
          <w:rFonts w:ascii="Verdana" w:eastAsia="Verdana" w:hAnsi="Verdana" w:cs="Verdana"/>
          <w:color w:val="222222"/>
        </w:rPr>
        <w:t xml:space="preserve"> </w:t>
      </w:r>
      <w:r>
        <w:fldChar w:fldCharType="end"/>
      </w:r>
      <w:r w:rsidRPr="005B5CB6">
        <w:rPr>
          <w:rFonts w:ascii="Verdana" w:eastAsia="Verdana" w:hAnsi="Verdana" w:cs="Verdana"/>
          <w:color w:val="222222"/>
        </w:rPr>
        <w:t xml:space="preserve">Rowe, I. (2015). Civility 2.0: A comparative analysis of incivility in online political discussion. Information, communication &amp; society, 18(2), 121-138. </w:t>
      </w:r>
    </w:p>
    <w:p w:rsidR="00FB0B24" w:rsidRPr="005B5CB6" w:rsidP="003255A4">
      <w:pPr>
        <w:spacing w:after="0" w:line="238" w:lineRule="auto"/>
        <w:ind w:left="3" w:right="132"/>
        <w:jc w:val="both"/>
        <w:rPr>
          <w:rFonts w:ascii="Verdana" w:hAnsi="Verdana"/>
        </w:rPr>
      </w:pPr>
      <w:r w:rsidRPr="005B5CB6">
        <w:rPr>
          <w:rFonts w:ascii="Verdana" w:eastAsia="Verdana" w:hAnsi="Verdana" w:cs="Verdana"/>
          <w:color w:val="222222"/>
        </w:rPr>
        <w:t xml:space="preserve">Rumbul, R. (2016, September). ICT and citizen efficacy: the role of civic technology in facilitating government accountability and citizen confidence. In IFIP World Information Technology Forum (pp. 213-222). Springer, Cham.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Rumbul, R., &amp; Shaw, E. (2017). Civic Tech Cities. </w:t>
      </w:r>
      <w:r w:rsidRPr="005B5CB6">
        <w:rPr>
          <w:rFonts w:ascii="Verdana" w:eastAsia="Verdana" w:hAnsi="Verdana" w:cs="Verdana"/>
          <w:i/>
          <w:color w:val="222222"/>
        </w:rPr>
        <w:t xml:space="preserve">mySociety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Rumbul, R., Parsons, A., Bramley, J. (2018) Participatory Budgeting.</w:t>
      </w:r>
      <w:r w:rsidRPr="005B5CB6">
        <w:rPr>
          <w:rFonts w:ascii="Verdana" w:eastAsia="Verdana" w:hAnsi="Verdana" w:cs="Verdana"/>
          <w:i/>
          <w:color w:val="222222"/>
        </w:rPr>
        <w:t xml:space="preserve"> mySociety.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Rumbul, R; Moulder, G; Parsons A (2018), Parliament and the People : How digital technologies are shaping democratic information flow in Sub-Saharan Africa. [online] , mySociety. Paragraph: , Available at: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https://research.mysociety.org/sites/parliament-and-the-people/l/7.4250.oghjw.ndkj7.ojgy_.cfzdx [Accessed 5 Sept. 2019]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Svantesson, D. J. B. and van Caenegem, W. (2017) ‘Is it time for an offence of “dishonest algorithmic manipulation for electoral gain”?’, Alternative Law Journal, 42(3), pp. 184–189. doi: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10.1177/1037969X17730192. </w:t>
      </w:r>
    </w:p>
    <w:p w:rsidR="00FB0B24" w:rsidRPr="005B5CB6" w:rsidP="003255A4">
      <w:pPr>
        <w:spacing w:after="3" w:line="249" w:lineRule="auto"/>
        <w:ind w:left="-2" w:right="438" w:hanging="10"/>
        <w:jc w:val="both"/>
        <w:rPr>
          <w:rFonts w:ascii="Verdana" w:hAnsi="Verdana"/>
        </w:rPr>
      </w:pPr>
      <w:r w:rsidRPr="005B5CB6">
        <w:rPr>
          <w:rFonts w:ascii="Verdana" w:eastAsia="Verdana" w:hAnsi="Verdana" w:cs="Verdana"/>
          <w:color w:val="222222"/>
        </w:rPr>
        <w:t xml:space="preserve">The Guardian (2019) Is India the frontline in big tech’s assault on democracy? [Accessed 17.9.19] </w:t>
      </w:r>
      <w:r>
        <w:fldChar w:fldCharType="begin"/>
      </w:r>
      <w:r>
        <w:instrText xml:space="preserve"> HYPERLINK "https://www.theguardian.com/commentisfree/2019/may/13/big-tech-whatsapp-democracy-india" </w:instrText>
      </w:r>
      <w:r>
        <w:fldChar w:fldCharType="separate"/>
      </w:r>
      <w:r w:rsidRPr="005B5CB6">
        <w:rPr>
          <w:rFonts w:ascii="Verdana" w:eastAsia="Verdana" w:hAnsi="Verdana" w:cs="Verdana"/>
          <w:color w:val="1155CC"/>
          <w:u w:val="single" w:color="1155CC"/>
        </w:rPr>
        <w:t>https://www.theguardian.com/commentisfree/2019/may/13/big-tech-whatsapp-democracy-india</w:t>
      </w:r>
      <w:r>
        <w:fldChar w:fldCharType="end"/>
      </w:r>
      <w:r>
        <w:fldChar w:fldCharType="begin"/>
      </w:r>
      <w:r>
        <w:instrText xml:space="preserve"> HYPERLINK "https://www.theguardian.com/commentisfree/2019/may/13/big-tech-whatsapp-democracy-india" </w:instrText>
      </w:r>
      <w:r>
        <w:fldChar w:fldCharType="separate"/>
      </w:r>
      <w:r w:rsidRPr="005B5CB6">
        <w:rPr>
          <w:rFonts w:ascii="Verdana" w:eastAsia="Verdana" w:hAnsi="Verdana" w:cs="Verdana"/>
          <w:color w:val="222222"/>
        </w:rPr>
        <w:t xml:space="preserve"> </w:t>
      </w:r>
      <w:r>
        <w:fldChar w:fldCharType="end"/>
      </w:r>
      <w:r w:rsidRPr="005B5CB6">
        <w:rPr>
          <w:rFonts w:ascii="Verdana" w:eastAsia="Verdana" w:hAnsi="Verdana" w:cs="Verdana"/>
          <w:color w:val="222222"/>
        </w:rPr>
        <w:t xml:space="preserve">The Guardian (2018) Facebook releases content moderation guidelines – rules long kept secret. [Accessed 17.9.19] </w:t>
      </w:r>
      <w:r>
        <w:fldChar w:fldCharType="begin"/>
      </w:r>
      <w:r>
        <w:instrText xml:space="preserve"> HYPERLINK "https://www.theguardian.com/technology/2018/apr/24/facebook-releases-content-moderation-guidelines-secret-rules" </w:instrText>
      </w:r>
      <w:r>
        <w:fldChar w:fldCharType="separate"/>
      </w:r>
      <w:r w:rsidRPr="005B5CB6">
        <w:rPr>
          <w:rFonts w:ascii="Verdana" w:eastAsia="Verdana" w:hAnsi="Verdana" w:cs="Verdana"/>
          <w:color w:val="1155CC"/>
          <w:u w:val="single" w:color="1155CC"/>
        </w:rPr>
        <w:t>https://www.theguardian.com/technology/2018/apr/24/facebook-releases-content-moderation</w:t>
      </w:r>
      <w:r>
        <w:fldChar w:fldCharType="end"/>
      </w:r>
      <w:r>
        <w:fldChar w:fldCharType="begin"/>
      </w:r>
      <w:r>
        <w:instrText xml:space="preserve"> HYPERLINK "https://www.theguardian.com/technology/2018/apr/24/facebook-releases-content-moderation-guidelines-secret-rules" </w:instrText>
      </w:r>
      <w:r>
        <w:fldChar w:fldCharType="separate"/>
      </w:r>
      <w:r w:rsidRPr="005B5CB6">
        <w:rPr>
          <w:rFonts w:ascii="Verdana" w:eastAsia="Verdana" w:hAnsi="Verdana" w:cs="Verdana"/>
          <w:color w:val="1155CC"/>
          <w:u w:val="single" w:color="1155CC"/>
        </w:rPr>
        <w:t>guidelines-secret-rules</w:t>
      </w:r>
      <w:r>
        <w:fldChar w:fldCharType="end"/>
      </w:r>
      <w:r>
        <w:fldChar w:fldCharType="begin"/>
      </w:r>
      <w:r>
        <w:instrText xml:space="preserve"> HYPERLINK "https://www.theguardian.com/technology/2018/apr/24/facebook-releases-content-moderation-guidelines-secret-rules" </w:instrText>
      </w:r>
      <w:r>
        <w:fldChar w:fldCharType="separate"/>
      </w:r>
      <w:r w:rsidRPr="005B5CB6">
        <w:rPr>
          <w:rFonts w:ascii="Verdana" w:eastAsia="Verdana" w:hAnsi="Verdana" w:cs="Verdana"/>
          <w:color w:val="222222"/>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The Verge (2017) House Democratic committee moves to encrypted messaging for internal communications. [Accessed 17.9.19] </w:t>
      </w:r>
      <w:r>
        <w:fldChar w:fldCharType="begin"/>
      </w:r>
      <w:r>
        <w:instrText xml:space="preserve"> HYPERLINK "https://www.theverge.com/2017/7/18/15989456/house-democratic-committee-encrypted-messaging-wickr" </w:instrText>
      </w:r>
      <w:r>
        <w:fldChar w:fldCharType="separate"/>
      </w:r>
      <w:r w:rsidRPr="005B5CB6">
        <w:rPr>
          <w:rFonts w:ascii="Verdana" w:eastAsia="Verdana" w:hAnsi="Verdana" w:cs="Verdana"/>
          <w:color w:val="1155CC"/>
          <w:u w:val="single" w:color="1155CC"/>
        </w:rPr>
        <w:t>https://www.theverge.com/2017/7/18/15989456/house-democratic-committee-encrypted</w:t>
      </w:r>
      <w:r>
        <w:fldChar w:fldCharType="end"/>
      </w:r>
      <w:r>
        <w:fldChar w:fldCharType="begin"/>
      </w:r>
      <w:r>
        <w:instrText xml:space="preserve"> HYPERLINK "https://www.theverge.com/2017/7/18/15989456/house-democratic-committee-encrypted-messaging-wickr" </w:instrText>
      </w:r>
      <w:r>
        <w:fldChar w:fldCharType="separate"/>
      </w:r>
      <w:r w:rsidRPr="005B5CB6">
        <w:rPr>
          <w:rFonts w:ascii="Verdana" w:eastAsia="Verdana" w:hAnsi="Verdana" w:cs="Verdana"/>
          <w:color w:val="1155CC"/>
          <w:u w:val="single" w:color="1155CC"/>
        </w:rPr>
        <w:t>messaging-wickr</w:t>
      </w:r>
      <w:r>
        <w:fldChar w:fldCharType="end"/>
      </w:r>
      <w:r>
        <w:fldChar w:fldCharType="begin"/>
      </w:r>
      <w:r>
        <w:instrText xml:space="preserve"> HYPERLINK "https://www.theverge.com/2017/7/18/15989456/house-democratic-committee-encrypted-messaging-wickr" </w:instrText>
      </w:r>
      <w:r>
        <w:fldChar w:fldCharType="separate"/>
      </w:r>
      <w:r w:rsidRPr="005B5CB6">
        <w:rPr>
          <w:rFonts w:ascii="Verdana" w:eastAsia="Verdana" w:hAnsi="Verdana" w:cs="Verdana"/>
          <w:color w:val="222222"/>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The Verge (2017) The Trauma Floor. [Accessed 17.9.19] </w:t>
      </w:r>
    </w:p>
    <w:p w:rsidR="00FB0B24" w:rsidRPr="005B5CB6" w:rsidP="003255A4">
      <w:pPr>
        <w:spacing w:after="3" w:line="249" w:lineRule="auto"/>
        <w:ind w:left="-2" w:right="16" w:hanging="10"/>
        <w:jc w:val="both"/>
        <w:rPr>
          <w:rFonts w:ascii="Verdana" w:hAnsi="Verdana"/>
        </w:rPr>
      </w:pPr>
      <w:r>
        <w:fldChar w:fldCharType="begin"/>
      </w:r>
      <w:r>
        <w:instrText xml:space="preserve"> HYPERLINK "https://www.theverge.com/2019/2/25/18229714/cognizant-facebook-content-moderator-interviews-trauma-working-conditions-arizona" </w:instrText>
      </w:r>
      <w:r>
        <w:fldChar w:fldCharType="separate"/>
      </w:r>
      <w:r w:rsidRPr="005B5CB6" w:rsidR="00A72806">
        <w:rPr>
          <w:rFonts w:ascii="Verdana" w:eastAsia="Verdana" w:hAnsi="Verdana" w:cs="Verdana"/>
          <w:color w:val="1155CC"/>
          <w:u w:val="single" w:color="1155CC"/>
        </w:rPr>
        <w:t>https://www.theverge.com/2019/2/25/18229714/cognizant-facebook-content-moderator-interviews-trauma</w:t>
      </w:r>
      <w:r>
        <w:fldChar w:fldCharType="end"/>
      </w:r>
      <w:r>
        <w:fldChar w:fldCharType="begin"/>
      </w:r>
      <w:r>
        <w:instrText xml:space="preserve"> HYPERLINK "https://www.theverge.com/2019/2/25/18229714/cognizant-facebook-content-moderator-interviews-trauma-working-conditions-arizona" </w:instrText>
      </w:r>
      <w:r>
        <w:fldChar w:fldCharType="separate"/>
      </w:r>
      <w:r w:rsidRPr="005B5CB6" w:rsidR="00A72806">
        <w:rPr>
          <w:rFonts w:ascii="Verdana" w:eastAsia="Verdana" w:hAnsi="Verdana" w:cs="Verdana"/>
          <w:color w:val="1155CC"/>
          <w:u w:val="single" w:color="1155CC"/>
        </w:rPr>
        <w:t>working-conditions-arizona</w:t>
      </w:r>
      <w:r>
        <w:fldChar w:fldCharType="end"/>
      </w:r>
      <w:r>
        <w:fldChar w:fldCharType="begin"/>
      </w:r>
      <w:r>
        <w:instrText xml:space="preserve"> HYPERLINK "https://www.theverge.com/2019/2/25/18229714/cognizant-facebook-content-moderator-interviews-trauma-working-conditions-arizona" </w:instrText>
      </w:r>
      <w:r>
        <w:fldChar w:fldCharType="separate"/>
      </w:r>
      <w:r w:rsidRPr="005B5CB6" w:rsidR="00A72806">
        <w:rPr>
          <w:rFonts w:ascii="Verdana" w:eastAsia="Verdana" w:hAnsi="Verdana" w:cs="Verdana"/>
          <w:color w:val="222222"/>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Tolbert, C. J., &amp; Mossberger, K. (2006). The effects of e-government on trust and confidence in government. Public Administration Review, 66(3), 354–369.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Vraga, E. K., &amp; Bode, L. (2018). I do not believe you: how providing a source corrects health misperceptions across social media platforms. </w:t>
      </w:r>
      <w:r w:rsidRPr="005B5CB6">
        <w:rPr>
          <w:rFonts w:ascii="Verdana" w:eastAsia="Verdana" w:hAnsi="Verdana" w:cs="Verdana"/>
          <w:i/>
          <w:color w:val="222222"/>
        </w:rPr>
        <w:t>Information, Communication &amp; Society</w:t>
      </w:r>
      <w:r w:rsidRPr="005B5CB6">
        <w:rPr>
          <w:rFonts w:ascii="Verdana" w:eastAsia="Verdana" w:hAnsi="Verdana" w:cs="Verdana"/>
          <w:color w:val="222222"/>
        </w:rPr>
        <w:t xml:space="preserve">, </w:t>
      </w:r>
      <w:r w:rsidRPr="005B5CB6">
        <w:rPr>
          <w:rFonts w:ascii="Verdana" w:eastAsia="Verdana" w:hAnsi="Verdana" w:cs="Verdana"/>
          <w:i/>
          <w:color w:val="222222"/>
        </w:rPr>
        <w:t>21</w:t>
      </w:r>
      <w:r w:rsidRPr="005B5CB6">
        <w:rPr>
          <w:rFonts w:ascii="Verdana" w:eastAsia="Verdana" w:hAnsi="Verdana" w:cs="Verdana"/>
          <w:color w:val="222222"/>
        </w:rPr>
        <w:t xml:space="preserve">(10), 1337-1353.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West, D.M. (2004). E-government and the transformation of service delivery and citizen attitudes. Public Administration Review, 64(1), 15–27. </w:t>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Wired (2019) In Westminster, a Brexit war is raging in secret WhatsApp groups. [Accessed 17.9.19] </w:t>
      </w:r>
      <w:r>
        <w:fldChar w:fldCharType="begin"/>
      </w:r>
      <w:r>
        <w:instrText xml:space="preserve"> HYPERLINK "https://www.wired.co.uk/article/brexit-vote-whatsapp-groups" </w:instrText>
      </w:r>
      <w:r>
        <w:fldChar w:fldCharType="separate"/>
      </w:r>
      <w:r w:rsidRPr="005B5CB6">
        <w:rPr>
          <w:rFonts w:ascii="Verdana" w:eastAsia="Verdana" w:hAnsi="Verdana" w:cs="Verdana"/>
          <w:color w:val="1155CC"/>
          <w:u w:val="single" w:color="1155CC"/>
        </w:rPr>
        <w:t>https://www.wired.co.uk/article/brexit-vote-whatsapp-groups</w:t>
      </w:r>
      <w:r>
        <w:fldChar w:fldCharType="end"/>
      </w:r>
      <w:r>
        <w:fldChar w:fldCharType="begin"/>
      </w:r>
      <w:r>
        <w:instrText xml:space="preserve"> HYPERLINK "https://www.wired.co.uk/article/brexit-vote-whatsapp-groups" </w:instrText>
      </w:r>
      <w:r>
        <w:fldChar w:fldCharType="separate"/>
      </w:r>
      <w:r w:rsidRPr="005B5CB6">
        <w:rPr>
          <w:rFonts w:ascii="Verdana" w:eastAsia="Verdana" w:hAnsi="Verdana" w:cs="Verdana"/>
          <w:color w:val="222222"/>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YouGov. (2019) Are MPs elected to exercise their own judgement or do their constituents’ bidding? [Accessed 17.9.19] </w:t>
      </w:r>
      <w:r>
        <w:fldChar w:fldCharType="begin"/>
      </w:r>
      <w:r>
        <w:instrText xml:space="preserve"> HYPERLINK "https://yougov.co.uk/topics/politics/articles-reports/2019/08/13/are-mps-elected-exercise-their-own-judgement-or-do" </w:instrText>
      </w:r>
      <w:r>
        <w:fldChar w:fldCharType="separate"/>
      </w:r>
      <w:r w:rsidRPr="005B5CB6">
        <w:rPr>
          <w:rFonts w:ascii="Verdana" w:eastAsia="Verdana" w:hAnsi="Verdana" w:cs="Verdana"/>
          <w:color w:val="1155CC"/>
          <w:u w:val="single" w:color="1155CC"/>
        </w:rPr>
        <w:t>https://yougov.co.uk/topics/politics/articles-reports/2019/08/13/are-mps-elected-exercise-their-own</w:t>
      </w:r>
      <w:r>
        <w:fldChar w:fldCharType="end"/>
      </w:r>
      <w:r>
        <w:fldChar w:fldCharType="begin"/>
      </w:r>
      <w:r>
        <w:instrText xml:space="preserve"> HYPERLINK "https://yougov.co.uk/topics/politics/articles-reports/2019/08/13/are-mps-elected-exercise-their-own-judgement-or-do" </w:instrText>
      </w:r>
      <w:r>
        <w:fldChar w:fldCharType="separate"/>
      </w:r>
      <w:r w:rsidRPr="005B5CB6">
        <w:rPr>
          <w:rFonts w:ascii="Verdana" w:eastAsia="Verdana" w:hAnsi="Verdana" w:cs="Verdana"/>
          <w:color w:val="1155CC"/>
          <w:u w:val="single" w:color="1155CC"/>
        </w:rPr>
        <w:t>judgement-or-do</w:t>
      </w:r>
      <w:r>
        <w:fldChar w:fldCharType="end"/>
      </w:r>
      <w:r>
        <w:fldChar w:fldCharType="begin"/>
      </w:r>
      <w:r>
        <w:instrText xml:space="preserve"> HYPERLINK "https://yougov.co.uk/topics/politics/articles-reports/2019/08/13/are-mps-elected-exercise-their-own-judgement-or-do" </w:instrText>
      </w:r>
      <w:r>
        <w:fldChar w:fldCharType="separate"/>
      </w:r>
      <w:r w:rsidRPr="005B5CB6">
        <w:rPr>
          <w:rFonts w:ascii="Verdana" w:eastAsia="Verdana" w:hAnsi="Verdana" w:cs="Verdana"/>
          <w:color w:val="222222"/>
        </w:rPr>
        <w:t xml:space="preserve"> </w:t>
      </w:r>
      <w:r>
        <w:fldChar w:fldCharType="end"/>
      </w:r>
    </w:p>
    <w:p w:rsidR="00FB0B24" w:rsidRPr="005B5CB6" w:rsidP="003255A4">
      <w:pPr>
        <w:spacing w:after="3" w:line="249" w:lineRule="auto"/>
        <w:ind w:left="-2" w:hanging="10"/>
        <w:jc w:val="both"/>
        <w:rPr>
          <w:rFonts w:ascii="Verdana" w:hAnsi="Verdana"/>
        </w:rPr>
      </w:pPr>
      <w:r w:rsidRPr="005B5CB6">
        <w:rPr>
          <w:rFonts w:ascii="Verdana" w:eastAsia="Verdana" w:hAnsi="Verdana" w:cs="Verdana"/>
          <w:color w:val="222222"/>
        </w:rPr>
        <w:t xml:space="preserve">Zavattaro, S.M., &amp; Sementelli, A.J. (2014). A critical examination of social media adoption in government: Introducing omnipresence. Government Information Quarterly, 31(2), 257–264 </w:t>
      </w:r>
    </w:p>
    <w:p w:rsidR="00FB0B24" w:rsidRPr="005B5CB6" w:rsidP="003255A4">
      <w:pPr>
        <w:jc w:val="both"/>
        <w:rPr>
          <w:rFonts w:ascii="Verdana" w:hAnsi="Verdana"/>
        </w:rPr>
        <w:sectPr w:rsidSect="00A047E5">
          <w:headerReference w:type="even" r:id="rId116"/>
          <w:headerReference w:type="default" r:id="rId117"/>
          <w:footerReference w:type="even" r:id="rId118"/>
          <w:footerReference w:type="default" r:id="rId119"/>
          <w:headerReference w:type="first" r:id="rId120"/>
          <w:footerReference w:type="first" r:id="rId121"/>
          <w:pgSz w:w="11909" w:h="16834"/>
          <w:pgMar w:top="1478" w:right="1435" w:bottom="1484" w:left="1437" w:header="720" w:footer="994" w:gutter="0"/>
          <w:cols w:space="720"/>
          <w:titlePg/>
        </w:sectPr>
      </w:pPr>
    </w:p>
    <w:p w:rsidR="00FB0B24" w:rsidRPr="005B5CB6" w:rsidP="00A1624B">
      <w:pPr>
        <w:pStyle w:val="Heading1"/>
        <w:rPr>
          <w:sz w:val="22"/>
        </w:rPr>
      </w:pPr>
      <w:bookmarkStart w:id="20" w:name="_Toc44517708"/>
      <w:r w:rsidRPr="005B5CB6">
        <w:rPr>
          <w:sz w:val="22"/>
        </w:rPr>
        <w:t>Bang The Table – written evidence (DAD0025)</w:t>
      </w:r>
      <w:bookmarkEnd w:id="20"/>
      <w:r w:rsidRPr="005B5CB6">
        <w:rPr>
          <w:sz w:val="22"/>
        </w:rPr>
        <w:t xml:space="preserve"> </w:t>
      </w:r>
    </w:p>
    <w:p w:rsidR="00FB0B24" w:rsidRPr="005B5CB6" w:rsidP="003255A4">
      <w:pPr>
        <w:spacing w:after="17"/>
        <w:jc w:val="both"/>
        <w:rPr>
          <w:rFonts w:ascii="Verdana" w:hAnsi="Verdana"/>
        </w:rPr>
      </w:pPr>
      <w:r w:rsidRPr="005B5CB6">
        <w:rPr>
          <w:rFonts w:ascii="Verdana" w:eastAsia="Verdana" w:hAnsi="Verdana" w:cs="Verdana"/>
          <w:b/>
        </w:rPr>
        <w:t xml:space="preserve"> </w:t>
      </w:r>
    </w:p>
    <w:p w:rsidR="00FB0B24" w:rsidRPr="005B5CB6" w:rsidP="003255A4">
      <w:pPr>
        <w:spacing w:after="26" w:line="250" w:lineRule="auto"/>
        <w:ind w:left="23" w:right="388" w:hanging="8"/>
        <w:jc w:val="both"/>
        <w:rPr>
          <w:rFonts w:ascii="Verdana" w:hAnsi="Verdana"/>
        </w:rPr>
      </w:pPr>
      <w:r w:rsidRPr="005B5CB6">
        <w:rPr>
          <w:rFonts w:ascii="Verdana" w:eastAsia="Verdana" w:hAnsi="Verdana" w:cs="Verdana"/>
        </w:rPr>
        <w:t xml:space="preserve">Here at </w:t>
      </w:r>
      <w:r>
        <w:fldChar w:fldCharType="begin"/>
      </w:r>
      <w:r>
        <w:instrText xml:space="preserve"> HYPERLINK "https://www.bangthetable.com/" </w:instrText>
      </w:r>
      <w:r>
        <w:fldChar w:fldCharType="separate"/>
      </w:r>
      <w:r w:rsidRPr="005B5CB6">
        <w:rPr>
          <w:rFonts w:ascii="Verdana" w:eastAsia="Verdana" w:hAnsi="Verdana" w:cs="Verdana"/>
          <w:color w:val="1155CC"/>
          <w:u w:val="single" w:color="1155CC"/>
        </w:rPr>
        <w:t>Bang the Table</w:t>
      </w:r>
      <w:r>
        <w:fldChar w:fldCharType="end"/>
      </w:r>
      <w:r>
        <w:fldChar w:fldCharType="begin"/>
      </w:r>
      <w:r>
        <w:instrText xml:space="preserve"> HYPERLINK "https://www.bangthetable.com/"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we believe robust democracy requires real public participation. Our mission is to enable this participation as a fundamental pillar of well-functioning 21st century democracies by forging constructive relationships between communities and the institutions of government. Given our experience in this area we are delighted to have this opportunity to provide evidence to the Select Committee on Democracy and Digital Technologies.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41" w:hanging="8"/>
        <w:jc w:val="both"/>
        <w:rPr>
          <w:rFonts w:ascii="Verdana" w:hAnsi="Verdana"/>
        </w:rPr>
      </w:pPr>
      <w:r w:rsidRPr="005B5CB6">
        <w:rPr>
          <w:rFonts w:ascii="Verdana" w:eastAsia="Verdana" w:hAnsi="Verdana" w:cs="Verdana"/>
        </w:rPr>
        <w:t xml:space="preserve">Whilst we have </w:t>
      </w:r>
      <w:r>
        <w:fldChar w:fldCharType="begin"/>
      </w:r>
      <w:r>
        <w:instrText xml:space="preserve"> HYPERLINK "https://www.bangthetable.com/wp-content/uploads/Business-case-for-online-engagement-2.pdf" </w:instrText>
      </w:r>
      <w:r>
        <w:fldChar w:fldCharType="separate"/>
      </w:r>
      <w:r w:rsidRPr="005B5CB6">
        <w:rPr>
          <w:rFonts w:ascii="Verdana" w:eastAsia="Verdana" w:hAnsi="Verdana" w:cs="Verdana"/>
          <w:color w:val="1155CC"/>
          <w:u w:val="single" w:color="1155CC"/>
        </w:rPr>
        <w:t>opinions and evidence</w:t>
      </w:r>
      <w:r>
        <w:fldChar w:fldCharType="end"/>
      </w:r>
      <w:r>
        <w:fldChar w:fldCharType="begin"/>
      </w:r>
      <w:r>
        <w:instrText xml:space="preserve"> HYPERLINK "https://www.bangthetable.com/wp-content/uploads/Business-case-for-online-engagement-2.pdf"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on all of the questions asked by the Committee, we have focused our contribution on those areas we understand the best and which relate to our experience and expertise. That is, questions 13 and 14 in the call for evidence.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2" w:right="379" w:hanging="10"/>
        <w:jc w:val="both"/>
        <w:rPr>
          <w:rFonts w:ascii="Verdana" w:hAnsi="Verdana"/>
        </w:rPr>
      </w:pPr>
      <w:r w:rsidRPr="005B5CB6">
        <w:rPr>
          <w:rFonts w:ascii="Verdana" w:eastAsia="Verdana" w:hAnsi="Verdana" w:cs="Verdana"/>
          <w:b/>
        </w:rPr>
        <w:t xml:space="preserve">Q13. 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3255A4">
      <w:pPr>
        <w:spacing w:after="17"/>
        <w:ind w:left="72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261" w:hanging="8"/>
        <w:jc w:val="both"/>
        <w:rPr>
          <w:rFonts w:ascii="Verdana" w:hAnsi="Verdana"/>
        </w:rPr>
      </w:pPr>
      <w:r w:rsidRPr="005B5CB6">
        <w:rPr>
          <w:rFonts w:ascii="Verdana" w:eastAsia="Verdana" w:hAnsi="Verdana" w:cs="Verdana"/>
        </w:rPr>
        <w:t xml:space="preserve">13.1 There are several factors disrupting the ability of people to engage in rational public discourse, these will probably be well evidenced in other submissions, but in summary we would say these are: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0"/>
          <w:numId w:val="66"/>
        </w:numPr>
        <w:spacing w:after="25" w:line="250" w:lineRule="auto"/>
        <w:ind w:right="210" w:hanging="360"/>
        <w:jc w:val="both"/>
        <w:rPr>
          <w:rFonts w:ascii="Verdana" w:hAnsi="Verdana"/>
        </w:rPr>
      </w:pPr>
      <w:r w:rsidRPr="005B5CB6">
        <w:rPr>
          <w:rFonts w:ascii="Verdana" w:eastAsia="Verdana" w:hAnsi="Verdana" w:cs="Verdana"/>
        </w:rPr>
        <w:t xml:space="preserve">Social media algorithms promoting propaganda bubbles, echo chambers and supporting confirmation bias amongst the people. </w:t>
      </w:r>
    </w:p>
    <w:p w:rsidR="00FB0B24" w:rsidRPr="005B5CB6" w:rsidP="003255A4">
      <w:pPr>
        <w:numPr>
          <w:ilvl w:val="0"/>
          <w:numId w:val="66"/>
        </w:numPr>
        <w:spacing w:after="5" w:line="250" w:lineRule="auto"/>
        <w:ind w:right="210" w:hanging="360"/>
        <w:jc w:val="both"/>
        <w:rPr>
          <w:rFonts w:ascii="Verdana" w:hAnsi="Verdana"/>
        </w:rPr>
      </w:pPr>
      <w:r w:rsidRPr="005B5CB6">
        <w:rPr>
          <w:rFonts w:ascii="Verdana" w:eastAsia="Verdana" w:hAnsi="Verdana" w:cs="Verdana"/>
        </w:rPr>
        <w:t xml:space="preserve">Propagation of fake news via social media, enabling people to dismiss facts out of hand as “fake news!”  </w:t>
      </w:r>
    </w:p>
    <w:p w:rsidR="00FB0B24" w:rsidRPr="005B5CB6" w:rsidP="003255A4">
      <w:pPr>
        <w:numPr>
          <w:ilvl w:val="0"/>
          <w:numId w:val="66"/>
        </w:numPr>
        <w:spacing w:after="5" w:line="249" w:lineRule="auto"/>
        <w:ind w:right="210" w:hanging="360"/>
        <w:jc w:val="both"/>
        <w:rPr>
          <w:rFonts w:ascii="Verdana" w:hAnsi="Verdana"/>
        </w:rPr>
      </w:pPr>
      <w:r w:rsidRPr="005B5CB6">
        <w:rPr>
          <w:rFonts w:ascii="Verdana" w:eastAsia="Verdana" w:hAnsi="Verdana" w:cs="Verdana"/>
        </w:rPr>
        <w:t xml:space="preserve">A general tendency to disrupt rational public discourse, that is, discussion oriented toward some reasonable understanding of the common good. </w:t>
      </w:r>
    </w:p>
    <w:p w:rsidR="00FB0B24" w:rsidRPr="005B5CB6" w:rsidP="003255A4">
      <w:pPr>
        <w:numPr>
          <w:ilvl w:val="0"/>
          <w:numId w:val="66"/>
        </w:numPr>
        <w:spacing w:after="5" w:line="250" w:lineRule="auto"/>
        <w:ind w:right="210" w:hanging="360"/>
        <w:jc w:val="both"/>
        <w:rPr>
          <w:rFonts w:ascii="Verdana" w:hAnsi="Verdana"/>
        </w:rPr>
      </w:pPr>
      <w:r w:rsidRPr="005B5CB6">
        <w:rPr>
          <w:rFonts w:ascii="Verdana" w:eastAsia="Verdana" w:hAnsi="Verdana" w:cs="Verdana"/>
        </w:rPr>
        <w:t xml:space="preserve">Drift towards “thin” engagement as opposed to deeper deliberation a.k.a. “thick” engagement. </w:t>
      </w:r>
    </w:p>
    <w:p w:rsidR="00FB0B24" w:rsidRPr="005B5CB6" w:rsidP="003255A4">
      <w:pPr>
        <w:numPr>
          <w:ilvl w:val="0"/>
          <w:numId w:val="66"/>
        </w:numPr>
        <w:spacing w:after="5" w:line="250" w:lineRule="auto"/>
        <w:ind w:right="210" w:hanging="360"/>
        <w:jc w:val="both"/>
        <w:rPr>
          <w:rFonts w:ascii="Verdana" w:hAnsi="Verdana"/>
        </w:rPr>
      </w:pPr>
      <w:r w:rsidRPr="005B5CB6">
        <w:rPr>
          <w:rFonts w:ascii="Verdana" w:eastAsia="Verdana" w:hAnsi="Verdana" w:cs="Verdana"/>
        </w:rPr>
        <w:t xml:space="preserve">Promoting the attention deficit generation which discourages informed debate.  </w:t>
      </w:r>
    </w:p>
    <w:p w:rsidR="00FB0B24" w:rsidRPr="005B5CB6" w:rsidP="003255A4">
      <w:pPr>
        <w:spacing w:after="19"/>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13.1.2 Parliament and Government can better use technology to support democratic engagement and ensure the efficacy of the democratic process by creating safe and engaging places for public dialogue that address the problems outlined in 13.1.1. These are outlined below.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 xml:space="preserve">13.2 Safe Places for Online Participation - Town Hall 2.0 </w:t>
      </w:r>
    </w:p>
    <w:p w:rsidR="00FB0B24" w:rsidRPr="005B5CB6" w:rsidP="003255A4">
      <w:pPr>
        <w:numPr>
          <w:ilvl w:val="2"/>
          <w:numId w:val="67"/>
        </w:numPr>
        <w:spacing w:after="5" w:line="250" w:lineRule="auto"/>
        <w:ind w:left="23" w:right="291" w:hanging="8"/>
        <w:jc w:val="both"/>
        <w:rPr>
          <w:rFonts w:ascii="Verdana" w:hAnsi="Verdana"/>
        </w:rPr>
      </w:pPr>
      <w:r w:rsidRPr="005B5CB6">
        <w:rPr>
          <w:rFonts w:ascii="Verdana" w:eastAsia="Verdana" w:hAnsi="Verdana" w:cs="Verdana"/>
        </w:rPr>
        <w:t xml:space="preserve">Prior to the ubiquitous take-up of new media, social media and smartphones, people’s opportunity to participate in a public debate would have mainly taken place in established meeting places, like pubs, social clubs, sports clubs, churches, post offices and so forth. In these places, it is likely that people would have heard from many different opinions, peer-to-peer. Over the years, this type of face-to-face engagement has been taken over by more digital forms of participation via social media sites like Twitter and Facebook. Whilst this has made </w:t>
      </w:r>
      <w:r w:rsidRPr="005B5CB6">
        <w:rPr>
          <w:rFonts w:ascii="Verdana" w:eastAsia="Verdana" w:hAnsi="Verdana" w:cs="Verdana"/>
        </w:rPr>
        <w:t xml:space="preserve">it easier for people to participate, it has come with many well-documented downsides, especially the tendency for people to huddle with like-minded people in propaganda bubbles, or echo chambers, where they are sheltered from differences of opinion and, even worse, where extreme views are validated and appear acceptable to everyday folk. In addition, social media does not take kindly to dissenting voices. It promotes unproductive debates vis a vis beneficial public deliberation and discourages people from coming forward with alternative views for fear of so-called trolling or being harassed. So, quite simply, social media does not tend to offer a safe or engaging place for complex public debate.  </w:t>
      </w:r>
    </w:p>
    <w:p w:rsidR="00FB0B24" w:rsidRPr="005B5CB6" w:rsidP="003255A4">
      <w:pPr>
        <w:spacing w:after="17"/>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67"/>
        </w:numPr>
        <w:spacing w:after="5" w:line="250" w:lineRule="auto"/>
        <w:ind w:left="23" w:right="291" w:hanging="8"/>
        <w:jc w:val="both"/>
        <w:rPr>
          <w:rFonts w:ascii="Verdana" w:hAnsi="Verdana"/>
        </w:rPr>
      </w:pPr>
      <w:r w:rsidRPr="005B5CB6">
        <w:rPr>
          <w:rFonts w:ascii="Verdana" w:eastAsia="Verdana" w:hAnsi="Verdana" w:cs="Verdana"/>
        </w:rPr>
        <w:t xml:space="preserve">Our argument is that Parliament and Government should be encouraging public bodies (especially those parts like local government, the NHS, social housing providers and planning departments who often undertake community engagement and/or have a statutory obligation to consult) to provide an online environment where people can deliberate. For want of a better name, these virtual town halls or online communities should be civic spaces where people:  </w:t>
      </w:r>
    </w:p>
    <w:p w:rsidR="00FB0B24" w:rsidRPr="005B5CB6" w:rsidP="003255A4">
      <w:pPr>
        <w:spacing w:after="17"/>
        <w:ind w:left="1"/>
        <w:jc w:val="both"/>
        <w:rPr>
          <w:rFonts w:ascii="Verdana" w:hAnsi="Verdana"/>
        </w:rPr>
      </w:pPr>
      <w:r w:rsidRPr="005B5CB6">
        <w:rPr>
          <w:rFonts w:ascii="Verdana" w:eastAsia="Verdana" w:hAnsi="Verdana" w:cs="Verdana"/>
        </w:rPr>
        <w:t xml:space="preserve"> </w:t>
      </w:r>
    </w:p>
    <w:p w:rsidR="00FB0B24" w:rsidRPr="005B5CB6" w:rsidP="003255A4">
      <w:pPr>
        <w:numPr>
          <w:ilvl w:val="0"/>
          <w:numId w:val="68"/>
        </w:numPr>
        <w:spacing w:after="5" w:line="250" w:lineRule="auto"/>
        <w:ind w:right="83" w:hanging="360"/>
        <w:jc w:val="both"/>
        <w:rPr>
          <w:rFonts w:ascii="Verdana" w:hAnsi="Verdana"/>
        </w:rPr>
      </w:pPr>
      <w:r w:rsidRPr="005B5CB6">
        <w:rPr>
          <w:rFonts w:ascii="Verdana" w:eastAsia="Verdana" w:hAnsi="Verdana" w:cs="Verdana"/>
        </w:rPr>
        <w:t xml:space="preserve">Ought to register to participate (providing some kind of polite introduction). </w:t>
      </w:r>
    </w:p>
    <w:p w:rsidR="00FB0B24" w:rsidRPr="005B5CB6" w:rsidP="003255A4">
      <w:pPr>
        <w:numPr>
          <w:ilvl w:val="0"/>
          <w:numId w:val="68"/>
        </w:numPr>
        <w:spacing w:after="5" w:line="250" w:lineRule="auto"/>
        <w:ind w:right="83" w:hanging="360"/>
        <w:jc w:val="both"/>
        <w:rPr>
          <w:rFonts w:ascii="Verdana" w:hAnsi="Verdana"/>
        </w:rPr>
      </w:pPr>
      <w:r w:rsidRPr="005B5CB6">
        <w:rPr>
          <w:rFonts w:ascii="Verdana" w:eastAsia="Verdana" w:hAnsi="Verdana" w:cs="Verdana"/>
        </w:rPr>
        <w:t xml:space="preserve">Would have access to “fact-checked” information in contemporary formats e.g. video, infographics, playbooks, photos, and podcasts so that they can participate in an informed discussion. </w:t>
      </w:r>
    </w:p>
    <w:p w:rsidR="00FB0B24" w:rsidRPr="005B5CB6" w:rsidP="003255A4">
      <w:pPr>
        <w:numPr>
          <w:ilvl w:val="0"/>
          <w:numId w:val="68"/>
        </w:numPr>
        <w:spacing w:after="5" w:line="250" w:lineRule="auto"/>
        <w:ind w:right="83" w:hanging="360"/>
        <w:jc w:val="both"/>
        <w:rPr>
          <w:rFonts w:ascii="Verdana" w:hAnsi="Verdana"/>
        </w:rPr>
      </w:pPr>
      <w:r w:rsidRPr="005B5CB6">
        <w:rPr>
          <w:rFonts w:ascii="Verdana" w:eastAsia="Verdana" w:hAnsi="Verdana" w:cs="Verdana"/>
        </w:rPr>
        <w:t xml:space="preserve">Could deliberate rather than debate the issues at hand by taking part in online forums, using ideas boards and a full range of online dialogue methods (see 13.5). </w:t>
      </w:r>
    </w:p>
    <w:p w:rsidR="00FB0B24" w:rsidRPr="005B5CB6" w:rsidP="003255A4">
      <w:pPr>
        <w:numPr>
          <w:ilvl w:val="0"/>
          <w:numId w:val="68"/>
        </w:numPr>
        <w:spacing w:after="26" w:line="250" w:lineRule="auto"/>
        <w:ind w:right="83" w:hanging="360"/>
        <w:jc w:val="both"/>
        <w:rPr>
          <w:rFonts w:ascii="Verdana" w:hAnsi="Verdana"/>
        </w:rPr>
      </w:pPr>
      <w:r w:rsidRPr="005B5CB6">
        <w:rPr>
          <w:rFonts w:ascii="Verdana" w:eastAsia="Verdana" w:hAnsi="Verdana" w:cs="Verdana"/>
        </w:rPr>
        <w:t xml:space="preserve">Can use online storytelling to build respect for alternative points of view. </w:t>
      </w:r>
    </w:p>
    <w:p w:rsidR="00FB0B24" w:rsidRPr="005B5CB6" w:rsidP="003255A4">
      <w:pPr>
        <w:numPr>
          <w:ilvl w:val="0"/>
          <w:numId w:val="68"/>
        </w:numPr>
        <w:spacing w:after="5" w:line="250" w:lineRule="auto"/>
        <w:ind w:right="83" w:hanging="360"/>
        <w:jc w:val="both"/>
        <w:rPr>
          <w:rFonts w:ascii="Verdana" w:hAnsi="Verdana"/>
        </w:rPr>
      </w:pPr>
      <w:r w:rsidRPr="005B5CB6">
        <w:rPr>
          <w:rFonts w:ascii="Verdana" w:eastAsia="Verdana" w:hAnsi="Verdana" w:cs="Verdana"/>
        </w:rPr>
        <w:t xml:space="preserve">Can be certain that their commentary would be captured and presented for analysis by officials, rather than be lost with other electronic graffiti in the Bermuda Triangle of social media commentary. </w:t>
      </w:r>
    </w:p>
    <w:p w:rsidR="00FB0B24" w:rsidRPr="005B5CB6" w:rsidP="003255A4">
      <w:pPr>
        <w:numPr>
          <w:ilvl w:val="0"/>
          <w:numId w:val="68"/>
        </w:numPr>
        <w:spacing w:after="5" w:line="250" w:lineRule="auto"/>
        <w:ind w:right="83" w:hanging="360"/>
        <w:jc w:val="both"/>
        <w:rPr>
          <w:rFonts w:ascii="Verdana" w:hAnsi="Verdana"/>
        </w:rPr>
      </w:pPr>
      <w:r w:rsidRPr="005B5CB6">
        <w:rPr>
          <w:rFonts w:ascii="Verdana" w:eastAsia="Verdana" w:hAnsi="Verdana" w:cs="Verdana"/>
        </w:rPr>
        <w:t xml:space="preserve">Can be confident that an independent third party (a.k.a. an online moderator) has got their back and will intervene if people are aggressive, insulting, racist, sexist, homophobic and  so forth. </w:t>
      </w:r>
    </w:p>
    <w:p w:rsidR="00FB0B24" w:rsidRPr="005B5CB6" w:rsidP="003255A4">
      <w:pPr>
        <w:numPr>
          <w:ilvl w:val="0"/>
          <w:numId w:val="68"/>
        </w:numPr>
        <w:spacing w:after="5" w:line="250" w:lineRule="auto"/>
        <w:ind w:right="83" w:hanging="360"/>
        <w:jc w:val="both"/>
        <w:rPr>
          <w:rFonts w:ascii="Verdana" w:hAnsi="Verdana"/>
        </w:rPr>
      </w:pPr>
      <w:r w:rsidRPr="005B5CB6">
        <w:rPr>
          <w:rFonts w:ascii="Verdana" w:eastAsia="Verdana" w:hAnsi="Verdana" w:cs="Verdana"/>
        </w:rPr>
        <w:t xml:space="preserve">Can be certain of feedback from their hosts concerning the outcome, following their contributions and how collectively this has informed public policy.        </w:t>
      </w:r>
    </w:p>
    <w:p w:rsidR="00FB0B24" w:rsidRPr="005B5CB6" w:rsidP="003255A4">
      <w:pPr>
        <w:spacing w:after="0"/>
        <w:ind w:left="1"/>
        <w:jc w:val="both"/>
        <w:rPr>
          <w:rFonts w:ascii="Verdana" w:hAnsi="Verdana"/>
        </w:rPr>
      </w:pPr>
      <w:r w:rsidRPr="005B5CB6">
        <w:rPr>
          <w:rFonts w:ascii="Verdana" w:eastAsia="Verdana" w:hAnsi="Verdana" w:cs="Verdana"/>
          <w:b/>
        </w:rPr>
        <w:t xml:space="preserve"> </w:t>
      </w:r>
    </w:p>
    <w:p w:rsidR="00FB0B24" w:rsidRPr="005B5CB6" w:rsidP="003255A4">
      <w:pPr>
        <w:spacing w:after="26" w:line="250" w:lineRule="auto"/>
        <w:ind w:left="11" w:hanging="10"/>
        <w:jc w:val="both"/>
        <w:rPr>
          <w:rFonts w:ascii="Verdana" w:hAnsi="Verdana"/>
        </w:rPr>
      </w:pPr>
      <w:r w:rsidRPr="005B5CB6">
        <w:rPr>
          <w:rFonts w:ascii="Verdana" w:eastAsia="Verdana" w:hAnsi="Verdana" w:cs="Verdana"/>
          <w:b/>
        </w:rPr>
        <w:t>13.3 Thick Engagement Not Just Thin</w:t>
      </w:r>
      <w:r w:rsidRPr="005B5CB6">
        <w:rPr>
          <w:rFonts w:ascii="Verdana" w:eastAsia="Verdana" w:hAnsi="Verdana" w:cs="Verdana"/>
        </w:rPr>
        <w:t xml:space="preserv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2"/>
          <w:numId w:val="70"/>
        </w:numPr>
        <w:spacing w:after="5" w:line="250" w:lineRule="auto"/>
        <w:ind w:right="106" w:hanging="799"/>
        <w:jc w:val="both"/>
        <w:rPr>
          <w:rFonts w:ascii="Verdana" w:hAnsi="Verdana"/>
        </w:rPr>
      </w:pPr>
      <w:r w:rsidRPr="005B5CB6">
        <w:rPr>
          <w:rFonts w:ascii="Verdana" w:eastAsia="Verdana" w:hAnsi="Verdana" w:cs="Verdana"/>
        </w:rPr>
        <w:t xml:space="preserve">Parliament and the Government should introduce policies which ensure public bodies undertake online engagement which is both thick and thin.  </w:t>
      </w:r>
    </w:p>
    <w:p w:rsidR="00FB0B24" w:rsidRPr="005B5CB6" w:rsidP="003255A4">
      <w:pPr>
        <w:spacing w:after="19"/>
        <w:jc w:val="both"/>
        <w:rPr>
          <w:rFonts w:ascii="Verdana" w:hAnsi="Verdana"/>
        </w:rPr>
      </w:pPr>
      <w:r w:rsidRPr="005B5CB6">
        <w:rPr>
          <w:rFonts w:ascii="Verdana" w:eastAsia="Verdana" w:hAnsi="Verdana" w:cs="Verdana"/>
        </w:rPr>
        <w:t xml:space="preserve"> </w:t>
      </w:r>
    </w:p>
    <w:p w:rsidR="00FB0B24" w:rsidRPr="005B5CB6" w:rsidP="003255A4">
      <w:pPr>
        <w:numPr>
          <w:ilvl w:val="2"/>
          <w:numId w:val="70"/>
        </w:numPr>
        <w:spacing w:after="26" w:line="249" w:lineRule="auto"/>
        <w:ind w:right="106" w:hanging="799"/>
        <w:jc w:val="both"/>
        <w:rPr>
          <w:rFonts w:ascii="Verdana" w:hAnsi="Verdana"/>
        </w:rPr>
      </w:pPr>
      <w:r w:rsidRPr="005B5CB6">
        <w:rPr>
          <w:rFonts w:ascii="Verdana" w:eastAsia="Verdana" w:hAnsi="Verdana" w:cs="Verdana"/>
        </w:rPr>
        <w:t xml:space="preserve">In </w:t>
      </w:r>
      <w:r w:rsidRPr="005B5CB6">
        <w:rPr>
          <w:rFonts w:ascii="Verdana" w:eastAsia="Verdana" w:hAnsi="Verdana" w:cs="Verdana"/>
          <w:i/>
        </w:rPr>
        <w:t xml:space="preserve">Rewiring Democracy: Subconscious Technologies, Conscious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i/>
        </w:rPr>
        <w:t>Engagement, and the Future of Politics</w:t>
      </w:r>
      <w:r w:rsidRPr="005B5CB6">
        <w:rPr>
          <w:rFonts w:ascii="Verdana" w:eastAsia="Verdana" w:hAnsi="Verdana" w:cs="Verdana"/>
        </w:rPr>
        <w:t xml:space="preserve">, Matt Leighninger and Quixada MooreVissing describe thick engagement as being more intensive, informed, and deliberative. With thick engagement:  </w:t>
      </w:r>
    </w:p>
    <w:p w:rsidR="00FB0B24" w:rsidRPr="005B5CB6" w:rsidP="003255A4">
      <w:pPr>
        <w:spacing w:after="17"/>
        <w:ind w:left="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729" w:right="11" w:hanging="8"/>
        <w:jc w:val="both"/>
        <w:rPr>
          <w:rFonts w:ascii="Verdana" w:hAnsi="Verdana"/>
        </w:rPr>
      </w:pPr>
      <w:r w:rsidRPr="005B5CB6">
        <w:rPr>
          <w:rFonts w:ascii="Verdana" w:eastAsia="Verdana" w:hAnsi="Verdana" w:cs="Verdana"/>
        </w:rPr>
        <w:t xml:space="preserve">[M]ost of the action happens in small group discussion [although we could argue this is not compulsory]. Organizers assemble large and diverse numbers of people; give participants a chance to share their experiences; present them </w:t>
      </w:r>
      <w:r w:rsidRPr="005B5CB6">
        <w:rPr>
          <w:rFonts w:ascii="Verdana" w:eastAsia="Verdana" w:hAnsi="Verdana" w:cs="Verdana"/>
        </w:rPr>
        <w:t xml:space="preserve">with a range of views or policy options and encourage action and change at multiple levels (2018, p.15). </w:t>
      </w:r>
    </w:p>
    <w:p w:rsidR="00FB0B24" w:rsidRPr="005B5CB6" w:rsidP="003255A4">
      <w:pPr>
        <w:spacing w:after="17"/>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70"/>
        </w:numPr>
        <w:spacing w:after="5" w:line="250" w:lineRule="auto"/>
        <w:ind w:right="106" w:hanging="799"/>
        <w:jc w:val="both"/>
        <w:rPr>
          <w:rFonts w:ascii="Verdana" w:hAnsi="Verdana"/>
        </w:rPr>
      </w:pPr>
      <w:r w:rsidRPr="005B5CB6">
        <w:rPr>
          <w:rFonts w:ascii="Verdana" w:eastAsia="Verdana" w:hAnsi="Verdana" w:cs="Verdana"/>
        </w:rPr>
        <w:t xml:space="preserve">Conversely, thin engagement is faster, easier, and more convenient and, “includes a range of activities that allow people to express their opinions, make choices, or affiliate themselves with a particular group or cause. </w:t>
      </w:r>
      <w:r w:rsidRPr="005B5CB6">
        <w:rPr>
          <w:rFonts w:ascii="Verdana" w:eastAsia="Verdana" w:hAnsi="Verdana" w:cs="Verdana"/>
          <w:i/>
        </w:rPr>
        <w:t>It is less likely to build personal or community connections</w:t>
      </w:r>
      <w:r w:rsidRPr="005B5CB6">
        <w:rPr>
          <w:rFonts w:ascii="Verdana" w:eastAsia="Verdana" w:hAnsi="Verdana" w:cs="Verdana"/>
        </w:rPr>
        <w:t xml:space="preserve">” (Leighninger &amp; Moore-Vissing, p.15, emphasis added).   </w:t>
      </w:r>
    </w:p>
    <w:p w:rsidR="00FB0B24" w:rsidRPr="005B5CB6" w:rsidP="003255A4">
      <w:pPr>
        <w:spacing w:after="19"/>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70"/>
        </w:numPr>
        <w:spacing w:after="5" w:line="250" w:lineRule="auto"/>
        <w:ind w:right="106" w:hanging="799"/>
        <w:jc w:val="both"/>
        <w:rPr>
          <w:rFonts w:ascii="Verdana" w:hAnsi="Verdana"/>
        </w:rPr>
      </w:pPr>
      <w:r w:rsidRPr="005B5CB6">
        <w:rPr>
          <w:rFonts w:ascii="Verdana" w:eastAsia="Verdana" w:hAnsi="Verdana" w:cs="Verdana"/>
        </w:rPr>
        <w:t xml:space="preserve">Our argument for the Committee to consider is that too much emphasis has been placed by public bodies on democratic engagement which is thin and more needs to be done to bring the thin and thick types of online engagement together. We believe this can be done by promoting online communities like that described in 13.2.2, where social media is only one part of the equation of technology’s contribution to democratic engagement and the efficacy of the democratic process.  </w:t>
      </w:r>
    </w:p>
    <w:p w:rsidR="00FB0B24" w:rsidRPr="005B5CB6" w:rsidP="003255A4">
      <w:pPr>
        <w:spacing w:after="19"/>
        <w:ind w:left="1"/>
        <w:jc w:val="both"/>
        <w:rPr>
          <w:rFonts w:ascii="Verdana" w:hAnsi="Verdana"/>
        </w:rPr>
      </w:pPr>
      <w:r w:rsidRPr="005B5CB6">
        <w:rPr>
          <w:rFonts w:ascii="Verdana" w:eastAsia="Verdana" w:hAnsi="Verdana" w:cs="Verdana"/>
        </w:rPr>
        <w:t xml:space="preserve"> </w:t>
      </w:r>
    </w:p>
    <w:p w:rsidR="00FB0B24" w:rsidRPr="005B5CB6" w:rsidP="003255A4">
      <w:pPr>
        <w:spacing w:after="26" w:line="250" w:lineRule="auto"/>
        <w:ind w:left="11" w:hanging="10"/>
        <w:jc w:val="both"/>
        <w:rPr>
          <w:rFonts w:ascii="Verdana" w:hAnsi="Verdana"/>
        </w:rPr>
      </w:pPr>
      <w:r w:rsidRPr="005B5CB6">
        <w:rPr>
          <w:rFonts w:ascii="Verdana" w:eastAsia="Verdana" w:hAnsi="Verdana" w:cs="Verdana"/>
          <w:b/>
        </w:rPr>
        <w:t xml:space="preserve">13.4 Deliberation not Debate </w:t>
      </w:r>
    </w:p>
    <w:p w:rsidR="00FB0B24" w:rsidRPr="005B5CB6" w:rsidP="003255A4">
      <w:pPr>
        <w:spacing w:after="17"/>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69"/>
        </w:numPr>
        <w:spacing w:after="5" w:line="250" w:lineRule="auto"/>
        <w:ind w:left="23" w:right="398" w:hanging="8"/>
        <w:jc w:val="both"/>
        <w:rPr>
          <w:rFonts w:ascii="Verdana" w:hAnsi="Verdana"/>
        </w:rPr>
      </w:pPr>
      <w:r w:rsidRPr="005B5CB6">
        <w:rPr>
          <w:rFonts w:ascii="Verdana" w:eastAsia="Verdana" w:hAnsi="Verdana" w:cs="Verdana"/>
        </w:rPr>
        <w:t xml:space="preserve">In an article in </w:t>
      </w:r>
      <w:r w:rsidRPr="005B5CB6">
        <w:rPr>
          <w:rFonts w:ascii="Verdana" w:eastAsia="Verdana" w:hAnsi="Verdana" w:cs="Verdana"/>
          <w:i/>
        </w:rPr>
        <w:t>The Guardian</w:t>
      </w:r>
      <w:r w:rsidRPr="005B5CB6">
        <w:rPr>
          <w:rFonts w:ascii="Verdana" w:eastAsia="Verdana" w:hAnsi="Verdana" w:cs="Verdana"/>
        </w:rPr>
        <w:t xml:space="preserve">, Stephen Poole derides contemporary debate arguing that it, “has a structural bias in favour of demagoguery and disinformation. It inherently favours liars. There is no cost to, and much potential advantage in, taking the low road and indulging in bullying and personal attack” (2019). A problem which, the committee may well hear, has largely been exacerbated by social media, technology and fast news. Our argument is that to counter this we need more deliberative engagement, where, as per </w:t>
      </w:r>
      <w:r w:rsidRPr="005B5CB6">
        <w:rPr>
          <w:rFonts w:ascii="Verdana" w:eastAsia="Verdana" w:hAnsi="Verdana" w:cs="Verdana"/>
          <w:i/>
        </w:rPr>
        <w:t>The Economist</w:t>
      </w:r>
      <w:r w:rsidRPr="005B5CB6">
        <w:rPr>
          <w:rFonts w:ascii="Verdana" w:eastAsia="Verdana" w:hAnsi="Verdana" w:cs="Verdana"/>
        </w:rPr>
        <w:t xml:space="preserve">, we bring “ordinary citizens [together] using structured processes of exploration and debate through which they get to hear and discuss a full range of opinions on a given subject” (Taylor, 2019).  </w:t>
      </w:r>
      <w:r w:rsidRPr="005B5CB6">
        <w:rPr>
          <w:rFonts w:ascii="Verdana" w:eastAsia="Verdana" w:hAnsi="Verdana" w:cs="Verdana"/>
          <w:color w:val="7A7A7A"/>
        </w:rPr>
        <w:t xml:space="preserve"> </w:t>
      </w:r>
    </w:p>
    <w:p w:rsidR="00FB0B24" w:rsidRPr="005B5CB6" w:rsidP="003255A4">
      <w:pPr>
        <w:numPr>
          <w:ilvl w:val="2"/>
          <w:numId w:val="69"/>
        </w:numPr>
        <w:spacing w:after="5" w:line="250" w:lineRule="auto"/>
        <w:ind w:left="23" w:right="398" w:hanging="8"/>
        <w:jc w:val="both"/>
        <w:rPr>
          <w:rFonts w:ascii="Verdana" w:hAnsi="Verdana"/>
        </w:rPr>
      </w:pPr>
      <w:r w:rsidRPr="005B5CB6">
        <w:rPr>
          <w:rFonts w:ascii="Verdana" w:eastAsia="Verdana" w:hAnsi="Verdana" w:cs="Verdana"/>
        </w:rPr>
        <w:t xml:space="preserve">The benefits of deliberative engagement are well documented and recently featured in an  op-ed piece in </w:t>
      </w:r>
      <w:r w:rsidRPr="005B5CB6">
        <w:rPr>
          <w:rFonts w:ascii="Verdana" w:eastAsia="Verdana" w:hAnsi="Verdana" w:cs="Verdana"/>
          <w:i/>
        </w:rPr>
        <w:t>The Financial Times</w:t>
      </w:r>
      <w:r w:rsidRPr="005B5CB6">
        <w:rPr>
          <w:rFonts w:ascii="Verdana" w:eastAsia="Verdana" w:hAnsi="Verdana" w:cs="Verdana"/>
        </w:rPr>
        <w:t xml:space="preserve">, stating that: </w:t>
      </w:r>
    </w:p>
    <w:p w:rsidR="00FB0B24" w:rsidRPr="005B5CB6" w:rsidP="003255A4">
      <w:pPr>
        <w:spacing w:after="5" w:line="250" w:lineRule="auto"/>
        <w:ind w:left="728" w:right="11" w:hanging="8"/>
        <w:jc w:val="both"/>
        <w:rPr>
          <w:rFonts w:ascii="Verdana" w:hAnsi="Verdana"/>
        </w:rPr>
      </w:pPr>
      <w:r w:rsidRPr="005B5CB6">
        <w:rPr>
          <w:rFonts w:ascii="Verdana" w:eastAsia="Verdana" w:hAnsi="Verdana" w:cs="Verdana"/>
        </w:rPr>
        <w:t xml:space="preserve">The idea that democracy is about more than voting has an illustrious pedigree. The core of the deliberative democracy tradition — a </w:t>
      </w:r>
      <w:r>
        <w:fldChar w:fldCharType="begin"/>
      </w:r>
      <w:r>
        <w:instrText xml:space="preserve"> HYPERLINK "https://www.amacad.org/publication/twelve-key-findings-deliberative-democracy-research" </w:instrText>
      </w:r>
      <w:r>
        <w:fldChar w:fldCharType="separate"/>
      </w:r>
      <w:r w:rsidRPr="005B5CB6">
        <w:rPr>
          <w:rFonts w:ascii="Verdana" w:eastAsia="Verdana" w:hAnsi="Verdana" w:cs="Verdana"/>
        </w:rPr>
        <w:t xml:space="preserve">respectable </w:t>
      </w:r>
      <w:r>
        <w:fldChar w:fldCharType="end"/>
      </w:r>
      <w:r>
        <w:fldChar w:fldCharType="begin"/>
      </w:r>
      <w:r>
        <w:instrText xml:space="preserve"> HYPERLINK "https://www.amacad.org/publication/twelve-key-findings-deliberative-democracy-research" </w:instrText>
      </w:r>
      <w:r>
        <w:fldChar w:fldCharType="separate"/>
      </w:r>
      <w:r w:rsidRPr="005B5CB6">
        <w:rPr>
          <w:rFonts w:ascii="Verdana" w:eastAsia="Verdana" w:hAnsi="Verdana" w:cs="Verdana"/>
        </w:rPr>
        <w:t xml:space="preserve">academic research programme </w:t>
      </w:r>
      <w:r>
        <w:fldChar w:fldCharType="end"/>
      </w:r>
      <w:r w:rsidRPr="005B5CB6">
        <w:rPr>
          <w:rFonts w:ascii="Verdana" w:eastAsia="Verdana" w:hAnsi="Verdana" w:cs="Verdana"/>
        </w:rPr>
        <w:t xml:space="preserve">as well as a reform movement — is that democratic citizens better fulfil their role as the ultimate source of sovereignty when they inform themselves and elaborate their views in the presence of their peers. (2019). </w:t>
      </w:r>
      <w:r w:rsidRPr="005B5CB6">
        <w:rPr>
          <w:rFonts w:ascii="Verdana" w:eastAsia="Verdana" w:hAnsi="Verdana" w:cs="Verdana"/>
          <w:color w:val="121212"/>
        </w:rPr>
        <w:t xml:space="preserve"> </w:t>
      </w:r>
    </w:p>
    <w:p w:rsidR="00FB0B24" w:rsidRPr="005B5CB6" w:rsidP="003255A4">
      <w:pPr>
        <w:spacing w:after="17"/>
        <w:ind w:left="1"/>
        <w:jc w:val="both"/>
        <w:rPr>
          <w:rFonts w:ascii="Verdana" w:hAnsi="Verdana"/>
        </w:rPr>
      </w:pPr>
      <w:r w:rsidRPr="005B5CB6">
        <w:rPr>
          <w:rFonts w:ascii="Verdana" w:eastAsia="Verdana" w:hAnsi="Verdana" w:cs="Verdana"/>
          <w:color w:val="121212"/>
        </w:rPr>
        <w:t xml:space="preserve"> </w:t>
      </w:r>
    </w:p>
    <w:p w:rsidR="00FB0B24" w:rsidRPr="005B5CB6" w:rsidP="003255A4">
      <w:pPr>
        <w:numPr>
          <w:ilvl w:val="2"/>
          <w:numId w:val="69"/>
        </w:numPr>
        <w:spacing w:after="5" w:line="250" w:lineRule="auto"/>
        <w:ind w:left="23" w:right="398" w:hanging="8"/>
        <w:jc w:val="both"/>
        <w:rPr>
          <w:rFonts w:ascii="Verdana" w:hAnsi="Verdana"/>
        </w:rPr>
      </w:pPr>
      <w:r w:rsidRPr="005B5CB6">
        <w:rPr>
          <w:rFonts w:ascii="Verdana" w:eastAsia="Verdana" w:hAnsi="Verdana" w:cs="Verdana"/>
        </w:rPr>
        <w:t xml:space="preserve">Our argument for the Committee to consider is that too much emphasis has been placed by public bodies on debate and opinion capturing (often uninformed) without the prerequisite of informing, sharing ideas and thereby deliberating different problems and solutions. We believe this can be done by promoting online communities like that described in 13.2.2, where people are invited into safe online environments where the objective is not to be right or wrong, is not to win the argument but instead is to agree to take time to consider the issues at hand, share thoughts and ideas, consider the opinion of others and only after a period of reflection share preferences or make up minds concerning </w:t>
      </w:r>
      <w:r w:rsidRPr="005B5CB6">
        <w:rPr>
          <w:rFonts w:ascii="Verdana" w:eastAsia="Verdana" w:hAnsi="Verdana" w:cs="Verdana"/>
        </w:rPr>
        <w:t xml:space="preserve">the best way forward. In this way civic technologies have much to contribute to democratic engagement and the efficacy of the democratic process - especially by orienting discussion toward some reasonable understanding of the common good. </w:t>
      </w:r>
    </w:p>
    <w:p w:rsidR="00FB0B24" w:rsidRPr="005B5CB6" w:rsidP="003255A4">
      <w:pPr>
        <w:spacing w:after="17"/>
        <w:ind w:left="1"/>
        <w:jc w:val="both"/>
        <w:rPr>
          <w:rFonts w:ascii="Verdana" w:hAnsi="Verdana"/>
        </w:rPr>
      </w:pPr>
      <w:r w:rsidRPr="005B5CB6">
        <w:rPr>
          <w:rFonts w:ascii="Verdana" w:eastAsia="Verdana" w:hAnsi="Verdana" w:cs="Verdana"/>
          <w:color w:val="121212"/>
        </w:rPr>
        <w:t xml:space="preserve"> </w:t>
      </w:r>
    </w:p>
    <w:p w:rsidR="00FB0B24" w:rsidRPr="005B5CB6" w:rsidP="003255A4">
      <w:pPr>
        <w:spacing w:after="26" w:line="250" w:lineRule="auto"/>
        <w:ind w:left="11" w:hanging="10"/>
        <w:jc w:val="both"/>
        <w:rPr>
          <w:rFonts w:ascii="Verdana" w:hAnsi="Verdana"/>
        </w:rPr>
      </w:pPr>
      <w:r w:rsidRPr="005B5CB6">
        <w:rPr>
          <w:rFonts w:ascii="Verdana" w:eastAsia="Verdana" w:hAnsi="Verdana" w:cs="Verdana"/>
          <w:b/>
        </w:rPr>
        <w:t xml:space="preserve">13.5 Multiple Dialogue methods  </w:t>
      </w:r>
    </w:p>
    <w:p w:rsidR="00FB0B24" w:rsidRPr="005B5CB6" w:rsidP="003255A4">
      <w:pPr>
        <w:spacing w:after="17"/>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73"/>
        </w:numPr>
        <w:spacing w:after="5" w:line="250" w:lineRule="auto"/>
        <w:ind w:left="23" w:right="280" w:hanging="8"/>
        <w:jc w:val="both"/>
        <w:rPr>
          <w:rFonts w:ascii="Verdana" w:hAnsi="Verdana"/>
        </w:rPr>
      </w:pPr>
      <w:r w:rsidRPr="005B5CB6">
        <w:rPr>
          <w:rFonts w:ascii="Verdana" w:eastAsia="Verdana" w:hAnsi="Verdana" w:cs="Verdana"/>
        </w:rPr>
        <w:t xml:space="preserve">Parliament and the Government should introduce policies which ensure public bodies undertake online engagement which uses a range of dialogue methods. </w:t>
      </w:r>
    </w:p>
    <w:p w:rsidR="00FB0B24" w:rsidRPr="005B5CB6" w:rsidP="003255A4">
      <w:pPr>
        <w:spacing w:after="19"/>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73"/>
        </w:numPr>
        <w:spacing w:after="5" w:line="250" w:lineRule="auto"/>
        <w:ind w:left="23" w:right="280" w:hanging="8"/>
        <w:jc w:val="both"/>
        <w:rPr>
          <w:rFonts w:ascii="Verdana" w:hAnsi="Verdana"/>
        </w:rPr>
      </w:pPr>
      <w:r w:rsidRPr="005B5CB6">
        <w:rPr>
          <w:rFonts w:ascii="Verdana" w:eastAsia="Verdana" w:hAnsi="Verdana" w:cs="Verdana"/>
        </w:rPr>
        <w:t>Too many invitations to participate in citizen engagement say all the right things and are well presented, but when you look in detail at their online engagement there is little to demonstrate that they truly want to involve people in a meaningful dialogue. This is best demonstrated by the over reliance on online surveys for public consultation in the United Kingdom, where invitations like #HaveYourSay or #GetInvolved supported by strong narratives concerning the importance of</w:t>
      </w:r>
      <w:r w:rsidRPr="005B5CB6">
        <w:rPr>
          <w:rFonts w:ascii="Verdana" w:eastAsia="Verdana" w:hAnsi="Verdana" w:cs="Verdana"/>
          <w:b/>
        </w:rPr>
        <w:t xml:space="preserve"> </w:t>
      </w:r>
      <w:r w:rsidRPr="005B5CB6">
        <w:rPr>
          <w:rFonts w:ascii="Verdana" w:eastAsia="Verdana" w:hAnsi="Verdana" w:cs="Verdana"/>
        </w:rPr>
        <w:t>the conversation</w:t>
      </w:r>
      <w:r w:rsidRPr="005B5CB6">
        <w:rPr>
          <w:rFonts w:ascii="Verdana" w:eastAsia="Verdana" w:hAnsi="Verdana" w:cs="Verdana"/>
          <w:b/>
        </w:rPr>
        <w:t xml:space="preserve"> </w:t>
      </w:r>
      <w:r w:rsidRPr="005B5CB6">
        <w:rPr>
          <w:rFonts w:ascii="Verdana" w:eastAsia="Verdana" w:hAnsi="Verdana" w:cs="Verdana"/>
        </w:rPr>
        <w:t xml:space="preserve">are not supported by any mechanism to have a two-way dialogue. Instead participants are just presented with an online survey. This is why so many people turn to social media to vent their views and opinions because they are offered nothing but this very closed tool for participating.  </w:t>
      </w:r>
    </w:p>
    <w:p w:rsidR="00FB0B24" w:rsidRPr="005B5CB6" w:rsidP="003255A4">
      <w:pPr>
        <w:spacing w:after="17"/>
        <w:ind w:left="1"/>
        <w:jc w:val="both"/>
        <w:rPr>
          <w:rFonts w:ascii="Verdana" w:hAnsi="Verdana"/>
        </w:rPr>
      </w:pPr>
      <w:r w:rsidRPr="005B5CB6">
        <w:rPr>
          <w:rFonts w:ascii="Verdana" w:eastAsia="Verdana" w:hAnsi="Verdana" w:cs="Verdana"/>
        </w:rPr>
        <w:t xml:space="preserve"> </w:t>
      </w:r>
    </w:p>
    <w:p w:rsidR="00FB0B24" w:rsidRPr="005B5CB6" w:rsidP="003255A4">
      <w:pPr>
        <w:numPr>
          <w:ilvl w:val="2"/>
          <w:numId w:val="73"/>
        </w:numPr>
        <w:spacing w:after="5" w:line="250" w:lineRule="auto"/>
        <w:ind w:left="23" w:right="280" w:hanging="8"/>
        <w:jc w:val="both"/>
        <w:rPr>
          <w:rFonts w:ascii="Verdana" w:hAnsi="Verdana"/>
        </w:rPr>
      </w:pPr>
      <w:r w:rsidRPr="005B5CB6">
        <w:rPr>
          <w:rFonts w:ascii="Verdana" w:eastAsia="Verdana" w:hAnsi="Verdana" w:cs="Verdana"/>
        </w:rPr>
        <w:t xml:space="preserve">Despite the short sightedness of many public bodies, the civic tech industry has been very busy creating tools for people to have a more meaningful dialogue online. For example, using Bang the Table’s engagement platform, amongst many other </w:t>
      </w:r>
      <w:r>
        <w:fldChar w:fldCharType="begin"/>
      </w:r>
      <w:r>
        <w:instrText xml:space="preserve"> HYPERLINK "https://www.bangthetable.com/wp-content/uploads/BangtheTable_Tools_Spectrum_2019-1.pdf" </w:instrText>
      </w:r>
      <w:r>
        <w:fldChar w:fldCharType="separate"/>
      </w:r>
      <w:r w:rsidRPr="005B5CB6">
        <w:rPr>
          <w:rFonts w:ascii="Verdana" w:eastAsia="Verdana" w:hAnsi="Verdana" w:cs="Verdana"/>
          <w:color w:val="1155CC"/>
          <w:u w:val="single" w:color="1155CC"/>
        </w:rPr>
        <w:t>engagement tools</w:t>
      </w:r>
      <w:r>
        <w:fldChar w:fldCharType="end"/>
      </w:r>
      <w:r>
        <w:fldChar w:fldCharType="begin"/>
      </w:r>
      <w:r>
        <w:instrText xml:space="preserve"> HYPERLINK "https://www.bangthetable.com/wp-content/uploads/BangtheTable_Tools_Spectrum_2019-1.pdf"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participants can be invited to use tools such as ‘storytelling’ to better understand issues, empathise and relate to others; ‘forums’ which creates a space for discussion, dialogue and debate; and, ‘ideas’ which can help public bodies better understand what matters most to the community. These tools can be used in an information rich environment (where participants have access to videos, infographics, podcasts, document libraries to find out more about the issue at hand).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2"/>
          <w:numId w:val="73"/>
        </w:numPr>
        <w:spacing w:after="5" w:line="250" w:lineRule="auto"/>
        <w:ind w:left="23" w:right="280" w:hanging="8"/>
        <w:jc w:val="both"/>
        <w:rPr>
          <w:rFonts w:ascii="Verdana" w:hAnsi="Verdana"/>
        </w:rPr>
      </w:pPr>
      <w:r w:rsidRPr="005B5CB6">
        <w:rPr>
          <w:rFonts w:ascii="Verdana" w:eastAsia="Verdana" w:hAnsi="Verdana" w:cs="Verdana"/>
        </w:rPr>
        <w:t xml:space="preserve">Our argument for the Committee to consider is that this reliance on online surveys is a poor excuse for proper digital public discourse. We believe this can addressed by educating public servants about the benefits of alternative tools, which permit people to participate in a true two way conversation. In this way, civic technologies have much to contribute to democratic engagement and the efficacy of the democratic process.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26" w:line="250" w:lineRule="auto"/>
        <w:ind w:left="11" w:hanging="10"/>
        <w:jc w:val="both"/>
        <w:rPr>
          <w:rFonts w:ascii="Verdana" w:hAnsi="Verdana"/>
        </w:rPr>
      </w:pPr>
      <w:r w:rsidRPr="005B5CB6">
        <w:rPr>
          <w:rFonts w:ascii="Verdana" w:eastAsia="Verdana" w:hAnsi="Verdana" w:cs="Verdana"/>
          <w:b/>
        </w:rPr>
        <w:t xml:space="preserve">13.6 Peer-to-peer discussions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2"/>
          <w:numId w:val="71"/>
        </w:numPr>
        <w:spacing w:after="5" w:line="250" w:lineRule="auto"/>
        <w:ind w:left="23" w:right="345" w:hanging="8"/>
        <w:jc w:val="both"/>
        <w:rPr>
          <w:rFonts w:ascii="Verdana" w:hAnsi="Verdana"/>
        </w:rPr>
      </w:pPr>
      <w:r w:rsidRPr="005B5CB6">
        <w:rPr>
          <w:rFonts w:ascii="Verdana" w:eastAsia="Verdana" w:hAnsi="Verdana" w:cs="Verdana"/>
        </w:rPr>
        <w:t xml:space="preserve">Recent evidence (Curato, Dryzek, Ercan, Hendriks &amp; Niemeyer, 2017) provides a strong argument that when we bring people together to hear and discuss a full range of opinions on a given subject, that is to deliberate, they better fulfil their role as the ultimate source of sovereignty. Furthermore, it seems people are also more likely to move from an intransigent, extreme position, when their opinions are challenged by “people like me” in a structured and moderated </w:t>
      </w:r>
      <w:r w:rsidRPr="005B5CB6">
        <w:rPr>
          <w:rFonts w:ascii="Verdana" w:eastAsia="Verdana" w:hAnsi="Verdana" w:cs="Verdana"/>
        </w:rPr>
        <w:t xml:space="preserve">environment. They are certainly less likely to give proper consideration to opinion provided by figures of authority. This is why we believe it is so important that Parliament and Government take steps to ensure that more deliberative environments are created online, which encourage this type “shared space for discussion.”  At the moment, it seems that for too many the only alternative is to join like-minded people on Twitter and Facebook, where they merely reinforce their initial starting position and point of view. Indeed, it seems that on social media people tend not to have an open mind and the algorithms discourage them “meeting” anyone who might encourage them to have one. </w:t>
      </w:r>
      <w:r w:rsidRPr="005B5CB6">
        <w:rPr>
          <w:rFonts w:ascii="Verdana" w:eastAsia="Verdana" w:hAnsi="Verdana" w:cs="Verdana"/>
          <w:i/>
        </w:rPr>
        <w:t xml:space="preserve"> </w:t>
      </w:r>
    </w:p>
    <w:p w:rsidR="00FB0B24" w:rsidRPr="005B5CB6" w:rsidP="003255A4">
      <w:pPr>
        <w:spacing w:after="17"/>
        <w:jc w:val="both"/>
        <w:rPr>
          <w:rFonts w:ascii="Verdana" w:hAnsi="Verdana"/>
        </w:rPr>
      </w:pPr>
      <w:r w:rsidRPr="005B5CB6">
        <w:rPr>
          <w:rFonts w:ascii="Verdana" w:eastAsia="Verdana" w:hAnsi="Verdana" w:cs="Verdana"/>
          <w:i/>
        </w:rPr>
        <w:t xml:space="preserve"> </w:t>
      </w:r>
    </w:p>
    <w:p w:rsidR="00FB0B24" w:rsidRPr="005B5CB6" w:rsidP="003255A4">
      <w:pPr>
        <w:numPr>
          <w:ilvl w:val="2"/>
          <w:numId w:val="71"/>
        </w:numPr>
        <w:spacing w:after="5" w:line="250" w:lineRule="auto"/>
        <w:ind w:left="23" w:right="345" w:hanging="8"/>
        <w:jc w:val="both"/>
        <w:rPr>
          <w:rFonts w:ascii="Verdana" w:hAnsi="Verdana"/>
        </w:rPr>
      </w:pPr>
      <w:r w:rsidRPr="005B5CB6">
        <w:rPr>
          <w:rFonts w:ascii="Verdana" w:eastAsia="Verdana" w:hAnsi="Verdana" w:cs="Verdana"/>
        </w:rPr>
        <w:t xml:space="preserve">Incidentally, Bang The Table’s own data also shows that when you invite people into these types of online spaces they tend to be civil to one another and play by the rules of engagement. For example, in the 2018/19 time period, 240,798 thousand comments were accepted by our moderation team in our online communities with only 779 deleted because they breached our moderation policy, less than 1% of comments. In addition, just 1,376 comments were reported by participants to our moderators for review.  </w:t>
      </w:r>
    </w:p>
    <w:p w:rsidR="00FB0B24" w:rsidRPr="005B5CB6" w:rsidP="003255A4">
      <w:pPr>
        <w:numPr>
          <w:ilvl w:val="2"/>
          <w:numId w:val="71"/>
        </w:numPr>
        <w:spacing w:after="5" w:line="250" w:lineRule="auto"/>
        <w:ind w:left="23" w:right="345" w:hanging="8"/>
        <w:jc w:val="both"/>
        <w:rPr>
          <w:rFonts w:ascii="Verdana" w:hAnsi="Verdana"/>
        </w:rPr>
      </w:pPr>
      <w:r w:rsidRPr="005B5CB6">
        <w:rPr>
          <w:rFonts w:ascii="Verdana" w:eastAsia="Verdana" w:hAnsi="Verdana" w:cs="Verdana"/>
        </w:rPr>
        <w:t xml:space="preserve">Our argument for the Committee to consider is that public bodies need to do more to create online places for people to hear and discuss a full range of opinions on a given subject. In this way, online participation has much to contribute to democratic engagement and the efficacy of the democratic process.  </w:t>
      </w:r>
    </w:p>
    <w:p w:rsidR="00FB0B24" w:rsidRPr="005B5CB6" w:rsidP="003255A4">
      <w:pPr>
        <w:spacing w:after="19"/>
        <w:jc w:val="both"/>
        <w:rPr>
          <w:rFonts w:ascii="Verdana" w:hAnsi="Verdana"/>
        </w:rPr>
      </w:pPr>
      <w:r w:rsidRPr="005B5CB6">
        <w:rPr>
          <w:rFonts w:ascii="Verdana" w:eastAsia="Verdana" w:hAnsi="Verdana" w:cs="Verdana"/>
          <w:color w:val="121212"/>
        </w:rPr>
        <w:t xml:space="preserve"> </w:t>
      </w:r>
    </w:p>
    <w:p w:rsidR="00FB0B24" w:rsidRPr="005B5CB6" w:rsidP="003255A4">
      <w:pPr>
        <w:spacing w:after="26" w:line="250" w:lineRule="auto"/>
        <w:ind w:left="11" w:hanging="10"/>
        <w:jc w:val="both"/>
        <w:rPr>
          <w:rFonts w:ascii="Verdana" w:hAnsi="Verdana"/>
        </w:rPr>
      </w:pPr>
      <w:r w:rsidRPr="005B5CB6">
        <w:rPr>
          <w:rFonts w:ascii="Verdana" w:eastAsia="Verdana" w:hAnsi="Verdana" w:cs="Verdana"/>
          <w:b/>
        </w:rPr>
        <w:t xml:space="preserve">13.7 Moderated spaces for citizen engagement </w:t>
      </w:r>
    </w:p>
    <w:p w:rsidR="00FB0B24" w:rsidRPr="005B5CB6" w:rsidP="003255A4">
      <w:pPr>
        <w:spacing w:after="18"/>
        <w:jc w:val="both"/>
        <w:rPr>
          <w:rFonts w:ascii="Verdana" w:hAnsi="Verdana"/>
        </w:rPr>
      </w:pPr>
      <w:r w:rsidRPr="005B5CB6">
        <w:rPr>
          <w:rFonts w:ascii="Verdana" w:eastAsia="Verdana" w:hAnsi="Verdana" w:cs="Verdana"/>
        </w:rPr>
        <w:t xml:space="preserve"> </w:t>
      </w:r>
    </w:p>
    <w:p w:rsidR="00FB0B24" w:rsidRPr="005B5CB6" w:rsidP="003255A4">
      <w:pPr>
        <w:numPr>
          <w:ilvl w:val="2"/>
          <w:numId w:val="75"/>
        </w:numPr>
        <w:spacing w:after="1" w:line="275" w:lineRule="auto"/>
        <w:ind w:right="357" w:hanging="10"/>
        <w:jc w:val="both"/>
        <w:rPr>
          <w:rFonts w:ascii="Verdana" w:hAnsi="Verdana"/>
        </w:rPr>
      </w:pPr>
      <w:r w:rsidRPr="005B5CB6">
        <w:rPr>
          <w:rFonts w:ascii="Verdana" w:eastAsia="Verdana" w:hAnsi="Verdana" w:cs="Verdana"/>
        </w:rPr>
        <w:t xml:space="preserve">As noted in 13.6.2, </w:t>
      </w:r>
      <w:r w:rsidRPr="005B5CB6">
        <w:rPr>
          <w:rFonts w:ascii="Verdana" w:eastAsia="Verdana" w:hAnsi="Verdana" w:cs="Verdana"/>
          <w:color w:val="1C1E21"/>
        </w:rPr>
        <w:t xml:space="preserve">of 240,798 comments seen by our moderation team less than 1% have been rejected because they breached our moderation policy. What we have found is that when invited to take part in a Town Hall 2.0 [see 13.2], people are prepared to be polite, to play by the rules and to allow space for meaningful public discourse. We believe that more needs to be done to encourage public bodies to invest in these moderated spaces for citizen engagement, where people feel safe to get involved and have their say without fear of harassment or trolling from those who may disagree with their opinion. </w:t>
      </w:r>
      <w:r w:rsidRPr="005B5CB6">
        <w:rPr>
          <w:rFonts w:ascii="Verdana" w:eastAsia="Verdana" w:hAnsi="Verdana" w:cs="Verdana"/>
        </w:rPr>
        <w:t xml:space="preserv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2"/>
          <w:numId w:val="75"/>
        </w:numPr>
        <w:spacing w:after="1" w:line="275" w:lineRule="auto"/>
        <w:ind w:right="357" w:hanging="10"/>
        <w:jc w:val="both"/>
        <w:rPr>
          <w:rFonts w:ascii="Verdana" w:hAnsi="Verdana"/>
        </w:rPr>
      </w:pPr>
      <w:r w:rsidRPr="005B5CB6">
        <w:rPr>
          <w:rFonts w:ascii="Verdana" w:eastAsia="Verdana" w:hAnsi="Verdana" w:cs="Verdana"/>
          <w:color w:val="1C1E21"/>
        </w:rPr>
        <w:t xml:space="preserve">Our argument for the Committee to consider is that public bodies need to do more to create safe places for people to hear and discuss a full range of opinions on a given subject, away from the vitriol, populism and electronic graffiti of much of social media discourse. In this way, online participation has much to contribute to democratic engagement and the efficacy of the democratic process.  </w:t>
      </w:r>
    </w:p>
    <w:p w:rsidR="00FB0B24" w:rsidRPr="005B5CB6" w:rsidP="003255A4">
      <w:pPr>
        <w:spacing w:after="17"/>
        <w:jc w:val="both"/>
        <w:rPr>
          <w:rFonts w:ascii="Verdana" w:hAnsi="Verdana"/>
        </w:rPr>
      </w:pPr>
      <w:r w:rsidRPr="005B5CB6">
        <w:rPr>
          <w:rFonts w:ascii="Verdana" w:eastAsia="Verdana" w:hAnsi="Verdana" w:cs="Verdana"/>
          <w:color w:val="1C1E21"/>
        </w:rPr>
        <w:t xml:space="preserve"> </w:t>
      </w:r>
    </w:p>
    <w:p w:rsidR="00FB0B24" w:rsidRPr="005B5CB6" w:rsidP="003255A4">
      <w:pPr>
        <w:spacing w:after="26" w:line="250" w:lineRule="auto"/>
        <w:ind w:left="11" w:hanging="10"/>
        <w:jc w:val="both"/>
        <w:rPr>
          <w:rFonts w:ascii="Verdana" w:hAnsi="Verdana"/>
        </w:rPr>
      </w:pPr>
      <w:r w:rsidRPr="005B5CB6">
        <w:rPr>
          <w:rFonts w:ascii="Verdana" w:eastAsia="Verdana" w:hAnsi="Verdana" w:cs="Verdana"/>
          <w:b/>
        </w:rPr>
        <w:t xml:space="preserve">13.8 Information “fact checked” environment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2"/>
          <w:numId w:val="74"/>
        </w:numPr>
        <w:spacing w:after="5" w:line="250" w:lineRule="auto"/>
        <w:ind w:right="191" w:hanging="799"/>
        <w:jc w:val="both"/>
        <w:rPr>
          <w:rFonts w:ascii="Verdana" w:hAnsi="Verdana"/>
        </w:rPr>
      </w:pPr>
      <w:r w:rsidRPr="005B5CB6">
        <w:rPr>
          <w:rFonts w:ascii="Verdana" w:eastAsia="Verdana" w:hAnsi="Verdana" w:cs="Verdana"/>
        </w:rPr>
        <w:t xml:space="preserve">One of the problems with online public policy debate is that people are weary of fake news, or they can dismiss any strong evidence as being fake, or even worse, merely the view of just another expert! To counter this people need </w:t>
      </w:r>
      <w:r w:rsidRPr="005B5CB6">
        <w:rPr>
          <w:rFonts w:ascii="Verdana" w:eastAsia="Verdana" w:hAnsi="Verdana" w:cs="Verdana"/>
        </w:rPr>
        <w:t xml:space="preserve">to be invited into a place to hear and discuss a range of opinions which is supported by information they can trust. We believe that this is a key ingredient, or linchpin, of safe places for online participation, which will encourage more informed contributions to democratic engagement and the efficacy of the democratic debate.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2"/>
          <w:numId w:val="74"/>
        </w:numPr>
        <w:spacing w:after="5" w:line="250" w:lineRule="auto"/>
        <w:ind w:right="191" w:hanging="799"/>
        <w:jc w:val="both"/>
        <w:rPr>
          <w:rFonts w:ascii="Verdana" w:hAnsi="Verdana"/>
        </w:rPr>
      </w:pPr>
      <w:r w:rsidRPr="005B5CB6">
        <w:rPr>
          <w:rFonts w:ascii="Verdana" w:eastAsia="Verdana" w:hAnsi="Verdana" w:cs="Verdana"/>
        </w:rPr>
        <w:t xml:space="preserve">When participating in any public consultation, on both national and local issues, we believe people should be furnished with video, infographics, podcasts and other digital media which can help them to give the matter intelligent consideration. In this way, the decision maker can be more certain that they have captured informed opinion and the participant can rest assured that they have been given the honest and balanced facts on the matter. Indeed, there is a good argument that decision makers could place more weight on the opinion of those people who have taken the time to become more informed and/or more educated about the issue at hand.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numPr>
          <w:ilvl w:val="2"/>
          <w:numId w:val="74"/>
        </w:numPr>
        <w:spacing w:after="26" w:line="250" w:lineRule="auto"/>
        <w:ind w:right="191" w:hanging="799"/>
        <w:jc w:val="both"/>
        <w:rPr>
          <w:rFonts w:ascii="Verdana" w:hAnsi="Verdana"/>
        </w:rPr>
      </w:pPr>
      <w:r w:rsidRPr="005B5CB6">
        <w:rPr>
          <w:rFonts w:ascii="Verdana" w:eastAsia="Verdana" w:hAnsi="Verdana" w:cs="Verdana"/>
        </w:rPr>
        <w:t xml:space="preserve">Our argument for the Committee to consider is that Parliament and </w:t>
      </w:r>
    </w:p>
    <w:p w:rsidR="00FB0B24" w:rsidRPr="005B5CB6" w:rsidP="003255A4">
      <w:pPr>
        <w:spacing w:after="5" w:line="250" w:lineRule="auto"/>
        <w:ind w:left="23" w:right="411" w:hanging="8"/>
        <w:jc w:val="both"/>
        <w:rPr>
          <w:rFonts w:ascii="Verdana" w:hAnsi="Verdana"/>
        </w:rPr>
      </w:pPr>
      <w:r w:rsidRPr="005B5CB6">
        <w:rPr>
          <w:rFonts w:ascii="Verdana" w:eastAsia="Verdana" w:hAnsi="Verdana" w:cs="Verdana"/>
        </w:rPr>
        <w:t xml:space="preserve">Government need to do more to provide people with the information they need (online) so that they can  hear and discuss a full range of opinions on a given subject, shielded from fake news and disinformation,  which many people believe infiltrates social media discourse. In this way, online participation has much to contribute to democratic engagement and the efficacy of the democratic process.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 xml:space="preserve">13.9 Statutory Duty for Government and Public Bodies to Provide Safe Places for Online Participation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2"/>
          <w:numId w:val="72"/>
        </w:numPr>
        <w:spacing w:after="5" w:line="250" w:lineRule="auto"/>
        <w:ind w:left="23" w:right="199" w:hanging="8"/>
        <w:jc w:val="both"/>
        <w:rPr>
          <w:rFonts w:ascii="Verdana" w:hAnsi="Verdana"/>
        </w:rPr>
      </w:pPr>
      <w:r w:rsidRPr="005B5CB6">
        <w:rPr>
          <w:rFonts w:ascii="Verdana" w:eastAsia="Verdana" w:hAnsi="Verdana" w:cs="Verdana"/>
        </w:rPr>
        <w:t xml:space="preserve">Our argument is that there is too little incentive for government and other public bodies to create Safe Places for Online Participation (as summarised in 13.2.2). There are some who are leading the way, but legislation may be needed to force the kind of paradigm shift we require.  Otherwise, the problems with democratic engagement and the efficacy of the democratic process (as detailed in our submission and no doubt in that of others) will remain unchecked and probably worsen in the near future, as trust in citizen engagement diminishes and people opt out of public participation all together.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2"/>
          <w:numId w:val="72"/>
        </w:numPr>
        <w:spacing w:after="5" w:line="250" w:lineRule="auto"/>
        <w:ind w:left="23" w:right="199" w:hanging="8"/>
        <w:jc w:val="both"/>
        <w:rPr>
          <w:rFonts w:ascii="Verdana" w:hAnsi="Verdana"/>
        </w:rPr>
      </w:pPr>
      <w:r w:rsidRPr="005B5CB6">
        <w:rPr>
          <w:rFonts w:ascii="Verdana" w:eastAsia="Verdana" w:hAnsi="Verdana" w:cs="Verdana"/>
        </w:rPr>
        <w:t xml:space="preserve">Robust democracy requires real public participation. Bang the Table’s mission is to enable this participation as a fundamental pillar of well-functioning 21st century democracies by forging constructive relationships between communities and the institutions of government. Our latest </w:t>
      </w:r>
      <w:r>
        <w:fldChar w:fldCharType="begin"/>
      </w:r>
      <w:r>
        <w:instrText xml:space="preserve"> HYPERLINK "https://www.bangthetable.com/blog/mission-report-q2-2019" </w:instrText>
      </w:r>
      <w:r>
        <w:fldChar w:fldCharType="separate"/>
      </w:r>
      <w:r w:rsidRPr="005B5CB6">
        <w:rPr>
          <w:rFonts w:ascii="Verdana" w:eastAsia="Verdana" w:hAnsi="Verdana" w:cs="Verdana"/>
          <w:color w:val="0000FF"/>
          <w:u w:val="single" w:color="0000FF"/>
        </w:rPr>
        <w:t>quarterly mission</w:t>
      </w:r>
      <w:r>
        <w:fldChar w:fldCharType="end"/>
      </w:r>
      <w:r>
        <w:fldChar w:fldCharType="begin"/>
      </w:r>
      <w:r>
        <w:instrText xml:space="preserve"> HYPERLINK "https://www.bangthetable.com/blog/mission-report-q2-2019" </w:instrText>
      </w:r>
      <w:r>
        <w:fldChar w:fldCharType="separate"/>
      </w:r>
      <w:r w:rsidRPr="005B5CB6">
        <w:rPr>
          <w:rFonts w:ascii="Verdana" w:eastAsia="Verdana" w:hAnsi="Verdana" w:cs="Verdana"/>
          <w:color w:val="0000FF"/>
        </w:rPr>
        <w:t xml:space="preserve"> </w:t>
      </w:r>
      <w:r>
        <w:fldChar w:fldCharType="end"/>
      </w:r>
      <w:r>
        <w:fldChar w:fldCharType="begin"/>
      </w:r>
      <w:r>
        <w:instrText xml:space="preserve"> HYPERLINK "https://www.bangthetable.com/blog/mission-report-q2-2019" </w:instrText>
      </w:r>
      <w:r>
        <w:fldChar w:fldCharType="separate"/>
      </w:r>
      <w:r w:rsidRPr="005B5CB6">
        <w:rPr>
          <w:rFonts w:ascii="Verdana" w:eastAsia="Verdana" w:hAnsi="Verdana" w:cs="Verdana"/>
          <w:color w:val="0000FF"/>
          <w:u w:val="single" w:color="0000FF"/>
        </w:rPr>
        <w:t>statement report</w:t>
      </w:r>
      <w:r>
        <w:fldChar w:fldCharType="end"/>
      </w:r>
      <w:r>
        <w:fldChar w:fldCharType="begin"/>
      </w:r>
      <w:r>
        <w:instrText xml:space="preserve"> HYPERLINK "https://www.bangthetable.com/blog/mission-report-q2-2019"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provides evidence that citizens are willing to engage with government in safe places for online dialogue. For example, globally 639,159 participants have been informed of issues through our sites, with 217,943 responses being made across multiple dialogue tools.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0"/>
          <w:numId w:val="76"/>
        </w:numPr>
        <w:spacing w:after="5" w:line="250" w:lineRule="auto"/>
        <w:ind w:right="177" w:hanging="10"/>
        <w:jc w:val="both"/>
        <w:rPr>
          <w:rFonts w:ascii="Verdana" w:hAnsi="Verdana"/>
        </w:rPr>
      </w:pPr>
      <w:r w:rsidRPr="005B5CB6">
        <w:rPr>
          <w:rFonts w:ascii="Verdana" w:eastAsia="Verdana" w:hAnsi="Verdana" w:cs="Verdana"/>
          <w:b/>
        </w:rPr>
        <w:t xml:space="preserve">What positive examples are there of technology being used to enhance democracy?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1"/>
          <w:numId w:val="76"/>
        </w:numPr>
        <w:spacing w:after="25" w:line="250" w:lineRule="auto"/>
        <w:ind w:left="23" w:right="405" w:hanging="8"/>
        <w:jc w:val="both"/>
        <w:rPr>
          <w:rFonts w:ascii="Verdana" w:hAnsi="Verdana"/>
        </w:rPr>
      </w:pPr>
      <w:r w:rsidRPr="005B5CB6">
        <w:rPr>
          <w:rFonts w:ascii="Verdana" w:eastAsia="Verdana" w:hAnsi="Verdana" w:cs="Verdana"/>
        </w:rPr>
        <w:t xml:space="preserve">Our own data is testimony to the fact that </w:t>
      </w:r>
      <w:r>
        <w:fldChar w:fldCharType="begin"/>
      </w:r>
      <w:r>
        <w:instrText xml:space="preserve"> HYPERLINK "https://www.bangthetable.com/government/" </w:instrText>
      </w:r>
      <w:r>
        <w:fldChar w:fldCharType="separate"/>
      </w:r>
      <w:r w:rsidRPr="005B5CB6">
        <w:rPr>
          <w:rFonts w:ascii="Verdana" w:eastAsia="Verdana" w:hAnsi="Verdana" w:cs="Verdana"/>
          <w:color w:val="1155CC"/>
          <w:u w:val="single" w:color="1155CC"/>
        </w:rPr>
        <w:t>working with government</w:t>
      </w:r>
      <w:r>
        <w:fldChar w:fldCharType="end"/>
      </w:r>
      <w:r>
        <w:fldChar w:fldCharType="begin"/>
      </w:r>
      <w:r>
        <w:instrText xml:space="preserve"> HYPERLINK "https://www.bangthetable.com/government/" </w:instrText>
      </w:r>
      <w:r>
        <w:fldChar w:fldCharType="separate"/>
      </w:r>
      <w:r w:rsidRPr="005B5CB6">
        <w:rPr>
          <w:rFonts w:ascii="Verdana" w:eastAsia="Verdana" w:hAnsi="Verdana" w:cs="Verdana"/>
          <w:color w:val="1155CC"/>
        </w:rPr>
        <w:t xml:space="preserve"> </w:t>
      </w:r>
      <w:r>
        <w:fldChar w:fldCharType="end"/>
      </w:r>
      <w:r>
        <w:fldChar w:fldCharType="begin"/>
      </w:r>
      <w:r>
        <w:instrText xml:space="preserve"> HYPERLINK "https://www.bangthetable.com/government/" </w:instrText>
      </w:r>
      <w:r>
        <w:fldChar w:fldCharType="separate"/>
      </w:r>
      <w:r w:rsidRPr="005B5CB6">
        <w:rPr>
          <w:rFonts w:ascii="Verdana" w:eastAsia="Verdana" w:hAnsi="Verdana" w:cs="Verdana"/>
          <w:color w:val="1155CC"/>
          <w:u w:val="single" w:color="1155CC"/>
        </w:rPr>
        <w:t>bodies</w:t>
      </w:r>
      <w:r>
        <w:fldChar w:fldCharType="end"/>
      </w:r>
      <w:r>
        <w:fldChar w:fldCharType="begin"/>
      </w:r>
      <w:r>
        <w:instrText xml:space="preserve"> HYPERLINK "https://www.bangthetable.com/government/"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technology can be used to enhance democracy. We have reached hundreds of thousands of citizens and received hundreds of thousands of contributions across Australia, New Zealand, Canada, USA and the United Kingdom. As evidenced by 14.1.2,</w:t>
      </w:r>
      <w:r>
        <w:fldChar w:fldCharType="begin"/>
      </w:r>
      <w:r>
        <w:instrText xml:space="preserve"> HYPERLINK "https://www.bangthetable.com/blog/mission-report-q2-2019" </w:instrText>
      </w:r>
      <w:r>
        <w:fldChar w:fldCharType="separate"/>
      </w:r>
      <w:r w:rsidRPr="005B5CB6">
        <w:rPr>
          <w:rFonts w:ascii="Verdana" w:eastAsia="Verdana" w:hAnsi="Verdana" w:cs="Verdana"/>
          <w:color w:val="1155CC"/>
          <w:u w:val="single" w:color="1155CC"/>
        </w:rPr>
        <w:t xml:space="preserve"> in the last 3 months alone,</w:t>
      </w:r>
      <w:r>
        <w:fldChar w:fldCharType="end"/>
      </w:r>
      <w:r>
        <w:fldChar w:fldCharType="begin"/>
      </w:r>
      <w:r>
        <w:instrText xml:space="preserve"> HYPERLINK "https://www.bangthetable.com/blog/mission-report-q2-2019"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from  April to  June 2019, the percentage of the population globally whose local government use Bang the Table’s engagement platform to offer people to get involved.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2"/>
          <w:numId w:val="76"/>
        </w:numPr>
        <w:spacing w:after="5" w:line="250" w:lineRule="auto"/>
        <w:ind w:right="350" w:hanging="10"/>
        <w:jc w:val="both"/>
        <w:rPr>
          <w:rFonts w:ascii="Verdana" w:hAnsi="Verdana"/>
        </w:rPr>
      </w:pPr>
      <w:r w:rsidRPr="005B5CB6">
        <w:rPr>
          <w:rFonts w:ascii="Verdana" w:eastAsia="Verdana" w:hAnsi="Verdana" w:cs="Verdana"/>
          <w:b/>
        </w:rPr>
        <w:t>Percentage of population that live in a local authority using Bang the Table’s digital platform EHQ.</w:t>
      </w:r>
      <w:r w:rsidRPr="005B5CB6">
        <w:rPr>
          <w:rFonts w:ascii="Verdana" w:eastAsia="Verdana" w:hAnsi="Verdana" w:cs="Verdana"/>
        </w:rPr>
        <w:t xml:space="preserve"> </w:t>
      </w:r>
    </w:p>
    <w:p w:rsidR="00FB0B24" w:rsidRPr="005B5CB6" w:rsidP="003255A4">
      <w:pPr>
        <w:spacing w:after="0"/>
        <w:jc w:val="both"/>
        <w:rPr>
          <w:rFonts w:ascii="Verdana" w:hAnsi="Verdana"/>
        </w:rPr>
      </w:pPr>
      <w:r w:rsidRPr="005B5CB6">
        <w:rPr>
          <w:rFonts w:ascii="Verdana" w:eastAsia="Verdana" w:hAnsi="Verdana" w:cs="Verdana"/>
          <w:b/>
        </w:rPr>
        <w:t xml:space="preserve"> </w:t>
      </w:r>
    </w:p>
    <w:p w:rsidR="00FB0B24" w:rsidRPr="005B5CB6" w:rsidP="003255A4">
      <w:pPr>
        <w:spacing w:after="46" w:line="234" w:lineRule="auto"/>
        <w:jc w:val="both"/>
        <w:rPr>
          <w:rFonts w:ascii="Verdana" w:hAnsi="Verdana"/>
        </w:rPr>
      </w:pPr>
      <w:r w:rsidRPr="005B5CB6">
        <w:rPr>
          <w:rFonts w:ascii="Verdana" w:hAnsi="Verdana"/>
          <w:noProof/>
        </w:rPr>
        <w:drawing>
          <wp:inline distT="0" distB="0" distL="0" distR="0">
            <wp:extent cx="5943600" cy="1460500"/>
            <wp:effectExtent l="0" t="0" r="0" b="0"/>
            <wp:docPr id="13121" name="Picture 13121"/>
            <wp:cNvGraphicFramePr/>
            <a:graphic xmlns:a="http://schemas.openxmlformats.org/drawingml/2006/main">
              <a:graphicData uri="http://schemas.openxmlformats.org/drawingml/2006/picture">
                <pic:pic xmlns:pic="http://schemas.openxmlformats.org/drawingml/2006/picture">
                  <pic:nvPicPr>
                    <pic:cNvPr id="13121" name="Picture 13121"/>
                    <pic:cNvPicPr/>
                  </pic:nvPicPr>
                  <pic:blipFill>
                    <a:blip xmlns:r="http://schemas.openxmlformats.org/officeDocument/2006/relationships" r:embed="rId122"/>
                    <a:stretch>
                      <a:fillRect/>
                    </a:stretch>
                  </pic:blipFill>
                  <pic:spPr>
                    <a:xfrm>
                      <a:off x="0" y="0"/>
                      <a:ext cx="5943600" cy="1460500"/>
                    </a:xfrm>
                    <a:prstGeom prst="rect">
                      <a:avLst/>
                    </a:prstGeom>
                  </pic:spPr>
                </pic:pic>
              </a:graphicData>
            </a:graphic>
          </wp:inline>
        </w:drawing>
      </w:r>
      <w:r w:rsidRPr="005B5CB6">
        <w:rPr>
          <w:rFonts w:ascii="Verdana" w:eastAsia="Verdana" w:hAnsi="Verdana" w:cs="Verdana"/>
        </w:rPr>
        <w:t xml:space="preserve">  </w:t>
      </w:r>
    </w:p>
    <w:p w:rsidR="00FB0B24" w:rsidRPr="005B5CB6" w:rsidP="003255A4">
      <w:pPr>
        <w:numPr>
          <w:ilvl w:val="2"/>
          <w:numId w:val="76"/>
        </w:numPr>
        <w:spacing w:after="0" w:line="275" w:lineRule="auto"/>
        <w:ind w:right="350" w:hanging="10"/>
        <w:jc w:val="both"/>
        <w:rPr>
          <w:rFonts w:ascii="Verdana" w:hAnsi="Verdana"/>
        </w:rPr>
      </w:pPr>
      <w:r w:rsidRPr="005B5CB6">
        <w:rPr>
          <w:rFonts w:ascii="Verdana" w:eastAsia="Verdana" w:hAnsi="Verdana" w:cs="Verdana"/>
          <w:color w:val="3C4043"/>
        </w:rPr>
        <w:t xml:space="preserve">Indeed, with over 230,000 globally registered sites utilising our digital engagement platform, this demonstrates that, provided the opportunity with engagement tools </w:t>
      </w:r>
      <w:r w:rsidRPr="005B5CB6">
        <w:rPr>
          <w:rFonts w:ascii="Verdana" w:eastAsia="Verdana" w:hAnsi="Verdana" w:cs="Verdana"/>
        </w:rPr>
        <w:t xml:space="preserve">creating safe places for public dialogue, </w:t>
      </w:r>
      <w:r w:rsidRPr="005B5CB6">
        <w:rPr>
          <w:rFonts w:ascii="Verdana" w:eastAsia="Verdana" w:hAnsi="Verdana" w:cs="Verdana"/>
          <w:color w:val="3C4043"/>
        </w:rPr>
        <w:t xml:space="preserve">people what to get involved - online - in a meaningful way. (To elucidate, Australia currently has 122,306 registered participants and ten thousand monthly active users and our newest territory, the UK, starting in Autumn 2018 now has 4,538 registered participants, indicating over time, it also should achieve this level.)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2"/>
          <w:numId w:val="76"/>
        </w:numPr>
        <w:spacing w:after="0" w:line="275" w:lineRule="auto"/>
        <w:ind w:right="350" w:hanging="10"/>
        <w:jc w:val="both"/>
        <w:rPr>
          <w:rFonts w:ascii="Verdana" w:hAnsi="Verdana"/>
        </w:rPr>
      </w:pPr>
      <w:r w:rsidRPr="005B5CB6">
        <w:rPr>
          <w:rFonts w:ascii="Verdana" w:eastAsia="Verdana" w:hAnsi="Verdana" w:cs="Verdana"/>
        </w:rPr>
        <w:t xml:space="preserve">One final observation we would like to make is that the Committee’s process for receiving this evidence is also </w:t>
      </w:r>
      <w:r w:rsidRPr="005B5CB6">
        <w:rPr>
          <w:rFonts w:ascii="Verdana" w:eastAsia="Verdana" w:hAnsi="Verdana" w:cs="Verdana"/>
          <w:color w:val="3C4043"/>
        </w:rPr>
        <w:t>like many government engagement processes - only accessible to those who have the time, motivation and education to participate. This excludes the vast majority of the community who often have an important contribution to make and would do so if the barriers to participation were not so great.</w:t>
      </w:r>
      <w:r w:rsidRPr="005B5CB6">
        <w:rPr>
          <w:rFonts w:ascii="Verdana" w:eastAsia="Verdana" w:hAnsi="Verdana" w:cs="Verdana"/>
        </w:rPr>
        <w:t xml:space="preserve"> Perhaps, some food for thought?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26" w:line="250" w:lineRule="auto"/>
        <w:ind w:left="11" w:hanging="10"/>
        <w:jc w:val="both"/>
        <w:rPr>
          <w:rFonts w:ascii="Verdana" w:hAnsi="Verdana"/>
        </w:rPr>
      </w:pPr>
      <w:r w:rsidRPr="005B5CB6">
        <w:rPr>
          <w:rFonts w:ascii="Verdana" w:eastAsia="Verdana" w:hAnsi="Verdana" w:cs="Verdana"/>
          <w:b/>
        </w:rPr>
        <w:t xml:space="preserve">References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82" w:hanging="8"/>
        <w:jc w:val="both"/>
        <w:rPr>
          <w:rFonts w:ascii="Verdana" w:hAnsi="Verdana"/>
        </w:rPr>
      </w:pPr>
      <w:r w:rsidRPr="005B5CB6">
        <w:rPr>
          <w:rFonts w:ascii="Verdana" w:eastAsia="Verdana" w:hAnsi="Verdana" w:cs="Verdana"/>
        </w:rPr>
        <w:t xml:space="preserve">Curato, Nicole &amp; Dryzek, John &amp; Ercan, Selen &amp; Hendriks, Carolyn &amp; Niemeyer, Simon. (2017). Twelve Key Findings in Deliberative Democracy Research. </w:t>
      </w:r>
      <w:r w:rsidRPr="005B5CB6">
        <w:rPr>
          <w:rFonts w:ascii="Verdana" w:eastAsia="Verdana" w:hAnsi="Verdana" w:cs="Verdana"/>
          <w:i/>
        </w:rPr>
        <w:t>Daedalus</w:t>
      </w:r>
      <w:r w:rsidRPr="005B5CB6">
        <w:rPr>
          <w:rFonts w:ascii="Verdana" w:eastAsia="Verdana" w:hAnsi="Verdana" w:cs="Verdana"/>
        </w:rPr>
        <w:t xml:space="preserve">. 146. 28-38. 10.1162/DAED_a_00444.  </w:t>
      </w:r>
    </w:p>
    <w:p w:rsidR="00FB0B24" w:rsidRPr="005B5CB6" w:rsidP="003255A4">
      <w:pPr>
        <w:spacing w:after="17"/>
        <w:ind w:left="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76" w:hanging="8"/>
        <w:jc w:val="both"/>
        <w:rPr>
          <w:rFonts w:ascii="Verdana" w:hAnsi="Verdana"/>
        </w:rPr>
      </w:pPr>
      <w:r w:rsidRPr="005B5CB6">
        <w:rPr>
          <w:rFonts w:ascii="Verdana" w:eastAsia="Verdana" w:hAnsi="Verdana" w:cs="Verdana"/>
        </w:rPr>
        <w:t xml:space="preserve">Editorial Board. (2019, 11 Aug). Deliberative democracy is just what politics needs. </w:t>
      </w:r>
      <w:r w:rsidRPr="005B5CB6">
        <w:rPr>
          <w:rFonts w:ascii="Verdana" w:eastAsia="Verdana" w:hAnsi="Verdana" w:cs="Verdana"/>
          <w:i/>
        </w:rPr>
        <w:t xml:space="preserve">Financial Times. </w:t>
      </w:r>
      <w:r w:rsidRPr="005B5CB6">
        <w:rPr>
          <w:rFonts w:ascii="Verdana" w:eastAsia="Verdana" w:hAnsi="Verdana" w:cs="Verdana"/>
        </w:rPr>
        <w:t xml:space="preserve">Retrieved from www.ft.com. </w:t>
      </w:r>
    </w:p>
    <w:p w:rsidR="00FB0B24" w:rsidRPr="005B5CB6" w:rsidP="003255A4">
      <w:pPr>
        <w:spacing w:after="17"/>
        <w:ind w:left="1"/>
        <w:jc w:val="both"/>
        <w:rPr>
          <w:rFonts w:ascii="Verdana" w:hAnsi="Verdana"/>
        </w:rPr>
      </w:pPr>
      <w:r w:rsidRPr="005B5CB6">
        <w:rPr>
          <w:rFonts w:ascii="Verdana" w:eastAsia="Verdana" w:hAnsi="Verdana" w:cs="Verdana"/>
        </w:rPr>
        <w:t xml:space="preserve"> </w:t>
      </w:r>
    </w:p>
    <w:p w:rsidR="00FB0B24" w:rsidRPr="005B5CB6" w:rsidP="003255A4">
      <w:pPr>
        <w:spacing w:after="26" w:line="250" w:lineRule="auto"/>
        <w:ind w:left="23" w:right="11" w:hanging="8"/>
        <w:jc w:val="both"/>
        <w:rPr>
          <w:rFonts w:ascii="Verdana" w:hAnsi="Verdana"/>
        </w:rPr>
      </w:pPr>
      <w:r w:rsidRPr="005B5CB6">
        <w:rPr>
          <w:rFonts w:ascii="Verdana" w:eastAsia="Verdana" w:hAnsi="Verdana" w:cs="Verdana"/>
        </w:rPr>
        <w:t xml:space="preserve">Leighninger, Matt &amp; Quixada Moore-Vissing (2018). Rewiring Democracy: </w:t>
      </w:r>
    </w:p>
    <w:p w:rsidR="00FB0B24" w:rsidRPr="005B5CB6" w:rsidP="003255A4">
      <w:pPr>
        <w:spacing w:after="25" w:line="250" w:lineRule="auto"/>
        <w:ind w:left="23" w:right="11" w:hanging="8"/>
        <w:jc w:val="both"/>
        <w:rPr>
          <w:rFonts w:ascii="Verdana" w:hAnsi="Verdana"/>
        </w:rPr>
      </w:pPr>
      <w:r w:rsidRPr="005B5CB6">
        <w:rPr>
          <w:rFonts w:ascii="Verdana" w:eastAsia="Verdana" w:hAnsi="Verdana" w:cs="Verdana"/>
        </w:rPr>
        <w:t xml:space="preserve">Subconscious Technologies, Conscious Engagement, and the Future of Politics. Public Agenda. </w:t>
      </w:r>
      <w:r w:rsidRPr="005B5CB6">
        <w:rPr>
          <w:rFonts w:ascii="Verdana" w:eastAsia="Verdana" w:hAnsi="Verdana" w:cs="Verdana"/>
          <w:color w:val="333333"/>
        </w:rPr>
        <w:t xml:space="preserve"> </w:t>
      </w:r>
    </w:p>
    <w:p w:rsidR="00FB0B24" w:rsidRPr="005B5CB6" w:rsidP="003255A4">
      <w:pPr>
        <w:spacing w:after="17"/>
        <w:ind w:left="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Poole, Stephen. (2019, May 3). Who wins from public debate? Liars, bullies and trolls. </w:t>
      </w:r>
      <w:r w:rsidRPr="005B5CB6">
        <w:rPr>
          <w:rFonts w:ascii="Verdana" w:eastAsia="Verdana" w:hAnsi="Verdana" w:cs="Verdana"/>
          <w:i/>
        </w:rPr>
        <w:t>The Guardian</w:t>
      </w:r>
      <w:r w:rsidRPr="005B5CB6">
        <w:rPr>
          <w:rFonts w:ascii="Verdana" w:eastAsia="Verdana" w:hAnsi="Verdana" w:cs="Verdana"/>
        </w:rPr>
        <w:t xml:space="preserve">. Retrieved from www.theguardian.com.  </w:t>
      </w:r>
    </w:p>
    <w:p w:rsidR="00FB0B24" w:rsidRPr="005B5CB6" w:rsidP="003255A4">
      <w:pPr>
        <w:spacing w:after="17"/>
        <w:ind w:left="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Taylor, Matthew. (2019, Mar 11). Citizen Deliberation is the Gateway to a Better Politics. </w:t>
      </w:r>
      <w:r w:rsidRPr="005B5CB6">
        <w:rPr>
          <w:rFonts w:ascii="Verdana" w:eastAsia="Verdana" w:hAnsi="Verdana" w:cs="Verdana"/>
          <w:i/>
        </w:rPr>
        <w:t xml:space="preserve">The Economist. </w:t>
      </w:r>
      <w:r w:rsidRPr="005B5CB6">
        <w:rPr>
          <w:rFonts w:ascii="Verdana" w:eastAsia="Verdana" w:hAnsi="Verdana" w:cs="Verdana"/>
        </w:rPr>
        <w:t>Retrieved from www.economist.com.</w:t>
      </w:r>
      <w:r w:rsidRPr="005B5CB6">
        <w:rPr>
          <w:rFonts w:ascii="Verdana" w:eastAsia="Verdana" w:hAnsi="Verdana" w:cs="Verdana"/>
          <w:color w:val="3C4043"/>
        </w:rPr>
        <w:t xml:space="preserve"> </w:t>
      </w:r>
    </w:p>
    <w:p w:rsidR="00FB0B24" w:rsidRPr="005B5CB6" w:rsidP="003255A4">
      <w:pPr>
        <w:jc w:val="both"/>
        <w:rPr>
          <w:rFonts w:ascii="Verdana" w:hAnsi="Verdana"/>
        </w:rPr>
        <w:sectPr w:rsidSect="00A047E5">
          <w:headerReference w:type="even" r:id="rId123"/>
          <w:headerReference w:type="default" r:id="rId124"/>
          <w:footerReference w:type="even" r:id="rId125"/>
          <w:footerReference w:type="default" r:id="rId126"/>
          <w:headerReference w:type="first" r:id="rId127"/>
          <w:footerReference w:type="first" r:id="rId128"/>
          <w:pgSz w:w="11906" w:h="16838"/>
          <w:pgMar w:top="1440" w:right="1029" w:bottom="1911" w:left="1440" w:header="720" w:footer="865" w:gutter="0"/>
          <w:cols w:space="720"/>
        </w:sectPr>
      </w:pPr>
    </w:p>
    <w:p w:rsidR="00FB0B24" w:rsidRPr="005B5CB6" w:rsidP="00A1624B">
      <w:pPr>
        <w:pStyle w:val="Heading1"/>
        <w:rPr>
          <w:sz w:val="22"/>
        </w:rPr>
      </w:pPr>
      <w:bookmarkStart w:id="21" w:name="_Toc44517709"/>
      <w:r w:rsidRPr="005B5CB6">
        <w:rPr>
          <w:sz w:val="22"/>
        </w:rPr>
        <w:t>Institute of Practitioners in Advertising (IPA) – written evidence (DAD0026)</w:t>
      </w:r>
      <w:bookmarkEnd w:id="21"/>
      <w:r w:rsidRPr="005B5CB6">
        <w:rPr>
          <w:sz w:val="22"/>
        </w:rPr>
        <w:t xml:space="preserve"> </w:t>
      </w:r>
    </w:p>
    <w:p w:rsidR="00FB0B24" w:rsidRPr="005B5CB6" w:rsidP="003255A4">
      <w:pPr>
        <w:spacing w:after="0"/>
        <w:jc w:val="both"/>
        <w:rPr>
          <w:rFonts w:ascii="Verdana" w:hAnsi="Verdana"/>
        </w:rPr>
      </w:pPr>
      <w:r w:rsidRPr="005B5CB6">
        <w:rPr>
          <w:rFonts w:ascii="Verdana" w:eastAsia="Verdana" w:hAnsi="Verdana" w:cs="Verdana"/>
          <w:b/>
        </w:rPr>
        <w:t xml:space="preserve">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 xml:space="preserve">About the Institute of Practitioners in Advertising (IPA) </w:t>
      </w:r>
    </w:p>
    <w:p w:rsidR="00FB0B24" w:rsidRPr="005B5CB6" w:rsidP="003255A4">
      <w:pPr>
        <w:numPr>
          <w:ilvl w:val="0"/>
          <w:numId w:val="77"/>
        </w:numPr>
        <w:spacing w:after="5" w:line="250" w:lineRule="auto"/>
        <w:ind w:right="11" w:hanging="360"/>
        <w:jc w:val="both"/>
        <w:rPr>
          <w:rFonts w:ascii="Verdana" w:hAnsi="Verdana"/>
        </w:rPr>
      </w:pPr>
      <w:r w:rsidRPr="005B5CB6">
        <w:rPr>
          <w:rFonts w:ascii="Verdana" w:eastAsia="Verdana" w:hAnsi="Verdana" w:cs="Verdana"/>
        </w:rPr>
        <w:t xml:space="preserve">The IPA, incorporated by Royal Charter, is widely recognised as the world’s most influential professional body for practitioners in advertising, media and marketing communications. It has a wellearned reputation for thought leadership, best practice and continuous professional development and also provides core support and advisory services for its corporate members which handle over 80% of the UK’s advertising spend. IPA programmes can be found in more than 87countries worldwide. Its membership primarily comprises advertising and media agencies.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numPr>
          <w:ilvl w:val="0"/>
          <w:numId w:val="77"/>
        </w:numPr>
        <w:spacing w:after="5" w:line="250" w:lineRule="auto"/>
        <w:ind w:right="11" w:hanging="360"/>
        <w:jc w:val="both"/>
        <w:rPr>
          <w:rFonts w:ascii="Verdana" w:hAnsi="Verdana"/>
        </w:rPr>
      </w:pPr>
      <w:r w:rsidRPr="005B5CB6">
        <w:rPr>
          <w:rFonts w:ascii="Verdana" w:eastAsia="Verdana" w:hAnsi="Verdana" w:cs="Verdana"/>
        </w:rPr>
        <w:t>The IPA progresses media policy issues through its Media Futures’ Group which meets every month and which is made up of representatives from the UK’s media agencies. IPA media agencies handle the planning and buying of ~85% of UK display advertising spend.</w:t>
      </w:r>
      <w:r w:rsidRPr="005B5CB6">
        <w:rPr>
          <w:rFonts w:ascii="Verdana" w:eastAsia="Verdana" w:hAnsi="Verdana" w:cs="Verdana"/>
          <w:color w:val="FF0000"/>
        </w:rPr>
        <w:t xml:space="preserve"> </w:t>
      </w:r>
    </w:p>
    <w:p w:rsidR="00FB0B24" w:rsidRPr="005B5CB6" w:rsidP="003255A4">
      <w:pPr>
        <w:spacing w:after="0"/>
        <w:ind w:left="720"/>
        <w:jc w:val="both"/>
        <w:rPr>
          <w:rFonts w:ascii="Verdana" w:hAnsi="Verdana"/>
        </w:rPr>
      </w:pPr>
      <w:r w:rsidRPr="005B5CB6">
        <w:rPr>
          <w:rFonts w:ascii="Verdana" w:eastAsia="Verdana" w:hAnsi="Verdana" w:cs="Verdana"/>
        </w:rPr>
        <w:t xml:space="preserve"> </w:t>
      </w:r>
    </w:p>
    <w:p w:rsidR="00FB0B24" w:rsidRPr="005B5CB6" w:rsidP="003255A4">
      <w:pPr>
        <w:numPr>
          <w:ilvl w:val="0"/>
          <w:numId w:val="77"/>
        </w:numPr>
        <w:spacing w:after="5" w:line="250" w:lineRule="auto"/>
        <w:ind w:right="11" w:hanging="360"/>
        <w:jc w:val="both"/>
        <w:rPr>
          <w:rFonts w:ascii="Verdana" w:hAnsi="Verdana"/>
        </w:rPr>
      </w:pPr>
      <w:r w:rsidRPr="005B5CB6">
        <w:rPr>
          <w:rFonts w:ascii="Verdana" w:eastAsia="Verdana" w:hAnsi="Verdana" w:cs="Verdana"/>
        </w:rPr>
        <w:t xml:space="preserve">The IPA is one of the tripartite stakeholders that make up The Advertising Association which represents advertisers, agencies and media owners. The other stakeholders are the Incorporated Society of British Advertisers and a cluster of media owners.  </w:t>
      </w:r>
    </w:p>
    <w:p w:rsidR="00FB0B24" w:rsidRPr="005B5CB6" w:rsidP="003255A4">
      <w:pPr>
        <w:spacing w:after="156"/>
        <w:ind w:left="72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 xml:space="preserve">Why UK agencies matter </w:t>
      </w:r>
    </w:p>
    <w:p w:rsidR="00FB0B24" w:rsidRPr="005B5CB6" w:rsidP="003255A4">
      <w:pPr>
        <w:numPr>
          <w:ilvl w:val="0"/>
          <w:numId w:val="77"/>
        </w:numPr>
        <w:spacing w:after="5" w:line="250" w:lineRule="auto"/>
        <w:ind w:right="11" w:hanging="360"/>
        <w:jc w:val="both"/>
        <w:rPr>
          <w:rFonts w:ascii="Verdana" w:hAnsi="Verdana"/>
        </w:rPr>
      </w:pPr>
      <w:r w:rsidRPr="005B5CB6">
        <w:rPr>
          <w:rFonts w:ascii="Verdana" w:eastAsia="Verdana" w:hAnsi="Verdana" w:cs="Verdana"/>
        </w:rPr>
        <w:t xml:space="preserve">UK advertising, media and marketing communication agencies sit at the heart of a much larger UK creative industries ecosystem. We employ 35,000 people (27,000 of whom work in IPA member agencies). . Because of the nature of our work we also directly impact other companies’ growth prospects: for example, advertisers (domestic and global) and other creative businesses eg production companies.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numPr>
          <w:ilvl w:val="0"/>
          <w:numId w:val="77"/>
        </w:numPr>
        <w:spacing w:after="5" w:line="250" w:lineRule="auto"/>
        <w:ind w:right="11" w:hanging="360"/>
        <w:jc w:val="both"/>
        <w:rPr>
          <w:rFonts w:ascii="Verdana" w:hAnsi="Verdana"/>
        </w:rPr>
      </w:pPr>
      <w:r w:rsidRPr="005B5CB6">
        <w:rPr>
          <w:rFonts w:ascii="Verdana" w:eastAsia="Verdana" w:hAnsi="Verdana" w:cs="Verdana"/>
        </w:rPr>
        <w:t>The advertising industry is seen as a bellwether for the wider economy – the IPA Bellwether Report in particular is the only indicator that has accurately anticipated both the last downturn and upturn. It is a quarterly survey of client spending intentions. The 2Q 2019 Report (published 17</w:t>
      </w:r>
      <w:r w:rsidRPr="005B5CB6">
        <w:rPr>
          <w:rFonts w:ascii="Verdana" w:eastAsia="Verdana" w:hAnsi="Verdana" w:cs="Verdana"/>
          <w:vertAlign w:val="superscript"/>
        </w:rPr>
        <w:t>th</w:t>
      </w:r>
      <w:r w:rsidRPr="005B5CB6">
        <w:rPr>
          <w:rFonts w:ascii="Verdana" w:eastAsia="Verdana" w:hAnsi="Verdana" w:cs="Verdana"/>
        </w:rPr>
        <w:t xml:space="preserve"> July 2019) reports that spend on internet advertising continues to be the strongest category and has grown consistently since 2000 highlighting the continuing shift to and development within the digital space.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numPr>
          <w:ilvl w:val="0"/>
          <w:numId w:val="77"/>
        </w:numPr>
        <w:spacing w:after="5" w:line="250" w:lineRule="auto"/>
        <w:ind w:right="11" w:hanging="360"/>
        <w:jc w:val="both"/>
        <w:rPr>
          <w:rFonts w:ascii="Verdana" w:hAnsi="Verdana"/>
        </w:rPr>
      </w:pPr>
      <w:r w:rsidRPr="005B5CB6">
        <w:rPr>
          <w:rFonts w:ascii="Verdana" w:eastAsia="Verdana" w:hAnsi="Verdana" w:cs="Verdana"/>
        </w:rPr>
        <w:t xml:space="preserve">The </w:t>
      </w:r>
      <w:r>
        <w:fldChar w:fldCharType="begin"/>
      </w:r>
      <w:r>
        <w:instrText xml:space="preserve"> HYPERLINK "http://expenditurereport.warc.com/media/1112/press-release-aa-warc-expenditure-report-fy-2018-final.pdf" </w:instrText>
      </w:r>
      <w:r>
        <w:fldChar w:fldCharType="separate"/>
      </w:r>
      <w:r w:rsidRPr="005B5CB6">
        <w:rPr>
          <w:rFonts w:ascii="Verdana" w:eastAsia="Verdana" w:hAnsi="Verdana" w:cs="Verdana"/>
          <w:color w:val="0563C1"/>
          <w:u w:val="single" w:color="0563C1"/>
        </w:rPr>
        <w:t>Advertising Association/Warc expenditure 2018 report</w:t>
      </w:r>
      <w:r>
        <w:fldChar w:fldCharType="end"/>
      </w:r>
      <w:r>
        <w:fldChar w:fldCharType="begin"/>
      </w:r>
      <w:r>
        <w:instrText xml:space="preserve"> HYPERLINK "http://expenditurereport.warc.com/media/1112/press-release-aa-warc-expenditure-report-fy-2018-final.pdf"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shows that the internet accounts for more than half of advertising spend (~£12b out of £23.6b) and is forecast to grow nearly 12% in 2019.   </w:t>
      </w:r>
    </w:p>
    <w:p w:rsidR="00FB0B24" w:rsidRPr="005B5CB6" w:rsidP="003255A4">
      <w:pPr>
        <w:spacing w:after="0"/>
        <w:ind w:left="708"/>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 xml:space="preserve">The UK Digital Economy </w:t>
      </w:r>
    </w:p>
    <w:p w:rsidR="00FB0B24" w:rsidRPr="005B5CB6" w:rsidP="003255A4">
      <w:pPr>
        <w:spacing w:after="0"/>
        <w:jc w:val="both"/>
        <w:rPr>
          <w:rFonts w:ascii="Verdana" w:hAnsi="Verdana"/>
        </w:rPr>
      </w:pPr>
      <w:r w:rsidRPr="005B5CB6">
        <w:rPr>
          <w:rFonts w:ascii="Verdana" w:eastAsia="Verdana" w:hAnsi="Verdana" w:cs="Verdana"/>
          <w:b/>
        </w:rPr>
        <w:t xml:space="preserve"> </w:t>
      </w:r>
    </w:p>
    <w:p w:rsidR="00FB0B24" w:rsidRPr="005B5CB6" w:rsidP="003255A4">
      <w:pPr>
        <w:numPr>
          <w:ilvl w:val="0"/>
          <w:numId w:val="77"/>
        </w:numPr>
        <w:spacing w:after="5" w:line="250" w:lineRule="auto"/>
        <w:ind w:right="11" w:hanging="360"/>
        <w:jc w:val="both"/>
        <w:rPr>
          <w:rFonts w:ascii="Verdana" w:hAnsi="Verdana"/>
        </w:rPr>
      </w:pPr>
      <w:r w:rsidRPr="005B5CB6">
        <w:rPr>
          <w:rFonts w:ascii="Verdana" w:eastAsia="Verdana" w:hAnsi="Verdana" w:cs="Verdana"/>
        </w:rPr>
        <w:t xml:space="preserve">The UK has one of the most advanced digital economies in the world. It was ranked as one of the world’s “digital elite” in </w:t>
      </w:r>
      <w:r>
        <w:fldChar w:fldCharType="begin"/>
      </w:r>
      <w:r>
        <w:instrText xml:space="preserve"> HYPERLINK "https://newsroom.mastercard.com/eu/press-releases/uk-leads-europe-as-one-of-worlds-digital-elite-economies/" </w:instrText>
      </w:r>
      <w:r>
        <w:fldChar w:fldCharType="separate"/>
      </w:r>
      <w:r w:rsidRPr="005B5CB6">
        <w:rPr>
          <w:rFonts w:ascii="Verdana" w:eastAsia="Verdana" w:hAnsi="Verdana" w:cs="Verdana"/>
          <w:color w:val="0563C1"/>
          <w:u w:val="single" w:color="0563C1"/>
        </w:rPr>
        <w:t>research published by</w:t>
      </w:r>
      <w:r>
        <w:fldChar w:fldCharType="end"/>
      </w:r>
      <w:r>
        <w:fldChar w:fldCharType="begin"/>
      </w:r>
      <w:r>
        <w:instrText xml:space="preserve"> HYPERLINK "https://newsroom.mastercard.com/eu/press-releases/uk-leads-europe-as-one-of-worlds-digital-elite-economies/" </w:instrText>
      </w:r>
      <w:r>
        <w:fldChar w:fldCharType="separate"/>
      </w:r>
      <w:r w:rsidRPr="005B5CB6">
        <w:rPr>
          <w:rFonts w:ascii="Verdana" w:eastAsia="Verdana" w:hAnsi="Verdana" w:cs="Verdana"/>
          <w:color w:val="0563C1"/>
        </w:rPr>
        <w:t xml:space="preserve"> </w:t>
      </w:r>
      <w:r>
        <w:fldChar w:fldCharType="end"/>
      </w:r>
      <w:r>
        <w:fldChar w:fldCharType="begin"/>
      </w:r>
      <w:r>
        <w:instrText xml:space="preserve"> HYPERLINK "https://newsroom.mastercard.com/eu/press-releases/uk-leads-europe-as-one-of-worlds-digital-elite-economies/" </w:instrText>
      </w:r>
      <w:r>
        <w:fldChar w:fldCharType="separate"/>
      </w:r>
      <w:r w:rsidRPr="005B5CB6">
        <w:rPr>
          <w:rFonts w:ascii="Verdana" w:eastAsia="Verdana" w:hAnsi="Verdana" w:cs="Verdana"/>
          <w:color w:val="0563C1"/>
          <w:u w:val="single" w:color="0563C1"/>
        </w:rPr>
        <w:t>Mastercard and The Fletcher School at Tufts Universit</w:t>
      </w:r>
      <w:r>
        <w:fldChar w:fldCharType="end"/>
      </w:r>
      <w:r>
        <w:fldChar w:fldCharType="begin"/>
      </w:r>
      <w:r>
        <w:instrText xml:space="preserve"> HYPERLINK "https://newsroom.mastercard.com/eu/press-releases/uk-leads-europe-as-one-of-worlds-digital-elite-economies/" </w:instrText>
      </w:r>
      <w:r>
        <w:fldChar w:fldCharType="separate"/>
      </w:r>
      <w:r w:rsidRPr="005B5CB6">
        <w:rPr>
          <w:rFonts w:ascii="Verdana" w:eastAsia="Verdana" w:hAnsi="Verdana" w:cs="Verdana"/>
        </w:rPr>
        <w:t>y</w:t>
      </w:r>
      <w:r>
        <w:fldChar w:fldCharType="end"/>
      </w:r>
      <w:r w:rsidRPr="005B5CB6">
        <w:rPr>
          <w:rFonts w:ascii="Verdana" w:eastAsia="Verdana" w:hAnsi="Verdana" w:cs="Verdana"/>
        </w:rPr>
        <w:t xml:space="preserve">. The UK is identified as one of the so-called “Stand Out” economies, characterised by high levels of digital development and a fast rate of digital evolution.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numPr>
          <w:ilvl w:val="0"/>
          <w:numId w:val="77"/>
        </w:numPr>
        <w:spacing w:after="5" w:line="250" w:lineRule="auto"/>
        <w:ind w:right="11" w:hanging="360"/>
        <w:jc w:val="both"/>
        <w:rPr>
          <w:rFonts w:ascii="Verdana" w:hAnsi="Verdana"/>
        </w:rPr>
      </w:pPr>
      <w:r w:rsidRPr="005B5CB6">
        <w:rPr>
          <w:rFonts w:ascii="Verdana" w:eastAsia="Verdana" w:hAnsi="Verdana" w:cs="Verdana"/>
        </w:rPr>
        <w:t xml:space="preserve">The UK is a global leader in e-commerce and has arguably the most advanced digital media market of any major national economy. UK digital adspend is </w:t>
      </w:r>
      <w:r>
        <w:fldChar w:fldCharType="begin"/>
      </w:r>
      <w:r>
        <w:instrText xml:space="preserve"> HYPERLINK "https://www.statista.com/statistics/260684/europe-online-ad-spend/" </w:instrText>
      </w:r>
      <w:r>
        <w:fldChar w:fldCharType="separate"/>
      </w:r>
      <w:r w:rsidRPr="005B5CB6">
        <w:rPr>
          <w:rFonts w:ascii="Verdana" w:eastAsia="Verdana" w:hAnsi="Verdana" w:cs="Verdana"/>
          <w:color w:val="0563C1"/>
          <w:u w:val="single" w:color="0563C1"/>
        </w:rPr>
        <w:t>greater than Germany, France and Italy combined</w:t>
      </w:r>
      <w:r>
        <w:fldChar w:fldCharType="end"/>
      </w:r>
      <w:r>
        <w:fldChar w:fldCharType="begin"/>
      </w:r>
      <w:r>
        <w:instrText xml:space="preserve"> HYPERLINK "https://www.statista.com/statistics/260684/europe-online-ad-spend/"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numPr>
          <w:ilvl w:val="0"/>
          <w:numId w:val="77"/>
        </w:numPr>
        <w:spacing w:after="5" w:line="250" w:lineRule="auto"/>
        <w:ind w:right="11" w:hanging="360"/>
        <w:jc w:val="both"/>
        <w:rPr>
          <w:rFonts w:ascii="Verdana" w:hAnsi="Verdana"/>
        </w:rPr>
      </w:pPr>
      <w:r w:rsidRPr="005B5CB6">
        <w:rPr>
          <w:rFonts w:ascii="Verdana" w:eastAsia="Verdana" w:hAnsi="Verdana" w:cs="Verdana"/>
        </w:rPr>
        <w:t xml:space="preserve">We note the Government’s commitment that “the UK should lead the world in innovation-friendly regulation” and to “create the foundations for the UK digital economy to thrive”. </w:t>
      </w:r>
    </w:p>
    <w:p w:rsidR="00FB0B24" w:rsidRPr="005B5CB6" w:rsidP="003255A4">
      <w:pPr>
        <w:spacing w:after="0"/>
        <w:ind w:left="72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068" w:right="11" w:hanging="360"/>
        <w:jc w:val="both"/>
        <w:rPr>
          <w:rFonts w:ascii="Verdana" w:hAnsi="Verdana"/>
        </w:rPr>
      </w:pPr>
      <w:r w:rsidRPr="005B5CB6">
        <w:rPr>
          <w:rFonts w:ascii="Verdana" w:eastAsia="Verdana" w:hAnsi="Verdana" w:cs="Verdana"/>
        </w:rPr>
        <w:t xml:space="preserve">10.A distinction needs to be drawn between the UK Digital Economy and the impact on UK democracy of digital technologies. </w:t>
      </w:r>
    </w:p>
    <w:p w:rsidR="00FB0B24" w:rsidRPr="005B5CB6" w:rsidP="003255A4">
      <w:pPr>
        <w:spacing w:after="0"/>
        <w:jc w:val="both"/>
        <w:rPr>
          <w:rFonts w:ascii="Verdana" w:hAnsi="Verdana"/>
        </w:rPr>
      </w:pPr>
      <w:r w:rsidRPr="005B5CB6">
        <w:rPr>
          <w:rFonts w:ascii="Verdana" w:eastAsia="Verdana" w:hAnsi="Verdana" w:cs="Verdana"/>
          <w:b/>
        </w:rPr>
        <w:t xml:space="preserve"> </w:t>
      </w:r>
    </w:p>
    <w:p w:rsidR="00FB0B24" w:rsidRPr="005B5CB6" w:rsidP="003255A4">
      <w:pPr>
        <w:spacing w:after="0"/>
        <w:jc w:val="both"/>
        <w:rPr>
          <w:rFonts w:ascii="Verdana" w:hAnsi="Verdana"/>
        </w:rPr>
      </w:pPr>
      <w:r w:rsidRPr="005B5CB6">
        <w:rPr>
          <w:rFonts w:ascii="Verdana" w:eastAsia="Verdana" w:hAnsi="Verdana" w:cs="Verdana"/>
          <w:b/>
        </w:rPr>
        <w:t xml:space="preserve">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The IPA submission</w:t>
      </w:r>
      <w:r w:rsidRPr="005B5CB6">
        <w:rPr>
          <w:rFonts w:ascii="Verdana" w:eastAsia="Verdana" w:hAnsi="Verdana" w:cs="Verdana"/>
        </w:rPr>
        <w:t xml:space="preserve">: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068" w:right="11" w:hanging="360"/>
        <w:jc w:val="both"/>
        <w:rPr>
          <w:rFonts w:ascii="Verdana" w:hAnsi="Verdana"/>
        </w:rPr>
      </w:pPr>
      <w:r w:rsidRPr="005B5CB6">
        <w:rPr>
          <w:rFonts w:ascii="Verdana" w:eastAsia="Verdana" w:hAnsi="Verdana" w:cs="Verdana"/>
        </w:rPr>
        <w:t xml:space="preserve">11.The IPA believes that the internet has proved itself to be a powerfully influential and potent business and personal tool. As with all things, with great power comes great responsibility. The pace of its growth has meant its influence and effects on society are still not fully-known. It is also apparent that in the last ten years, with the rise of social media particularly, it is a complex and ever-evolving channel that needs to be understood and moderated as appropriate.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068" w:right="11" w:hanging="360"/>
        <w:jc w:val="both"/>
        <w:rPr>
          <w:rFonts w:ascii="Verdana" w:hAnsi="Verdana"/>
        </w:rPr>
      </w:pPr>
      <w:r w:rsidRPr="005B5CB6">
        <w:rPr>
          <w:rFonts w:ascii="Verdana" w:eastAsia="Verdana" w:hAnsi="Verdana" w:cs="Verdana"/>
        </w:rPr>
        <w:t xml:space="preserve">12.Use and abuse of the internet, and especially social media, are having a profound effect on political systems around the world, including western liberal democracies like the UK.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068" w:right="11" w:hanging="360"/>
        <w:jc w:val="both"/>
        <w:rPr>
          <w:rFonts w:ascii="Verdana" w:hAnsi="Verdana"/>
        </w:rPr>
      </w:pPr>
      <w:r w:rsidRPr="005B5CB6">
        <w:rPr>
          <w:rFonts w:ascii="Verdana" w:eastAsia="Verdana" w:hAnsi="Verdana" w:cs="Verdana"/>
        </w:rPr>
        <w:t xml:space="preserve">13.We feel compelled by our recent submissions to the DCMS Select Committee, Cabinet Office and Centre for Digital Ethics and Innovation consultations, to respond again on the subject of online political advertising </w:t>
      </w:r>
    </w:p>
    <w:p w:rsidR="00FB0B24" w:rsidRPr="005B5CB6" w:rsidP="003255A4">
      <w:pPr>
        <w:spacing w:after="0"/>
        <w:ind w:left="72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068" w:right="11" w:hanging="360"/>
        <w:jc w:val="both"/>
        <w:rPr>
          <w:rFonts w:ascii="Verdana" w:hAnsi="Verdana"/>
        </w:rPr>
      </w:pPr>
      <w:r w:rsidRPr="005B5CB6">
        <w:rPr>
          <w:rFonts w:ascii="Verdana" w:eastAsia="Verdana" w:hAnsi="Verdana" w:cs="Verdana"/>
        </w:rPr>
        <w:t xml:space="preserve">14.Online political advertising, underpinned by online targeting, presents a unique and profound challenge. </w:t>
      </w:r>
    </w:p>
    <w:p w:rsidR="00FB0B24" w:rsidRPr="005B5CB6" w:rsidP="003255A4">
      <w:pPr>
        <w:spacing w:after="0"/>
        <w:ind w:left="1068"/>
        <w:jc w:val="both"/>
        <w:rPr>
          <w:rFonts w:ascii="Verdana" w:hAnsi="Verdana"/>
        </w:rPr>
      </w:pPr>
      <w:r w:rsidRPr="005B5CB6">
        <w:rPr>
          <w:rFonts w:ascii="Verdana" w:eastAsia="Verdana" w:hAnsi="Verdana" w:cs="Verdana"/>
          <w:b/>
        </w:rPr>
        <w:t xml:space="preserve"> </w:t>
      </w:r>
    </w:p>
    <w:p w:rsidR="00FB0B24" w:rsidRPr="005B5CB6" w:rsidP="003255A4">
      <w:pPr>
        <w:spacing w:after="0"/>
        <w:ind w:left="1068"/>
        <w:jc w:val="both"/>
        <w:rPr>
          <w:rFonts w:ascii="Verdana" w:hAnsi="Verdana"/>
        </w:rPr>
      </w:pPr>
      <w:r w:rsidRPr="005B5CB6">
        <w:rPr>
          <w:rFonts w:ascii="Verdana" w:eastAsia="Verdana" w:hAnsi="Verdana" w:cs="Verdana"/>
          <w:color w:val="FF0000"/>
        </w:rPr>
        <w:t xml:space="preserve">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1" w:hanging="10"/>
        <w:jc w:val="both"/>
        <w:rPr>
          <w:rFonts w:ascii="Verdana" w:hAnsi="Verdana"/>
        </w:rPr>
      </w:pPr>
      <w:r w:rsidRPr="005B5CB6">
        <w:rPr>
          <w:rFonts w:ascii="Verdana" w:eastAsia="Verdana" w:hAnsi="Verdana" w:cs="Verdana"/>
          <w:b/>
        </w:rPr>
        <w:t xml:space="preserve">Specific Questions and Answers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hanging="10"/>
        <w:jc w:val="both"/>
        <w:rPr>
          <w:rFonts w:ascii="Verdana" w:hAnsi="Verdana"/>
        </w:rPr>
      </w:pPr>
      <w:r w:rsidRPr="005B5CB6">
        <w:rPr>
          <w:rFonts w:ascii="Verdana" w:eastAsia="Verdana" w:hAnsi="Verdana" w:cs="Verdana"/>
          <w:i/>
        </w:rPr>
        <w:t xml:space="preserve">Online campaigning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hanging="10"/>
        <w:jc w:val="both"/>
        <w:rPr>
          <w:rFonts w:ascii="Verdana" w:hAnsi="Verdana"/>
        </w:rPr>
      </w:pPr>
      <w:r w:rsidRPr="005B5CB6">
        <w:rPr>
          <w:rFonts w:ascii="Verdana" w:eastAsia="Verdana" w:hAnsi="Verdana" w:cs="Verdana"/>
          <w:i/>
        </w:rPr>
        <w:t xml:space="preserve">4. Would greater transparency in the online spending and campaigning of political groups improve the electoral process in the UK by ensuring accountability, and if so what should this transparency look like?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728" w:right="11" w:hanging="8"/>
        <w:jc w:val="both"/>
        <w:rPr>
          <w:rFonts w:ascii="Verdana" w:hAnsi="Verdana"/>
        </w:rPr>
      </w:pPr>
      <w:r w:rsidRPr="005B5CB6">
        <w:rPr>
          <w:rFonts w:ascii="Verdana" w:eastAsia="Verdana" w:hAnsi="Verdana" w:cs="Verdana"/>
        </w:rPr>
        <w:t xml:space="preserve">Yes. Transparency in online campaigning is especially important because this opaque and unaccountable form of political communication is vulnerable to abuse. There is no oversight or regulation of political advertising messaging.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728" w:right="11" w:hanging="8"/>
        <w:jc w:val="both"/>
        <w:rPr>
          <w:rFonts w:ascii="Verdana" w:hAnsi="Verdana"/>
        </w:rPr>
      </w:pPr>
      <w:r w:rsidRPr="005B5CB6">
        <w:rPr>
          <w:rFonts w:ascii="Verdana" w:eastAsia="Verdana" w:hAnsi="Verdana" w:cs="Verdana"/>
        </w:rPr>
        <w:t xml:space="preserve">Individual online platforms have made some progress in providing platform-specific political advertising archives. However, it is insufficient, unwieldy and prone to obsolescence to rely on these disconnected unilateral archives.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728" w:right="11" w:hanging="8"/>
        <w:jc w:val="both"/>
        <w:rPr>
          <w:rFonts w:ascii="Verdana" w:hAnsi="Verdana"/>
        </w:rPr>
      </w:pPr>
      <w:r w:rsidRPr="005B5CB6">
        <w:rPr>
          <w:rFonts w:ascii="Verdana" w:eastAsia="Verdana" w:hAnsi="Verdana" w:cs="Verdana"/>
        </w:rPr>
        <w:t xml:space="preserve">The IPA calls for each online platform to be responsible for populating an independent platform-neutral register by providing all their political ad campaign data and metadata as feeds. Furthermore, echoing Full Fact, the UK’s Independent fact checking Charity, the IPA calls for the register to be in real time, machine-readable, and with full details of content, targeting and spend.  </w:t>
      </w:r>
    </w:p>
    <w:p w:rsidR="00FB0B24" w:rsidRPr="005B5CB6" w:rsidP="003255A4">
      <w:pPr>
        <w:spacing w:after="0"/>
        <w:ind w:left="2249"/>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728" w:right="11" w:hanging="8"/>
        <w:jc w:val="both"/>
        <w:rPr>
          <w:rFonts w:ascii="Verdana" w:hAnsi="Verdana"/>
        </w:rPr>
      </w:pPr>
      <w:r w:rsidRPr="005B5CB6">
        <w:rPr>
          <w:rFonts w:ascii="Verdana" w:eastAsia="Verdana" w:hAnsi="Verdana" w:cs="Verdana"/>
        </w:rPr>
        <w:t xml:space="preserve">To fund this registering, the IPA moots the idea of online platforms charging a fixed fee for each individual political ad creative used, irrespective of the scale of use. This would correlate registry funding to the workload of political messaging it would have to handle.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728" w:right="11" w:hanging="8"/>
        <w:jc w:val="both"/>
        <w:rPr>
          <w:rFonts w:ascii="Verdana" w:hAnsi="Verdana"/>
        </w:rPr>
      </w:pPr>
      <w:r w:rsidRPr="005B5CB6">
        <w:rPr>
          <w:rFonts w:ascii="Verdana" w:eastAsia="Verdana" w:hAnsi="Verdana" w:cs="Verdana"/>
        </w:rPr>
        <w:t xml:space="preserve">We support the Electoral Commission’s call for digital political advertising imprints to clearly show who paid for the adverts.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hanging="10"/>
        <w:jc w:val="both"/>
        <w:rPr>
          <w:rFonts w:ascii="Verdana" w:hAnsi="Verdana"/>
        </w:rPr>
      </w:pPr>
      <w:r w:rsidRPr="005B5CB6">
        <w:rPr>
          <w:rFonts w:ascii="Verdana" w:eastAsia="Verdana" w:hAnsi="Verdana" w:cs="Verdana"/>
          <w:i/>
        </w:rPr>
        <w:t xml:space="preserve">5. What effect does online targeted advertising have on the political process, and what effects could it have in the future? Should there be additional regulation of political advertising?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728" w:right="11" w:hanging="8"/>
        <w:jc w:val="both"/>
        <w:rPr>
          <w:rFonts w:ascii="Verdana" w:hAnsi="Verdana"/>
        </w:rPr>
      </w:pPr>
      <w:r w:rsidRPr="005B5CB6">
        <w:rPr>
          <w:rFonts w:ascii="Verdana" w:eastAsia="Verdana" w:hAnsi="Verdana" w:cs="Verdana"/>
        </w:rPr>
        <w:t xml:space="preserve">Politics relies on the public sphere - on open, collective debate.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729" w:right="11" w:hanging="8"/>
        <w:jc w:val="both"/>
        <w:rPr>
          <w:rFonts w:ascii="Verdana" w:hAnsi="Verdana"/>
        </w:rPr>
      </w:pPr>
      <w:r w:rsidRPr="005B5CB6">
        <w:rPr>
          <w:rFonts w:ascii="Verdana" w:eastAsia="Verdana" w:hAnsi="Verdana" w:cs="Verdana"/>
        </w:rPr>
        <w:t xml:space="preserve">We believe micro-targeted political ads circumvent this. Very small numbers of voters can be targeted with specific messages that exist online only briefly. In the absence of regulation, we believe this opaque and unaccountable form of political communication is vulnerable to abuse.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729" w:right="11" w:hanging="8"/>
        <w:jc w:val="both"/>
        <w:rPr>
          <w:rFonts w:ascii="Verdana" w:hAnsi="Verdana"/>
        </w:rPr>
      </w:pPr>
      <w:r w:rsidRPr="005B5CB6">
        <w:rPr>
          <w:rFonts w:ascii="Verdana" w:eastAsia="Verdana" w:hAnsi="Verdana" w:cs="Verdana"/>
        </w:rPr>
        <w:t xml:space="preserve">We support additional regulation of political advertising but remain unconvinced this will take place with sufficient urgency, if at all. </w:t>
      </w:r>
    </w:p>
    <w:p w:rsidR="00FB0B24" w:rsidRPr="005B5CB6" w:rsidP="003255A4">
      <w:pPr>
        <w:spacing w:after="0"/>
        <w:ind w:left="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729" w:right="11" w:hanging="8"/>
        <w:jc w:val="both"/>
        <w:rPr>
          <w:rFonts w:ascii="Verdana" w:hAnsi="Verdana"/>
        </w:rPr>
      </w:pPr>
      <w:r w:rsidRPr="005B5CB6">
        <w:rPr>
          <w:rFonts w:ascii="Verdana" w:eastAsia="Verdana" w:hAnsi="Verdana" w:cs="Verdana"/>
        </w:rPr>
        <w:t xml:space="preserve">In the interim we call for a ban on micro-targeted political advertising online. As per our submission to the Centre for Data Ethics and Innovation (CDEI)’s Review of Online Targeting:  </w:t>
      </w:r>
    </w:p>
    <w:p w:rsidR="00FB0B24" w:rsidRPr="005B5CB6" w:rsidP="003255A4">
      <w:pPr>
        <w:spacing w:after="0"/>
        <w:ind w:left="721"/>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076" w:right="11" w:hanging="8"/>
        <w:jc w:val="both"/>
        <w:rPr>
          <w:rFonts w:ascii="Verdana" w:hAnsi="Verdana"/>
        </w:rPr>
      </w:pPr>
      <w:r w:rsidRPr="005B5CB6">
        <w:rPr>
          <w:rFonts w:ascii="Verdana" w:eastAsia="Verdana" w:hAnsi="Verdana" w:cs="Verdana"/>
        </w:rPr>
        <w:t xml:space="preserve">In his paper </w:t>
      </w:r>
      <w:r>
        <w:fldChar w:fldCharType="begin"/>
      </w:r>
      <w:r>
        <w:instrText xml:space="preserve"> HYPERLINK "https://www.researchgate.net/publication/293193323_Manipulating_Citizens_How_Political_Campaigns'_Use_of_Behavioral_Social_Science_Harms_Democracy" </w:instrText>
      </w:r>
      <w:r>
        <w:fldChar w:fldCharType="separate"/>
      </w:r>
      <w:r w:rsidRPr="005B5CB6">
        <w:rPr>
          <w:rFonts w:ascii="Verdana" w:eastAsia="Verdana" w:hAnsi="Verdana" w:cs="Verdana"/>
          <w:color w:val="0563C1"/>
          <w:u w:val="single" w:color="0563C1"/>
        </w:rPr>
        <w:t>Manipulating Citizens: How Political Campaigns’ Use of</w:t>
      </w:r>
      <w:r>
        <w:fldChar w:fldCharType="end"/>
      </w:r>
      <w:r>
        <w:fldChar w:fldCharType="begin"/>
      </w:r>
      <w:r>
        <w:instrText xml:space="preserve"> HYPERLINK "https://www.researchgate.net/publication/293193323_Manipulating_Citizens_How_Political_Campaigns'_Use_of_Behavioral_Social_Science_Harms_Democracy" </w:instrText>
      </w:r>
      <w:r>
        <w:fldChar w:fldCharType="separate"/>
      </w:r>
      <w:r w:rsidRPr="005B5CB6">
        <w:rPr>
          <w:rFonts w:ascii="Verdana" w:eastAsia="Verdana" w:hAnsi="Verdana" w:cs="Verdana"/>
          <w:color w:val="0563C1"/>
        </w:rPr>
        <w:t xml:space="preserve"> </w:t>
      </w:r>
      <w:r>
        <w:fldChar w:fldCharType="end"/>
      </w:r>
      <w:r>
        <w:fldChar w:fldCharType="begin"/>
      </w:r>
      <w:r>
        <w:instrText xml:space="preserve"> HYPERLINK "https://www.researchgate.net/publication/293193323_Manipulating_Citizens_How_Political_Campaigns'_Use_of_Behavioral_Social_Science_Harms_Democracy" </w:instrText>
      </w:r>
      <w:r>
        <w:fldChar w:fldCharType="separate"/>
      </w:r>
      <w:r w:rsidRPr="005B5CB6">
        <w:rPr>
          <w:rFonts w:ascii="Verdana" w:eastAsia="Verdana" w:hAnsi="Verdana" w:cs="Verdana"/>
          <w:color w:val="0563C1"/>
          <w:u w:val="single" w:color="0563C1"/>
        </w:rPr>
        <w:t>Behavioral Social Science Harms Democracy</w:t>
      </w:r>
      <w:r>
        <w:fldChar w:fldCharType="end"/>
      </w:r>
      <w:r>
        <w:fldChar w:fldCharType="begin"/>
      </w:r>
      <w:r>
        <w:instrText xml:space="preserve"> HYPERLINK "https://www.researchgate.net/publication/293193323_Manipulating_Citizens_How_Political_Campaigns'_Use_of_Behavioral_Social_Science_Harms_Democracy"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Professor William Gorton </w:t>
      </w:r>
      <w:r w:rsidRPr="005B5CB6">
        <w:rPr>
          <w:rFonts w:ascii="Verdana" w:eastAsia="Verdana" w:hAnsi="Verdana" w:cs="Verdana"/>
        </w:rPr>
        <w:t xml:space="preserve">warns that microtargeting ‘turns citizens into objects of manipulation and undermines the public sphere by thwarting public deliberation, aggravating political polarisation, and facilitating the spread of misinformation’.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78" w:hanging="10"/>
        <w:jc w:val="both"/>
        <w:rPr>
          <w:rFonts w:ascii="Verdana" w:hAnsi="Verdana"/>
        </w:rPr>
      </w:pPr>
      <w:r w:rsidRPr="005B5CB6">
        <w:rPr>
          <w:rFonts w:ascii="Verdana" w:eastAsia="Verdana" w:hAnsi="Verdana" w:cs="Verdana"/>
        </w:rPr>
        <w:t xml:space="preserve">In </w:t>
      </w:r>
      <w:r>
        <w:fldChar w:fldCharType="begin"/>
      </w:r>
      <w:r>
        <w:instrText xml:space="preserve"> HYPERLINK "https://www.ivir.nl/publicaties/download/UtrechtLawReview.pdf" </w:instrText>
      </w:r>
      <w:r>
        <w:fldChar w:fldCharType="separate"/>
      </w:r>
      <w:r w:rsidRPr="005B5CB6">
        <w:rPr>
          <w:rFonts w:ascii="Verdana" w:eastAsia="Verdana" w:hAnsi="Verdana" w:cs="Verdana"/>
          <w:color w:val="0563C1"/>
          <w:u w:val="single" w:color="0563C1"/>
        </w:rPr>
        <w:t>Online Political Microtargeting: Promises and Threats for Democracy</w:t>
      </w:r>
      <w:r>
        <w:fldChar w:fldCharType="end"/>
      </w:r>
      <w:r>
        <w:fldChar w:fldCharType="begin"/>
      </w:r>
      <w:r>
        <w:instrText xml:space="preserve"> HYPERLINK "https://www.ivir.nl/publicaties/download/UtrechtLawReview.pdf"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the authors note: </w:t>
      </w:r>
    </w:p>
    <w:p w:rsidR="00FB0B24" w:rsidRPr="005B5CB6" w:rsidP="003255A4">
      <w:pPr>
        <w:spacing w:after="5" w:line="250" w:lineRule="auto"/>
        <w:ind w:left="1448" w:right="11" w:hanging="8"/>
        <w:jc w:val="both"/>
        <w:rPr>
          <w:rFonts w:ascii="Verdana" w:hAnsi="Verdana"/>
        </w:rPr>
      </w:pPr>
      <w:r w:rsidRPr="005B5CB6">
        <w:rPr>
          <w:rFonts w:ascii="Verdana" w:eastAsia="Verdana" w:hAnsi="Verdana" w:cs="Verdana"/>
        </w:rPr>
        <w:t xml:space="preserve">“Politicians could use microtargeting to manipulate voters. For instance, a party could target particular voters with tailored information that maximises, or minimises, voter engagement. A party could use social media to expose xenophobic voters to information about the high crime rates amongst immigrants. The targeted information does not even need to be true to maximise its impact.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448" w:right="11" w:hanging="8"/>
        <w:jc w:val="both"/>
        <w:rPr>
          <w:rFonts w:ascii="Verdana" w:hAnsi="Verdana"/>
        </w:rPr>
      </w:pPr>
      <w:r w:rsidRPr="005B5CB6">
        <w:rPr>
          <w:rFonts w:ascii="Verdana" w:eastAsia="Verdana" w:hAnsi="Verdana" w:cs="Verdana"/>
        </w:rPr>
        <w:t xml:space="preserve">Political parties could also use microtargeting to suppress voter turnout for their opponents. For example, in 2016, the Donald Trump campaign reportedly targeted African-American voters with advertisements reminding voters of Hillary Clinton’s earlier remarks of calling African-American males ‘super predators’ to suppress African-American votes.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448" w:right="11" w:hanging="8"/>
        <w:jc w:val="both"/>
        <w:rPr>
          <w:rFonts w:ascii="Verdana" w:hAnsi="Verdana"/>
        </w:rPr>
      </w:pPr>
      <w:r w:rsidRPr="005B5CB6">
        <w:rPr>
          <w:rFonts w:ascii="Verdana" w:eastAsia="Verdana" w:hAnsi="Verdana" w:cs="Verdana"/>
        </w:rPr>
        <w:t xml:space="preserve">A political party could also misleadingly present itself as a one-issue party to each individual. A party may highlight a different issue for each voter, so each voter sees a different one-issue party. In this way, microtargeting could lead to a biased perception regarding the priorities of that party. Moreover, online political microtargeting could lead to a lack of transparency about the party’s promises. Voters may not even know a party’s views on many topics.” </w:t>
      </w:r>
    </w:p>
    <w:p w:rsidR="00FB0B24" w:rsidRPr="005B5CB6" w:rsidP="003255A4">
      <w:pPr>
        <w:spacing w:after="0"/>
        <w:ind w:left="720"/>
        <w:jc w:val="both"/>
        <w:rPr>
          <w:rFonts w:ascii="Verdana" w:hAnsi="Verdana"/>
        </w:rPr>
      </w:pPr>
      <w:r w:rsidRPr="005B5CB6">
        <w:rPr>
          <w:rFonts w:ascii="Verdana" w:eastAsia="Verdana" w:hAnsi="Verdana" w:cs="Verdana"/>
        </w:rPr>
        <w:t xml:space="preserve"> </w:t>
      </w:r>
    </w:p>
    <w:p w:rsidR="00FB0B24" w:rsidRPr="005B5CB6" w:rsidP="003255A4">
      <w:pPr>
        <w:spacing w:after="0"/>
        <w:ind w:left="72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728" w:right="11" w:hanging="8"/>
        <w:jc w:val="both"/>
        <w:rPr>
          <w:rFonts w:ascii="Verdana" w:hAnsi="Verdana"/>
        </w:rPr>
      </w:pPr>
      <w:r w:rsidRPr="005B5CB6">
        <w:rPr>
          <w:rFonts w:ascii="Verdana" w:eastAsia="Verdana" w:hAnsi="Verdana" w:cs="Verdana"/>
        </w:rPr>
        <w:t xml:space="preserve">We have not set a fixed threshold under which targeting would be defined as microtargeting. We volunteer to help create a mechanism for calculating thresholds (for example minimum percentage of electorate in a geographical region).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hanging="10"/>
        <w:jc w:val="both"/>
        <w:rPr>
          <w:rFonts w:ascii="Verdana" w:hAnsi="Verdana"/>
        </w:rPr>
      </w:pPr>
      <w:r w:rsidRPr="005B5CB6">
        <w:rPr>
          <w:rFonts w:ascii="Verdana" w:eastAsia="Verdana" w:hAnsi="Verdana" w:cs="Verdana"/>
          <w:i/>
        </w:rPr>
        <w:t xml:space="preserve">Democratic debate  </w:t>
      </w:r>
    </w:p>
    <w:p w:rsidR="00FB0B24" w:rsidRPr="005B5CB6" w:rsidP="003255A4">
      <w:pPr>
        <w:spacing w:after="0"/>
        <w:jc w:val="both"/>
        <w:rPr>
          <w:rFonts w:ascii="Verdana" w:hAnsi="Verdana"/>
        </w:rPr>
      </w:pPr>
      <w:r w:rsidRPr="005B5CB6">
        <w:rPr>
          <w:rFonts w:ascii="Verdana" w:eastAsia="Verdana" w:hAnsi="Verdana" w:cs="Verdana"/>
          <w:i/>
        </w:rPr>
        <w:t xml:space="preserve"> </w:t>
      </w:r>
    </w:p>
    <w:p w:rsidR="00FB0B24" w:rsidRPr="005B5CB6" w:rsidP="003255A4">
      <w:pPr>
        <w:spacing w:after="5" w:line="249" w:lineRule="auto"/>
        <w:ind w:left="10" w:hanging="10"/>
        <w:jc w:val="both"/>
        <w:rPr>
          <w:rFonts w:ascii="Verdana" w:hAnsi="Verdana"/>
        </w:rPr>
      </w:pPr>
      <w:r w:rsidRPr="005B5CB6">
        <w:rPr>
          <w:rFonts w:ascii="Verdana" w:eastAsia="Verdana" w:hAnsi="Verdana" w:cs="Verdana"/>
          <w:i/>
        </w:rPr>
        <w:t xml:space="preserve">8. To what extent does social media negatively shape public debate, either through encouraging polarisation or through abuse deterring individuals from engaging in public life?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076" w:right="11" w:hanging="8"/>
        <w:jc w:val="both"/>
        <w:rPr>
          <w:rFonts w:ascii="Verdana" w:hAnsi="Verdana"/>
        </w:rPr>
      </w:pPr>
      <w:r w:rsidRPr="005B5CB6">
        <w:rPr>
          <w:rFonts w:ascii="Verdana" w:eastAsia="Verdana" w:hAnsi="Verdana" w:cs="Verdana"/>
        </w:rPr>
        <w:t xml:space="preserve">Again referencing our submission to the CDEI’s Review of Online Targeting, this review defines autonomy as “our ability to make choices freely and based on information that is as full and complete as reasonably possible”. The challenge to this, especially with regard to political discourse, is </w:t>
      </w:r>
      <w:r>
        <w:fldChar w:fldCharType="begin"/>
      </w:r>
      <w:r>
        <w:instrText xml:space="preserve"> HYPERLINK "https://dash.harvard.edu/bitstream/handle/1/13030952/The%20Law%20of%20Group%20Polarization.pdf?sequence=1" </w:instrText>
      </w:r>
      <w:r>
        <w:fldChar w:fldCharType="separate"/>
      </w:r>
      <w:r w:rsidRPr="005B5CB6">
        <w:rPr>
          <w:rFonts w:ascii="Verdana" w:eastAsia="Verdana" w:hAnsi="Verdana" w:cs="Verdana"/>
          <w:color w:val="0563C1"/>
          <w:u w:val="single" w:color="0563C1"/>
        </w:rPr>
        <w:t>The Law of Group Polarisation</w:t>
      </w:r>
      <w:r>
        <w:fldChar w:fldCharType="end"/>
      </w:r>
      <w:r>
        <w:fldChar w:fldCharType="begin"/>
      </w:r>
      <w:r>
        <w:instrText xml:space="preserve"> HYPERLINK "https://dash.harvard.edu/bitstream/handle/1/13030952/The%20Law%20of%20Group%20Polarization.pdf?sequence=1"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Exert:  “In a striking empirical regularity, deliberation tends to move groups, and the </w:t>
      </w:r>
      <w:r w:rsidRPr="005B5CB6">
        <w:rPr>
          <w:rFonts w:ascii="Verdana" w:eastAsia="Verdana" w:hAnsi="Verdana" w:cs="Verdana"/>
        </w:rPr>
        <w:t xml:space="preserve">individuals who compose them, toward a more extreme point in the direction indicated by their own predeliberation judgments.”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076" w:right="11" w:hanging="8"/>
        <w:jc w:val="both"/>
        <w:rPr>
          <w:rFonts w:ascii="Verdana" w:hAnsi="Verdana"/>
        </w:rPr>
      </w:pPr>
      <w:r w:rsidRPr="005B5CB6">
        <w:rPr>
          <w:rFonts w:ascii="Verdana" w:eastAsia="Verdana" w:hAnsi="Verdana" w:cs="Verdana"/>
        </w:rPr>
        <w:t xml:space="preserve">As </w:t>
      </w:r>
      <w:r>
        <w:fldChar w:fldCharType="begin"/>
      </w:r>
      <w:r>
        <w:instrText xml:space="preserve"> HYPERLINK "https://www.law.uchicago.edu/news/sunstein-internet-and-political-polarization" </w:instrText>
      </w:r>
      <w:r>
        <w:fldChar w:fldCharType="separate"/>
      </w:r>
      <w:r w:rsidRPr="005B5CB6">
        <w:rPr>
          <w:rFonts w:ascii="Verdana" w:eastAsia="Verdana" w:hAnsi="Verdana" w:cs="Verdana"/>
          <w:color w:val="0563C1"/>
          <w:u w:val="single" w:color="0563C1"/>
        </w:rPr>
        <w:t>Cass R. Sunstein (Robert Walmsley University Professor, Harvard)</w:t>
      </w:r>
      <w:r>
        <w:fldChar w:fldCharType="end"/>
      </w:r>
      <w:r>
        <w:fldChar w:fldCharType="begin"/>
      </w:r>
      <w:r>
        <w:instrText xml:space="preserve"> HYPERLINK "https://www.law.uchicago.edu/news/sunstein-internet-and-political-polarization" </w:instrText>
      </w:r>
      <w:r>
        <w:fldChar w:fldCharType="separate"/>
      </w:r>
      <w:r w:rsidRPr="005B5CB6">
        <w:rPr>
          <w:rFonts w:ascii="Verdana" w:eastAsia="Verdana" w:hAnsi="Verdana" w:cs="Verdana"/>
          <w:color w:val="0563C1"/>
        </w:rPr>
        <w:t xml:space="preserve"> </w:t>
      </w:r>
      <w:r>
        <w:fldChar w:fldCharType="end"/>
      </w:r>
      <w:r>
        <w:fldChar w:fldCharType="begin"/>
      </w:r>
      <w:r>
        <w:instrText xml:space="preserve"> HYPERLINK "https://www.law.uchicago.edu/news/sunstein-internet-and-political-polarization" </w:instrText>
      </w:r>
      <w:r>
        <w:fldChar w:fldCharType="separate"/>
      </w:r>
      <w:r w:rsidRPr="005B5CB6">
        <w:rPr>
          <w:rFonts w:ascii="Verdana" w:eastAsia="Verdana" w:hAnsi="Verdana" w:cs="Verdana"/>
          <w:color w:val="0563C1"/>
          <w:u w:val="single" w:color="0563C1"/>
        </w:rPr>
        <w:t>the author of this paper subsequently noted in 2007</w:t>
      </w:r>
      <w:r>
        <w:fldChar w:fldCharType="end"/>
      </w:r>
      <w:r>
        <w:fldChar w:fldCharType="begin"/>
      </w:r>
      <w:r>
        <w:instrText xml:space="preserve"> HYPERLINK "https://www.law.uchicago.edu/news/sunstein-internet-and-political-polarization"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as a result of the Internet, we live increasingly in an era of enclaves and niches -- much of it voluntary, much of it produced by those who think they know, and often do know, what we're likely to like. This raises some obvious questions. If people are sorted into enclaves and niches, what will happen to their views? What are the eventual effects on democracy?”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076" w:right="11" w:hanging="8"/>
        <w:jc w:val="both"/>
        <w:rPr>
          <w:rFonts w:ascii="Verdana" w:hAnsi="Verdana"/>
        </w:rPr>
      </w:pPr>
      <w:r w:rsidRPr="005B5CB6">
        <w:rPr>
          <w:rFonts w:ascii="Verdana" w:eastAsia="Verdana" w:hAnsi="Verdana" w:cs="Verdana"/>
        </w:rPr>
        <w:t xml:space="preserve">We would argue online enclaves and niches relating to products, services and cultural groups (imagine classic car owners, airline executive club members, fans of a particular football club or pop band) pose little threat to individuals, organisations or to society. Within the bounds of the law, online targeting in these spaces is largely innocuous.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1076" w:right="11" w:hanging="8"/>
        <w:jc w:val="both"/>
        <w:rPr>
          <w:rFonts w:ascii="Verdana" w:hAnsi="Verdana"/>
        </w:rPr>
      </w:pPr>
      <w:r w:rsidRPr="005B5CB6">
        <w:rPr>
          <w:rFonts w:ascii="Verdana" w:eastAsia="Verdana" w:hAnsi="Verdana" w:cs="Verdana"/>
        </w:rPr>
        <w:t xml:space="preserve">The contrast with regard to political online targeting and the potential for its abuse could not be starker,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0"/>
        <w:ind w:left="1068"/>
        <w:jc w:val="both"/>
        <w:rPr>
          <w:rFonts w:ascii="Verdana" w:hAnsi="Verdana"/>
        </w:rPr>
      </w:pPr>
      <w:r w:rsidRPr="005B5CB6">
        <w:rPr>
          <w:rFonts w:ascii="Verdana" w:eastAsia="Verdana" w:hAnsi="Verdana" w:cs="Verdana"/>
        </w:rPr>
        <w:t xml:space="preserve">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spacing w:after="0"/>
        <w:jc w:val="both"/>
        <w:rPr>
          <w:rFonts w:ascii="Verdana" w:hAnsi="Verdana"/>
        </w:rPr>
      </w:pPr>
      <w:r w:rsidRPr="005B5CB6">
        <w:rPr>
          <w:rFonts w:ascii="Verdana" w:eastAsia="Verdana" w:hAnsi="Verdana" w:cs="Verdana"/>
          <w:b/>
        </w:rPr>
        <w:t xml:space="preserve"> </w:t>
      </w:r>
    </w:p>
    <w:p w:rsidR="00FB0B24" w:rsidRPr="005B5CB6" w:rsidP="003255A4">
      <w:pPr>
        <w:jc w:val="both"/>
        <w:rPr>
          <w:rFonts w:ascii="Verdana" w:hAnsi="Verdana"/>
        </w:rPr>
        <w:sectPr w:rsidSect="00A047E5">
          <w:headerReference w:type="even" r:id="rId129"/>
          <w:headerReference w:type="default" r:id="rId130"/>
          <w:footerReference w:type="even" r:id="rId131"/>
          <w:footerReference w:type="default" r:id="rId132"/>
          <w:headerReference w:type="first" r:id="rId133"/>
          <w:footerReference w:type="first" r:id="rId134"/>
          <w:pgSz w:w="11906" w:h="16838"/>
          <w:pgMar w:top="1492" w:right="1444" w:bottom="1571" w:left="1440" w:header="720" w:footer="713" w:gutter="0"/>
          <w:cols w:space="720"/>
        </w:sectPr>
      </w:pPr>
    </w:p>
    <w:p w:rsidR="00FB0B24" w:rsidRPr="005B5CB6" w:rsidP="00A1624B">
      <w:pPr>
        <w:pStyle w:val="Heading1"/>
        <w:rPr>
          <w:sz w:val="22"/>
        </w:rPr>
      </w:pPr>
      <w:bookmarkStart w:id="22" w:name="_Toc44517710"/>
      <w:r w:rsidRPr="005B5CB6">
        <w:rPr>
          <w:sz w:val="22"/>
        </w:rPr>
        <w:t>Dr Robert Dover – written evidence (DAD0027)</w:t>
      </w:r>
      <w:bookmarkEnd w:id="22"/>
      <w:r w:rsidRPr="005B5CB6">
        <w:rPr>
          <w:sz w:val="22"/>
        </w:rPr>
        <w:t xml:space="preserve"> </w:t>
      </w:r>
    </w:p>
    <w:p w:rsidR="00FB0B24" w:rsidRPr="005B5CB6" w:rsidP="003255A4">
      <w:pPr>
        <w:spacing w:after="156"/>
        <w:jc w:val="both"/>
        <w:rPr>
          <w:rFonts w:ascii="Verdana" w:hAnsi="Verdana"/>
        </w:rPr>
      </w:pPr>
      <w:r w:rsidRPr="005B5CB6">
        <w:rPr>
          <w:rFonts w:ascii="Verdana" w:eastAsia="Verdana" w:hAnsi="Verdana" w:cs="Verdana"/>
          <w:i/>
        </w:rPr>
        <w:t xml:space="preserve"> </w:t>
      </w:r>
    </w:p>
    <w:p w:rsidR="00FB0B24" w:rsidRPr="005B5CB6" w:rsidP="003255A4">
      <w:pPr>
        <w:spacing w:after="165" w:line="249" w:lineRule="auto"/>
        <w:ind w:left="10" w:hanging="10"/>
        <w:jc w:val="both"/>
        <w:rPr>
          <w:rFonts w:ascii="Verdana" w:hAnsi="Verdana"/>
        </w:rPr>
      </w:pPr>
      <w:r w:rsidRPr="005B5CB6">
        <w:rPr>
          <w:rFonts w:ascii="Verdana" w:eastAsia="Verdana" w:hAnsi="Verdana" w:cs="Verdana"/>
          <w:i/>
        </w:rPr>
        <w:t xml:space="preserve">Dr Robert Dover, Associate Professor of Intelligence and International Security, University of Leicester.  </w:t>
      </w:r>
    </w:p>
    <w:p w:rsidR="00FB0B24" w:rsidRPr="005B5CB6" w:rsidP="003255A4">
      <w:pPr>
        <w:spacing w:after="168" w:line="250" w:lineRule="auto"/>
        <w:ind w:left="23" w:right="11" w:hanging="8"/>
        <w:jc w:val="both"/>
        <w:rPr>
          <w:rFonts w:ascii="Verdana" w:hAnsi="Verdana"/>
        </w:rPr>
      </w:pPr>
      <w:r w:rsidRPr="005B5CB6">
        <w:rPr>
          <w:rFonts w:ascii="Verdana" w:eastAsia="Verdana" w:hAnsi="Verdana" w:cs="Verdana"/>
          <w:b/>
        </w:rPr>
        <w:t>Author note:</w:t>
      </w:r>
      <w:r w:rsidRPr="005B5CB6">
        <w:rPr>
          <w:rFonts w:ascii="Verdana" w:eastAsia="Verdana" w:hAnsi="Verdana" w:cs="Verdana"/>
        </w:rPr>
        <w:t xml:space="preserve"> As noted above, I work as an academic at the University of Leicester. My most recent research has centred on crisis communications, and the way in which social media can be used to increase levels of situational awareness, and improve operational outcomes, whilst guarding against mis and disinformation campaigns. I am also writing a book – to be published in 2020 – on the impact of digital technologies on the business of intelligence and on our relationship with intelligence as a function of government, which spreads into the cyber and hybrid warfare realm that has become relevant to the operation of our democracy.  </w:t>
      </w:r>
    </w:p>
    <w:p w:rsidR="00FB0B24" w:rsidRPr="005B5CB6" w:rsidP="003255A4">
      <w:pPr>
        <w:spacing w:after="156"/>
        <w:jc w:val="both"/>
        <w:rPr>
          <w:rFonts w:ascii="Verdana" w:hAnsi="Verdana"/>
        </w:rPr>
      </w:pPr>
      <w:r w:rsidRPr="005B5CB6">
        <w:rPr>
          <w:rFonts w:ascii="Verdana" w:eastAsia="Verdana" w:hAnsi="Verdana" w:cs="Verdana"/>
          <w:b/>
        </w:rPr>
        <w:t xml:space="preserve"> </w:t>
      </w:r>
    </w:p>
    <w:p w:rsidR="00FB0B24" w:rsidRPr="005B5CB6" w:rsidP="003255A4">
      <w:pPr>
        <w:spacing w:after="165" w:line="250" w:lineRule="auto"/>
        <w:ind w:left="11" w:hanging="10"/>
        <w:jc w:val="both"/>
        <w:rPr>
          <w:rFonts w:ascii="Verdana" w:hAnsi="Verdana"/>
        </w:rPr>
      </w:pPr>
      <w:r w:rsidRPr="005B5CB6">
        <w:rPr>
          <w:rFonts w:ascii="Verdana" w:eastAsia="Verdana" w:hAnsi="Verdana" w:cs="Verdana"/>
          <w:b/>
        </w:rPr>
        <w:t xml:space="preserve">How has digital technology changed the way that democracy works in the UK and has this been a net positive or negative effect?  </w:t>
      </w:r>
    </w:p>
    <w:p w:rsidR="00FB0B24" w:rsidRPr="005B5CB6" w:rsidP="003255A4">
      <w:pPr>
        <w:numPr>
          <w:ilvl w:val="0"/>
          <w:numId w:val="78"/>
        </w:numPr>
        <w:spacing w:after="168" w:line="250" w:lineRule="auto"/>
        <w:ind w:left="23" w:right="11" w:hanging="8"/>
        <w:jc w:val="both"/>
        <w:rPr>
          <w:rFonts w:ascii="Verdana" w:hAnsi="Verdana"/>
        </w:rPr>
      </w:pPr>
      <w:r w:rsidRPr="005B5CB6">
        <w:rPr>
          <w:rFonts w:ascii="Verdana" w:eastAsia="Verdana" w:hAnsi="Verdana" w:cs="Verdana"/>
        </w:rPr>
        <w:t xml:space="preserve">The growing usage of digital technologies has highlighted and exacerbated pre-existing frailties that existed in our political system. It has also introduced additional vulnerabilities, including the ability of external adversaries to manipulate our political discourse and national direction, including our strategic disposition and resilience.  </w:t>
      </w:r>
    </w:p>
    <w:p w:rsidR="00FB0B24" w:rsidRPr="005B5CB6" w:rsidP="003255A4">
      <w:pPr>
        <w:spacing w:after="154"/>
        <w:jc w:val="both"/>
        <w:rPr>
          <w:rFonts w:ascii="Verdana" w:hAnsi="Verdana"/>
        </w:rPr>
      </w:pPr>
      <w:r w:rsidRPr="005B5CB6">
        <w:rPr>
          <w:rFonts w:ascii="Verdana" w:eastAsia="Verdana" w:hAnsi="Verdana" w:cs="Verdana"/>
        </w:rPr>
        <w:t xml:space="preserve"> </w:t>
      </w:r>
    </w:p>
    <w:p w:rsidR="00FB0B24" w:rsidRPr="005B5CB6" w:rsidP="003255A4">
      <w:pPr>
        <w:numPr>
          <w:ilvl w:val="0"/>
          <w:numId w:val="78"/>
        </w:numPr>
        <w:spacing w:after="165" w:line="250" w:lineRule="auto"/>
        <w:ind w:left="23" w:right="11" w:hanging="8"/>
        <w:jc w:val="both"/>
        <w:rPr>
          <w:rFonts w:ascii="Verdana" w:hAnsi="Verdana"/>
        </w:rPr>
      </w:pPr>
      <w:r w:rsidRPr="005B5CB6">
        <w:rPr>
          <w:rFonts w:ascii="Verdana" w:eastAsia="Verdana" w:hAnsi="Verdana" w:cs="Verdana"/>
        </w:rPr>
        <w:t xml:space="preserve">The structural frailty exists in the first past the post electoral system, which – in effect – places the ability to shift power in the hands of relatively few voters in key marginal seats. It exists in a FPTP system where, for reflective electors, the ability to aggregate a wide range of policy preferences into a single mark on a sheet of paper is a blunt instrument at best. It has also highlighted the poor levels of political education and policy understanding amongst the public at large who are more strongly guided by values-based choices than evidence-based choices. The description of ‘Westminster bubbles’, ‘establishment elites’ and so on can, I think, be boiled down to a fundamental gap between values and evidence-based dispositions or choices. The growth in the usage of digital technologies has served to amplify the poor job our news media does in informing and educating the public about difficult public policy choices, creating an addictive pattern of consumption and production  </w:t>
      </w:r>
    </w:p>
    <w:p w:rsidR="00FB0B24" w:rsidRPr="005B5CB6" w:rsidP="003255A4">
      <w:pPr>
        <w:spacing w:after="169" w:line="249" w:lineRule="auto"/>
        <w:ind w:left="-2" w:hanging="10"/>
        <w:jc w:val="both"/>
        <w:rPr>
          <w:rFonts w:ascii="Verdana" w:hAnsi="Verdana"/>
        </w:rPr>
      </w:pPr>
      <w:r w:rsidRPr="005B5CB6">
        <w:rPr>
          <w:rFonts w:ascii="Verdana" w:eastAsia="Verdana" w:hAnsi="Verdana" w:cs="Verdana"/>
          <w:b/>
        </w:rPr>
        <w:t xml:space="preserve">How have the design of algorithms used by social media platforms shaped democratic debate? To what extent should there be greater accountability for the design of these algorithms?  </w:t>
      </w:r>
    </w:p>
    <w:p w:rsidR="00FB0B24" w:rsidRPr="005B5CB6" w:rsidP="003255A4">
      <w:pPr>
        <w:spacing w:after="156"/>
        <w:jc w:val="both"/>
        <w:rPr>
          <w:rFonts w:ascii="Verdana" w:hAnsi="Verdana"/>
        </w:rPr>
      </w:pPr>
      <w:r w:rsidRPr="005B5CB6">
        <w:rPr>
          <w:rFonts w:ascii="Verdana" w:eastAsia="Verdana" w:hAnsi="Verdana" w:cs="Verdana"/>
        </w:rPr>
        <w:t xml:space="preserve"> </w:t>
      </w:r>
    </w:p>
    <w:p w:rsidR="00FB0B24" w:rsidRPr="005B5CB6" w:rsidP="003255A4">
      <w:pPr>
        <w:numPr>
          <w:ilvl w:val="0"/>
          <w:numId w:val="78"/>
        </w:numPr>
        <w:spacing w:after="165" w:line="250" w:lineRule="auto"/>
        <w:ind w:left="23" w:right="11" w:hanging="8"/>
        <w:jc w:val="both"/>
        <w:rPr>
          <w:rFonts w:ascii="Verdana" w:hAnsi="Verdana"/>
        </w:rPr>
      </w:pPr>
      <w:r w:rsidRPr="005B5CB6">
        <w:rPr>
          <w:rFonts w:ascii="Verdana" w:eastAsia="Verdana" w:hAnsi="Verdana" w:cs="Verdana"/>
        </w:rPr>
        <w:t xml:space="preserve">The most obvious impact algorithms, that underpin social media and search platforms, have had is the curation of news items (and these might be actual news items, but equally they can be opinion pieces, or contacts posting views on news) for the individual based on an algorithmically assessed view of their preferences. </w:t>
      </w:r>
      <w:r w:rsidRPr="005B5CB6">
        <w:rPr>
          <w:rFonts w:ascii="Verdana" w:eastAsia="Verdana" w:hAnsi="Verdana" w:cs="Verdana"/>
        </w:rPr>
        <w:t xml:space="preserve">These preferences are drawn from a large sample of measurable indicators, but have included their known social network, the search terms they use, the webpages they browse, the ‘likes’ and re-posts of stories and how long they remain on a web-page or story. The result of this machine assessment has been – for example – that someone flagged as concerned about immigration and tending towards wanting to leave the EU would be served items that reinforced these concerns and tendencies, whereas a remain leaning individual would be served stories, for example, highlighting irregularities in the referendum process and negative assessments around Britain leaving the EU. The effect of these computer systems does help to partly explain why two individuals might ostensibly believe they have read the same core material on a subject and yet draw diametrically opposed views upon it. </w:t>
      </w:r>
    </w:p>
    <w:p w:rsidR="00FB0B24" w:rsidRPr="005B5CB6" w:rsidP="003255A4">
      <w:pPr>
        <w:numPr>
          <w:ilvl w:val="0"/>
          <w:numId w:val="78"/>
        </w:numPr>
        <w:spacing w:after="165" w:line="250" w:lineRule="auto"/>
        <w:ind w:left="23" w:right="11" w:hanging="8"/>
        <w:jc w:val="both"/>
        <w:rPr>
          <w:rFonts w:ascii="Verdana" w:hAnsi="Verdana"/>
        </w:rPr>
      </w:pPr>
      <w:r w:rsidRPr="005B5CB6">
        <w:rPr>
          <w:rFonts w:ascii="Verdana" w:eastAsia="Verdana" w:hAnsi="Verdana" w:cs="Verdana"/>
        </w:rPr>
        <w:t xml:space="preserve">The citizenry and indeed much of policy community retains a view that computers are objective arbiters of facts because they are a machine and therefore cannot place subjective meaning to an assessment. But computer processing is objective only in the sense that is carries through the instructions given to it by its software. The conscious or unconscious biases of computer programmers do – therefore – come through the software used by all online platforms and that has an effect akin to compound interest of hard-baking these biases into our political discourse. These technologies should therefore be seen as being highly vulnerable to two forms of insecurity: 1) from enemy actors intercepting and analysing the data for warning notice and operational preparedness, 2) being manipulated or gamed by adversary actors to drive particular messages through into the public. There is good evidence around Chinese, North Korean and Russian efforts to not only influence news stories in the UK, but to try to unsettle or unseat the public’s faith in what they read from their governing institutions.  </w:t>
      </w:r>
    </w:p>
    <w:p w:rsidR="00FB0B24" w:rsidRPr="005B5CB6" w:rsidP="003255A4">
      <w:pPr>
        <w:numPr>
          <w:ilvl w:val="0"/>
          <w:numId w:val="78"/>
        </w:numPr>
        <w:spacing w:after="168" w:line="250" w:lineRule="auto"/>
        <w:ind w:left="23" w:right="11" w:hanging="8"/>
        <w:jc w:val="both"/>
        <w:rPr>
          <w:rFonts w:ascii="Verdana" w:hAnsi="Verdana"/>
        </w:rPr>
      </w:pPr>
      <w:r w:rsidRPr="005B5CB6">
        <w:rPr>
          <w:rFonts w:ascii="Verdana" w:eastAsia="Verdana" w:hAnsi="Verdana" w:cs="Verdana"/>
        </w:rPr>
        <w:t xml:space="preserve">The news feed algorithms, in concert with newspapers and their ‘search engine optimisations’ have moved news increasingly towards ‘opinion’ and ‘speculation’, rather than reportage. The growth of social media platforms has supported this drift towards opinion, and with it the curate’s egg of opinion being weighted equally with that of expertise. In some fields, the impact of this is not vital, when it comes to toxicology, immunology, virology, the law, and indeed some might argue economics, trade and security it does have the effect of undermining our collective resilience to emerging threats.  </w:t>
      </w:r>
    </w:p>
    <w:p w:rsidR="00FB0B24" w:rsidRPr="005B5CB6" w:rsidP="003255A4">
      <w:pPr>
        <w:spacing w:after="156"/>
        <w:ind w:left="1"/>
        <w:jc w:val="both"/>
        <w:rPr>
          <w:rFonts w:ascii="Verdana" w:hAnsi="Verdana"/>
        </w:rPr>
      </w:pPr>
      <w:r w:rsidRPr="005B5CB6">
        <w:rPr>
          <w:rFonts w:ascii="Verdana" w:eastAsia="Verdana" w:hAnsi="Verdana" w:cs="Verdana"/>
        </w:rPr>
        <w:t xml:space="preserve"> </w:t>
      </w:r>
    </w:p>
    <w:p w:rsidR="00FB0B24" w:rsidRPr="005B5CB6" w:rsidP="003255A4">
      <w:pPr>
        <w:spacing w:after="167" w:line="250" w:lineRule="auto"/>
        <w:ind w:left="11" w:hanging="10"/>
        <w:jc w:val="both"/>
        <w:rPr>
          <w:rFonts w:ascii="Verdana" w:hAnsi="Verdana"/>
        </w:rPr>
      </w:pPr>
      <w:r w:rsidRPr="005B5CB6">
        <w:rPr>
          <w:rFonts w:ascii="Verdana" w:eastAsia="Verdana" w:hAnsi="Verdana" w:cs="Verdana"/>
          <w:b/>
        </w:rPr>
        <w:t xml:space="preserve">What role should every stage of education play in helping to create a healthy, active, digitally literate democracy?  </w:t>
      </w:r>
    </w:p>
    <w:p w:rsidR="00FB0B24" w:rsidRPr="005B5CB6" w:rsidP="003255A4">
      <w:pPr>
        <w:spacing w:after="156"/>
        <w:ind w:left="1"/>
        <w:jc w:val="both"/>
        <w:rPr>
          <w:rFonts w:ascii="Verdana" w:hAnsi="Verdana"/>
        </w:rPr>
      </w:pPr>
      <w:r w:rsidRPr="005B5CB6">
        <w:rPr>
          <w:rFonts w:ascii="Verdana" w:eastAsia="Verdana" w:hAnsi="Verdana" w:cs="Verdana"/>
        </w:rPr>
        <w:t xml:space="preserve"> </w:t>
      </w:r>
    </w:p>
    <w:p w:rsidR="00FB0B24" w:rsidRPr="005B5CB6" w:rsidP="003255A4">
      <w:pPr>
        <w:numPr>
          <w:ilvl w:val="0"/>
          <w:numId w:val="78"/>
        </w:numPr>
        <w:spacing w:after="168" w:line="250" w:lineRule="auto"/>
        <w:ind w:left="23" w:right="11" w:hanging="8"/>
        <w:jc w:val="both"/>
        <w:rPr>
          <w:rFonts w:ascii="Verdana" w:hAnsi="Verdana"/>
        </w:rPr>
      </w:pPr>
      <w:r w:rsidRPr="005B5CB6">
        <w:rPr>
          <w:rFonts w:ascii="Verdana" w:eastAsia="Verdana" w:hAnsi="Verdana" w:cs="Verdana"/>
        </w:rPr>
        <w:t xml:space="preserve">My recent experience of primary to secondary school education on this matter has led me to conclude that the state education system is doing a good job of providing access to the basic skills required to navigate online news and social media spaces. Universities seek to provide critical thinking and evaluative skills that should also provide some comfort that future generations will be less susceptible (still vulnerable, but less susceptible) to misinformation and particular forms of campaigning that we have seen in the last four years. I remain very </w:t>
      </w:r>
      <w:r w:rsidRPr="005B5CB6">
        <w:rPr>
          <w:rFonts w:ascii="Verdana" w:eastAsia="Verdana" w:hAnsi="Verdana" w:cs="Verdana"/>
        </w:rPr>
        <w:t xml:space="preserve">concerned – however – about generations of our citizenry who are no longer in education, because my experience of discussing public policy issues with them strongly suggests to me that a significant proportion of them would benefit from the sort of educative programmes currently being run by schools.  </w:t>
      </w:r>
    </w:p>
    <w:p w:rsidR="00FB0B24" w:rsidRPr="005B5CB6" w:rsidP="003255A4">
      <w:pPr>
        <w:spacing w:after="159"/>
        <w:jc w:val="both"/>
        <w:rPr>
          <w:rFonts w:ascii="Verdana" w:hAnsi="Verdana"/>
        </w:rPr>
      </w:pPr>
      <w:r w:rsidRPr="005B5CB6">
        <w:rPr>
          <w:rFonts w:ascii="Verdana" w:eastAsia="Verdana" w:hAnsi="Verdana" w:cs="Verdana"/>
        </w:rPr>
        <w:t xml:space="preserve"> </w:t>
      </w:r>
    </w:p>
    <w:p w:rsidR="00FB0B24" w:rsidRPr="005B5CB6" w:rsidP="003255A4">
      <w:pPr>
        <w:spacing w:after="159"/>
        <w:jc w:val="both"/>
        <w:rPr>
          <w:rFonts w:ascii="Verdana" w:hAnsi="Verdana"/>
        </w:rPr>
      </w:pPr>
      <w:r w:rsidRPr="005B5CB6">
        <w:rPr>
          <w:rFonts w:ascii="Verdana" w:eastAsia="Verdana" w:hAnsi="Verdana" w:cs="Verdana"/>
          <w:b/>
        </w:rPr>
        <w:t xml:space="preserve"> </w:t>
      </w:r>
    </w:p>
    <w:p w:rsidR="00FB0B24" w:rsidRPr="005B5CB6" w:rsidP="003255A4">
      <w:pPr>
        <w:spacing w:after="156"/>
        <w:jc w:val="both"/>
        <w:rPr>
          <w:rFonts w:ascii="Verdana" w:hAnsi="Verdana"/>
        </w:rPr>
      </w:pPr>
      <w:r w:rsidRPr="005B5CB6">
        <w:rPr>
          <w:rFonts w:ascii="Verdana" w:eastAsia="Verdana" w:hAnsi="Verdana" w:cs="Verdana"/>
          <w:b/>
        </w:rPr>
        <w:t xml:space="preserve"> </w:t>
      </w:r>
    </w:p>
    <w:p w:rsidR="00FB0B24" w:rsidRPr="005B5CB6" w:rsidP="003255A4">
      <w:pPr>
        <w:spacing w:after="169" w:line="249" w:lineRule="auto"/>
        <w:ind w:left="-2" w:hanging="10"/>
        <w:jc w:val="both"/>
        <w:rPr>
          <w:rFonts w:ascii="Verdana" w:hAnsi="Verdana"/>
        </w:rPr>
      </w:pPr>
      <w:r w:rsidRPr="005B5CB6">
        <w:rPr>
          <w:rFonts w:ascii="Verdana" w:eastAsia="Verdana" w:hAnsi="Verdana" w:cs="Verdana"/>
          <w:b/>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3255A4">
      <w:pPr>
        <w:spacing w:after="156"/>
        <w:jc w:val="both"/>
        <w:rPr>
          <w:rFonts w:ascii="Verdana" w:hAnsi="Verdana"/>
        </w:rPr>
      </w:pPr>
      <w:r w:rsidRPr="005B5CB6">
        <w:rPr>
          <w:rFonts w:ascii="Verdana" w:eastAsia="Verdana" w:hAnsi="Verdana" w:cs="Verdana"/>
        </w:rPr>
        <w:t xml:space="preserve"> </w:t>
      </w:r>
    </w:p>
    <w:p w:rsidR="00FB0B24" w:rsidRPr="005B5CB6" w:rsidP="003255A4">
      <w:pPr>
        <w:numPr>
          <w:ilvl w:val="0"/>
          <w:numId w:val="78"/>
        </w:numPr>
        <w:spacing w:after="168" w:line="250" w:lineRule="auto"/>
        <w:ind w:left="23" w:right="11" w:hanging="8"/>
        <w:jc w:val="both"/>
        <w:rPr>
          <w:rFonts w:ascii="Verdana" w:hAnsi="Verdana"/>
        </w:rPr>
      </w:pPr>
      <w:r w:rsidRPr="005B5CB6">
        <w:rPr>
          <w:rFonts w:ascii="Verdana" w:eastAsia="Verdana" w:hAnsi="Verdana" w:cs="Verdana"/>
        </w:rPr>
        <w:t xml:space="preserve">It would be difficult to argue ‘no’ to this question. The issues surrounding the 2016 referendum, the fierce debates that still rage around whether there was improper foreign influence and funding during that campaign because of or despite of the views of the Electoral Commission, leads to a conclusion that the transparency rules that this country already has do not necessarily require changing, but they do require enforcing. And that enforcement should happen more quickly, and that the reputational loss (but to whom, might be a reasonable question) of an election being re-run, or candidates being debarred, or fines being levied at a significant rate, is necessary to avoid the conclusion from 2016 being that investigations and fines associated with breaches of electoral rules are now transaction costs in the process.  </w:t>
      </w:r>
    </w:p>
    <w:p w:rsidR="00FB0B24" w:rsidRPr="005B5CB6" w:rsidP="003255A4">
      <w:pPr>
        <w:spacing w:after="156"/>
        <w:ind w:left="1"/>
        <w:jc w:val="both"/>
        <w:rPr>
          <w:rFonts w:ascii="Verdana" w:hAnsi="Verdana"/>
        </w:rPr>
      </w:pPr>
      <w:r w:rsidRPr="005B5CB6">
        <w:rPr>
          <w:rFonts w:ascii="Verdana" w:eastAsia="Verdana" w:hAnsi="Verdana" w:cs="Verdana"/>
        </w:rPr>
        <w:t xml:space="preserve"> </w:t>
      </w:r>
    </w:p>
    <w:p w:rsidR="00FB0B24" w:rsidRPr="005B5CB6" w:rsidP="003255A4">
      <w:pPr>
        <w:numPr>
          <w:ilvl w:val="0"/>
          <w:numId w:val="78"/>
        </w:numPr>
        <w:spacing w:after="168" w:line="250" w:lineRule="auto"/>
        <w:ind w:left="23" w:right="11" w:hanging="8"/>
        <w:jc w:val="both"/>
        <w:rPr>
          <w:rFonts w:ascii="Verdana" w:hAnsi="Verdana"/>
        </w:rPr>
      </w:pPr>
      <w:r w:rsidRPr="005B5CB6">
        <w:rPr>
          <w:rFonts w:ascii="Verdana" w:eastAsia="Verdana" w:hAnsi="Verdana" w:cs="Verdana"/>
        </w:rPr>
        <w:t xml:space="preserve">A significant cap on donations to groups and parties, would lessen the impact of sectional interest groups. The registration of any and all donations to political groups would open the system up to absolute transparency. If this was coupled to a stricter regime of enforcement (and there is an open question about which organisation should do the investigating, and I would prefer a variant of the French investigative magistrate for this function), including debarment and election re-runs, it would most likely have the impact of producing a rule-set that was more closely adhered to.   </w:t>
      </w:r>
    </w:p>
    <w:p w:rsidR="00FB0B24" w:rsidRPr="005B5CB6" w:rsidP="003255A4">
      <w:pPr>
        <w:spacing w:after="156"/>
        <w:ind w:left="1"/>
        <w:jc w:val="both"/>
        <w:rPr>
          <w:rFonts w:ascii="Verdana" w:hAnsi="Verdana"/>
        </w:rPr>
      </w:pPr>
      <w:r w:rsidRPr="005B5CB6">
        <w:rPr>
          <w:rFonts w:ascii="Verdana" w:eastAsia="Verdana" w:hAnsi="Verdana" w:cs="Verdana"/>
        </w:rPr>
        <w:t xml:space="preserve"> </w:t>
      </w:r>
    </w:p>
    <w:p w:rsidR="00FB0B24" w:rsidRPr="005B5CB6" w:rsidP="003255A4">
      <w:pPr>
        <w:spacing w:after="169" w:line="249" w:lineRule="auto"/>
        <w:ind w:left="-2" w:hanging="10"/>
        <w:jc w:val="both"/>
        <w:rPr>
          <w:rFonts w:ascii="Verdana" w:hAnsi="Verdana"/>
        </w:rPr>
      </w:pPr>
      <w:r w:rsidRPr="005B5CB6">
        <w:rPr>
          <w:rFonts w:ascii="Verdana" w:eastAsia="Verdana" w:hAnsi="Verdana" w:cs="Verdana"/>
          <w:b/>
        </w:rPr>
        <w:t xml:space="preserve">What effect does online targeted advertising have on the political process, and what effects could it have in the future? Should there be additional regulation of political advertising? Privacy and anonymity  </w:t>
      </w:r>
    </w:p>
    <w:p w:rsidR="00FB0B24" w:rsidRPr="005B5CB6" w:rsidP="003255A4">
      <w:pPr>
        <w:spacing w:after="156"/>
        <w:ind w:left="1"/>
        <w:jc w:val="both"/>
        <w:rPr>
          <w:rFonts w:ascii="Verdana" w:hAnsi="Verdana"/>
        </w:rPr>
      </w:pPr>
      <w:r w:rsidRPr="005B5CB6">
        <w:rPr>
          <w:rFonts w:ascii="Verdana" w:eastAsia="Verdana" w:hAnsi="Verdana" w:cs="Verdana"/>
        </w:rPr>
        <w:t xml:space="preserve"> </w:t>
      </w:r>
    </w:p>
    <w:p w:rsidR="00FB0B24" w:rsidRPr="005B5CB6" w:rsidP="003255A4">
      <w:pPr>
        <w:numPr>
          <w:ilvl w:val="0"/>
          <w:numId w:val="78"/>
        </w:numPr>
        <w:spacing w:after="164" w:line="250" w:lineRule="auto"/>
        <w:ind w:left="23" w:right="11" w:hanging="8"/>
        <w:jc w:val="both"/>
        <w:rPr>
          <w:rFonts w:ascii="Verdana" w:hAnsi="Verdana"/>
        </w:rPr>
      </w:pPr>
      <w:r w:rsidRPr="005B5CB6">
        <w:rPr>
          <w:rFonts w:ascii="Verdana" w:eastAsia="Verdana" w:hAnsi="Verdana" w:cs="Verdana"/>
        </w:rPr>
        <w:t xml:space="preserve">The impact of targeted advertising is dealt within other sections of this response. In terms of regulations, and as with political donations, there should be a requirement to lodge all audio, visual, digital or written political advertising – along with the funding sources for it and what criteria was used for distribution - with a government or quasi-government repository so that it is open to be scrutinised by the public, civil-society groups, academics and appropriate judicial </w:t>
      </w:r>
      <w:r w:rsidRPr="005B5CB6">
        <w:rPr>
          <w:rFonts w:ascii="Verdana" w:eastAsia="Verdana" w:hAnsi="Verdana" w:cs="Verdana"/>
        </w:rPr>
        <w:t xml:space="preserve">and quasi-judicial authorities. This is a direct response to the incidence of highly targeted, but anonymous digital political marketing that was seen in the 2016 Referendum and 2017 General Election, which is a trend that it would be reasonable to assess will continue.   </w:t>
      </w:r>
    </w:p>
    <w:p w:rsidR="00FB0B24" w:rsidRPr="005B5CB6" w:rsidP="003255A4">
      <w:pPr>
        <w:spacing w:after="156"/>
        <w:ind w:left="1"/>
        <w:jc w:val="both"/>
        <w:rPr>
          <w:rFonts w:ascii="Verdana" w:hAnsi="Verdana"/>
        </w:rPr>
      </w:pPr>
      <w:r w:rsidRPr="005B5CB6">
        <w:rPr>
          <w:rFonts w:ascii="Verdana" w:eastAsia="Verdana" w:hAnsi="Verdana" w:cs="Verdana"/>
        </w:rPr>
        <w:t xml:space="preserve"> </w:t>
      </w:r>
    </w:p>
    <w:p w:rsidR="00FB0B24" w:rsidRPr="005B5CB6" w:rsidP="003255A4">
      <w:pPr>
        <w:spacing w:after="165" w:line="250" w:lineRule="auto"/>
        <w:ind w:left="11" w:hanging="10"/>
        <w:jc w:val="both"/>
        <w:rPr>
          <w:rFonts w:ascii="Verdana" w:hAnsi="Verdana"/>
        </w:rPr>
      </w:pPr>
      <w:r w:rsidRPr="005B5CB6">
        <w:rPr>
          <w:rFonts w:ascii="Verdana" w:eastAsia="Verdana" w:hAnsi="Verdana" w:cs="Verdana"/>
          <w:b/>
        </w:rPr>
        <w:t xml:space="preserve">To what extent does increasing use of encrypted messaging and private groups present a challenge to the democratic process?  </w:t>
      </w:r>
    </w:p>
    <w:p w:rsidR="00FB0B24" w:rsidRPr="005B5CB6" w:rsidP="003255A4">
      <w:pPr>
        <w:spacing w:after="156"/>
        <w:ind w:left="1"/>
        <w:jc w:val="both"/>
        <w:rPr>
          <w:rFonts w:ascii="Verdana" w:hAnsi="Verdana"/>
        </w:rPr>
      </w:pPr>
      <w:r w:rsidRPr="005B5CB6">
        <w:rPr>
          <w:rFonts w:ascii="Verdana" w:eastAsia="Verdana" w:hAnsi="Verdana" w:cs="Verdana"/>
        </w:rPr>
        <w:t xml:space="preserve"> </w:t>
      </w:r>
    </w:p>
    <w:p w:rsidR="00FB0B24" w:rsidRPr="005B5CB6" w:rsidP="003255A4">
      <w:pPr>
        <w:numPr>
          <w:ilvl w:val="0"/>
          <w:numId w:val="78"/>
        </w:numPr>
        <w:spacing w:after="168" w:line="250" w:lineRule="auto"/>
        <w:ind w:left="23" w:right="11" w:hanging="8"/>
        <w:jc w:val="both"/>
        <w:rPr>
          <w:rFonts w:ascii="Verdana" w:hAnsi="Verdana"/>
        </w:rPr>
      </w:pPr>
      <w:r w:rsidRPr="005B5CB6">
        <w:rPr>
          <w:rFonts w:ascii="Verdana" w:eastAsia="Verdana" w:hAnsi="Verdana" w:cs="Verdana"/>
        </w:rPr>
        <w:t xml:space="preserve">In the UK we have seen the negative impact of encrypted messaging and broadcast to large-closed-groups in the organisation of street violence in August 2011. The open source literature is quiet on the subject of whether the British electorate has been confronted with closed-group, encrypted and organised political messaging. Where this has occurred – notably in Brazil and India – there have been concerns that the messaging has appealed to the baser instincts of the electorate and some messages may have been actionable under incitement laws.  </w:t>
      </w:r>
    </w:p>
    <w:p w:rsidR="00FB0B24" w:rsidRPr="005B5CB6" w:rsidP="003255A4">
      <w:pPr>
        <w:spacing w:after="156"/>
        <w:ind w:left="1"/>
        <w:jc w:val="both"/>
        <w:rPr>
          <w:rFonts w:ascii="Verdana" w:hAnsi="Verdana"/>
        </w:rPr>
      </w:pPr>
      <w:r w:rsidRPr="005B5CB6">
        <w:rPr>
          <w:rFonts w:ascii="Verdana" w:eastAsia="Verdana" w:hAnsi="Verdana" w:cs="Verdana"/>
        </w:rPr>
        <w:t xml:space="preserve"> </w:t>
      </w:r>
    </w:p>
    <w:p w:rsidR="00FB0B24" w:rsidRPr="005B5CB6" w:rsidP="003255A4">
      <w:pPr>
        <w:numPr>
          <w:ilvl w:val="0"/>
          <w:numId w:val="78"/>
        </w:numPr>
        <w:spacing w:after="168" w:line="250" w:lineRule="auto"/>
        <w:ind w:left="23" w:right="11" w:hanging="8"/>
        <w:jc w:val="both"/>
        <w:rPr>
          <w:rFonts w:ascii="Verdana" w:hAnsi="Verdana"/>
        </w:rPr>
      </w:pPr>
      <w:r w:rsidRPr="005B5CB6">
        <w:rPr>
          <w:rFonts w:ascii="Verdana" w:eastAsia="Verdana" w:hAnsi="Verdana" w:cs="Verdana"/>
        </w:rPr>
        <w:t xml:space="preserve">There is clearly a balance to be struck between protecting what is increasingly becoming a veneer of personal privacy and the right to a cautiously limited freedom of speech. The registration of all political marketing, which would include political messaging, with commensurate penalties for failing to register, would help to maintain the balance between private messaging (which increasingly sophisticated encrypted communications technologies try to ensure) and the need to ensure the preservation and sanctity of our democratic processes.  </w:t>
      </w:r>
    </w:p>
    <w:p w:rsidR="00FB0B24" w:rsidRPr="005B5CB6" w:rsidP="003255A4">
      <w:pPr>
        <w:spacing w:after="156"/>
        <w:ind w:left="1"/>
        <w:jc w:val="both"/>
        <w:rPr>
          <w:rFonts w:ascii="Verdana" w:hAnsi="Verdana"/>
        </w:rPr>
      </w:pPr>
      <w:r w:rsidRPr="005B5CB6">
        <w:rPr>
          <w:rFonts w:ascii="Verdana" w:eastAsia="Verdana" w:hAnsi="Verdana" w:cs="Verdana"/>
        </w:rPr>
        <w:t xml:space="preserve"> </w:t>
      </w:r>
    </w:p>
    <w:p w:rsidR="00FB0B24" w:rsidRPr="005B5CB6" w:rsidP="003255A4">
      <w:pPr>
        <w:spacing w:after="165" w:line="250" w:lineRule="auto"/>
        <w:ind w:left="11" w:hanging="10"/>
        <w:jc w:val="both"/>
        <w:rPr>
          <w:rFonts w:ascii="Verdana" w:hAnsi="Verdana"/>
        </w:rPr>
      </w:pPr>
      <w:r w:rsidRPr="005B5CB6">
        <w:rPr>
          <w:rFonts w:ascii="Verdana" w:eastAsia="Verdana" w:hAnsi="Verdana" w:cs="Verdana"/>
          <w:b/>
        </w:rPr>
        <w:t>What are the positive or negative effects of anonymity on online democratic discourse?</w:t>
      </w:r>
      <w:r w:rsidRPr="005B5CB6">
        <w:rPr>
          <w:rFonts w:ascii="Verdana" w:eastAsia="Verdana" w:hAnsi="Verdana" w:cs="Verdana"/>
        </w:rPr>
        <w:t xml:space="preserve">   </w:t>
      </w:r>
    </w:p>
    <w:p w:rsidR="00FB0B24" w:rsidRPr="005B5CB6" w:rsidP="003255A4">
      <w:pPr>
        <w:numPr>
          <w:ilvl w:val="0"/>
          <w:numId w:val="78"/>
        </w:numPr>
        <w:spacing w:after="166" w:line="250" w:lineRule="auto"/>
        <w:ind w:left="23" w:right="11" w:hanging="8"/>
        <w:jc w:val="both"/>
        <w:rPr>
          <w:rFonts w:ascii="Verdana" w:hAnsi="Verdana"/>
        </w:rPr>
      </w:pPr>
      <w:r w:rsidRPr="005B5CB6">
        <w:rPr>
          <w:rFonts w:ascii="Verdana" w:eastAsia="Verdana" w:hAnsi="Verdana" w:cs="Verdana"/>
        </w:rPr>
        <w:t>There is a general assumption that we live in an open society, and one in which lawful dissent is tolerated. There are some notable counterpoints to this well-constructed and nurtured collective self-image. The ongoing inquiry into undercover policing has seen civil society groups publicly bringing forward evidence of groups acting lawfully being subject to extensive surveillance measures by covert police officers, up to and including them forming relationships and parenting children with surveillance targets. The use of public order imagery capture and lawful interception of communications prior to demonstrations has also been cited as having a deadening effect on political discourse in this country. If we match that to the chilling impact of the ‘electronic detritus’ we all leave behind during our lives online, we are increasingly making public service a space for those with hides like rhinos, or who have lived monastic lives. This is as much a challenge for security and intelligence agencies trying to recruit those with no blackmailable facets to their lives, recorded online, with the need to look ‘normal’. Even yesterday (18</w:t>
      </w:r>
      <w:r w:rsidRPr="005B5CB6">
        <w:rPr>
          <w:rFonts w:ascii="Verdana" w:eastAsia="Verdana" w:hAnsi="Verdana" w:cs="Verdana"/>
          <w:vertAlign w:val="superscript"/>
        </w:rPr>
        <w:t>th</w:t>
      </w:r>
      <w:r w:rsidRPr="005B5CB6">
        <w:rPr>
          <w:rFonts w:ascii="Verdana" w:eastAsia="Verdana" w:hAnsi="Verdana" w:cs="Verdana"/>
        </w:rPr>
        <w:t xml:space="preserve"> September) an upset father who confronted the Prime Minister in a hospital was ‘exposed’ as having been a Labour Party supporter, and thus the substance of his complaint – which was focused on the treatment of his child and the facilities in the hospital – was eroded because a prominent journalist </w:t>
      </w:r>
      <w:r w:rsidRPr="005B5CB6">
        <w:rPr>
          <w:rFonts w:ascii="Verdana" w:eastAsia="Verdana" w:hAnsi="Verdana" w:cs="Verdana"/>
        </w:rPr>
        <w:t xml:space="preserve">investigated his background and other were then able to suggest that a potential political allegiance trumped his paternal concern. This sort of deadening of discourse and lawful dissent will further fracture the relationship between citizens and elected politicians.  </w:t>
      </w:r>
    </w:p>
    <w:p w:rsidR="00FB0B24" w:rsidRPr="005B5CB6" w:rsidP="003255A4">
      <w:pPr>
        <w:spacing w:after="156"/>
        <w:ind w:left="1"/>
        <w:jc w:val="both"/>
        <w:rPr>
          <w:rFonts w:ascii="Verdana" w:hAnsi="Verdana"/>
        </w:rPr>
      </w:pPr>
      <w:r w:rsidRPr="005B5CB6">
        <w:rPr>
          <w:rFonts w:ascii="Verdana" w:eastAsia="Verdana" w:hAnsi="Verdana" w:cs="Verdana"/>
          <w:b/>
        </w:rPr>
        <w:t xml:space="preserve"> </w:t>
      </w:r>
    </w:p>
    <w:p w:rsidR="00FB0B24" w:rsidRPr="005B5CB6" w:rsidP="003255A4">
      <w:pPr>
        <w:spacing w:after="168" w:line="249" w:lineRule="auto"/>
        <w:ind w:left="-2" w:hanging="10"/>
        <w:jc w:val="both"/>
        <w:rPr>
          <w:rFonts w:ascii="Verdana" w:hAnsi="Verdana"/>
        </w:rPr>
      </w:pPr>
      <w:r w:rsidRPr="005B5CB6">
        <w:rPr>
          <w:rFonts w:ascii="Verdana" w:eastAsia="Verdana" w:hAnsi="Verdana" w:cs="Verdana"/>
          <w:b/>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3255A4">
      <w:pPr>
        <w:spacing w:after="156"/>
        <w:ind w:left="1"/>
        <w:jc w:val="both"/>
        <w:rPr>
          <w:rFonts w:ascii="Verdana" w:hAnsi="Verdana"/>
        </w:rPr>
      </w:pPr>
      <w:r w:rsidRPr="005B5CB6">
        <w:rPr>
          <w:rFonts w:ascii="Verdana" w:eastAsia="Verdana" w:hAnsi="Verdana" w:cs="Verdana"/>
        </w:rPr>
        <w:t xml:space="preserve"> </w:t>
      </w:r>
    </w:p>
    <w:p w:rsidR="00FB0B24" w:rsidRPr="005B5CB6" w:rsidP="003255A4">
      <w:pPr>
        <w:numPr>
          <w:ilvl w:val="0"/>
          <w:numId w:val="78"/>
        </w:numPr>
        <w:spacing w:after="5" w:line="250" w:lineRule="auto"/>
        <w:ind w:left="23" w:right="11" w:hanging="8"/>
        <w:jc w:val="both"/>
        <w:rPr>
          <w:rFonts w:ascii="Verdana" w:hAnsi="Verdana"/>
        </w:rPr>
      </w:pPr>
      <w:r w:rsidRPr="005B5CB6">
        <w:rPr>
          <w:rFonts w:ascii="Verdana" w:eastAsia="Verdana" w:hAnsi="Verdana" w:cs="Verdana"/>
        </w:rPr>
        <w:t xml:space="preserve">As noted earlier, there are adversary actors operating in the UK’s cyber space who have operationalised a pattern of behaviour to undermine certainty in knowledge, and to undermine faith in democratic institutions, and democratic processes. Some of the more skilled proponents of these techniques have thus far avoided effective censure for these activities, whilst the relatively early stage of the technology and widespread usage of it, means that our citizens remain uniquely vulnerable to these activities. There are very few practicable ways of counteracting these developments that do not conflict with our fundamental values of openness, or that place undue surveillance on the population. Recent attempts at countering adversary misinformation, funded by the FCO, came under sustained attack, and created a narrative of the UK being no better than its adversaries. The solutions are very long term, and would require a wholesale transformation and responsibility within our legacy media outlets to improve levels of educative reportage. Such reforms might require a change to the rules around ownership of media outlets in the UK to facilitate adoption of a new news media culture.  </w:t>
      </w:r>
    </w:p>
    <w:p w:rsidR="00FB0B24" w:rsidRPr="005B5CB6" w:rsidP="003255A4">
      <w:pPr>
        <w:jc w:val="both"/>
        <w:rPr>
          <w:rFonts w:ascii="Verdana" w:hAnsi="Verdana"/>
        </w:rPr>
        <w:sectPr w:rsidSect="00A047E5">
          <w:headerReference w:type="even" r:id="rId135"/>
          <w:headerReference w:type="default" r:id="rId136"/>
          <w:footerReference w:type="even" r:id="rId137"/>
          <w:footerReference w:type="default" r:id="rId138"/>
          <w:headerReference w:type="first" r:id="rId139"/>
          <w:footerReference w:type="first" r:id="rId140"/>
          <w:pgSz w:w="11906" w:h="16838"/>
          <w:pgMar w:top="1492" w:right="1441" w:bottom="1478" w:left="1440" w:header="720" w:footer="709" w:gutter="0"/>
          <w:cols w:space="720"/>
        </w:sectPr>
      </w:pPr>
    </w:p>
    <w:p w:rsidR="00FB0B24" w:rsidRPr="005B5CB6" w:rsidP="00A1624B">
      <w:pPr>
        <w:pStyle w:val="Heading1"/>
        <w:rPr>
          <w:sz w:val="22"/>
        </w:rPr>
      </w:pPr>
      <w:bookmarkStart w:id="23" w:name="_Toc44517711"/>
      <w:r w:rsidRPr="005B5CB6">
        <w:rPr>
          <w:sz w:val="22"/>
        </w:rPr>
        <w:t>Play Verto Global Ltd – written evidence (DAD0028)</w:t>
      </w:r>
      <w:bookmarkEnd w:id="23"/>
      <w:r w:rsidRPr="005B5CB6">
        <w:rPr>
          <w:sz w:val="22"/>
        </w:rPr>
        <w:t xml:space="preserve"> </w:t>
      </w:r>
    </w:p>
    <w:p w:rsidR="00FB0B24" w:rsidRPr="005B5CB6" w:rsidP="003255A4">
      <w:pPr>
        <w:spacing w:after="17"/>
        <w:jc w:val="both"/>
        <w:rPr>
          <w:rFonts w:ascii="Verdana" w:hAnsi="Verdana"/>
        </w:rPr>
      </w:pPr>
      <w:r w:rsidRPr="005B5CB6">
        <w:rPr>
          <w:rFonts w:ascii="Verdana" w:eastAsia="Verdana" w:hAnsi="Verdana" w:cs="Verdana"/>
          <w:b/>
        </w:rPr>
        <w:t xml:space="preserve"> </w:t>
      </w:r>
    </w:p>
    <w:p w:rsidR="00FB0B24" w:rsidRPr="005B5CB6" w:rsidP="003255A4">
      <w:pPr>
        <w:spacing w:after="5" w:line="250" w:lineRule="auto"/>
        <w:ind w:left="735" w:right="11" w:hanging="720"/>
        <w:jc w:val="both"/>
        <w:rPr>
          <w:rFonts w:ascii="Verdana" w:hAnsi="Verdana"/>
        </w:rPr>
      </w:pPr>
      <w:r w:rsidRPr="005B5CB6">
        <w:rPr>
          <w:rFonts w:ascii="Verdana" w:eastAsia="Verdana" w:hAnsi="Verdana" w:cs="Verdana"/>
          <w:b/>
        </w:rPr>
        <w:t>Authors:</w:t>
      </w:r>
      <w:r w:rsidRPr="005B5CB6">
        <w:rPr>
          <w:rFonts w:ascii="Verdana" w:eastAsia="Verdana" w:hAnsi="Verdana" w:cs="Verdana"/>
        </w:rPr>
        <w:t xml:space="preserve"> Michael Sani*, Ben Pook*, Elena Prieto Sulleiro* and Jeremy Large** </w:t>
      </w:r>
      <w:r w:rsidRPr="005B5CB6">
        <w:rPr>
          <w:rFonts w:ascii="Verdana" w:eastAsia="Verdana" w:hAnsi="Verdana" w:cs="Verdana"/>
          <w:i/>
        </w:rPr>
        <w:t xml:space="preserve">*Play Verto Global Ltd &amp; **St Hugh's College, University of Oxford.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26" w:line="249" w:lineRule="auto"/>
        <w:ind w:left="10" w:right="12" w:hanging="9"/>
        <w:jc w:val="both"/>
        <w:rPr>
          <w:rFonts w:ascii="Verdana" w:hAnsi="Verdana"/>
        </w:rPr>
      </w:pPr>
      <w:r w:rsidRPr="005B5CB6">
        <w:rPr>
          <w:rFonts w:ascii="Verdana" w:eastAsia="Verdana" w:hAnsi="Verdana" w:cs="Verdana"/>
        </w:rPr>
        <w:t xml:space="preserve">As passionate advocates for democratic participation by the most digitally literate sectors of our population, we are motivated to respond to the Call for Evidence issued by the House of Lords Select Committee on Democracy and Digital Technologies.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26" w:line="250" w:lineRule="auto"/>
        <w:ind w:left="11" w:hanging="10"/>
        <w:jc w:val="both"/>
        <w:rPr>
          <w:rFonts w:ascii="Verdana" w:hAnsi="Verdana"/>
        </w:rPr>
      </w:pPr>
      <w:r w:rsidRPr="005B5CB6">
        <w:rPr>
          <w:rFonts w:ascii="Verdana" w:eastAsia="Verdana" w:hAnsi="Verdana" w:cs="Verdana"/>
          <w:b/>
        </w:rPr>
        <w:t xml:space="preserve">Recommendations and background </w:t>
      </w:r>
    </w:p>
    <w:p w:rsidR="00FB0B24" w:rsidRPr="005B5CB6" w:rsidP="003255A4">
      <w:pPr>
        <w:spacing w:after="17"/>
        <w:jc w:val="both"/>
        <w:rPr>
          <w:rFonts w:ascii="Verdana" w:hAnsi="Verdana"/>
        </w:rPr>
      </w:pPr>
      <w:r w:rsidRPr="005B5CB6">
        <w:rPr>
          <w:rFonts w:ascii="Verdana" w:eastAsia="Verdana" w:hAnsi="Verdana" w:cs="Verdana"/>
          <w:b/>
        </w:rPr>
        <w:t xml:space="preserve"> </w:t>
      </w:r>
    </w:p>
    <w:p w:rsidR="00FB0B24" w:rsidRPr="005B5CB6" w:rsidP="003255A4">
      <w:pPr>
        <w:spacing w:after="26" w:line="250" w:lineRule="auto"/>
        <w:ind w:left="23" w:right="11" w:hanging="8"/>
        <w:jc w:val="both"/>
        <w:rPr>
          <w:rFonts w:ascii="Verdana" w:hAnsi="Verdana"/>
        </w:rPr>
      </w:pPr>
      <w:r w:rsidRPr="005B5CB6">
        <w:rPr>
          <w:rFonts w:ascii="Verdana" w:eastAsia="Verdana" w:hAnsi="Verdana" w:cs="Verdana"/>
        </w:rPr>
        <w:t xml:space="preserve">Drawing on the material below, we recommend that British institutions: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numPr>
          <w:ilvl w:val="0"/>
          <w:numId w:val="79"/>
        </w:numPr>
        <w:spacing w:after="5" w:line="250" w:lineRule="auto"/>
        <w:ind w:right="11" w:hanging="360"/>
        <w:jc w:val="both"/>
        <w:rPr>
          <w:rFonts w:ascii="Verdana" w:hAnsi="Verdana"/>
        </w:rPr>
      </w:pPr>
      <w:r w:rsidRPr="005B5CB6">
        <w:rPr>
          <w:rFonts w:ascii="Verdana" w:eastAsia="Verdana" w:hAnsi="Verdana" w:cs="Verdana"/>
        </w:rPr>
        <w:t xml:space="preserve">build digital consultation deeply into the norms of the UK’s policy-making processes; </w:t>
      </w:r>
    </w:p>
    <w:p w:rsidR="00FB0B24" w:rsidRPr="005B5CB6" w:rsidP="003255A4">
      <w:pPr>
        <w:numPr>
          <w:ilvl w:val="0"/>
          <w:numId w:val="79"/>
        </w:numPr>
        <w:spacing w:after="5" w:line="268" w:lineRule="auto"/>
        <w:ind w:right="11" w:hanging="360"/>
        <w:jc w:val="both"/>
        <w:rPr>
          <w:rFonts w:ascii="Verdana" w:hAnsi="Verdana"/>
        </w:rPr>
      </w:pPr>
      <w:r w:rsidRPr="005B5CB6">
        <w:rPr>
          <w:rFonts w:ascii="Verdana" w:eastAsia="Verdana" w:hAnsi="Verdana" w:cs="Verdana"/>
        </w:rPr>
        <w:t xml:space="preserve">support and foster UK civil society organisations which are natively online; and </w:t>
      </w:r>
    </w:p>
    <w:p w:rsidR="00FB0B24" w:rsidRPr="005B5CB6" w:rsidP="003255A4">
      <w:pPr>
        <w:numPr>
          <w:ilvl w:val="0"/>
          <w:numId w:val="79"/>
        </w:numPr>
        <w:spacing w:after="25" w:line="250" w:lineRule="auto"/>
        <w:ind w:right="11" w:hanging="360"/>
        <w:jc w:val="both"/>
        <w:rPr>
          <w:rFonts w:ascii="Verdana" w:hAnsi="Verdana"/>
        </w:rPr>
      </w:pPr>
      <w:r w:rsidRPr="005B5CB6">
        <w:rPr>
          <w:rFonts w:ascii="Verdana" w:eastAsia="Verdana" w:hAnsi="Verdana" w:cs="Verdana"/>
        </w:rPr>
        <w:t xml:space="preserve">have confidence in the possibility of positive and productive engagement about politics in the online space.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Play Verto, and its sister organisation Bite The Ballot, (‘We’, throughout this submission) are examples of the civil society organisations mentioned in Question 12 of the Call. We are natively online: so, we use technology to facilitate engagement in democratic processes. In this submission we want to stress the </w:t>
      </w:r>
      <w:r w:rsidRPr="005B5CB6">
        <w:rPr>
          <w:rFonts w:ascii="Verdana" w:eastAsia="Verdana" w:hAnsi="Verdana" w:cs="Verdana"/>
          <w:i/>
        </w:rPr>
        <w:t>positives</w:t>
      </w:r>
      <w:r w:rsidRPr="005B5CB6">
        <w:rPr>
          <w:rFonts w:ascii="Verdana" w:eastAsia="Verdana" w:hAnsi="Verdana" w:cs="Verdana"/>
        </w:rPr>
        <w:t xml:space="preserve"> of digital in democracy, so we will treat Question 12, along with Questions 13 and 14. In doing so, we hope to offer some counter-ballast to the legitimate and pressing negative concerns alluded to in other parts of the Call for Evidence.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26" w:line="249" w:lineRule="auto"/>
        <w:ind w:left="10" w:right="12" w:hanging="9"/>
        <w:jc w:val="both"/>
        <w:rPr>
          <w:rFonts w:ascii="Verdana" w:hAnsi="Verdana"/>
        </w:rPr>
      </w:pPr>
      <w:r w:rsidRPr="005B5CB6">
        <w:rPr>
          <w:rFonts w:ascii="Verdana" w:eastAsia="Verdana" w:hAnsi="Verdana" w:cs="Verdana"/>
        </w:rPr>
        <w:t xml:space="preserve">Our position is that technology can assist the public in </w:t>
      </w:r>
      <w:r w:rsidRPr="005B5CB6">
        <w:rPr>
          <w:rFonts w:ascii="Verdana" w:eastAsia="Verdana" w:hAnsi="Verdana" w:cs="Verdana"/>
          <w:b/>
        </w:rPr>
        <w:t>exploring the questions of the day on their own terms</w:t>
      </w:r>
      <w:r w:rsidRPr="005B5CB6">
        <w:rPr>
          <w:rFonts w:ascii="Verdana" w:eastAsia="Verdana" w:hAnsi="Verdana" w:cs="Verdana"/>
        </w:rPr>
        <w:t xml:space="preserve">. For example, our platform, </w:t>
      </w:r>
      <w:r>
        <w:fldChar w:fldCharType="begin"/>
      </w:r>
      <w:r>
        <w:instrText xml:space="preserve"> HYPERLINK "https://www.playverto.com/welcome-to-play-verto" </w:instrText>
      </w:r>
      <w:r>
        <w:fldChar w:fldCharType="separate"/>
      </w:r>
      <w:r w:rsidRPr="005B5CB6">
        <w:rPr>
          <w:rFonts w:ascii="Verdana" w:eastAsia="Verdana" w:hAnsi="Verdana" w:cs="Verdana"/>
          <w:color w:val="0000FF"/>
          <w:u w:val="single" w:color="0000FF"/>
        </w:rPr>
        <w:t>Play Verto</w:t>
      </w:r>
      <w:r>
        <w:fldChar w:fldCharType="end"/>
      </w:r>
      <w:r>
        <w:fldChar w:fldCharType="begin"/>
      </w:r>
      <w:r>
        <w:instrText xml:space="preserve"> HYPERLINK "https://www.playverto.com/welcome-to-play-verto"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helps people of all ages to discover their views, by expressing their opinions and feelings in the context and structure of a trusted web-based application. The Play Verto platform synthesises and reports back participants’ responses to its prompts and questions, thereby helping them to introspect and critique their ideas, and to compare their views with the views of others.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This acts as a digital catalyst, preparing people to participate in the democratic process: be that via vote, petition, opinion poll, submission of evidence or, crucially, in face-to-face conversation with other members of the community. By helping people to articulate their feelings, Play Verto also takes soundings of public wellbeing. Thus, it itself can gather data for policy research, which resemble an opinion poll.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26" w:line="250" w:lineRule="auto"/>
        <w:ind w:left="23" w:right="11" w:hanging="8"/>
        <w:jc w:val="both"/>
        <w:rPr>
          <w:rFonts w:ascii="Verdana" w:hAnsi="Verdana"/>
        </w:rPr>
      </w:pPr>
      <w:r w:rsidRPr="005B5CB6">
        <w:rPr>
          <w:rFonts w:ascii="Verdana" w:eastAsia="Verdana" w:hAnsi="Verdana" w:cs="Verdana"/>
        </w:rPr>
        <w:t>We illustrate this with a recent example of Play Verto in Action, named '</w:t>
      </w:r>
      <w:r>
        <w:fldChar w:fldCharType="begin"/>
      </w:r>
      <w:r>
        <w:instrText xml:space="preserve"> HYPERLINK "https://verto.global/myex" </w:instrText>
      </w:r>
      <w:r>
        <w:fldChar w:fldCharType="separate"/>
      </w:r>
      <w:r w:rsidRPr="005B5CB6">
        <w:rPr>
          <w:rFonts w:ascii="Verdana" w:eastAsia="Verdana" w:hAnsi="Verdana" w:cs="Verdana"/>
          <w:color w:val="0000FF"/>
          <w:u w:val="single" w:color="0000FF"/>
        </w:rPr>
        <w:t>My Ex</w:t>
      </w:r>
      <w:r>
        <w:fldChar w:fldCharType="end"/>
      </w:r>
      <w:r>
        <w:fldChar w:fldCharType="begin"/>
      </w:r>
      <w:r>
        <w:instrText xml:space="preserve"> HYPERLINK "https://verto.global/myex"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We can disentangle our proposals into two broad themes: assisting the public to participate confidently in our democracy, particularly in</w:t>
      </w:r>
      <w:r w:rsidRPr="005B5CB6">
        <w:rPr>
          <w:rFonts w:ascii="Verdana" w:eastAsia="Verdana" w:hAnsi="Verdana" w:cs="Verdana"/>
          <w:b/>
        </w:rPr>
        <w:t xml:space="preserve"> </w:t>
      </w:r>
      <w:r w:rsidRPr="005B5CB6">
        <w:rPr>
          <w:rFonts w:ascii="Verdana" w:eastAsia="Verdana" w:hAnsi="Verdana" w:cs="Verdana"/>
        </w:rPr>
        <w:t xml:space="preserve">formulating their views on </w:t>
      </w:r>
      <w:r w:rsidRPr="005B5CB6">
        <w:rPr>
          <w:rFonts w:ascii="Verdana" w:eastAsia="Verdana" w:hAnsi="Verdana" w:cs="Verdana"/>
        </w:rPr>
        <w:t xml:space="preserve">policy; and assisting policymakers, both politicians and civil servants, as they go about their work. In the first of these areas we can share our recent lived experience; while in the second, around policy-making, we share what we believe to be an essential vision for the future.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26" w:line="250" w:lineRule="auto"/>
        <w:ind w:left="11" w:hanging="10"/>
        <w:jc w:val="both"/>
        <w:rPr>
          <w:rFonts w:ascii="Verdana" w:hAnsi="Verdana"/>
        </w:rPr>
      </w:pPr>
      <w:r w:rsidRPr="005B5CB6">
        <w:rPr>
          <w:rFonts w:ascii="Verdana" w:eastAsia="Verdana" w:hAnsi="Verdana" w:cs="Verdana"/>
          <w:b/>
        </w:rPr>
        <w:t xml:space="preserve">Assisting the Public to Participate Confidently in our Democracy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According to </w:t>
      </w:r>
      <w:r>
        <w:fldChar w:fldCharType="begin"/>
      </w:r>
      <w:r>
        <w:instrText xml:space="preserve"> HYPERLINK "https://oxis.oii.ox.ac.uk/wp-content/uploads/sites/43/2019/09/OxIS-report-2019-final-digital-PDFA.pdf" </w:instrText>
      </w:r>
      <w:r>
        <w:fldChar w:fldCharType="separate"/>
      </w:r>
      <w:r w:rsidRPr="005B5CB6">
        <w:rPr>
          <w:rFonts w:ascii="Verdana" w:eastAsia="Verdana" w:hAnsi="Verdana" w:cs="Verdana"/>
          <w:color w:val="1155CC"/>
          <w:u w:val="single" w:color="1155CC"/>
        </w:rPr>
        <w:t>recent research</w:t>
      </w:r>
      <w:r>
        <w:fldChar w:fldCharType="end"/>
      </w:r>
      <w:r>
        <w:fldChar w:fldCharType="begin"/>
      </w:r>
      <w:r>
        <w:instrText xml:space="preserve"> HYPERLINK "https://oxis.oii.ox.ac.uk/wp-content/uploads/sites/43/2019/09/OxIS-report-2019-final-digital-PDFA.pdf"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by the Oxford Internet Institute, almost all British people under the age of 50 use the internet. </w:t>
      </w:r>
      <w:r>
        <w:fldChar w:fldCharType="begin"/>
      </w:r>
      <w:r>
        <w:instrText xml:space="preserve"> HYPERLINK "https://ukom.uk.net/insights/87-how-much-time-do-people-spend-online-each-day.php" </w:instrText>
      </w:r>
      <w:r>
        <w:fldChar w:fldCharType="separate"/>
      </w:r>
      <w:r w:rsidRPr="005B5CB6">
        <w:rPr>
          <w:rFonts w:ascii="Verdana" w:eastAsia="Verdana" w:hAnsi="Verdana" w:cs="Verdana"/>
          <w:color w:val="1155CC"/>
          <w:u w:val="single" w:color="1155CC"/>
        </w:rPr>
        <w:t>Other work</w:t>
      </w:r>
      <w:r>
        <w:fldChar w:fldCharType="end"/>
      </w:r>
      <w:r>
        <w:fldChar w:fldCharType="begin"/>
      </w:r>
      <w:r>
        <w:instrText xml:space="preserve"> HYPERLINK "https://ukom.uk.net/insights/87-how-much-time-do-people-spend-online-each-day.php"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finds that average daily online time for this group is around 3 hours. Further information is available from the </w:t>
      </w:r>
      <w:r>
        <w:fldChar w:fldCharType="begin"/>
      </w:r>
      <w:r>
        <w:instrText xml:space="preserve"> HYPERLINK "https://www.ons.gov.uk/businessindustryandtrade/itandinternetindustry/bulletins/internetusers/2018" </w:instrText>
      </w:r>
      <w:r>
        <w:fldChar w:fldCharType="separate"/>
      </w:r>
      <w:r w:rsidRPr="005B5CB6">
        <w:rPr>
          <w:rFonts w:ascii="Verdana" w:eastAsia="Verdana" w:hAnsi="Verdana" w:cs="Verdana"/>
          <w:color w:val="1155CC"/>
          <w:u w:val="single" w:color="1155CC"/>
        </w:rPr>
        <w:t>ONS</w:t>
      </w:r>
      <w:r>
        <w:fldChar w:fldCharType="end"/>
      </w:r>
      <w:r>
        <w:fldChar w:fldCharType="begin"/>
      </w:r>
      <w:r>
        <w:instrText xml:space="preserve"> HYPERLINK "https://www.ons.gov.uk/businessindustryandtrade/itandinternetindustry/bulletins/internetusers/2018"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We see the power of online in recent registrations to vote. Online registration activity </w:t>
      </w:r>
      <w:r>
        <w:fldChar w:fldCharType="begin"/>
      </w:r>
      <w:r>
        <w:instrText xml:space="preserve"> HYPERLINK "https://www.gov.uk/performance/register-to-vote/registrations-breakdown" </w:instrText>
      </w:r>
      <w:r>
        <w:fldChar w:fldCharType="separate"/>
      </w:r>
      <w:r w:rsidRPr="005B5CB6">
        <w:rPr>
          <w:rFonts w:ascii="Verdana" w:eastAsia="Verdana" w:hAnsi="Verdana" w:cs="Verdana"/>
          <w:color w:val="1155CC"/>
          <w:u w:val="single" w:color="1155CC"/>
        </w:rPr>
        <w:t>spiked</w:t>
      </w:r>
      <w:r>
        <w:fldChar w:fldCharType="end"/>
      </w:r>
      <w:r>
        <w:fldChar w:fldCharType="begin"/>
      </w:r>
      <w:r>
        <w:instrText xml:space="preserve"> HYPERLINK "https://www.gov.uk/performance/register-to-vote/registrations-breakdown"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on news in September 2019 of an </w:t>
      </w:r>
      <w:r>
        <w:fldChar w:fldCharType="begin"/>
      </w:r>
      <w:r>
        <w:instrText xml:space="preserve"> HYPERLINK "https://www.theguardian.com/politics/2019/sep/04/more-than-100000-people-apply-register-vote-youth-uk-general-election" </w:instrText>
      </w:r>
      <w:r>
        <w:fldChar w:fldCharType="separate"/>
      </w:r>
      <w:r w:rsidRPr="005B5CB6">
        <w:rPr>
          <w:rFonts w:ascii="Verdana" w:eastAsia="Verdana" w:hAnsi="Verdana" w:cs="Verdana"/>
          <w:color w:val="1155CC"/>
          <w:u w:val="single" w:color="1155CC"/>
        </w:rPr>
        <w:t>imminent election</w:t>
      </w:r>
      <w:r>
        <w:fldChar w:fldCharType="end"/>
      </w:r>
      <w:r>
        <w:fldChar w:fldCharType="begin"/>
      </w:r>
      <w:r>
        <w:instrText xml:space="preserve"> HYPERLINK "https://www.theguardian.com/politics/2019/sep/04/more-than-100000-people-apply-register-vote-youth-uk-general-election"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but paper applications remained stable.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25" w:line="250" w:lineRule="auto"/>
        <w:ind w:left="23" w:right="11" w:hanging="8"/>
        <w:jc w:val="both"/>
        <w:rPr>
          <w:rFonts w:ascii="Verdana" w:hAnsi="Verdana"/>
        </w:rPr>
      </w:pPr>
      <w:r w:rsidRPr="005B5CB6">
        <w:rPr>
          <w:rFonts w:ascii="Verdana" w:eastAsia="Verdana" w:hAnsi="Verdana" w:cs="Verdana"/>
        </w:rPr>
        <w:t xml:space="preserve">This has implications for government and for civil society: it implies that the internet is a Forum where </w:t>
      </w:r>
      <w:r w:rsidRPr="005B5CB6">
        <w:rPr>
          <w:rFonts w:ascii="Verdana" w:eastAsia="Verdana" w:hAnsi="Verdana" w:cs="Verdana"/>
          <w:b/>
        </w:rPr>
        <w:t>we must now go and be active</w:t>
      </w:r>
      <w:r w:rsidRPr="005B5CB6">
        <w:rPr>
          <w:rFonts w:ascii="Verdana" w:eastAsia="Verdana" w:hAnsi="Verdana" w:cs="Verdana"/>
        </w:rPr>
        <w:t xml:space="preserve">, to serve British democracy.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We want to demonstrate that Play Verto and other parts of civil society can thrive in that Forum, earning and achieving a level of accountable trust and intimacy, which can transform our politics for the better, igniting active citizenship where there is a democratic deficit.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We illustrate this with simple findings from a recent pilot campaign launched by Play Verto, named 'My Ex'. In this work, we released thought-provoking content via social media, which presented calls-to-action to click through and participate in an online game. The game helped players to shape and express their views on social issues close to them.  We draw the Committee’s attention to a striking</w:t>
      </w:r>
      <w:r w:rsidRPr="005B5CB6">
        <w:rPr>
          <w:rFonts w:ascii="Verdana" w:eastAsia="Verdana" w:hAnsi="Verdana" w:cs="Verdana"/>
          <w:color w:val="0000FF"/>
        </w:rPr>
        <w:t xml:space="preserve"> </w:t>
      </w:r>
      <w:r>
        <w:fldChar w:fldCharType="begin"/>
      </w:r>
      <w:r>
        <w:instrText xml:space="preserve"> HYPERLINK "https://drive.google.com/file/d/13_MAZjV0TOV2bVo_6AOBiwbJ5Y7fzd__/view?usp=sharing" </w:instrText>
      </w:r>
      <w:r>
        <w:fldChar w:fldCharType="separate"/>
      </w:r>
      <w:r w:rsidRPr="005B5CB6">
        <w:rPr>
          <w:rFonts w:ascii="Verdana" w:eastAsia="Verdana" w:hAnsi="Verdana" w:cs="Verdana"/>
          <w:color w:val="0000FF"/>
          <w:u w:val="single" w:color="0000FF"/>
        </w:rPr>
        <w:t>infographic</w:t>
      </w:r>
      <w:r>
        <w:fldChar w:fldCharType="end"/>
      </w:r>
      <w:r>
        <w:fldChar w:fldCharType="begin"/>
      </w:r>
      <w:r>
        <w:instrText xml:space="preserve"> HYPERLINK "https://drive.google.com/file/d/13_MAZjV0TOV2bVo_6AOBiwbJ5Y7fzd__/view?usp=sharing" </w:instrText>
      </w:r>
      <w:r>
        <w:fldChar w:fldCharType="separate"/>
      </w:r>
      <w:r w:rsidRPr="005B5CB6">
        <w:rPr>
          <w:rFonts w:ascii="Verdana" w:eastAsia="Verdana" w:hAnsi="Verdana" w:cs="Verdana"/>
          <w:color w:val="0000FF"/>
        </w:rPr>
        <w:t xml:space="preserve"> </w:t>
      </w:r>
      <w:r>
        <w:fldChar w:fldCharType="end"/>
      </w:r>
      <w:r w:rsidRPr="005B5CB6">
        <w:rPr>
          <w:rFonts w:ascii="Verdana" w:eastAsia="Verdana" w:hAnsi="Verdana" w:cs="Verdana"/>
        </w:rPr>
        <w:t xml:space="preserve">assembling some of My Ex’s results.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If, as a member of the public, you try My Ex, then once you have completed a series of gamified questions - and made an informed decision to release your data - you get a chance to introspect. ‘My Ex’ mirrors your views back to you, offering the chance to really look at them and consider, “Why do I think that way?”, “How is my opinion formed?”, “What does that look like in reality?”, and crucially “How do I play a role in making that reality if I so desire it that much?”.  </w:t>
      </w:r>
    </w:p>
    <w:p w:rsidR="00FB0B24" w:rsidRPr="005B5CB6" w:rsidP="003255A4">
      <w:pPr>
        <w:spacing w:after="0"/>
        <w:jc w:val="both"/>
        <w:rPr>
          <w:rFonts w:ascii="Verdana" w:hAnsi="Verdana"/>
        </w:rPr>
      </w:pPr>
      <w:r w:rsidRPr="005B5CB6">
        <w:rPr>
          <w:rFonts w:ascii="Verdana" w:eastAsia="Verdana" w:hAnsi="Verdana" w:cs="Verdana"/>
        </w:rPr>
        <w:t xml:space="preserve"> </w:t>
      </w:r>
    </w:p>
    <w:p w:rsidR="00FB0B24" w:rsidRPr="005B5CB6" w:rsidP="003255A4">
      <w:pPr>
        <w:pBdr>
          <w:top w:val="single" w:sz="8" w:space="0" w:color="000000"/>
          <w:left w:val="single" w:sz="8" w:space="0" w:color="000000"/>
          <w:bottom w:val="single" w:sz="8" w:space="0" w:color="000000"/>
          <w:right w:val="single" w:sz="8" w:space="0" w:color="000000"/>
        </w:pBdr>
        <w:spacing w:after="17"/>
        <w:ind w:left="194"/>
        <w:jc w:val="both"/>
        <w:rPr>
          <w:rFonts w:ascii="Verdana" w:hAnsi="Verdana"/>
        </w:rPr>
      </w:pPr>
      <w:r w:rsidRPr="005B5CB6">
        <w:rPr>
          <w:rFonts w:ascii="Verdana" w:eastAsia="Verdana" w:hAnsi="Verdana" w:cs="Verdana"/>
          <w:b/>
        </w:rPr>
        <w:t>‘Clickbait for the general good’.</w:t>
      </w:r>
      <w:r w:rsidRPr="005B5CB6">
        <w:rPr>
          <w:rFonts w:ascii="Verdana" w:eastAsia="Verdana" w:hAnsi="Verdana" w:cs="Verdana"/>
        </w:rPr>
        <w:t xml:space="preserve"> </w:t>
      </w:r>
    </w:p>
    <w:p w:rsidR="00FB0B24" w:rsidRPr="005B5CB6" w:rsidP="003255A4">
      <w:pPr>
        <w:pBdr>
          <w:top w:val="single" w:sz="8" w:space="0" w:color="000000"/>
          <w:left w:val="single" w:sz="8" w:space="0" w:color="000000"/>
          <w:bottom w:val="single" w:sz="8" w:space="0" w:color="000000"/>
          <w:right w:val="single" w:sz="8" w:space="0" w:color="000000"/>
        </w:pBdr>
        <w:spacing w:after="17"/>
        <w:ind w:left="194"/>
        <w:jc w:val="both"/>
        <w:rPr>
          <w:rFonts w:ascii="Verdana" w:hAnsi="Verdana"/>
        </w:rPr>
      </w:pPr>
      <w:r w:rsidRPr="005B5CB6">
        <w:rPr>
          <w:rFonts w:ascii="Verdana" w:eastAsia="Verdana" w:hAnsi="Verdana" w:cs="Verdana"/>
        </w:rPr>
        <w:t xml:space="preserve"> </w:t>
      </w:r>
    </w:p>
    <w:p w:rsidR="00FB0B24" w:rsidRPr="005B5CB6" w:rsidP="003255A4">
      <w:pPr>
        <w:pBdr>
          <w:top w:val="single" w:sz="8" w:space="0" w:color="000000"/>
          <w:left w:val="single" w:sz="8" w:space="0" w:color="000000"/>
          <w:bottom w:val="single" w:sz="8" w:space="0" w:color="000000"/>
          <w:right w:val="single" w:sz="8" w:space="0" w:color="000000"/>
        </w:pBdr>
        <w:spacing w:after="2" w:line="274" w:lineRule="auto"/>
        <w:ind w:left="204" w:hanging="10"/>
        <w:jc w:val="both"/>
        <w:rPr>
          <w:rFonts w:ascii="Verdana" w:hAnsi="Verdana"/>
        </w:rPr>
      </w:pPr>
      <w:r w:rsidRPr="005B5CB6">
        <w:rPr>
          <w:rFonts w:ascii="Verdana" w:eastAsia="Verdana" w:hAnsi="Verdana" w:cs="Verdana"/>
        </w:rPr>
        <w:t xml:space="preserve">We titled our campaign pilot game ‘My Ex’, as a lure for engagement. It suggests to players that  they may be discussing their ex-lover, partner, boyfriend or girlfriend.  </w:t>
      </w:r>
    </w:p>
    <w:p w:rsidR="00FB0B24" w:rsidRPr="005B5CB6" w:rsidP="003255A4">
      <w:pPr>
        <w:pBdr>
          <w:top w:val="single" w:sz="8" w:space="0" w:color="000000"/>
          <w:left w:val="single" w:sz="8" w:space="0" w:color="000000"/>
          <w:bottom w:val="single" w:sz="8" w:space="0" w:color="000000"/>
          <w:right w:val="single" w:sz="8" w:space="0" w:color="000000"/>
        </w:pBdr>
        <w:spacing w:after="17"/>
        <w:ind w:left="194"/>
        <w:jc w:val="both"/>
        <w:rPr>
          <w:rFonts w:ascii="Verdana" w:hAnsi="Verdana"/>
        </w:rPr>
      </w:pPr>
      <w:r w:rsidRPr="005B5CB6">
        <w:rPr>
          <w:rFonts w:ascii="Verdana" w:eastAsia="Verdana" w:hAnsi="Verdana" w:cs="Verdana"/>
        </w:rPr>
        <w:t xml:space="preserve"> </w:t>
      </w:r>
    </w:p>
    <w:p w:rsidR="00FB0B24" w:rsidRPr="005B5CB6" w:rsidP="003255A4">
      <w:pPr>
        <w:pBdr>
          <w:top w:val="single" w:sz="8" w:space="0" w:color="000000"/>
          <w:left w:val="single" w:sz="8" w:space="0" w:color="000000"/>
          <w:bottom w:val="single" w:sz="8" w:space="0" w:color="000000"/>
          <w:right w:val="single" w:sz="8" w:space="0" w:color="000000"/>
        </w:pBdr>
        <w:spacing w:after="120" w:line="274" w:lineRule="auto"/>
        <w:ind w:left="204" w:hanging="10"/>
        <w:jc w:val="both"/>
        <w:rPr>
          <w:rFonts w:ascii="Verdana" w:hAnsi="Verdana"/>
        </w:rPr>
      </w:pPr>
      <w:r w:rsidRPr="005B5CB6">
        <w:rPr>
          <w:rFonts w:ascii="Verdana" w:eastAsia="Verdana" w:hAnsi="Verdana" w:cs="Verdana"/>
        </w:rPr>
        <w:t>But in fact, “Ex” will stand for “Experience” - as they will discover when they reach the game.</w:t>
      </w:r>
      <w:r w:rsidRPr="005B5CB6">
        <w:rPr>
          <w:rFonts w:ascii="Verdana" w:eastAsia="Verdana" w:hAnsi="Verdana" w:cs="Verdana"/>
          <w:b/>
        </w:rPr>
        <w:t xml:space="preserv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26" w:line="249" w:lineRule="auto"/>
        <w:ind w:left="10" w:right="12" w:hanging="9"/>
        <w:jc w:val="both"/>
        <w:rPr>
          <w:rFonts w:ascii="Verdana" w:hAnsi="Verdana"/>
        </w:rPr>
      </w:pPr>
      <w:r w:rsidRPr="005B5CB6">
        <w:rPr>
          <w:rFonts w:ascii="Verdana" w:eastAsia="Verdana" w:hAnsi="Verdana" w:cs="Verdana"/>
        </w:rPr>
        <w:t xml:space="preserve">To prepare this experience, our first step was to bring one hundred diverse 14 - 26 year olds together, using play-based experiences as a catalyst to draw out qualitative insights around issues and solutions close to them. This resulted in 300 pages of transcripts which we distilled into key trends.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50" w:lineRule="auto"/>
        <w:ind w:left="23" w:right="11" w:hanging="8"/>
        <w:jc w:val="both"/>
        <w:rPr>
          <w:rFonts w:ascii="Verdana" w:hAnsi="Verdana"/>
        </w:rPr>
      </w:pPr>
      <w:r w:rsidRPr="005B5CB6">
        <w:rPr>
          <w:rFonts w:ascii="Verdana" w:eastAsia="Verdana" w:hAnsi="Verdana" w:cs="Verdana"/>
        </w:rPr>
        <w:t xml:space="preserve">We then used the Play Verto gamified platform to reach larger numbers of people around those key trends. We had almost 7,500 players, with an 82% completion rate.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With My Ex, we set out to use social media in order to assist the public in new ways. In the following section we will go on to argue that this medium must also become a resource for government and civil servants. It can enable them to draw direct research from ‘those deemed most affected’ by a particular policy under review or design. A crucial benefit of this is to give meaning for the respondent, and to demonstrate their ability to have an impact. </w:t>
      </w:r>
    </w:p>
    <w:p w:rsidR="00FB0B24" w:rsidRPr="005B5CB6" w:rsidP="003255A4">
      <w:pPr>
        <w:spacing w:after="20"/>
        <w:jc w:val="both"/>
        <w:rPr>
          <w:rFonts w:ascii="Verdana" w:hAnsi="Verdana"/>
        </w:rPr>
      </w:pPr>
      <w:r w:rsidRPr="005B5CB6">
        <w:rPr>
          <w:rFonts w:ascii="Verdana" w:eastAsia="Verdana" w:hAnsi="Verdana" w:cs="Verdana"/>
        </w:rPr>
        <w:t xml:space="preserve"> </w:t>
      </w:r>
    </w:p>
    <w:p w:rsidR="00FB0B24" w:rsidRPr="005B5CB6" w:rsidP="003255A4">
      <w:pPr>
        <w:spacing w:after="86" w:line="250" w:lineRule="auto"/>
        <w:ind w:left="11" w:hanging="10"/>
        <w:jc w:val="both"/>
        <w:rPr>
          <w:rFonts w:ascii="Verdana" w:hAnsi="Verdana"/>
        </w:rPr>
      </w:pPr>
      <w:r w:rsidRPr="005B5CB6">
        <w:rPr>
          <w:rFonts w:ascii="Verdana" w:eastAsia="Verdana" w:hAnsi="Verdana" w:cs="Verdana"/>
          <w:b/>
        </w:rPr>
        <w:t xml:space="preserve">Assisting Policy-makers as they Go about their Work </w:t>
      </w:r>
    </w:p>
    <w:p w:rsidR="00FB0B24" w:rsidRPr="005B5CB6" w:rsidP="003255A4">
      <w:pPr>
        <w:spacing w:after="77"/>
        <w:jc w:val="both"/>
        <w:rPr>
          <w:rFonts w:ascii="Verdana" w:hAnsi="Verdana"/>
        </w:rPr>
      </w:pPr>
      <w:r w:rsidRPr="005B5CB6">
        <w:rPr>
          <w:rFonts w:ascii="Verdana" w:eastAsia="Verdana" w:hAnsi="Verdana" w:cs="Verdana"/>
        </w:rPr>
        <w:t xml:space="preserve">  </w:t>
      </w:r>
    </w:p>
    <w:p w:rsidR="00FB0B24" w:rsidRPr="005B5CB6" w:rsidP="003255A4">
      <w:pPr>
        <w:spacing w:after="28" w:line="249" w:lineRule="auto"/>
        <w:ind w:left="10" w:right="12" w:hanging="9"/>
        <w:jc w:val="both"/>
        <w:rPr>
          <w:rFonts w:ascii="Verdana" w:hAnsi="Verdana"/>
        </w:rPr>
      </w:pPr>
      <w:r w:rsidRPr="005B5CB6">
        <w:rPr>
          <w:rFonts w:ascii="Verdana" w:eastAsia="Verdana" w:hAnsi="Verdana" w:cs="Verdana"/>
        </w:rPr>
        <w:t xml:space="preserve">Policy-makers engage in detailed strategic analysis of issues for society, in order to find, design, and implement solutions for all our benefit. Some governments set out best practices for this work. For example, in its Green Book, HM Treasury provides widely-applicable guidance, highlighting tools such as Social Cost Benefit Analysis. </w:t>
      </w:r>
    </w:p>
    <w:p w:rsidR="00FB0B24" w:rsidRPr="005B5CB6" w:rsidP="003255A4">
      <w:pPr>
        <w:spacing w:after="75"/>
        <w:jc w:val="both"/>
        <w:rPr>
          <w:rFonts w:ascii="Verdana" w:hAnsi="Verdana"/>
        </w:rPr>
      </w:pPr>
      <w:r w:rsidRPr="005B5CB6">
        <w:rPr>
          <w:rFonts w:ascii="Verdana" w:eastAsia="Verdana" w:hAnsi="Verdana" w:cs="Verdana"/>
        </w:rPr>
        <w:t xml:space="preserve"> </w:t>
      </w:r>
    </w:p>
    <w:p w:rsidR="00FB0B24" w:rsidRPr="005B5CB6" w:rsidP="003255A4">
      <w:pPr>
        <w:spacing w:after="26" w:line="249" w:lineRule="auto"/>
        <w:ind w:left="10" w:right="12" w:hanging="9"/>
        <w:jc w:val="both"/>
        <w:rPr>
          <w:rFonts w:ascii="Verdana" w:hAnsi="Verdana"/>
        </w:rPr>
      </w:pPr>
      <w:r w:rsidRPr="005B5CB6">
        <w:rPr>
          <w:rFonts w:ascii="Verdana" w:eastAsia="Verdana" w:hAnsi="Verdana" w:cs="Verdana"/>
        </w:rPr>
        <w:t xml:space="preserve">We propose that HM Government guidance be updated, to </w:t>
      </w:r>
      <w:r w:rsidRPr="005B5CB6">
        <w:rPr>
          <w:rFonts w:ascii="Verdana" w:eastAsia="Verdana" w:hAnsi="Verdana" w:cs="Verdana"/>
          <w:b/>
        </w:rPr>
        <w:t>embed online consultation in its toolkit for assessing policies</w:t>
      </w:r>
      <w:r w:rsidRPr="005B5CB6">
        <w:rPr>
          <w:rFonts w:ascii="Verdana" w:eastAsia="Verdana" w:hAnsi="Verdana" w:cs="Verdana"/>
        </w:rPr>
        <w:t xml:space="preserve">. This is now timely because both our know-how, and the public's familiarity with digital, have grown - both at Play Verto and elsewhere. We now know how to reach into our large, digitally-literate population; and how to make answering our questions convenient, enlightening, freely volunteered, and enjoyable. </w:t>
      </w:r>
    </w:p>
    <w:p w:rsidR="00FB0B24" w:rsidRPr="005B5CB6" w:rsidP="003255A4">
      <w:pPr>
        <w:spacing w:after="77"/>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In our case, we find we can produce information which, although unlikely to have the balanced-sampling qualities of an opinion poll, gains in depth and insight because of a high level of engagement. When measured against other surveying methods, we can evidence, for example, impressive survey-completion rates.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There are several advantages to this: giving affected people a way to contribute to its design is more likely to deliver an adaptive and effective policy, which is more likely to be popular. Once established, this practice can help cement trust in government and politics. In cases where the results of such consultations are returned to citizens, we can give them a rough idea of how many others support or </w:t>
      </w:r>
      <w:r w:rsidRPr="005B5CB6">
        <w:rPr>
          <w:rFonts w:ascii="Verdana" w:eastAsia="Verdana" w:hAnsi="Verdana" w:cs="Verdana"/>
        </w:rPr>
        <w:t xml:space="preserve">share their ideas, bolstering their confidence to express their views. Finally, all this supports democratic activity, and motivates continued civic engagement, during the lulls away from spikes in the democratic cycle. </w:t>
      </w:r>
    </w:p>
    <w:p w:rsidR="00FB0B24" w:rsidRPr="005B5CB6" w:rsidP="003255A4">
      <w:pPr>
        <w:spacing w:after="17"/>
        <w:jc w:val="both"/>
        <w:rPr>
          <w:rFonts w:ascii="Verdana" w:hAnsi="Verdana"/>
        </w:rPr>
      </w:pPr>
      <w:r w:rsidRPr="005B5CB6">
        <w:rPr>
          <w:rFonts w:ascii="Verdana" w:eastAsia="Verdana" w:hAnsi="Verdana" w:cs="Verdana"/>
          <w:b/>
        </w:rPr>
        <w:t xml:space="preserve"> </w:t>
      </w:r>
    </w:p>
    <w:p w:rsidR="00FB0B24" w:rsidRPr="005B5CB6" w:rsidP="003255A4">
      <w:pPr>
        <w:spacing w:after="52" w:line="249" w:lineRule="auto"/>
        <w:ind w:left="10" w:right="12" w:hanging="9"/>
        <w:jc w:val="both"/>
        <w:rPr>
          <w:rFonts w:ascii="Verdana" w:hAnsi="Verdana"/>
        </w:rPr>
      </w:pPr>
      <w:r w:rsidRPr="005B5CB6">
        <w:rPr>
          <w:rFonts w:ascii="Verdana" w:eastAsia="Verdana" w:hAnsi="Verdana" w:cs="Verdana"/>
        </w:rPr>
        <w:t>We conclude by applying our ideas to a topical example. In the Spring Statement of 13 March 2019, the Government announced that it will support a new scheme to provide free sanitary products in secondary schools and further education colleges</w:t>
      </w:r>
      <w:r>
        <w:rPr>
          <w:rFonts w:ascii="Verdana" w:eastAsia="Verdana" w:hAnsi="Verdana" w:cs="Verdana"/>
          <w:vertAlign w:val="superscript"/>
        </w:rPr>
        <w:footnoteReference w:id="135"/>
      </w:r>
      <w:r w:rsidRPr="005B5CB6">
        <w:rPr>
          <w:rFonts w:ascii="Verdana" w:eastAsia="Verdana" w:hAnsi="Verdana" w:cs="Verdana"/>
        </w:rPr>
        <w:t xml:space="preserve">. </w:t>
      </w:r>
    </w:p>
    <w:p w:rsidR="00FB0B24" w:rsidRPr="005B5CB6" w:rsidP="003255A4">
      <w:pPr>
        <w:spacing w:after="17"/>
        <w:jc w:val="both"/>
        <w:rPr>
          <w:rFonts w:ascii="Verdana" w:hAnsi="Verdana"/>
        </w:rPr>
      </w:pPr>
      <w:r w:rsidRPr="005B5CB6">
        <w:rPr>
          <w:rFonts w:ascii="Verdana" w:eastAsia="Verdana" w:hAnsi="Verdana" w:cs="Verdana"/>
          <w:b/>
        </w:rPr>
        <w:t xml:space="preserve">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The announcement will be followed by a design and implementation phase. In this phase, offerings such as Play Verto present Parliament and civil servants with a new opportunity to consult directly with those most affected. We know that by using technology to gather the insights of young people - of young women in this case - we can provide them with a much better practical implementation. Here this may mean greater comfort, confidence, privacy and ease. Authorities can earn greater trust; and this paves the way for success to be attributed to all involved, most notably to citizens and political leaders. </w:t>
      </w:r>
    </w:p>
    <w:p w:rsidR="00FB0B24" w:rsidRPr="005B5CB6" w:rsidP="003255A4">
      <w:pPr>
        <w:spacing w:after="18"/>
        <w:jc w:val="both"/>
        <w:rPr>
          <w:rFonts w:ascii="Verdana" w:hAnsi="Verdana"/>
        </w:rPr>
      </w:pPr>
      <w:r w:rsidRPr="005B5CB6">
        <w:rPr>
          <w:rFonts w:ascii="Verdana" w:eastAsia="Verdana" w:hAnsi="Verdana" w:cs="Verdana"/>
          <w:b/>
        </w:rPr>
        <w:t xml:space="preserve"> </w:t>
      </w:r>
    </w:p>
    <w:p w:rsidR="00FB0B24" w:rsidRPr="005B5CB6" w:rsidP="003255A4">
      <w:pPr>
        <w:spacing w:after="17"/>
        <w:jc w:val="both"/>
        <w:rPr>
          <w:rFonts w:ascii="Verdana" w:hAnsi="Verdana"/>
        </w:rPr>
      </w:pPr>
      <w:r w:rsidRPr="005B5CB6">
        <w:rPr>
          <w:rFonts w:ascii="Verdana" w:eastAsia="Verdana" w:hAnsi="Verdana" w:cs="Verdana"/>
          <w:b/>
          <w:color w:val="0000FF"/>
        </w:rPr>
        <w:t xml:space="preserv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17"/>
        <w:jc w:val="both"/>
        <w:rPr>
          <w:rFonts w:ascii="Verdana" w:hAnsi="Verdana"/>
        </w:rPr>
      </w:pPr>
      <w:r w:rsidRPr="005B5CB6">
        <w:rPr>
          <w:rFonts w:ascii="Verdana" w:eastAsia="Verdana" w:hAnsi="Verdana" w:cs="Verdana"/>
        </w:rPr>
        <w:t xml:space="preserve"> </w:t>
      </w:r>
    </w:p>
    <w:p w:rsidR="00FB0B24" w:rsidRPr="005B5CB6" w:rsidP="003255A4">
      <w:pPr>
        <w:spacing w:after="219"/>
        <w:jc w:val="both"/>
        <w:rPr>
          <w:rFonts w:ascii="Verdana" w:hAnsi="Verdana"/>
        </w:rPr>
      </w:pPr>
      <w:r w:rsidRPr="005B5CB6">
        <w:rPr>
          <w:rFonts w:ascii="Verdana" w:eastAsia="Verdana" w:hAnsi="Verdana" w:cs="Verdana"/>
        </w:rPr>
        <w:t xml:space="preserve"> </w:t>
      </w:r>
    </w:p>
    <w:p w:rsidR="00FB0B24" w:rsidRPr="005B5CB6" w:rsidP="003255A4">
      <w:pPr>
        <w:spacing w:after="216"/>
        <w:jc w:val="both"/>
        <w:rPr>
          <w:rFonts w:ascii="Verdana" w:hAnsi="Verdana"/>
        </w:rPr>
      </w:pPr>
      <w:r w:rsidRPr="005B5CB6">
        <w:rPr>
          <w:rFonts w:ascii="Verdana" w:eastAsia="Verdana" w:hAnsi="Verdana" w:cs="Verdana"/>
        </w:rPr>
        <w:t xml:space="preserve"> </w:t>
      </w:r>
    </w:p>
    <w:p w:rsidR="00FB0B24" w:rsidRPr="005B5CB6" w:rsidP="003255A4">
      <w:pPr>
        <w:spacing w:after="2391"/>
        <w:jc w:val="both"/>
        <w:rPr>
          <w:rFonts w:ascii="Verdana" w:hAnsi="Verdana"/>
        </w:rPr>
      </w:pPr>
      <w:r w:rsidRPr="005B5CB6">
        <w:rPr>
          <w:rFonts w:ascii="Verdana" w:eastAsia="Verdana" w:hAnsi="Verdana" w:cs="Verdana"/>
        </w:rPr>
        <w:t xml:space="preserve"> </w:t>
      </w:r>
    </w:p>
    <w:p w:rsidR="00FB0B24" w:rsidRPr="005B5CB6" w:rsidP="003255A4">
      <w:pPr>
        <w:spacing w:after="0"/>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31509" name="Group 53150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622" name="Shape 63562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59" style="height:0.6pt;mso-position-horizontal-relative:char;mso-position-vertical-relative:line;width:2in" coordsize="18288,76">
                <v:shape id="_x0000_s1160"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3255A4">
      <w:pPr>
        <w:jc w:val="both"/>
        <w:rPr>
          <w:rFonts w:ascii="Verdana" w:hAnsi="Verdana"/>
        </w:rPr>
        <w:sectPr w:rsidSect="00A047E5">
          <w:headerReference w:type="even" r:id="rId141"/>
          <w:headerReference w:type="default" r:id="rId142"/>
          <w:footerReference w:type="even" r:id="rId143"/>
          <w:footerReference w:type="default" r:id="rId144"/>
          <w:headerReference w:type="first" r:id="rId145"/>
          <w:footerReference w:type="first" r:id="rId146"/>
          <w:pgSz w:w="12240" w:h="15840"/>
          <w:pgMar w:top="1492" w:right="1436" w:bottom="1440" w:left="1440" w:header="720" w:footer="719" w:gutter="0"/>
          <w:cols w:space="720"/>
        </w:sectPr>
      </w:pPr>
    </w:p>
    <w:p w:rsidR="00FB0B24" w:rsidRPr="005B5CB6" w:rsidP="00A1624B">
      <w:pPr>
        <w:pStyle w:val="Heading1"/>
        <w:rPr>
          <w:sz w:val="22"/>
        </w:rPr>
      </w:pPr>
      <w:bookmarkStart w:id="24" w:name="_Toc44517712"/>
      <w:r w:rsidRPr="005B5CB6">
        <w:rPr>
          <w:sz w:val="22"/>
        </w:rPr>
        <w:t>Advertising Standards Authority – written evidence (DAD0029)</w:t>
      </w:r>
      <w:bookmarkEnd w:id="24"/>
      <w:r w:rsidRPr="005B5CB6">
        <w:rPr>
          <w:sz w:val="22"/>
        </w:rPr>
        <w:t xml:space="preserve"> </w:t>
      </w:r>
    </w:p>
    <w:p w:rsidR="00FB0B24" w:rsidRPr="005B5CB6" w:rsidP="00A72806">
      <w:pPr>
        <w:spacing w:after="0"/>
        <w:ind w:left="430"/>
        <w:jc w:val="both"/>
        <w:rPr>
          <w:rFonts w:ascii="Verdana" w:hAnsi="Verdana"/>
        </w:rPr>
      </w:pPr>
      <w:r w:rsidRPr="005B5CB6">
        <w:rPr>
          <w:rFonts w:ascii="Verdana" w:hAnsi="Verdana"/>
        </w:rPr>
        <w:t xml:space="preserve"> </w:t>
      </w:r>
    </w:p>
    <w:tbl>
      <w:tblPr>
        <w:tblStyle w:val="TableGrid1"/>
        <w:tblW w:w="9084" w:type="dxa"/>
        <w:tblInd w:w="43" w:type="dxa"/>
        <w:tblCellMar>
          <w:top w:w="52" w:type="dxa"/>
          <w:left w:w="29" w:type="dxa"/>
          <w:right w:w="115" w:type="dxa"/>
        </w:tblCellMar>
        <w:tblLook w:val="04A0"/>
      </w:tblPr>
      <w:tblGrid>
        <w:gridCol w:w="288"/>
        <w:gridCol w:w="8796"/>
      </w:tblGrid>
      <w:tr>
        <w:tblPrEx>
          <w:tblW w:w="9084" w:type="dxa"/>
          <w:tblInd w:w="43" w:type="dxa"/>
          <w:tblCellMar>
            <w:top w:w="52" w:type="dxa"/>
            <w:left w:w="29" w:type="dxa"/>
            <w:right w:w="115" w:type="dxa"/>
          </w:tblCellMar>
          <w:tblLook w:val="04A0"/>
        </w:tblPrEx>
        <w:trPr>
          <w:trHeight w:val="269"/>
        </w:trPr>
        <w:tc>
          <w:tcPr>
            <w:tcW w:w="9084" w:type="dxa"/>
            <w:gridSpan w:val="2"/>
            <w:tcBorders>
              <w:top w:val="nil"/>
              <w:left w:val="nil"/>
              <w:bottom w:val="nil"/>
              <w:right w:val="nil"/>
            </w:tcBorders>
            <w:shd w:val="clear" w:color="auto" w:fill="D9D9D9"/>
          </w:tcPr>
          <w:p w:rsidR="00FB0B24" w:rsidRPr="005B5CB6" w:rsidP="00A72806">
            <w:pPr>
              <w:jc w:val="both"/>
              <w:rPr>
                <w:rFonts w:ascii="Verdana" w:hAnsi="Verdana"/>
              </w:rPr>
            </w:pPr>
            <w:r w:rsidRPr="005B5CB6">
              <w:rPr>
                <w:rFonts w:ascii="Verdana" w:eastAsia="Verdana" w:hAnsi="Verdana" w:cs="Verdana"/>
                <w:b/>
              </w:rPr>
              <w:t>1.</w:t>
            </w:r>
            <w:r w:rsidRPr="005B5CB6">
              <w:rPr>
                <w:rFonts w:ascii="Verdana" w:eastAsia="Arial" w:hAnsi="Verdana" w:cs="Arial"/>
                <w:b/>
              </w:rPr>
              <w:t xml:space="preserve"> </w:t>
            </w:r>
            <w:r w:rsidRPr="005B5CB6">
              <w:rPr>
                <w:rFonts w:ascii="Verdana" w:eastAsia="Verdana" w:hAnsi="Verdana" w:cs="Verdana"/>
                <w:b/>
              </w:rPr>
              <w:t xml:space="preserve">Background and Introduction </w:t>
            </w:r>
          </w:p>
        </w:tc>
      </w:tr>
      <w:tr>
        <w:tblPrEx>
          <w:tblW w:w="9084" w:type="dxa"/>
          <w:tblInd w:w="43" w:type="dxa"/>
          <w:tblCellMar>
            <w:top w:w="52" w:type="dxa"/>
            <w:left w:w="29" w:type="dxa"/>
            <w:right w:w="115" w:type="dxa"/>
          </w:tblCellMar>
          <w:tblLook w:val="04A0"/>
        </w:tblPrEx>
        <w:trPr>
          <w:trHeight w:val="266"/>
        </w:trPr>
        <w:tc>
          <w:tcPr>
            <w:tcW w:w="288" w:type="dxa"/>
            <w:tcBorders>
              <w:top w:val="nil"/>
              <w:left w:val="nil"/>
              <w:bottom w:val="nil"/>
              <w:right w:val="nil"/>
            </w:tcBorders>
          </w:tcPr>
          <w:p w:rsidR="00FB0B24" w:rsidRPr="005B5CB6" w:rsidP="00A72806">
            <w:pPr>
              <w:jc w:val="both"/>
              <w:rPr>
                <w:rFonts w:ascii="Verdana" w:hAnsi="Verdana"/>
              </w:rPr>
            </w:pPr>
          </w:p>
        </w:tc>
        <w:tc>
          <w:tcPr>
            <w:tcW w:w="8796" w:type="dxa"/>
            <w:tcBorders>
              <w:top w:val="nil"/>
              <w:left w:val="nil"/>
              <w:bottom w:val="nil"/>
              <w:right w:val="nil"/>
            </w:tcBorders>
            <w:shd w:val="clear" w:color="auto" w:fill="FFFFFF"/>
          </w:tcPr>
          <w:p w:rsidR="00FB0B24" w:rsidRPr="005B5CB6" w:rsidP="00A72806">
            <w:pPr>
              <w:jc w:val="both"/>
              <w:rPr>
                <w:rFonts w:ascii="Verdana" w:hAnsi="Verdana"/>
              </w:rPr>
            </w:pPr>
            <w:r w:rsidRPr="005B5CB6">
              <w:rPr>
                <w:rFonts w:ascii="Verdana" w:eastAsia="Verdana" w:hAnsi="Verdana" w:cs="Verdana"/>
                <w:b/>
              </w:rPr>
              <w:t xml:space="preserve"> </w:t>
            </w:r>
          </w:p>
        </w:tc>
      </w:tr>
    </w:tbl>
    <w:p w:rsidR="00FB0B24" w:rsidRPr="005B5CB6" w:rsidP="00A72806">
      <w:pPr>
        <w:spacing w:after="5" w:line="250" w:lineRule="auto"/>
        <w:ind w:left="1074" w:right="11" w:hanging="8"/>
        <w:jc w:val="both"/>
        <w:rPr>
          <w:rFonts w:ascii="Verdana" w:hAnsi="Verdana"/>
        </w:rPr>
      </w:pPr>
      <w:r w:rsidRPr="005B5CB6">
        <w:rPr>
          <w:rFonts w:ascii="Verdana" w:eastAsia="Verdana" w:hAnsi="Verdana" w:cs="Verdana"/>
        </w:rPr>
        <w:t>1.1.</w:t>
      </w:r>
      <w:r w:rsidRPr="005B5CB6">
        <w:rPr>
          <w:rFonts w:ascii="Verdana" w:eastAsia="Arial" w:hAnsi="Verdana" w:cs="Arial"/>
        </w:rPr>
        <w:t xml:space="preserve"> </w:t>
      </w:r>
      <w:r w:rsidRPr="005B5CB6">
        <w:rPr>
          <w:rFonts w:ascii="Verdana" w:eastAsia="Verdana" w:hAnsi="Verdana" w:cs="Verdana"/>
        </w:rPr>
        <w:t xml:space="preserve">This submission is provided by the Advertising Standards Authority </w:t>
      </w:r>
    </w:p>
    <w:p w:rsidR="00FB0B24" w:rsidRPr="005B5CB6" w:rsidP="00A72806">
      <w:pPr>
        <w:spacing w:after="5" w:line="250" w:lineRule="auto"/>
        <w:ind w:left="1506" w:right="11" w:hanging="8"/>
        <w:jc w:val="both"/>
        <w:rPr>
          <w:rFonts w:ascii="Verdana" w:hAnsi="Verdana"/>
        </w:rPr>
      </w:pPr>
      <w:r w:rsidRPr="005B5CB6">
        <w:rPr>
          <w:rFonts w:ascii="Verdana" w:eastAsia="Verdana" w:hAnsi="Verdana" w:cs="Verdana"/>
        </w:rPr>
        <w:t xml:space="preserve">(ASA), the Committee of Advertising Practice (CAP) and the Broadcast Committee of Advertising Practice (BCAP) – the ‘ASA system.’ </w:t>
      </w:r>
    </w:p>
    <w:p w:rsidR="00FB0B24" w:rsidRPr="005B5CB6" w:rsidP="00A72806">
      <w:pPr>
        <w:spacing w:after="0"/>
        <w:ind w:left="432"/>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498" w:right="11" w:hanging="432"/>
        <w:jc w:val="both"/>
        <w:rPr>
          <w:rFonts w:ascii="Verdana" w:hAnsi="Verdana"/>
        </w:rPr>
      </w:pPr>
      <w:r w:rsidRPr="005B5CB6">
        <w:rPr>
          <w:rFonts w:ascii="Verdana" w:eastAsia="Verdana" w:hAnsi="Verdana" w:cs="Verdana"/>
        </w:rPr>
        <w:t>1.2.</w:t>
      </w:r>
      <w:r w:rsidRPr="005B5CB6">
        <w:rPr>
          <w:rFonts w:ascii="Verdana" w:eastAsia="Arial" w:hAnsi="Verdana" w:cs="Arial"/>
        </w:rPr>
        <w:t xml:space="preserve"> </w:t>
      </w:r>
      <w:r w:rsidRPr="005B5CB6">
        <w:rPr>
          <w:rFonts w:ascii="Verdana" w:eastAsia="Verdana" w:hAnsi="Verdana" w:cs="Verdana"/>
        </w:rPr>
        <w:t xml:space="preserve">The ASA is the UK’s independent advertising regulator.  We have been administering the non-broadcast Advertising Code (written and maintained by CAP) for 57 years and the broadcast Advertising Code (written and maintained by BCAP) for 15, with our remit further extended in 2011 to include companies’ advertising claims on their own websites and in social media spaces under their control.  </w:t>
      </w:r>
    </w:p>
    <w:p w:rsidR="00FB0B24" w:rsidRPr="005B5CB6" w:rsidP="00A72806">
      <w:pPr>
        <w:spacing w:after="0"/>
        <w:ind w:left="360"/>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498" w:right="11" w:hanging="432"/>
        <w:jc w:val="both"/>
        <w:rPr>
          <w:rFonts w:ascii="Verdana" w:hAnsi="Verdana"/>
        </w:rPr>
      </w:pPr>
      <w:r w:rsidRPr="005B5CB6">
        <w:rPr>
          <w:rFonts w:ascii="Verdana" w:eastAsia="Verdana" w:hAnsi="Verdana" w:cs="Verdana"/>
        </w:rPr>
        <w:t>1.3.</w:t>
      </w:r>
      <w:r w:rsidRPr="005B5CB6">
        <w:rPr>
          <w:rFonts w:ascii="Verdana" w:eastAsia="Arial" w:hAnsi="Verdana" w:cs="Arial"/>
        </w:rPr>
        <w:t xml:space="preserve"> </w:t>
      </w:r>
      <w:r w:rsidRPr="005B5CB6">
        <w:rPr>
          <w:rFonts w:ascii="Verdana" w:eastAsia="Verdana" w:hAnsi="Verdana" w:cs="Verdana"/>
        </w:rPr>
        <w:t xml:space="preserve">We are responsible for ensuring that advertising is legal, decent, honest and truthful and our work includes undertaking proactive projects and acting on complaints to take action against misleading, harmful or offensive advertisements.  We are committed to evidence-based regulation and we continually review new evidence to ensure the rules remain fit-for-purpose.  </w:t>
      </w:r>
    </w:p>
    <w:p w:rsidR="00FB0B24" w:rsidRPr="005B5CB6" w:rsidP="00A72806">
      <w:pPr>
        <w:spacing w:after="0"/>
        <w:ind w:left="360"/>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498" w:right="11" w:hanging="432"/>
        <w:jc w:val="both"/>
        <w:rPr>
          <w:rFonts w:ascii="Verdana" w:hAnsi="Verdana"/>
        </w:rPr>
      </w:pPr>
      <w:r w:rsidRPr="005B5CB6">
        <w:rPr>
          <w:rFonts w:ascii="Verdana" w:eastAsia="Verdana" w:hAnsi="Verdana" w:cs="Verdana"/>
        </w:rPr>
        <w:t>1.4.</w:t>
      </w:r>
      <w:r w:rsidRPr="005B5CB6">
        <w:rPr>
          <w:rFonts w:ascii="Verdana" w:eastAsia="Arial" w:hAnsi="Verdana" w:cs="Arial"/>
        </w:rPr>
        <w:t xml:space="preserve"> </w:t>
      </w:r>
      <w:r w:rsidRPr="005B5CB6">
        <w:rPr>
          <w:rFonts w:ascii="Verdana" w:eastAsia="Verdana" w:hAnsi="Verdana" w:cs="Verdana"/>
        </w:rPr>
        <w:t xml:space="preserve">In addition to investigating ads, we also provide a wealth of training and advice services (most of which are free) for advertisers, agencies and media to help them understand their responsibilities under the Codes and to ensure that fewer problem ads appear in the first place.  CAP and BCAP provided 535,478 pieces of advice and training in 2018. </w:t>
      </w:r>
    </w:p>
    <w:p w:rsidR="00FB0B24" w:rsidRPr="005B5CB6" w:rsidP="00A72806">
      <w:pPr>
        <w:spacing w:after="0"/>
        <w:ind w:left="432"/>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498" w:right="11" w:hanging="432"/>
        <w:jc w:val="both"/>
        <w:rPr>
          <w:rFonts w:ascii="Verdana" w:hAnsi="Verdana"/>
        </w:rPr>
      </w:pPr>
      <w:r w:rsidRPr="005B5CB6">
        <w:rPr>
          <w:rFonts w:ascii="Verdana" w:eastAsia="Verdana" w:hAnsi="Verdana" w:cs="Verdana"/>
        </w:rPr>
        <w:t>1.5.</w:t>
      </w:r>
      <w:r w:rsidRPr="005B5CB6">
        <w:rPr>
          <w:rFonts w:ascii="Verdana" w:eastAsia="Arial" w:hAnsi="Verdana" w:cs="Arial"/>
        </w:rPr>
        <w:t xml:space="preserve"> </w:t>
      </w:r>
      <w:r w:rsidRPr="005B5CB6">
        <w:rPr>
          <w:rFonts w:ascii="Verdana" w:eastAsia="Verdana" w:hAnsi="Verdana" w:cs="Verdana"/>
        </w:rPr>
        <w:t xml:space="preserve">The ASA system is providing this written submission in response to the Democracy and Digital Technologies Committee’s Call for Evidence.  Our submission focuses on the regulation of political advertising; the regulation of online advertising; and, proposals to create a new online regulator.  </w:t>
      </w:r>
    </w:p>
    <w:p w:rsidR="00FB0B24" w:rsidRPr="005B5CB6" w:rsidP="00A72806">
      <w:pPr>
        <w:spacing w:after="17"/>
        <w:ind w:left="360"/>
        <w:jc w:val="both"/>
        <w:rPr>
          <w:rFonts w:ascii="Verdana" w:hAnsi="Verdana"/>
        </w:rPr>
      </w:pPr>
      <w:r w:rsidRPr="005B5CB6">
        <w:rPr>
          <w:rFonts w:ascii="Verdana" w:eastAsia="Verdana" w:hAnsi="Verdana" w:cs="Verdana"/>
        </w:rPr>
        <w:t xml:space="preserve"> </w:t>
      </w:r>
    </w:p>
    <w:p w:rsidR="00FB0B24" w:rsidRPr="005B5CB6" w:rsidP="00A72806">
      <w:pPr>
        <w:numPr>
          <w:ilvl w:val="0"/>
          <w:numId w:val="80"/>
        </w:numPr>
        <w:shd w:val="clear" w:color="auto" w:fill="A6A6A6"/>
        <w:spacing w:after="27" w:line="249" w:lineRule="auto"/>
        <w:ind w:left="345" w:hanging="360"/>
        <w:jc w:val="both"/>
        <w:rPr>
          <w:rFonts w:ascii="Verdana" w:hAnsi="Verdana"/>
        </w:rPr>
      </w:pPr>
      <w:r w:rsidRPr="005B5CB6">
        <w:rPr>
          <w:rFonts w:ascii="Verdana" w:eastAsia="Verdana" w:hAnsi="Verdana" w:cs="Verdana"/>
          <w:b/>
        </w:rPr>
        <w:t>Regulation of online political advertising</w:t>
      </w:r>
      <w:r w:rsidRPr="005B5CB6">
        <w:rPr>
          <w:rFonts w:ascii="Verdana" w:eastAsia="Verdana" w:hAnsi="Verdana" w:cs="Verdana"/>
        </w:rPr>
        <w:t xml:space="preserve"> </w:t>
      </w:r>
    </w:p>
    <w:p w:rsidR="00FB0B24" w:rsidRPr="005B5CB6" w:rsidP="00A72806">
      <w:pPr>
        <w:spacing w:after="28"/>
        <w:ind w:left="432"/>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25" w:line="250" w:lineRule="auto"/>
        <w:ind w:left="860" w:right="11" w:hanging="430"/>
        <w:jc w:val="both"/>
        <w:rPr>
          <w:rFonts w:ascii="Verdana" w:hAnsi="Verdana"/>
        </w:rPr>
      </w:pPr>
      <w:r w:rsidRPr="005B5CB6">
        <w:rPr>
          <w:rFonts w:ascii="Verdana" w:eastAsia="Verdana" w:hAnsi="Verdana" w:cs="Verdana"/>
        </w:rPr>
        <w:t xml:space="preserve">We recognise the Committee’s concerns about the potential impact of digital technologies on democratic processes.  We welcome the Committee’s scrutiny of political advertising regulation, and online regulation more widely.  </w:t>
      </w:r>
    </w:p>
    <w:p w:rsidR="00FB0B24" w:rsidRPr="005B5CB6" w:rsidP="00A72806">
      <w:pPr>
        <w:spacing w:after="28"/>
        <w:ind w:left="429"/>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29" w:line="250" w:lineRule="auto"/>
        <w:ind w:left="860" w:right="11" w:hanging="430"/>
        <w:jc w:val="both"/>
        <w:rPr>
          <w:rFonts w:ascii="Verdana" w:hAnsi="Verdana"/>
        </w:rPr>
      </w:pPr>
      <w:r w:rsidRPr="005B5CB6">
        <w:rPr>
          <w:rFonts w:ascii="Verdana" w:eastAsia="Verdana" w:hAnsi="Verdana" w:cs="Verdana"/>
        </w:rPr>
        <w:t xml:space="preserve">Political ads are banned from being broadcast on TV under the Communications Act 2003 (instead, parties are given airtime via party political broadcasts, which aren’t classed as advertising).  The content and placement of non-broadcast political ads is not currently regulated by any body in the UK.  The non-broadcast Advertising Code excludes political </w:t>
      </w:r>
      <w:r w:rsidRPr="005B5CB6">
        <w:rPr>
          <w:rFonts w:ascii="Verdana" w:eastAsia="Verdana" w:hAnsi="Verdana" w:cs="Verdana"/>
        </w:rPr>
        <w:t xml:space="preserve">advertising through its exemption for “claims in marketing communications, whenever published or distributed, whose principal function is to influence voters in a local, regional, national or international election or referendum.” </w:t>
      </w:r>
    </w:p>
    <w:p w:rsidR="00FB0B24" w:rsidRPr="005B5CB6" w:rsidP="00A72806">
      <w:pPr>
        <w:spacing w:after="28"/>
        <w:ind w:left="430"/>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5" w:line="250" w:lineRule="auto"/>
        <w:ind w:left="860" w:right="11" w:hanging="430"/>
        <w:jc w:val="both"/>
        <w:rPr>
          <w:rFonts w:ascii="Verdana" w:hAnsi="Verdana"/>
        </w:rPr>
      </w:pPr>
      <w:r w:rsidRPr="005B5CB6">
        <w:rPr>
          <w:rFonts w:ascii="Verdana" w:eastAsia="Verdana" w:hAnsi="Verdana" w:cs="Verdana"/>
        </w:rPr>
        <w:t xml:space="preserve">The decision, taken in the late 1990s, fully to exclude such ads was driven by three factors.  Firstly, the short, fixed timeframes over which elections run (i.e. the likelihood that complaints subject to ASA investigation would be ruled upon after an election has taken place).  Secondly, the 1998 Human Rights Act, which raised concerns about the legality of the ASA restraining the freedom of political speech around democratic elections and referendums.  Finally, and most importantly, there was no consensus amongst the main political parties that political advertising should be brought within the scope of our Codes.   </w:t>
      </w:r>
    </w:p>
    <w:p w:rsidR="00FB0B24" w:rsidRPr="005B5CB6" w:rsidP="00A72806">
      <w:pPr>
        <w:spacing w:after="28"/>
        <w:ind w:left="430"/>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26" w:line="250" w:lineRule="auto"/>
        <w:ind w:left="860" w:right="11" w:hanging="430"/>
        <w:jc w:val="both"/>
        <w:rPr>
          <w:rFonts w:ascii="Verdana" w:hAnsi="Verdana"/>
        </w:rPr>
      </w:pPr>
      <w:r w:rsidRPr="005B5CB6">
        <w:rPr>
          <w:rFonts w:ascii="Verdana" w:eastAsia="Verdana" w:hAnsi="Verdana" w:cs="Verdana"/>
        </w:rPr>
        <w:t xml:space="preserve">CAP and the ASA Council reviewed their positions on this matter in 2017 and concluded that, as those barriers remain in place, we remain reluctant to change the current position. </w:t>
      </w:r>
    </w:p>
    <w:p w:rsidR="00FB0B24" w:rsidRPr="005B5CB6" w:rsidP="00A72806">
      <w:pPr>
        <w:spacing w:after="31"/>
        <w:ind w:left="429"/>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5" w:line="250" w:lineRule="auto"/>
        <w:ind w:left="860" w:right="11" w:hanging="430"/>
        <w:jc w:val="both"/>
        <w:rPr>
          <w:rFonts w:ascii="Verdana" w:hAnsi="Verdana"/>
        </w:rPr>
      </w:pPr>
      <w:r w:rsidRPr="005B5CB6">
        <w:rPr>
          <w:rFonts w:ascii="Verdana" w:eastAsia="Verdana" w:hAnsi="Verdana" w:cs="Verdana"/>
        </w:rPr>
        <w:t xml:space="preserve">We would consider revisiting the issue if, as a starting point, the main political parties/referendum campaign groups were to agree to follow the Advertising Code and if suitable funding was available.  Funding would be important because of the likely cost that would fall on any body regulating political advertising proactively, or quickly enough reactively, to take effective action against political ads before the election or referendum had taken place.   </w:t>
      </w:r>
    </w:p>
    <w:p w:rsidR="00FB0B24" w:rsidRPr="005B5CB6" w:rsidP="00A72806">
      <w:pPr>
        <w:spacing w:after="31"/>
        <w:ind w:left="429"/>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26" w:line="250" w:lineRule="auto"/>
        <w:ind w:left="860" w:right="11" w:hanging="430"/>
        <w:jc w:val="both"/>
        <w:rPr>
          <w:rFonts w:ascii="Verdana" w:hAnsi="Verdana"/>
        </w:rPr>
      </w:pPr>
      <w:r w:rsidRPr="005B5CB6">
        <w:rPr>
          <w:rFonts w:ascii="Verdana" w:eastAsia="Verdana" w:hAnsi="Verdana" w:cs="Verdana"/>
        </w:rPr>
        <w:t xml:space="preserve">Another route would be organisations with appropriate expertise coming together to share such a role for the limited formal campaign period of elections/referendums.   </w:t>
      </w:r>
    </w:p>
    <w:p w:rsidR="00FB0B24" w:rsidRPr="005B5CB6" w:rsidP="00A72806">
      <w:pPr>
        <w:spacing w:after="28"/>
        <w:ind w:left="429"/>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5" w:line="250" w:lineRule="auto"/>
        <w:ind w:left="860" w:right="11" w:hanging="430"/>
        <w:jc w:val="both"/>
        <w:rPr>
          <w:rFonts w:ascii="Verdana" w:hAnsi="Verdana"/>
        </w:rPr>
      </w:pPr>
      <w:r w:rsidRPr="005B5CB6">
        <w:rPr>
          <w:rFonts w:ascii="Verdana" w:eastAsia="Verdana" w:hAnsi="Verdana" w:cs="Verdana"/>
        </w:rPr>
        <w:t xml:space="preserve">If another organisation was prepared to take up responsibility for regulating such advertising, we would want to share our insights from our long-standing role in regulating other forms of advertising across all media, including our regulation of (non-political) cause-related advertising where freedom of speech is a vital consideration.       </w:t>
      </w:r>
    </w:p>
    <w:p w:rsidR="00FB0B24" w:rsidRPr="005B5CB6" w:rsidP="00A72806">
      <w:pPr>
        <w:spacing w:after="28"/>
        <w:ind w:left="429"/>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5" w:line="250" w:lineRule="auto"/>
        <w:ind w:left="860" w:right="11" w:hanging="430"/>
        <w:jc w:val="both"/>
        <w:rPr>
          <w:rFonts w:ascii="Verdana" w:hAnsi="Verdana"/>
        </w:rPr>
      </w:pPr>
      <w:r w:rsidRPr="005B5CB6">
        <w:rPr>
          <w:rFonts w:ascii="Verdana" w:eastAsia="Verdana" w:hAnsi="Verdana" w:cs="Verdana"/>
        </w:rPr>
        <w:t xml:space="preserve">Since 2017, we’ve been a member of a group convened by the Electoral Commission, which includes the organisations named in the committee’s recommendation.  Some of the other members include the Committee on Standards in Public Life, UK Statistics Authority and the </w:t>
      </w:r>
    </w:p>
    <w:p w:rsidR="00FB0B24" w:rsidRPr="005B5CB6" w:rsidP="00A72806">
      <w:pPr>
        <w:spacing w:after="5" w:line="250" w:lineRule="auto"/>
        <w:ind w:left="866" w:right="11" w:hanging="8"/>
        <w:jc w:val="both"/>
        <w:rPr>
          <w:rFonts w:ascii="Verdana" w:hAnsi="Verdana"/>
        </w:rPr>
      </w:pPr>
      <w:r w:rsidRPr="005B5CB6">
        <w:rPr>
          <w:rFonts w:ascii="Verdana" w:eastAsia="Verdana" w:hAnsi="Verdana" w:cs="Verdana"/>
        </w:rPr>
        <w:t xml:space="preserve">Equality and Human Rights Commission.  Those discussions have helped ensure a shared understanding of each organisation’s respective activity, and helped ensure our activity complements that of other organisations.  We’ve also coordinated common lines to use for public and media enquiries to ensure that the public gets clear, consistent information about roles and responsibilities.  The group will continue to meet regularly to discuss emerging issues and, if necessary, to take further steps.  </w:t>
      </w:r>
    </w:p>
    <w:p w:rsidR="00FB0B24" w:rsidRPr="005B5CB6" w:rsidP="00A72806">
      <w:pPr>
        <w:spacing w:after="18"/>
        <w:ind w:left="360"/>
        <w:jc w:val="both"/>
        <w:rPr>
          <w:rFonts w:ascii="Verdana" w:hAnsi="Verdana"/>
        </w:rPr>
      </w:pPr>
      <w:r w:rsidRPr="005B5CB6">
        <w:rPr>
          <w:rFonts w:ascii="Verdana" w:eastAsia="Verdana" w:hAnsi="Verdana" w:cs="Verdana"/>
          <w:b/>
        </w:rPr>
        <w:t xml:space="preserve"> </w:t>
      </w:r>
    </w:p>
    <w:p w:rsidR="00FB0B24" w:rsidRPr="005B5CB6" w:rsidP="00A72806">
      <w:pPr>
        <w:numPr>
          <w:ilvl w:val="0"/>
          <w:numId w:val="80"/>
        </w:numPr>
        <w:shd w:val="clear" w:color="auto" w:fill="A6A6A6"/>
        <w:spacing w:after="5" w:line="249" w:lineRule="auto"/>
        <w:ind w:left="345" w:hanging="360"/>
        <w:jc w:val="both"/>
        <w:rPr>
          <w:rFonts w:ascii="Verdana" w:hAnsi="Verdana"/>
        </w:rPr>
      </w:pPr>
      <w:r w:rsidRPr="005B5CB6">
        <w:rPr>
          <w:rFonts w:ascii="Verdana" w:eastAsia="Verdana" w:hAnsi="Verdana" w:cs="Verdana"/>
          <w:b/>
        </w:rPr>
        <w:t>The ASA’s regulation of online advertising</w:t>
      </w:r>
      <w:r w:rsidRPr="005B5CB6">
        <w:rPr>
          <w:rFonts w:ascii="Verdana" w:eastAsia="Verdana" w:hAnsi="Verdana" w:cs="Verdana"/>
        </w:rPr>
        <w:t xml:space="preserv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5" w:line="250" w:lineRule="auto"/>
        <w:ind w:left="860" w:right="11" w:hanging="430"/>
        <w:jc w:val="both"/>
        <w:rPr>
          <w:rFonts w:ascii="Verdana" w:hAnsi="Verdana"/>
        </w:rPr>
      </w:pPr>
      <w:r w:rsidRPr="005B5CB6">
        <w:rPr>
          <w:rFonts w:ascii="Verdana" w:eastAsia="Verdana" w:hAnsi="Verdana" w:cs="Verdana"/>
        </w:rPr>
        <w:t xml:space="preserve">The ASA has regulated paid-for online ads since the emergence of the internet.  In 2011, the ASA’s online remit was extended to include companies’ and other organisations’ own advertising claims on their own websites, social media spaces and advergames.  We call this ‘website advertising’. </w:t>
      </w:r>
    </w:p>
    <w:p w:rsidR="00FB0B24" w:rsidRPr="005B5CB6" w:rsidP="00A72806">
      <w:pPr>
        <w:spacing w:after="28"/>
        <w:ind w:left="430"/>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5" w:line="250" w:lineRule="auto"/>
        <w:ind w:left="860" w:right="11" w:hanging="430"/>
        <w:jc w:val="both"/>
        <w:rPr>
          <w:rFonts w:ascii="Verdana" w:hAnsi="Verdana"/>
        </w:rPr>
      </w:pPr>
      <w:r w:rsidRPr="005B5CB6">
        <w:rPr>
          <w:rFonts w:ascii="Verdana" w:eastAsia="Verdana" w:hAnsi="Verdana" w:cs="Verdana"/>
        </w:rPr>
        <w:t xml:space="preserve">In 2018, the ASA resolved 14,257 cases (ads subject to action) from 16,059 complaints about online advertising.  This amounted to 47.6% of the total number of complaints we resolved last year.  The number of online cases resolved by the ASA outnumbered TV cases by almost 3:1 (14,257 v 5,748).   </w:t>
      </w:r>
    </w:p>
    <w:p w:rsidR="00FB0B24" w:rsidRPr="005B5CB6" w:rsidP="00A72806">
      <w:pPr>
        <w:spacing w:after="28"/>
        <w:ind w:left="429"/>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29" w:line="250" w:lineRule="auto"/>
        <w:ind w:left="860" w:right="11" w:hanging="430"/>
        <w:jc w:val="both"/>
        <w:rPr>
          <w:rFonts w:ascii="Verdana" w:hAnsi="Verdana"/>
        </w:rPr>
      </w:pPr>
      <w:r w:rsidRPr="005B5CB6">
        <w:rPr>
          <w:rFonts w:ascii="Verdana" w:eastAsia="Verdana" w:hAnsi="Verdana" w:cs="Verdana"/>
        </w:rPr>
        <w:t xml:space="preserve">90% of the 10,850 ads we ensured were amended or withdrawn in 2018 appeared online, either in whole or in part.  </w:t>
      </w:r>
    </w:p>
    <w:p w:rsidR="00FB0B24" w:rsidRPr="005B5CB6" w:rsidP="00A72806">
      <w:pPr>
        <w:spacing w:after="28"/>
        <w:ind w:left="429"/>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25" w:line="250" w:lineRule="auto"/>
        <w:ind w:left="860" w:right="11" w:hanging="430"/>
        <w:jc w:val="both"/>
        <w:rPr>
          <w:rFonts w:ascii="Verdana" w:hAnsi="Verdana"/>
        </w:rPr>
      </w:pPr>
      <w:r w:rsidRPr="005B5CB6">
        <w:rPr>
          <w:rFonts w:ascii="Verdana" w:eastAsia="Verdana" w:hAnsi="Verdana" w:cs="Verdana"/>
        </w:rPr>
        <w:t xml:space="preserve">Of those complains about online advertising, the vast majority (over 13,000) concerned potentially misleading advertising.  Under 1,000 of the online complaints were categorised under potential ‘harm or irresponsibility’.   </w:t>
      </w:r>
    </w:p>
    <w:p w:rsidR="00FB0B24" w:rsidRPr="005B5CB6" w:rsidP="00A72806">
      <w:pPr>
        <w:spacing w:after="28"/>
        <w:ind w:left="429"/>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29" w:line="250" w:lineRule="auto"/>
        <w:ind w:left="860" w:right="11" w:hanging="430"/>
        <w:jc w:val="both"/>
        <w:rPr>
          <w:rFonts w:ascii="Verdana" w:hAnsi="Verdana"/>
        </w:rPr>
      </w:pPr>
      <w:r w:rsidRPr="005B5CB6">
        <w:rPr>
          <w:rFonts w:ascii="Verdana" w:eastAsia="Verdana" w:hAnsi="Verdana" w:cs="Verdana"/>
        </w:rPr>
        <w:t xml:space="preserve">78% of the 14,257 online cases were ’website advertising’, and 22% were in other online media, mostly paid-for.  </w:t>
      </w:r>
    </w:p>
    <w:p w:rsidR="00FB0B24" w:rsidRPr="005B5CB6" w:rsidP="00A72806">
      <w:pPr>
        <w:spacing w:after="28"/>
        <w:ind w:left="429"/>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25" w:line="250" w:lineRule="auto"/>
        <w:ind w:left="860" w:right="11" w:hanging="430"/>
        <w:jc w:val="both"/>
        <w:rPr>
          <w:rFonts w:ascii="Verdana" w:hAnsi="Verdana"/>
        </w:rPr>
      </w:pPr>
      <w:r w:rsidRPr="005B5CB6">
        <w:rPr>
          <w:rFonts w:ascii="Verdana" w:eastAsia="Verdana" w:hAnsi="Verdana" w:cs="Verdana"/>
        </w:rPr>
        <w:t xml:space="preserve">Age-restricted ads online – including on social media – need to follow the same strict content rules as those in traditional media.  They must be prepared in a way that is socially responsible and doesn’t appeal inappropriately to children or other vulnerable people.   </w:t>
      </w:r>
    </w:p>
    <w:p w:rsidR="00FB0B24" w:rsidRPr="005B5CB6" w:rsidP="00A72806">
      <w:pPr>
        <w:spacing w:after="28"/>
        <w:ind w:left="429"/>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26" w:line="250" w:lineRule="auto"/>
        <w:ind w:left="860" w:right="11" w:hanging="430"/>
        <w:jc w:val="both"/>
        <w:rPr>
          <w:rFonts w:ascii="Verdana" w:hAnsi="Verdana"/>
        </w:rPr>
      </w:pPr>
      <w:r w:rsidRPr="005B5CB6">
        <w:rPr>
          <w:rFonts w:ascii="Verdana" w:eastAsia="Verdana" w:hAnsi="Verdana" w:cs="Verdana"/>
        </w:rPr>
        <w:t xml:space="preserve">We continually review our rules to ensure they are in the right place and introduce new standards where necessary to keep up with technology.   </w:t>
      </w:r>
    </w:p>
    <w:p w:rsidR="00FB0B24" w:rsidRPr="005B5CB6" w:rsidP="00A72806">
      <w:pPr>
        <w:spacing w:after="28"/>
        <w:ind w:left="429"/>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29" w:line="250" w:lineRule="auto"/>
        <w:ind w:left="860" w:right="11" w:hanging="430"/>
        <w:jc w:val="both"/>
        <w:rPr>
          <w:rFonts w:ascii="Verdana" w:hAnsi="Verdana"/>
        </w:rPr>
      </w:pPr>
      <w:r w:rsidRPr="005B5CB6">
        <w:rPr>
          <w:rFonts w:ascii="Verdana" w:eastAsia="Verdana" w:hAnsi="Verdana" w:cs="Verdana"/>
        </w:rPr>
        <w:t xml:space="preserve">In November 2018, we published our strategy for a further strengthening of online ad regulation, which is entitled </w:t>
      </w:r>
      <w:r>
        <w:fldChar w:fldCharType="begin"/>
      </w:r>
      <w:r>
        <w:instrText xml:space="preserve"> HYPERLINK "https://www.asa.org.uk/uploads/assets/uploaded/96455868-e7b1-4ac7-8185f37893fd6f0d.pdf" </w:instrText>
      </w:r>
      <w:r>
        <w:fldChar w:fldCharType="separate"/>
      </w:r>
      <w:r w:rsidRPr="005B5CB6">
        <w:rPr>
          <w:rFonts w:ascii="Verdana" w:eastAsia="Verdana" w:hAnsi="Verdana" w:cs="Verdana"/>
          <w:color w:val="0000FF"/>
          <w:u w:val="single" w:color="0000FF"/>
        </w:rPr>
        <w:t>More Impact</w:t>
      </w:r>
      <w:r>
        <w:fldChar w:fldCharType="end"/>
      </w:r>
      <w:r>
        <w:fldChar w:fldCharType="begin"/>
      </w:r>
      <w:r>
        <w:instrText xml:space="preserve"> HYPERLINK "https://www.asa.org.uk/uploads/assets/uploaded/96455868-e7b1-4ac7-8185f37893fd6f0d.pdf" </w:instrText>
      </w:r>
      <w:r>
        <w:fldChar w:fldCharType="separate"/>
      </w:r>
      <w:r w:rsidRPr="005B5CB6">
        <w:rPr>
          <w:rFonts w:ascii="Verdana" w:eastAsia="Verdana" w:hAnsi="Verdana" w:cs="Verdana"/>
          <w:color w:val="0000FF"/>
        </w:rPr>
        <w:t xml:space="preserve"> </w:t>
      </w:r>
      <w:r>
        <w:fldChar w:fldCharType="end"/>
      </w:r>
      <w:r>
        <w:fldChar w:fldCharType="begin"/>
      </w:r>
      <w:r>
        <w:instrText xml:space="preserve"> HYPERLINK "https://www.asa.org.uk/uploads/assets/uploaded/96455868-e7b1-4ac7-8185f37893fd6f0d.pdf" </w:instrText>
      </w:r>
      <w:r>
        <w:fldChar w:fldCharType="separate"/>
      </w:r>
      <w:r w:rsidRPr="005B5CB6">
        <w:rPr>
          <w:rFonts w:ascii="Verdana" w:eastAsia="Verdana" w:hAnsi="Verdana" w:cs="Verdana"/>
          <w:color w:val="0000FF"/>
          <w:u w:val="single" w:color="0000FF"/>
        </w:rPr>
        <w:t>Online</w:t>
      </w:r>
      <w:r>
        <w:fldChar w:fldCharType="end"/>
      </w:r>
      <w:r>
        <w:fldChar w:fldCharType="begin"/>
      </w:r>
      <w:r>
        <w:instrText xml:space="preserve"> HYPERLINK "https://www.asa.org.uk/uploads/assets/uploaded/96455868-e7b1-4ac7-8185f37893fd6f0d.pdf"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It’s right for us to focus on online advertising because businesses increasingly advertise online, people are spending more time online and the pace of change online contributes to public concerns.  The strategy prioritises: </w:t>
      </w:r>
    </w:p>
    <w:p w:rsidR="00FB0B24" w:rsidRPr="005B5CB6" w:rsidP="00A72806">
      <w:pPr>
        <w:spacing w:after="29"/>
        <w:ind w:left="430"/>
        <w:jc w:val="both"/>
        <w:rPr>
          <w:rFonts w:ascii="Verdana" w:hAnsi="Verdana"/>
        </w:rPr>
      </w:pPr>
      <w:r w:rsidRPr="005B5CB6">
        <w:rPr>
          <w:rFonts w:ascii="Verdana" w:eastAsia="Verdana" w:hAnsi="Verdana" w:cs="Verdana"/>
        </w:rPr>
        <w:t xml:space="preserve"> </w:t>
      </w:r>
    </w:p>
    <w:p w:rsidR="00FB0B24" w:rsidRPr="005B5CB6" w:rsidP="00A72806">
      <w:pPr>
        <w:numPr>
          <w:ilvl w:val="2"/>
          <w:numId w:val="80"/>
        </w:numPr>
        <w:spacing w:after="27" w:line="250" w:lineRule="auto"/>
        <w:ind w:right="11" w:hanging="432"/>
        <w:jc w:val="both"/>
        <w:rPr>
          <w:rFonts w:ascii="Verdana" w:hAnsi="Verdana"/>
        </w:rPr>
      </w:pPr>
      <w:r w:rsidRPr="005B5CB6">
        <w:rPr>
          <w:rFonts w:ascii="Verdana" w:eastAsia="Verdana" w:hAnsi="Verdana" w:cs="Verdana"/>
        </w:rPr>
        <w:t xml:space="preserve">Working more closely with the large online platforms and more prioritisation and partnership working, in particular in our regulation of online ‘advertiser-owned’ advertising </w:t>
      </w:r>
    </w:p>
    <w:p w:rsidR="00FB0B24" w:rsidRPr="005B5CB6" w:rsidP="00A72806">
      <w:pPr>
        <w:spacing w:after="29"/>
        <w:ind w:left="860"/>
        <w:jc w:val="both"/>
        <w:rPr>
          <w:rFonts w:ascii="Verdana" w:hAnsi="Verdana"/>
        </w:rPr>
      </w:pPr>
      <w:r w:rsidRPr="005B5CB6">
        <w:rPr>
          <w:rFonts w:ascii="Verdana" w:eastAsia="Verdana" w:hAnsi="Verdana" w:cs="Verdana"/>
        </w:rPr>
        <w:t xml:space="preserve"> </w:t>
      </w:r>
    </w:p>
    <w:p w:rsidR="00FB0B24" w:rsidRPr="005B5CB6" w:rsidP="00A72806">
      <w:pPr>
        <w:numPr>
          <w:ilvl w:val="2"/>
          <w:numId w:val="80"/>
        </w:numPr>
        <w:spacing w:after="29" w:line="250" w:lineRule="auto"/>
        <w:ind w:right="11" w:hanging="432"/>
        <w:jc w:val="both"/>
        <w:rPr>
          <w:rFonts w:ascii="Verdana" w:hAnsi="Verdana"/>
        </w:rPr>
      </w:pPr>
      <w:r w:rsidRPr="005B5CB6">
        <w:rPr>
          <w:rFonts w:ascii="Verdana" w:eastAsia="Verdana" w:hAnsi="Verdana" w:cs="Verdana"/>
        </w:rPr>
        <w:t xml:space="preserve">The protection of vulnerable people and the appropriate limitation of children and young people’s exposure to age-restricted ads  </w:t>
      </w:r>
    </w:p>
    <w:p w:rsidR="00FB0B24" w:rsidRPr="005B5CB6" w:rsidP="00A72806">
      <w:pPr>
        <w:spacing w:after="29"/>
        <w:ind w:left="860"/>
        <w:jc w:val="both"/>
        <w:rPr>
          <w:rFonts w:ascii="Verdana" w:hAnsi="Verdana"/>
        </w:rPr>
      </w:pPr>
      <w:r w:rsidRPr="005B5CB6">
        <w:rPr>
          <w:rFonts w:ascii="Verdana" w:eastAsia="Verdana" w:hAnsi="Verdana" w:cs="Verdana"/>
        </w:rPr>
        <w:t xml:space="preserve"> </w:t>
      </w:r>
    </w:p>
    <w:p w:rsidR="00FB0B24" w:rsidRPr="005B5CB6" w:rsidP="00A72806">
      <w:pPr>
        <w:numPr>
          <w:ilvl w:val="2"/>
          <w:numId w:val="80"/>
        </w:numPr>
        <w:spacing w:after="5" w:line="250" w:lineRule="auto"/>
        <w:ind w:right="11" w:hanging="432"/>
        <w:jc w:val="both"/>
        <w:rPr>
          <w:rFonts w:ascii="Verdana" w:hAnsi="Verdana"/>
        </w:rPr>
      </w:pPr>
      <w:r w:rsidRPr="005B5CB6">
        <w:rPr>
          <w:rFonts w:ascii="Verdana" w:eastAsia="Verdana" w:hAnsi="Verdana" w:cs="Verdana"/>
        </w:rPr>
        <w:t xml:space="preserve">Exploring new technological solutions and listening in new ways, including through research, data-driven intelligence gathering and machine learning.  We will develop our thought-leadership in online ad regulation, including on advertising content and targeting issues relating to areas like voice, facial recognition, machine-generated personalised content and biometrics </w:t>
      </w:r>
    </w:p>
    <w:p w:rsidR="00FB0B24" w:rsidRPr="005B5CB6" w:rsidP="00A72806">
      <w:pPr>
        <w:spacing w:after="29"/>
        <w:ind w:left="860"/>
        <w:jc w:val="both"/>
        <w:rPr>
          <w:rFonts w:ascii="Verdana" w:hAnsi="Verdana"/>
        </w:rPr>
      </w:pPr>
      <w:r w:rsidRPr="005B5CB6">
        <w:rPr>
          <w:rFonts w:ascii="Verdana" w:eastAsia="Verdana" w:hAnsi="Verdana" w:cs="Verdana"/>
        </w:rPr>
        <w:t xml:space="preserve"> </w:t>
      </w:r>
    </w:p>
    <w:p w:rsidR="00FB0B24" w:rsidRPr="005B5CB6" w:rsidP="00A72806">
      <w:pPr>
        <w:numPr>
          <w:ilvl w:val="2"/>
          <w:numId w:val="80"/>
        </w:numPr>
        <w:spacing w:after="5" w:line="250" w:lineRule="auto"/>
        <w:ind w:right="11" w:hanging="432"/>
        <w:jc w:val="both"/>
        <w:rPr>
          <w:rFonts w:ascii="Verdana" w:hAnsi="Verdana"/>
        </w:rPr>
      </w:pPr>
      <w:r w:rsidRPr="005B5CB6">
        <w:rPr>
          <w:rFonts w:ascii="Verdana" w:eastAsia="Verdana" w:hAnsi="Verdana" w:cs="Verdana"/>
        </w:rPr>
        <w:t xml:space="preserve">Exploring lighter-touch ways for people to flag their concerns </w:t>
      </w:r>
    </w:p>
    <w:p w:rsidR="00FB0B24" w:rsidRPr="005B5CB6" w:rsidP="00A72806">
      <w:pPr>
        <w:spacing w:after="29"/>
        <w:ind w:left="860"/>
        <w:jc w:val="both"/>
        <w:rPr>
          <w:rFonts w:ascii="Verdana" w:hAnsi="Verdana"/>
        </w:rPr>
      </w:pPr>
      <w:r w:rsidRPr="005B5CB6">
        <w:rPr>
          <w:rFonts w:ascii="Verdana" w:eastAsia="Verdana" w:hAnsi="Verdana" w:cs="Verdana"/>
        </w:rPr>
        <w:t xml:space="preserve"> </w:t>
      </w:r>
    </w:p>
    <w:p w:rsidR="00FB0B24" w:rsidRPr="005B5CB6" w:rsidP="00A72806">
      <w:pPr>
        <w:numPr>
          <w:ilvl w:val="2"/>
          <w:numId w:val="80"/>
        </w:numPr>
        <w:spacing w:after="27" w:line="250" w:lineRule="auto"/>
        <w:ind w:right="11" w:hanging="432"/>
        <w:jc w:val="both"/>
        <w:rPr>
          <w:rFonts w:ascii="Verdana" w:hAnsi="Verdana"/>
        </w:rPr>
      </w:pPr>
      <w:r w:rsidRPr="005B5CB6">
        <w:rPr>
          <w:rFonts w:ascii="Verdana" w:eastAsia="Verdana" w:hAnsi="Verdana" w:cs="Verdana"/>
        </w:rPr>
        <w:t xml:space="preserve">Exploring whether our decision-making processes and governance always allow us to act nimbly, in line with people’s expectations of regulating an increasingly online advertising world </w:t>
      </w:r>
    </w:p>
    <w:p w:rsidR="00FB0B24" w:rsidRPr="005B5CB6" w:rsidP="00A72806">
      <w:pPr>
        <w:spacing w:after="0"/>
        <w:ind w:left="1153"/>
        <w:jc w:val="both"/>
        <w:rPr>
          <w:rFonts w:ascii="Verdana" w:hAnsi="Verdana"/>
        </w:rPr>
      </w:pPr>
      <w:r w:rsidRPr="005B5CB6">
        <w:rPr>
          <w:rFonts w:ascii="Verdana" w:eastAsia="Verdana" w:hAnsi="Verdana" w:cs="Verdana"/>
        </w:rPr>
        <w:t xml:space="preserve"> </w:t>
      </w:r>
    </w:p>
    <w:p w:rsidR="00FB0B24" w:rsidRPr="005B5CB6" w:rsidP="00A72806">
      <w:pPr>
        <w:numPr>
          <w:ilvl w:val="0"/>
          <w:numId w:val="80"/>
        </w:numPr>
        <w:shd w:val="clear" w:color="auto" w:fill="BFBFBF"/>
        <w:spacing w:after="5" w:line="249" w:lineRule="auto"/>
        <w:ind w:left="345" w:hanging="360"/>
        <w:jc w:val="both"/>
        <w:rPr>
          <w:rFonts w:ascii="Verdana" w:hAnsi="Verdana"/>
        </w:rPr>
      </w:pPr>
      <w:r w:rsidRPr="005B5CB6">
        <w:rPr>
          <w:rFonts w:ascii="Verdana" w:eastAsia="Verdana" w:hAnsi="Verdana" w:cs="Verdana"/>
          <w:b/>
        </w:rPr>
        <w:t xml:space="preserve">The creation of a new online regulator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5" w:line="250" w:lineRule="auto"/>
        <w:ind w:left="860" w:right="11" w:hanging="430"/>
        <w:jc w:val="both"/>
        <w:rPr>
          <w:rFonts w:ascii="Verdana" w:hAnsi="Verdana"/>
        </w:rPr>
      </w:pPr>
      <w:r w:rsidRPr="005B5CB6">
        <w:rPr>
          <w:rFonts w:ascii="Verdana" w:eastAsia="Verdana" w:hAnsi="Verdana" w:cs="Verdana"/>
        </w:rPr>
        <w:t xml:space="preserve">The ASA recognises the current government proposal to create a new regulator for online safety.  We ask that any such new organisation organises itself to complement the ASA’s regulation rather than duplicating and/or undermining it.   </w:t>
      </w:r>
    </w:p>
    <w:p w:rsidR="00FB0B24" w:rsidRPr="005B5CB6" w:rsidP="00A72806">
      <w:pPr>
        <w:spacing w:after="28"/>
        <w:ind w:left="504"/>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5" w:line="250" w:lineRule="auto"/>
        <w:ind w:left="860" w:right="11" w:hanging="430"/>
        <w:jc w:val="both"/>
        <w:rPr>
          <w:rFonts w:ascii="Verdana" w:hAnsi="Verdana"/>
        </w:rPr>
      </w:pPr>
      <w:r w:rsidRPr="005B5CB6">
        <w:rPr>
          <w:rFonts w:ascii="Verdana" w:eastAsia="Verdana" w:hAnsi="Verdana" w:cs="Verdana"/>
        </w:rPr>
        <w:t xml:space="preserve">The ASA operates a form of “collective regulation” – neither statutory nor purely self-regulatory.  We co-regulate broadcast and video-on-demand ads with Ofcom and, in relation to non-broadcast advertising, we work with a range of legal backstops, from Trading Standards and the Gambling Commission, to the Information Commissioner’s Office.   </w:t>
      </w:r>
    </w:p>
    <w:p w:rsidR="00FB0B24" w:rsidRPr="005B5CB6" w:rsidP="00A72806">
      <w:pPr>
        <w:spacing w:after="28"/>
        <w:ind w:left="504"/>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5" w:line="250" w:lineRule="auto"/>
        <w:ind w:left="860" w:right="11" w:hanging="430"/>
        <w:jc w:val="both"/>
        <w:rPr>
          <w:rFonts w:ascii="Verdana" w:hAnsi="Verdana"/>
        </w:rPr>
      </w:pPr>
      <w:r w:rsidRPr="005B5CB6">
        <w:rPr>
          <w:rFonts w:ascii="Verdana" w:eastAsia="Verdana" w:hAnsi="Verdana" w:cs="Verdana"/>
        </w:rPr>
        <w:t xml:space="preserve">We are able to secure compliance in over 98% of cases where a breach of the Advertising Codes is identified, without having to refer an advertiser to a legal backstop.  Referrals are rare because UK media and platforms agree to act as gatekeepers for the ASA.  If we spot a bad ad on YouTube, on Instagram, on a TV channel, in cinemas, on outdoor media or in print media, those organisations and platforms work with us to remove the offending ad quickly. </w:t>
      </w:r>
    </w:p>
    <w:p w:rsidR="00FB0B24" w:rsidRPr="005B5CB6" w:rsidP="00A72806">
      <w:pPr>
        <w:spacing w:after="28"/>
        <w:ind w:left="504"/>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5" w:line="250" w:lineRule="auto"/>
        <w:ind w:left="860" w:right="11" w:hanging="430"/>
        <w:jc w:val="both"/>
        <w:rPr>
          <w:rFonts w:ascii="Verdana" w:hAnsi="Verdana"/>
        </w:rPr>
      </w:pPr>
      <w:r w:rsidRPr="005B5CB6">
        <w:rPr>
          <w:rFonts w:ascii="Verdana" w:eastAsia="Verdana" w:hAnsi="Verdana" w:cs="Verdana"/>
        </w:rPr>
        <w:t xml:space="preserve">Between 2014-2018, we resolved around 71,000 complaint cases and 64,000 own-initiative cases involving allegedly misleading advertising.  Of those, around 30,000 resulted in us taking follow-up compliance action of some sort, including threatening referral to the appropriate legal backstop.  That compliance action was overwhelmingly successful, resulting in us referring only 68 companies, all to Trading Standards, in those five years.  On average, only 14 cases were referred each year, with obvious big savings for Trading Standards and the tax payer. </w:t>
      </w:r>
    </w:p>
    <w:p w:rsidR="00FB0B24" w:rsidRPr="005B5CB6" w:rsidP="00A72806">
      <w:pPr>
        <w:spacing w:after="28"/>
        <w:ind w:left="504"/>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5" w:line="250" w:lineRule="auto"/>
        <w:ind w:left="860" w:right="11" w:hanging="430"/>
        <w:jc w:val="both"/>
        <w:rPr>
          <w:rFonts w:ascii="Verdana" w:hAnsi="Verdana"/>
        </w:rPr>
      </w:pPr>
      <w:r w:rsidRPr="005B5CB6">
        <w:rPr>
          <w:rFonts w:ascii="Verdana" w:eastAsia="Verdana" w:hAnsi="Verdana" w:cs="Verdana"/>
        </w:rPr>
        <w:t xml:space="preserve">As part of that collective regulatory approach, we would of course seek to work with the appointed regulator in an open and constructive manner.  We welcome further clarity on how the role of the new regulator will fit with established regulators and enforcement bodies.  The ASA has </w:t>
      </w:r>
      <w:r w:rsidRPr="005B5CB6">
        <w:rPr>
          <w:rFonts w:ascii="Verdana" w:eastAsia="Verdana" w:hAnsi="Verdana" w:cs="Verdana"/>
        </w:rPr>
        <w:t xml:space="preserve">bespoke agreements with other regulators, enforcement agencies and Government departments, which ensure there is an appropriate level of understanding and respect for each other’s duties and responsibilities, and that we do everything we can to maximise protecting people while avoiding unjustified expense or double jeopardy for regulated parties.   </w:t>
      </w:r>
    </w:p>
    <w:p w:rsidR="00FB0B24" w:rsidRPr="005B5CB6" w:rsidP="00A72806">
      <w:pPr>
        <w:spacing w:after="31"/>
        <w:ind w:left="504"/>
        <w:jc w:val="both"/>
        <w:rPr>
          <w:rFonts w:ascii="Verdana" w:hAnsi="Verdana"/>
        </w:rPr>
      </w:pPr>
      <w:r w:rsidRPr="005B5CB6">
        <w:rPr>
          <w:rFonts w:ascii="Verdana" w:eastAsia="Verdana" w:hAnsi="Verdana" w:cs="Verdana"/>
        </w:rPr>
        <w:t xml:space="preserve"> </w:t>
      </w:r>
    </w:p>
    <w:p w:rsidR="00FB0B24" w:rsidRPr="005B5CB6" w:rsidP="00A72806">
      <w:pPr>
        <w:numPr>
          <w:ilvl w:val="1"/>
          <w:numId w:val="80"/>
        </w:numPr>
        <w:spacing w:after="224" w:line="250" w:lineRule="auto"/>
        <w:ind w:left="860" w:right="11" w:hanging="430"/>
        <w:jc w:val="both"/>
        <w:rPr>
          <w:rFonts w:ascii="Verdana" w:hAnsi="Verdana"/>
        </w:rPr>
      </w:pPr>
      <w:r w:rsidRPr="005B5CB6">
        <w:rPr>
          <w:rFonts w:ascii="Verdana" w:eastAsia="Verdana" w:hAnsi="Verdana" w:cs="Verdana"/>
        </w:rPr>
        <w:t xml:space="preserve">We would invite the new regulator to have regard to the ASA if it were to identify harm arising from the content or placement of online ads that fall under the Advertising Codes.  In all but exceptional circumstances, the ASA should undertake the role, as it currently does, of addressing any such identified harm in the first instance.  We would want to prioritise drawing up a memorandum of understanding, or the like, with the appointed regulator to cover any potential overlap in regulatory responsibilities in order to reassure stakeholders about the division and co-ordination of any such responsibilities. </w:t>
      </w:r>
    </w:p>
    <w:p w:rsidR="00FB0B24" w:rsidRPr="005B5CB6" w:rsidP="00A72806">
      <w:pPr>
        <w:spacing w:after="178"/>
        <w:ind w:left="430"/>
        <w:jc w:val="both"/>
        <w:rPr>
          <w:rFonts w:ascii="Verdana" w:hAnsi="Verdana"/>
        </w:rPr>
      </w:pPr>
      <w:r w:rsidRPr="005B5CB6">
        <w:rPr>
          <w:rFonts w:ascii="Verdana" w:eastAsia="Verdana" w:hAnsi="Verdana" w:cs="Verdana"/>
        </w:rPr>
        <w:t xml:space="preserve"> </w:t>
      </w:r>
    </w:p>
    <w:p w:rsidR="00FB0B24" w:rsidRPr="005B5CB6" w:rsidP="00A72806">
      <w:pPr>
        <w:spacing w:after="182" w:line="250" w:lineRule="auto"/>
        <w:ind w:left="440" w:hanging="10"/>
        <w:jc w:val="both"/>
        <w:rPr>
          <w:rFonts w:ascii="Verdana" w:hAnsi="Verdana"/>
        </w:rPr>
      </w:pPr>
      <w:r w:rsidRPr="005B5CB6">
        <w:rPr>
          <w:rFonts w:ascii="Verdana" w:eastAsia="Verdana" w:hAnsi="Verdana" w:cs="Verdana"/>
          <w:b/>
        </w:rPr>
        <w:t>Contact</w:t>
      </w:r>
      <w:r w:rsidRPr="005B5CB6">
        <w:rPr>
          <w:rFonts w:ascii="Verdana" w:eastAsia="Verdana" w:hAnsi="Verdana" w:cs="Verdana"/>
        </w:rPr>
        <w:t xml:space="preserve"> </w:t>
      </w:r>
    </w:p>
    <w:p w:rsidR="00FB0B24" w:rsidRPr="005B5CB6" w:rsidP="00A72806">
      <w:pPr>
        <w:spacing w:after="5" w:line="250" w:lineRule="auto"/>
        <w:ind w:left="438" w:right="11" w:hanging="8"/>
        <w:jc w:val="both"/>
        <w:rPr>
          <w:rFonts w:ascii="Verdana" w:hAnsi="Verdana"/>
        </w:rPr>
      </w:pPr>
      <w:r w:rsidRPr="005B5CB6">
        <w:rPr>
          <w:rFonts w:ascii="Verdana" w:eastAsia="Verdana" w:hAnsi="Verdana" w:cs="Verdana"/>
        </w:rPr>
        <w:t xml:space="preserve">Kate Roche </w:t>
      </w:r>
    </w:p>
    <w:p w:rsidR="00FB0B24" w:rsidRPr="005B5CB6" w:rsidP="00A72806">
      <w:pPr>
        <w:spacing w:after="5" w:line="250" w:lineRule="auto"/>
        <w:ind w:left="438" w:right="11" w:hanging="8"/>
        <w:jc w:val="both"/>
        <w:rPr>
          <w:rFonts w:ascii="Verdana" w:hAnsi="Verdana"/>
        </w:rPr>
      </w:pPr>
      <w:r w:rsidRPr="005B5CB6">
        <w:rPr>
          <w:rFonts w:ascii="Verdana" w:eastAsia="Verdana" w:hAnsi="Verdana" w:cs="Verdana"/>
        </w:rPr>
        <w:t xml:space="preserve">Public Affairs Adviser </w:t>
      </w:r>
    </w:p>
    <w:p w:rsidR="00FB0B24" w:rsidRPr="005B5CB6" w:rsidP="00A72806">
      <w:pPr>
        <w:spacing w:after="5" w:line="250" w:lineRule="auto"/>
        <w:ind w:left="438" w:right="5130" w:hanging="8"/>
        <w:jc w:val="both"/>
        <w:rPr>
          <w:rFonts w:ascii="Verdana" w:hAnsi="Verdana"/>
        </w:rPr>
      </w:pPr>
      <w:r w:rsidRPr="005B5CB6">
        <w:rPr>
          <w:rFonts w:ascii="Verdana" w:eastAsia="Verdana" w:hAnsi="Verdana" w:cs="Verdana"/>
        </w:rPr>
        <w:t xml:space="preserve">Advertising Standards Authority </w:t>
      </w:r>
      <w:r w:rsidRPr="005B5CB6">
        <w:rPr>
          <w:rFonts w:ascii="Verdana" w:eastAsia="Verdana" w:hAnsi="Verdana" w:cs="Verdana"/>
          <w:color w:val="0000FF"/>
          <w:u w:val="single" w:color="0000FF"/>
        </w:rPr>
        <w:t>kater@asa.org.uk</w:t>
      </w:r>
      <w:r w:rsidRPr="005B5CB6">
        <w:rPr>
          <w:rFonts w:ascii="Verdana" w:eastAsia="Verdana" w:hAnsi="Verdana" w:cs="Verdana"/>
        </w:rPr>
        <w:t xml:space="preserve">  020 7492 2176 </w:t>
      </w:r>
    </w:p>
    <w:p w:rsidR="00FB0B24" w:rsidRPr="005B5CB6" w:rsidP="00A72806">
      <w:pPr>
        <w:jc w:val="both"/>
        <w:rPr>
          <w:rFonts w:ascii="Verdana" w:hAnsi="Verdana"/>
        </w:rPr>
        <w:sectPr w:rsidSect="00A047E5">
          <w:headerReference w:type="even" r:id="rId147"/>
          <w:headerReference w:type="default" r:id="rId148"/>
          <w:footerReference w:type="even" r:id="rId149"/>
          <w:footerReference w:type="default" r:id="rId150"/>
          <w:headerReference w:type="first" r:id="rId151"/>
          <w:footerReference w:type="first" r:id="rId152"/>
          <w:pgSz w:w="11906" w:h="16838"/>
          <w:pgMar w:top="1492" w:right="1441" w:bottom="1605" w:left="1368" w:header="720" w:footer="709" w:gutter="0"/>
          <w:cols w:space="720"/>
        </w:sectPr>
      </w:pPr>
    </w:p>
    <w:p w:rsidR="005C552C" w:rsidRPr="005B5CB6" w:rsidP="00A1624B">
      <w:pPr>
        <w:pStyle w:val="Heading1"/>
        <w:rPr>
          <w:sz w:val="22"/>
        </w:rPr>
      </w:pPr>
      <w:bookmarkStart w:id="25" w:name="_Toc44517713"/>
      <w:r w:rsidRPr="005B5CB6">
        <w:rPr>
          <w:sz w:val="22"/>
        </w:rPr>
        <w:t>Scytl Secure Electronic Voting – written evidence (DAD0030)</w:t>
      </w:r>
      <w:bookmarkEnd w:id="25"/>
    </w:p>
    <w:p w:rsidR="005C552C" w:rsidRPr="005B5CB6" w:rsidP="005C552C">
      <w:pPr>
        <w:rPr>
          <w:rFonts w:ascii="Verdana" w:hAnsi="Verdana"/>
        </w:rPr>
      </w:pPr>
      <w:r w:rsidRPr="005B5CB6">
        <w:rPr>
          <w:rFonts w:ascii="Verdana" w:hAnsi="Verdana"/>
        </w:rPr>
        <w:t xml:space="preserve"> </w:t>
      </w:r>
    </w:p>
    <w:p w:rsidR="005C552C" w:rsidRPr="005B5CB6" w:rsidP="005C552C">
      <w:pPr>
        <w:rPr>
          <w:rFonts w:ascii="Verdana" w:hAnsi="Verdana"/>
          <w:b/>
          <w:bCs/>
        </w:rPr>
      </w:pPr>
      <w:r w:rsidRPr="005B5CB6">
        <w:rPr>
          <w:rFonts w:ascii="Verdana" w:hAnsi="Verdana"/>
          <w:b/>
          <w:bCs/>
        </w:rPr>
        <w:t xml:space="preserve">1.1 Introduction </w:t>
      </w:r>
    </w:p>
    <w:p w:rsidR="005C552C" w:rsidRPr="005B5CB6" w:rsidP="005C552C">
      <w:pPr>
        <w:rPr>
          <w:rFonts w:ascii="Verdana" w:hAnsi="Verdana"/>
        </w:rPr>
      </w:pPr>
      <w:r w:rsidRPr="005B5CB6">
        <w:rPr>
          <w:rFonts w:ascii="Verdana" w:hAnsi="Verdana"/>
        </w:rPr>
        <w:t xml:space="preserve">One of the common characteristics of political campaigns in the recent decade is the everincreasing use of digital media for communication and coordination. From large-scale protests to local or national elections, social media facilitate self-expression and promote social connections. At the same time, election candidates resort to social media as the principal tool for political campaigning and direct communication with voters.  </w:t>
      </w:r>
    </w:p>
    <w:p w:rsidR="005C552C" w:rsidRPr="005B5CB6" w:rsidP="005C552C">
      <w:pPr>
        <w:rPr>
          <w:rFonts w:ascii="Verdana" w:hAnsi="Verdana"/>
        </w:rPr>
      </w:pPr>
      <w:r w:rsidRPr="005B5CB6">
        <w:rPr>
          <w:rFonts w:ascii="Verdana" w:hAnsi="Verdana"/>
        </w:rPr>
        <w:t xml:space="preserve">In this context, growing scholarly attention has been paid to the outstanding role social media play in various of political campaigns. However, only recently have governments and public institutions started to pay closer attention to the transformative effect of technology on political communication and campaigning.  </w:t>
      </w:r>
    </w:p>
    <w:p w:rsidR="005C552C" w:rsidRPr="005B5CB6" w:rsidP="005C552C">
      <w:pPr>
        <w:rPr>
          <w:rFonts w:ascii="Verdana" w:hAnsi="Verdana"/>
        </w:rPr>
      </w:pPr>
      <w:r w:rsidRPr="005B5CB6">
        <w:rPr>
          <w:rFonts w:ascii="Verdana" w:hAnsi="Verdana"/>
        </w:rPr>
        <w:t xml:space="preserve">Scytl welcomes the initiative of the Select Committee on Democracy and Digital Technologies and is pleased to share its insights. As global leader in secure online voting, election management, and election modernisation solutions, Scytl’s solutions incorporate unique cryptographic protocols that ensure maximum security, transparency and auditability in all types of elections. Scytl has capitalized its more than 20 years of pioneering research to develop unique election-specific cryptographic security technology protected by the largest patent portfolio of the industry. Over these years, Scytl has accrued more experience working with election officials than any other organization in existence.   </w:t>
      </w:r>
    </w:p>
    <w:p w:rsidR="005C552C" w:rsidRPr="005B5CB6" w:rsidP="005C552C">
      <w:pPr>
        <w:rPr>
          <w:rFonts w:ascii="Verdana" w:hAnsi="Verdana"/>
        </w:rPr>
      </w:pPr>
      <w:r w:rsidRPr="005B5CB6">
        <w:rPr>
          <w:rFonts w:ascii="Verdana" w:hAnsi="Verdana"/>
        </w:rPr>
        <w:t xml:space="preserve">This experience has fuelled everything we do, every product we develop and every implementation we deliver. Every product in our portfolio has been created by election officials and election experts, for election officials.  Having worked with hundreds of governments and electoral authorities across the world, we believe that mainstream and emerging technologies can play a pivotal role in modernizing political communication, facilitating citizen participation, improving accessibility and empowering democratic process. This document presents evidence and positive examples of technology that can help elected representatives and/or candidates engage with public, as response to the following questions: </w:t>
      </w:r>
    </w:p>
    <w:p w:rsidR="005C552C" w:rsidRPr="005B5CB6" w:rsidP="005C552C">
      <w:pPr>
        <w:rPr>
          <w:rFonts w:ascii="Verdana" w:hAnsi="Verdana"/>
        </w:rPr>
      </w:pPr>
      <w:r w:rsidRPr="005B5CB6">
        <w:rPr>
          <w:rFonts w:ascii="Verdana" w:hAnsi="Verdana"/>
        </w:rPr>
        <w:t xml:space="preserve">12. How could the Government better support the positive work of civil society organisations using technology to facilitate engagement with democratic processes? </w:t>
      </w:r>
    </w:p>
    <w:p w:rsidR="005C552C" w:rsidRPr="005B5CB6" w:rsidP="005C552C">
      <w:pPr>
        <w:rPr>
          <w:rFonts w:ascii="Verdana" w:hAnsi="Verdana"/>
        </w:rPr>
      </w:pPr>
      <w:r w:rsidRPr="005B5CB6">
        <w:rPr>
          <w:rFonts w:ascii="Verdana" w:hAnsi="Verdana"/>
        </w:rPr>
        <w:t>13.</w:t>
      </w:r>
      <w:r w:rsidRPr="005B5CB6">
        <w:rPr>
          <w:rFonts w:ascii="Verdana" w:hAnsi="Verdana"/>
        </w:rPr>
        <w:tab/>
        <w:t xml:space="preserve">How can elected representatives use technology to engage with the public in local and national decision making? What can Parliament and Government do to better use technology to support democratic engagement and ensure the efficacy of the democratic process? </w:t>
      </w:r>
    </w:p>
    <w:p w:rsidR="005C552C" w:rsidRPr="005B5CB6" w:rsidP="005C552C">
      <w:pPr>
        <w:rPr>
          <w:rFonts w:ascii="Verdana" w:hAnsi="Verdana"/>
        </w:rPr>
      </w:pPr>
      <w:r w:rsidRPr="005B5CB6">
        <w:rPr>
          <w:rFonts w:ascii="Verdana" w:hAnsi="Verdana"/>
        </w:rPr>
        <w:t>14.</w:t>
      </w:r>
      <w:r w:rsidRPr="005B5CB6">
        <w:rPr>
          <w:rFonts w:ascii="Verdana" w:hAnsi="Verdana"/>
        </w:rPr>
        <w:tab/>
        <w:t xml:space="preserve">What positive examples are there of technology being used to enhance democracy? </w:t>
      </w:r>
    </w:p>
    <w:p w:rsidR="005C552C" w:rsidRPr="005B5CB6" w:rsidP="005C552C">
      <w:pPr>
        <w:rPr>
          <w:rFonts w:ascii="Verdana" w:hAnsi="Verdana"/>
        </w:rPr>
      </w:pPr>
      <w:r w:rsidRPr="005B5CB6">
        <w:rPr>
          <w:rFonts w:ascii="Verdana" w:hAnsi="Verdana"/>
        </w:rPr>
        <w:t xml:space="preserve">   </w:t>
      </w:r>
      <w:r w:rsidRPr="005B5CB6">
        <w:rPr>
          <w:rFonts w:ascii="Verdana" w:hAnsi="Verdana"/>
        </w:rPr>
        <w:tab/>
        <w:t xml:space="preserve">  </w:t>
      </w:r>
    </w:p>
    <w:p w:rsidR="005C552C" w:rsidRPr="005B5CB6" w:rsidP="005C552C">
      <w:pPr>
        <w:rPr>
          <w:rFonts w:ascii="Verdana" w:hAnsi="Verdana"/>
          <w:b/>
          <w:bCs/>
        </w:rPr>
      </w:pPr>
      <w:r w:rsidRPr="005B5CB6">
        <w:rPr>
          <w:rFonts w:ascii="Verdana" w:hAnsi="Verdana"/>
          <w:b/>
          <w:bCs/>
        </w:rPr>
        <w:t xml:space="preserve">1.2 Online Voting for facilitating engagement with democratic processes </w:t>
      </w:r>
    </w:p>
    <w:p w:rsidR="005C552C" w:rsidRPr="005B5CB6" w:rsidP="005C552C">
      <w:pPr>
        <w:rPr>
          <w:rFonts w:ascii="Verdana" w:hAnsi="Verdana"/>
        </w:rPr>
      </w:pPr>
      <w:r w:rsidRPr="005B5CB6">
        <w:rPr>
          <w:rFonts w:ascii="Verdana" w:hAnsi="Verdana"/>
        </w:rPr>
        <w:t xml:space="preserve">Online voting is a technology that allows voters to cast their votes easily and safely from any location and from any device with an Internet connection. This solution facilitates the participation of all voters to the democratic process, and especially those with difficulties in exercising their right to vote, such as voters with disabilities or those who cannot access a polling station. Today’s technology on online voting ensures the privacy of the vote and the integrity of the results at all times, while reducing the costs associated with the electoral process. </w:t>
      </w:r>
    </w:p>
    <w:p w:rsidR="005C552C" w:rsidRPr="005B5CB6" w:rsidP="005C552C">
      <w:pPr>
        <w:rPr>
          <w:rFonts w:ascii="Verdana" w:hAnsi="Verdana"/>
        </w:rPr>
      </w:pPr>
      <w:r w:rsidRPr="005B5CB6">
        <w:rPr>
          <w:rFonts w:ascii="Verdana" w:hAnsi="Verdana"/>
        </w:rPr>
        <w:t xml:space="preserve">Below are listed some of the main features and advantages online voting technology can bring to the electoral and participatory processes:  </w:t>
      </w:r>
    </w:p>
    <w:p w:rsidR="005C552C" w:rsidRPr="005B5CB6" w:rsidP="005C552C">
      <w:pPr>
        <w:rPr>
          <w:rFonts w:ascii="Verdana" w:hAnsi="Verdana"/>
        </w:rPr>
      </w:pPr>
      <w:r w:rsidRPr="005B5CB6">
        <w:rPr>
          <w:rFonts w:ascii="Verdana" w:hAnsi="Verdana"/>
        </w:rPr>
        <w:t xml:space="preserve"> </w:t>
      </w:r>
    </w:p>
    <w:p w:rsidR="005C552C" w:rsidRPr="005B5CB6" w:rsidP="005C552C">
      <w:pPr>
        <w:rPr>
          <w:rFonts w:ascii="Verdana" w:hAnsi="Verdana"/>
          <w:b/>
          <w:bCs/>
        </w:rPr>
      </w:pPr>
      <w:r w:rsidRPr="005B5CB6">
        <w:rPr>
          <w:rFonts w:ascii="Verdana" w:hAnsi="Verdana"/>
          <w:b/>
          <w:bCs/>
        </w:rPr>
        <w:t xml:space="preserve">Usability and accessibility </w:t>
      </w:r>
    </w:p>
    <w:p w:rsidR="005C552C" w:rsidRPr="005B5CB6" w:rsidP="005C552C">
      <w:pPr>
        <w:rPr>
          <w:rFonts w:ascii="Verdana" w:hAnsi="Verdana"/>
        </w:rPr>
      </w:pPr>
      <w:r w:rsidRPr="005B5CB6">
        <w:rPr>
          <w:rFonts w:ascii="Verdana" w:hAnsi="Verdana"/>
        </w:rPr>
        <w:t xml:space="preserve">Online voting can be a simple and user-friendly process that requires no previous training; voters can cast their ballot from any device with an Internet connection (PC, mobile phone, tablet) and with a standard web browser. The process is simple and intuitive, with clear instructions, so that voting can be completed in minutes or even seconds, from any location. </w:t>
      </w:r>
    </w:p>
    <w:p w:rsidR="005C552C" w:rsidRPr="005B5CB6" w:rsidP="005C552C">
      <w:pPr>
        <w:rPr>
          <w:rFonts w:ascii="Verdana" w:hAnsi="Verdana"/>
        </w:rPr>
      </w:pPr>
      <w:r w:rsidRPr="005B5CB6">
        <w:rPr>
          <w:rFonts w:ascii="Verdana" w:hAnsi="Verdana"/>
        </w:rPr>
        <w:t xml:space="preserve">Online voting makes democratic participation more accessible to voters who normally have challenges in exercising their right to vote, such as those who live in remote locations and cannot easily access a polling station or voters with visual or kinetic disabilities. Online voting technology supports the use of screen reading software, ergonomic devices, and so forth, enabling these voters to cast their ballot independently and without assistance. </w:t>
      </w:r>
    </w:p>
    <w:p w:rsidR="005C552C" w:rsidRPr="005B5CB6" w:rsidP="005C552C">
      <w:pPr>
        <w:rPr>
          <w:rFonts w:ascii="Verdana" w:hAnsi="Verdana"/>
        </w:rPr>
      </w:pPr>
      <w:r w:rsidRPr="005B5CB6">
        <w:rPr>
          <w:rFonts w:ascii="Verdana" w:hAnsi="Verdana"/>
        </w:rPr>
        <w:t xml:space="preserve">For example, the online voting system of New South Wales is the leading reference in the adoption of secure and accessible online voting, setting the global standards on the implementation of innovative online voting solutions. Both the increasing usage and the higher satisfaction rates are testaments to how election modernisation technology can have a profound positive impact in facilitating citizen engagement in the democratic processes .  </w:t>
      </w:r>
    </w:p>
    <w:p w:rsidR="005C552C" w:rsidRPr="005B5CB6" w:rsidP="005C552C">
      <w:pPr>
        <w:rPr>
          <w:rFonts w:ascii="Verdana" w:hAnsi="Verdana"/>
        </w:rPr>
      </w:pPr>
      <w:r w:rsidRPr="005B5CB6">
        <w:rPr>
          <w:rFonts w:ascii="Verdana" w:hAnsi="Verdana"/>
        </w:rPr>
        <w:t xml:space="preserve"> </w:t>
      </w:r>
    </w:p>
    <w:p w:rsidR="005C552C" w:rsidRPr="005B5CB6" w:rsidP="005C552C">
      <w:pPr>
        <w:rPr>
          <w:rFonts w:ascii="Verdana" w:hAnsi="Verdana"/>
          <w:b/>
          <w:bCs/>
        </w:rPr>
      </w:pPr>
      <w:r w:rsidRPr="005B5CB6">
        <w:rPr>
          <w:rFonts w:ascii="Verdana" w:hAnsi="Verdana"/>
          <w:b/>
          <w:bCs/>
        </w:rPr>
        <w:t xml:space="preserve">Speed and precision </w:t>
      </w:r>
    </w:p>
    <w:p w:rsidR="005C552C" w:rsidRPr="005B5CB6" w:rsidP="005C552C">
      <w:pPr>
        <w:rPr>
          <w:rFonts w:ascii="Verdana" w:hAnsi="Verdana"/>
        </w:rPr>
      </w:pPr>
      <w:r w:rsidRPr="005B5CB6">
        <w:rPr>
          <w:rFonts w:ascii="Verdana" w:hAnsi="Verdana"/>
        </w:rPr>
        <w:t xml:space="preserve">Unlike traditional ballot paper processes, where manual counting of votes can be long and where errors may occur, online voting results can be calculated in just a few minutes. In addition, the entire process can be validated for consistency and integrity, thus preventing the possibility of invalid votes due to involuntary errors of the voters. </w:t>
      </w:r>
    </w:p>
    <w:p w:rsidR="005C552C" w:rsidRPr="005B5CB6" w:rsidP="005C552C">
      <w:pPr>
        <w:rPr>
          <w:rFonts w:ascii="Verdana" w:hAnsi="Verdana"/>
        </w:rPr>
      </w:pPr>
      <w:r w:rsidRPr="005B5CB6">
        <w:rPr>
          <w:rFonts w:ascii="Verdana" w:hAnsi="Verdana"/>
        </w:rPr>
        <w:t xml:space="preserve"> </w:t>
      </w:r>
    </w:p>
    <w:p w:rsidR="005C552C" w:rsidRPr="005B5CB6" w:rsidP="005C552C">
      <w:pPr>
        <w:rPr>
          <w:rFonts w:ascii="Verdana" w:hAnsi="Verdana"/>
          <w:b/>
          <w:bCs/>
        </w:rPr>
      </w:pPr>
      <w:r w:rsidRPr="005B5CB6">
        <w:rPr>
          <w:rFonts w:ascii="Verdana" w:hAnsi="Verdana"/>
          <w:b/>
          <w:bCs/>
        </w:rPr>
        <w:t xml:space="preserve">Cost reduction </w:t>
      </w:r>
    </w:p>
    <w:p w:rsidR="005C552C" w:rsidRPr="005B5CB6" w:rsidP="005C552C">
      <w:pPr>
        <w:rPr>
          <w:rFonts w:ascii="Verdana" w:hAnsi="Verdana"/>
        </w:rPr>
      </w:pPr>
      <w:r w:rsidRPr="005B5CB6">
        <w:rPr>
          <w:rFonts w:ascii="Verdana" w:hAnsi="Verdana"/>
        </w:rPr>
        <w:t xml:space="preserve">Online voting significantly reduces the costs of the election process, due to reductions in costs in materials, workdays and logistics. Overall, it is estimated </w:t>
      </w:r>
      <w:r w:rsidRPr="005B5CB6">
        <w:rPr>
          <w:rFonts w:ascii="Verdana" w:hAnsi="Verdana"/>
        </w:rPr>
        <w:t xml:space="preserve">that online voting can reduce the total cost of the election process by 50% . Scale costs are also lower, so once the online voting system is set up and running, it is much easier to carry out additional participatory processes in a much lower additional cost. Furthermore, from an environmental perspective, it is a sustainable solution, reducing the overall ecological footprint, as it reduces tasks such as the production of paper and toner, printing ballot papers, purchasing ballot boxes, transport of resources, etc. </w:t>
      </w:r>
    </w:p>
    <w:p w:rsidR="005C552C" w:rsidRPr="005B5CB6" w:rsidP="005C552C">
      <w:pPr>
        <w:rPr>
          <w:rFonts w:ascii="Verdana" w:hAnsi="Verdana"/>
        </w:rPr>
      </w:pPr>
      <w:r w:rsidRPr="005B5CB6">
        <w:rPr>
          <w:rFonts w:ascii="Verdana" w:hAnsi="Verdana"/>
        </w:rPr>
        <w:t xml:space="preserve"> </w:t>
      </w:r>
    </w:p>
    <w:p w:rsidR="005C552C" w:rsidRPr="005B5CB6" w:rsidP="005C552C">
      <w:pPr>
        <w:rPr>
          <w:rFonts w:ascii="Verdana" w:hAnsi="Verdana"/>
          <w:b/>
          <w:bCs/>
        </w:rPr>
      </w:pPr>
      <w:r w:rsidRPr="005B5CB6">
        <w:rPr>
          <w:rFonts w:ascii="Verdana" w:hAnsi="Verdana"/>
          <w:b/>
          <w:bCs/>
        </w:rPr>
        <w:t xml:space="preserve">Increase in democratic participation </w:t>
      </w:r>
    </w:p>
    <w:p w:rsidR="005C552C" w:rsidRPr="005B5CB6" w:rsidP="005C552C">
      <w:pPr>
        <w:rPr>
          <w:rFonts w:ascii="Verdana" w:hAnsi="Verdana"/>
        </w:rPr>
      </w:pPr>
      <w:r w:rsidRPr="005B5CB6">
        <w:rPr>
          <w:rFonts w:ascii="Verdana" w:hAnsi="Verdana"/>
        </w:rPr>
        <w:t xml:space="preserve">As a direct consequence of its usability, comfort, security and transparency, online voting process tend to show an increase in citizen participation, making the electoral process even more engaging, providing enhanced democratic legitimacy to the results. </w:t>
      </w:r>
    </w:p>
    <w:p w:rsidR="005C552C" w:rsidRPr="005B5CB6" w:rsidP="005C552C">
      <w:pPr>
        <w:rPr>
          <w:rFonts w:ascii="Verdana" w:hAnsi="Verdana"/>
        </w:rPr>
      </w:pPr>
      <w:r w:rsidRPr="005B5CB6">
        <w:rPr>
          <w:rFonts w:ascii="Verdana" w:hAnsi="Verdana"/>
        </w:rPr>
        <w:t xml:space="preserve"> </w:t>
      </w:r>
    </w:p>
    <w:p w:rsidR="005C552C" w:rsidRPr="005B5CB6" w:rsidP="005C552C">
      <w:pPr>
        <w:rPr>
          <w:rFonts w:ascii="Verdana" w:hAnsi="Verdana"/>
          <w:b/>
          <w:bCs/>
        </w:rPr>
      </w:pPr>
      <w:r w:rsidRPr="005B5CB6">
        <w:rPr>
          <w:rFonts w:ascii="Verdana" w:hAnsi="Verdana"/>
          <w:b/>
          <w:bCs/>
        </w:rPr>
        <w:t xml:space="preserve">Security </w:t>
      </w:r>
    </w:p>
    <w:p w:rsidR="005C552C" w:rsidRPr="005B5CB6" w:rsidP="005C552C">
      <w:pPr>
        <w:rPr>
          <w:rFonts w:ascii="Verdana" w:hAnsi="Verdana"/>
        </w:rPr>
      </w:pPr>
      <w:r w:rsidRPr="005B5CB6">
        <w:rPr>
          <w:rFonts w:ascii="Verdana" w:hAnsi="Verdana"/>
        </w:rPr>
        <w:t xml:space="preserve">Online voting solutions use advanced cryptographic tools for safeguarding the security of the entire process end-to-end. From the moment that the "digital envelope" is sent from the voting device, it is encrypted and digitally signed, ensuring that no one can view its content or modify it. Moreover, the vote decryption key is divided in different fragments, which are evenly distributed among the members of the Electoral Board, so that no individual can access the votes or manipulate the digital ballot box, before the end of the voting process. </w:t>
      </w:r>
    </w:p>
    <w:p w:rsidR="005C552C" w:rsidRPr="005B5CB6" w:rsidP="005C552C">
      <w:pPr>
        <w:rPr>
          <w:rFonts w:ascii="Verdana" w:hAnsi="Verdana"/>
        </w:rPr>
      </w:pPr>
      <w:r w:rsidRPr="005B5CB6">
        <w:rPr>
          <w:rFonts w:ascii="Verdana" w:hAnsi="Verdana"/>
        </w:rPr>
        <w:t xml:space="preserve">   </w:t>
      </w:r>
    </w:p>
    <w:p w:rsidR="005C552C" w:rsidRPr="005B5CB6" w:rsidP="005C552C">
      <w:pPr>
        <w:rPr>
          <w:rFonts w:ascii="Verdana" w:hAnsi="Verdana"/>
          <w:b/>
          <w:bCs/>
        </w:rPr>
      </w:pPr>
      <w:r w:rsidRPr="005B5CB6">
        <w:rPr>
          <w:rFonts w:ascii="Verdana" w:hAnsi="Verdana"/>
          <w:b/>
          <w:bCs/>
        </w:rPr>
        <w:t xml:space="preserve">Transparency </w:t>
      </w:r>
    </w:p>
    <w:p w:rsidR="005C552C" w:rsidRPr="005B5CB6" w:rsidP="005C552C">
      <w:pPr>
        <w:rPr>
          <w:rFonts w:ascii="Verdana" w:hAnsi="Verdana"/>
        </w:rPr>
      </w:pPr>
      <w:r w:rsidRPr="005B5CB6">
        <w:rPr>
          <w:rFonts w:ascii="Verdana" w:hAnsi="Verdana"/>
        </w:rPr>
        <w:t xml:space="preserve">In addition to the sophisticated security measures, the latest generation of online voting solutions also include advanced verifiability measures: </w:t>
      </w:r>
    </w:p>
    <w:p w:rsidR="005C552C" w:rsidRPr="005B5CB6" w:rsidP="005C552C">
      <w:pPr>
        <w:rPr>
          <w:rFonts w:ascii="Verdana" w:hAnsi="Verdana"/>
        </w:rPr>
      </w:pPr>
      <w:r w:rsidRPr="005B5CB6">
        <w:rPr>
          <w:rFonts w:ascii="Verdana" w:hAnsi="Verdana"/>
        </w:rPr>
        <w:t>•</w:t>
      </w:r>
      <w:r w:rsidRPr="005B5CB6">
        <w:rPr>
          <w:rFonts w:ascii="Verdana" w:hAnsi="Verdana"/>
        </w:rPr>
        <w:tab/>
        <w:t xml:space="preserve">Individual verification: Techniques such as the "voting receipt" allow the voter to verify that the vote cast actually contains the options that they selected, and that the vote has arrived correctly in the digital box to be admitted to the vote counting. </w:t>
      </w:r>
    </w:p>
    <w:p w:rsidR="005C552C" w:rsidRPr="005B5CB6" w:rsidP="005C552C">
      <w:pPr>
        <w:rPr>
          <w:rFonts w:ascii="Verdana" w:hAnsi="Verdana"/>
        </w:rPr>
      </w:pPr>
      <w:r w:rsidRPr="005B5CB6">
        <w:rPr>
          <w:rFonts w:ascii="Verdana" w:hAnsi="Verdana"/>
        </w:rPr>
        <w:t>•</w:t>
      </w:r>
      <w:r w:rsidRPr="005B5CB6">
        <w:rPr>
          <w:rFonts w:ascii="Verdana" w:hAnsi="Verdana"/>
        </w:rPr>
        <w:tab/>
        <w:t xml:space="preserve">Universal Verification: The system generates a series of irrefutable mathematical proofs which cannot be modified but can be made available for audit; this verifies beyond any doubt that the results reflect the exact content of encrypted votes. </w:t>
      </w:r>
    </w:p>
    <w:p w:rsidR="005C552C" w:rsidRPr="005B5CB6" w:rsidP="005C552C">
      <w:pPr>
        <w:rPr>
          <w:rFonts w:ascii="Verdana" w:hAnsi="Verdana"/>
        </w:rPr>
      </w:pPr>
      <w:r w:rsidRPr="005B5CB6">
        <w:rPr>
          <w:rFonts w:ascii="Verdana" w:hAnsi="Verdana"/>
        </w:rPr>
        <w:t xml:space="preserve">It is important to emphasize that the content of individual votes is not displayed at any moment. This means that it is possible to give transparency to the system and the process, without jeopardizing the privacy of voters. Such measures increase voter confidence in the process, as this is completely transparent and auditable while providing election authorities with valuable peace of mind. </w:t>
      </w:r>
    </w:p>
    <w:p w:rsidR="005C552C" w:rsidRPr="005B5CB6" w:rsidP="005C552C">
      <w:pPr>
        <w:rPr>
          <w:rFonts w:ascii="Verdana" w:hAnsi="Verdana"/>
        </w:rPr>
      </w:pPr>
      <w:r w:rsidRPr="005B5CB6">
        <w:rPr>
          <w:rFonts w:ascii="Verdana" w:hAnsi="Verdana"/>
        </w:rPr>
        <w:t xml:space="preserve"> </w:t>
      </w:r>
    </w:p>
    <w:p w:rsidR="005C552C" w:rsidRPr="005B5CB6" w:rsidP="005C552C">
      <w:pPr>
        <w:rPr>
          <w:rFonts w:ascii="Verdana" w:hAnsi="Verdana"/>
          <w:b/>
          <w:bCs/>
        </w:rPr>
      </w:pPr>
      <w:r w:rsidRPr="005B5CB6">
        <w:rPr>
          <w:rFonts w:ascii="Verdana" w:hAnsi="Verdana"/>
          <w:b/>
          <w:bCs/>
        </w:rPr>
        <w:t xml:space="preserve">1.3 Election Statement Management for information exchange between citizens and representatives </w:t>
      </w:r>
    </w:p>
    <w:p w:rsidR="005C552C" w:rsidRPr="005B5CB6" w:rsidP="005C552C">
      <w:pPr>
        <w:rPr>
          <w:rFonts w:ascii="Verdana" w:hAnsi="Verdana"/>
        </w:rPr>
      </w:pPr>
      <w:r w:rsidRPr="005B5CB6">
        <w:rPr>
          <w:rFonts w:ascii="Verdana" w:hAnsi="Verdana"/>
        </w:rPr>
        <w:t xml:space="preserve">Election Statement Management solutions allow disabled and remote citizens to access election documents (such as candidates’ statements and press material, financial reports on election expenditure, voting instructions etc.) during the election campaign. This technology features a set of functionalities which can be configured and personalized to meet the specific needs of the digitization processes of any paper-based document that is to be made available to citizens during an election campaign. </w:t>
      </w:r>
    </w:p>
    <w:p w:rsidR="005C552C" w:rsidRPr="005B5CB6" w:rsidP="005C552C">
      <w:pPr>
        <w:rPr>
          <w:rFonts w:ascii="Verdana" w:hAnsi="Verdana"/>
        </w:rPr>
      </w:pPr>
      <w:r w:rsidRPr="005B5CB6">
        <w:rPr>
          <w:rFonts w:ascii="Verdana" w:hAnsi="Verdana"/>
        </w:rPr>
        <w:t xml:space="preserve">Instead of distributing Election Statements to citizens on paper, this technology allows election authorities to load, validate and publish these statements in an electronic format in a secure and easy manner, allowing citizens to consult them at any moment. At the same time, it allows candidates or representatives to disseminate up-to-date and accurate information to their constituents, resulting in more fluid, direct and open democratic communication. </w:t>
      </w:r>
    </w:p>
    <w:p w:rsidR="005C552C" w:rsidRPr="005B5CB6" w:rsidP="005C552C">
      <w:pPr>
        <w:rPr>
          <w:rFonts w:ascii="Verdana" w:hAnsi="Verdana"/>
        </w:rPr>
      </w:pPr>
      <w:r w:rsidRPr="005B5CB6">
        <w:rPr>
          <w:rFonts w:ascii="Verdana" w:hAnsi="Verdana"/>
        </w:rPr>
        <w:t xml:space="preserve">Below are listed some of the main features and advantages election statement management can bring to the electoral and participatory processes:  </w:t>
      </w:r>
    </w:p>
    <w:p w:rsidR="005C552C" w:rsidRPr="005B5CB6" w:rsidP="005C552C">
      <w:pPr>
        <w:rPr>
          <w:rFonts w:ascii="Verdana" w:hAnsi="Verdana"/>
        </w:rPr>
      </w:pPr>
      <w:r w:rsidRPr="005B5CB6">
        <w:rPr>
          <w:rFonts w:ascii="Verdana" w:hAnsi="Verdana"/>
        </w:rPr>
        <w:t xml:space="preserve"> </w:t>
      </w:r>
    </w:p>
    <w:p w:rsidR="005C552C" w:rsidRPr="005B5CB6" w:rsidP="005C552C">
      <w:pPr>
        <w:rPr>
          <w:rFonts w:ascii="Verdana" w:hAnsi="Verdana"/>
          <w:b/>
          <w:bCs/>
        </w:rPr>
      </w:pPr>
      <w:r w:rsidRPr="005B5CB6">
        <w:rPr>
          <w:rFonts w:ascii="Verdana" w:hAnsi="Verdana"/>
          <w:b/>
          <w:bCs/>
        </w:rPr>
        <w:t xml:space="preserve">Accessibility for Persons with Disabilities </w:t>
      </w:r>
    </w:p>
    <w:p w:rsidR="005C552C" w:rsidRPr="005B5CB6" w:rsidP="005C552C">
      <w:pPr>
        <w:rPr>
          <w:rFonts w:ascii="Verdana" w:hAnsi="Verdana"/>
        </w:rPr>
      </w:pPr>
      <w:r w:rsidRPr="005B5CB6">
        <w:rPr>
          <w:rFonts w:ascii="Verdana" w:hAnsi="Verdana"/>
        </w:rPr>
        <w:t xml:space="preserve">For persons with disabilities, online Election Statement Management solutions address the challenges and eliminates the barriers faced by the visually impaired or illiterate voters through a secure website, compliant with accessibility standards for people with disabilities. </w:t>
      </w:r>
    </w:p>
    <w:p w:rsidR="005C552C" w:rsidRPr="005B5CB6" w:rsidP="005C552C">
      <w:pPr>
        <w:rPr>
          <w:rFonts w:ascii="Verdana" w:hAnsi="Verdana"/>
        </w:rPr>
      </w:pPr>
      <w:r w:rsidRPr="005B5CB6">
        <w:rPr>
          <w:rFonts w:ascii="Verdana" w:hAnsi="Verdana"/>
        </w:rPr>
        <w:t xml:space="preserve"> </w:t>
      </w:r>
    </w:p>
    <w:p w:rsidR="005C552C" w:rsidRPr="005B5CB6" w:rsidP="005C552C">
      <w:pPr>
        <w:rPr>
          <w:rFonts w:ascii="Verdana" w:hAnsi="Verdana"/>
          <w:b/>
          <w:bCs/>
        </w:rPr>
      </w:pPr>
      <w:r w:rsidRPr="005B5CB6">
        <w:rPr>
          <w:rFonts w:ascii="Verdana" w:hAnsi="Verdana"/>
          <w:b/>
          <w:bCs/>
        </w:rPr>
        <w:t xml:space="preserve">WCAG 2.0 AA Compliant </w:t>
      </w:r>
    </w:p>
    <w:p w:rsidR="005C552C" w:rsidRPr="005B5CB6" w:rsidP="005C552C">
      <w:pPr>
        <w:rPr>
          <w:rFonts w:ascii="Verdana" w:hAnsi="Verdana"/>
        </w:rPr>
      </w:pPr>
      <w:r w:rsidRPr="005B5CB6">
        <w:rPr>
          <w:rFonts w:ascii="Verdana" w:hAnsi="Verdana"/>
        </w:rPr>
        <w:t xml:space="preserve">The web interface of these solutions usually is WCAG 2.0 AA compliant, making content accessible to a wider range of people with disabilities, including blindness and low vision, deafness and hearing loss, learning   disabilities, cognitive limitations, limited movement,  speech disabilities, photosensitivity and combinations of these. It supports the use of the common commercially available assistive technology such as screen readers and screen magnifiers. </w:t>
      </w:r>
    </w:p>
    <w:p w:rsidR="005C552C" w:rsidRPr="005B5CB6" w:rsidP="005C552C">
      <w:pPr>
        <w:rPr>
          <w:rFonts w:ascii="Verdana" w:hAnsi="Verdana"/>
        </w:rPr>
      </w:pPr>
      <w:r w:rsidRPr="005B5CB6">
        <w:rPr>
          <w:rFonts w:ascii="Verdana" w:hAnsi="Verdana"/>
        </w:rPr>
        <w:t xml:space="preserve"> </w:t>
      </w:r>
    </w:p>
    <w:p w:rsidR="005C552C" w:rsidRPr="005B5CB6" w:rsidP="005C552C">
      <w:pPr>
        <w:rPr>
          <w:rFonts w:ascii="Verdana" w:hAnsi="Verdana"/>
          <w:b/>
          <w:bCs/>
        </w:rPr>
      </w:pPr>
      <w:r w:rsidRPr="005B5CB6">
        <w:rPr>
          <w:rFonts w:ascii="Verdana" w:hAnsi="Verdana"/>
          <w:b/>
          <w:bCs/>
        </w:rPr>
        <w:t xml:space="preserve">Secure PDFs transfers of Election Statements and Ballot Files  </w:t>
      </w:r>
    </w:p>
    <w:p w:rsidR="005C552C" w:rsidRPr="005B5CB6" w:rsidP="005C552C">
      <w:pPr>
        <w:rPr>
          <w:rFonts w:ascii="Verdana" w:hAnsi="Verdana"/>
        </w:rPr>
      </w:pPr>
      <w:r w:rsidRPr="005B5CB6">
        <w:rPr>
          <w:rFonts w:ascii="Verdana" w:hAnsi="Verdana"/>
        </w:rPr>
        <w:t xml:space="preserve">Such solutions guarantee the integrity and authenticity  of the Election Statements and ballots PDF files, thanks to a mechanism of digital signature and verification, allowing to secure the entire life cycle of the documents. </w:t>
      </w:r>
    </w:p>
    <w:p w:rsidR="005C552C" w:rsidRPr="005B5CB6" w:rsidP="005C552C">
      <w:pPr>
        <w:rPr>
          <w:rFonts w:ascii="Verdana" w:hAnsi="Verdana"/>
        </w:rPr>
      </w:pPr>
      <w:r w:rsidRPr="005B5CB6">
        <w:rPr>
          <w:rFonts w:ascii="Verdana" w:hAnsi="Verdana"/>
        </w:rPr>
        <w:t xml:space="preserve"> </w:t>
      </w:r>
    </w:p>
    <w:p w:rsidR="005C552C" w:rsidRPr="005B5CB6" w:rsidP="005C552C">
      <w:pPr>
        <w:rPr>
          <w:rFonts w:ascii="Verdana" w:hAnsi="Verdana"/>
          <w:b/>
          <w:bCs/>
        </w:rPr>
      </w:pPr>
      <w:r w:rsidRPr="005B5CB6">
        <w:rPr>
          <w:rFonts w:ascii="Verdana" w:hAnsi="Verdana"/>
          <w:b/>
          <w:bCs/>
        </w:rPr>
        <w:t xml:space="preserve">Content Privacy </w:t>
      </w:r>
    </w:p>
    <w:p w:rsidR="005C552C" w:rsidRPr="005B5CB6" w:rsidP="005C552C">
      <w:pPr>
        <w:rPr>
          <w:rFonts w:ascii="Verdana" w:hAnsi="Verdana"/>
        </w:rPr>
      </w:pPr>
      <w:r w:rsidRPr="005B5CB6">
        <w:rPr>
          <w:rFonts w:ascii="Verdana" w:hAnsi="Verdana"/>
        </w:rPr>
        <w:t xml:space="preserve">For enhanced privacy, some vendors have developed a specific technology which prevents the server to know  which Election Statement (or which Ballot) has been loaded.  </w:t>
      </w:r>
    </w:p>
    <w:p w:rsidR="00A575C1" w:rsidRPr="005B5CB6" w:rsidP="005C552C">
      <w:pPr>
        <w:rPr>
          <w:rFonts w:ascii="Verdana" w:hAnsi="Verdana"/>
        </w:rPr>
      </w:pPr>
    </w:p>
    <w:p w:rsidR="00A575C1" w:rsidRPr="005B5CB6">
      <w:pPr>
        <w:rPr>
          <w:rFonts w:ascii="Verdana" w:eastAsia="Verdana" w:hAnsi="Verdana" w:cs="Verdana"/>
          <w:b/>
        </w:rPr>
      </w:pPr>
      <w:r w:rsidRPr="005B5CB6">
        <w:rPr>
          <w:rFonts w:ascii="Verdana" w:hAnsi="Verdana"/>
        </w:rPr>
        <w:br w:type="page"/>
      </w:r>
    </w:p>
    <w:p w:rsidR="00FB0B24" w:rsidRPr="005B5CB6" w:rsidP="00A1624B">
      <w:pPr>
        <w:pStyle w:val="Heading1"/>
        <w:rPr>
          <w:sz w:val="22"/>
        </w:rPr>
      </w:pPr>
      <w:bookmarkStart w:id="26" w:name="_Toc44517714"/>
      <w:r w:rsidRPr="005B5CB6">
        <w:rPr>
          <w:sz w:val="22"/>
        </w:rPr>
        <w:t>Susan Hedley – written evidence (DAD0031)</w:t>
      </w:r>
      <w:bookmarkEnd w:id="26"/>
      <w:r w:rsidRPr="005B5CB6">
        <w:rPr>
          <w:sz w:val="22"/>
        </w:rPr>
        <w:t xml:space="preserve"> </w:t>
      </w:r>
    </w:p>
    <w:p w:rsidR="00FB0B24" w:rsidRPr="005B5CB6" w:rsidP="001512F6">
      <w:pPr>
        <w:spacing w:after="0"/>
        <w:ind w:left="84"/>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251" w:right="241" w:hanging="10"/>
        <w:jc w:val="both"/>
        <w:rPr>
          <w:rFonts w:ascii="Verdana" w:hAnsi="Verdana"/>
        </w:rPr>
      </w:pPr>
      <w:r w:rsidRPr="005B5CB6">
        <w:rPr>
          <w:rFonts w:ascii="Verdana" w:eastAsia="Verdana" w:hAnsi="Verdana" w:cs="Verdana"/>
        </w:rPr>
        <w:t xml:space="preserve">Susan Hedley, private citizen, supermarket checkout operator, and widely floating voter with no paid or voluntary office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SUMMARY </w:t>
      </w:r>
    </w:p>
    <w:p w:rsidR="00FB0B24" w:rsidRPr="005B5CB6" w:rsidP="00575F14">
      <w:pPr>
        <w:numPr>
          <w:ilvl w:val="0"/>
          <w:numId w:val="81"/>
        </w:numPr>
        <w:spacing w:after="5" w:line="250" w:lineRule="auto"/>
        <w:ind w:right="11" w:hanging="912"/>
        <w:jc w:val="both"/>
        <w:rPr>
          <w:rFonts w:ascii="Verdana" w:hAnsi="Verdana"/>
        </w:rPr>
      </w:pPr>
      <w:r w:rsidRPr="005B5CB6">
        <w:rPr>
          <w:rFonts w:ascii="Verdana" w:eastAsia="Verdana" w:hAnsi="Verdana" w:cs="Verdana"/>
        </w:rPr>
        <w:t xml:space="preserve">THE NEED TO AVOID CREATING NEWLY EXCLUDED GROUPS    </w:t>
      </w:r>
    </w:p>
    <w:p w:rsidR="00FB0B24" w:rsidRPr="005B5CB6" w:rsidP="00575F14">
      <w:pPr>
        <w:numPr>
          <w:ilvl w:val="0"/>
          <w:numId w:val="81"/>
        </w:numPr>
        <w:spacing w:after="5" w:line="250" w:lineRule="auto"/>
        <w:ind w:right="11" w:hanging="912"/>
        <w:jc w:val="both"/>
        <w:rPr>
          <w:rFonts w:ascii="Verdana" w:hAnsi="Verdana"/>
        </w:rPr>
      </w:pPr>
      <w:r w:rsidRPr="005B5CB6">
        <w:rPr>
          <w:rFonts w:ascii="Verdana" w:eastAsia="Verdana" w:hAnsi="Verdana" w:cs="Verdana"/>
        </w:rPr>
        <w:t xml:space="preserve">NEW OPPORTUNITIES WITH DIGITAL TECHNOLOGIES </w:t>
      </w:r>
    </w:p>
    <w:p w:rsidR="00FB0B24" w:rsidRPr="005B5CB6" w:rsidP="00575F14">
      <w:pPr>
        <w:numPr>
          <w:ilvl w:val="0"/>
          <w:numId w:val="81"/>
        </w:numPr>
        <w:spacing w:after="5" w:line="250" w:lineRule="auto"/>
        <w:ind w:right="11" w:hanging="912"/>
        <w:jc w:val="both"/>
        <w:rPr>
          <w:rFonts w:ascii="Verdana" w:hAnsi="Verdana"/>
        </w:rPr>
      </w:pPr>
      <w:r w:rsidRPr="005B5CB6">
        <w:rPr>
          <w:rFonts w:ascii="Verdana" w:eastAsia="Verdana" w:hAnsi="Verdana" w:cs="Verdana"/>
        </w:rPr>
        <w:t xml:space="preserve">EXAMPLES OF USEFUL WEBSITES FOR DEMOCRATIC INCLUSION </w:t>
      </w:r>
    </w:p>
    <w:p w:rsidR="00FB0B24" w:rsidRPr="005B5CB6" w:rsidP="00575F14">
      <w:pPr>
        <w:numPr>
          <w:ilvl w:val="0"/>
          <w:numId w:val="81"/>
        </w:numPr>
        <w:spacing w:after="5" w:line="250" w:lineRule="auto"/>
        <w:ind w:right="11" w:hanging="912"/>
        <w:jc w:val="both"/>
        <w:rPr>
          <w:rFonts w:ascii="Verdana" w:hAnsi="Verdana"/>
        </w:rPr>
      </w:pPr>
      <w:r w:rsidRPr="005B5CB6">
        <w:rPr>
          <w:rFonts w:ascii="Verdana" w:eastAsia="Verdana" w:hAnsi="Verdana" w:cs="Verdana"/>
        </w:rPr>
        <w:t xml:space="preserve">EXAMPLES OF OPPORTUNITIES FOR DEMOCRATIC PARTICIPATION </w:t>
      </w:r>
    </w:p>
    <w:p w:rsidR="00FB0B24" w:rsidRPr="005B5CB6" w:rsidP="00575F14">
      <w:pPr>
        <w:numPr>
          <w:ilvl w:val="0"/>
          <w:numId w:val="81"/>
        </w:numPr>
        <w:spacing w:after="5" w:line="250" w:lineRule="auto"/>
        <w:ind w:right="11" w:hanging="912"/>
        <w:jc w:val="both"/>
        <w:rPr>
          <w:rFonts w:ascii="Verdana" w:hAnsi="Verdana"/>
        </w:rPr>
      </w:pPr>
      <w:r w:rsidRPr="005B5CB6">
        <w:rPr>
          <w:rFonts w:ascii="Verdana" w:eastAsia="Verdana" w:hAnsi="Verdana" w:cs="Verdana"/>
        </w:rPr>
        <w:t xml:space="preserve">RECOMMENDATION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82"/>
        </w:numPr>
        <w:spacing w:after="5" w:line="250" w:lineRule="auto"/>
        <w:ind w:right="190" w:hanging="989"/>
        <w:jc w:val="both"/>
        <w:rPr>
          <w:rFonts w:ascii="Verdana" w:hAnsi="Verdana"/>
        </w:rPr>
      </w:pPr>
      <w:r w:rsidRPr="005B5CB6">
        <w:rPr>
          <w:rFonts w:ascii="Verdana" w:eastAsia="Verdana" w:hAnsi="Verdana" w:cs="Verdana"/>
        </w:rPr>
        <w:t xml:space="preserve">THE NEED TO AVOID CREATING NEWLY EXCLUDED GROUPS    Every alteration seems to put up barriers for, or exclude, more groups of ordinary people, even as it includes a greater diversity of groups.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Alterations should be increasing the number and diversity of voters, not just altering it by reducing voters in one group in favour of increasing them in another.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Any alteration should be THOROUGHLY TESTED AS TO BARRIERS AND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EXCLUSION, AND SHOULD NOT BE CARRIED OUT IF IT IS LIKELY TO RESULT IN A SINGLE CITIZEN WHO NOW PARTICIPATES FINDING IT DIFFICULT OR IMPOSSIBLE TO PARTICIPATE IN THE FUTURE. </w:t>
      </w:r>
    </w:p>
    <w:p w:rsidR="00FB0B24" w:rsidRPr="005B5CB6" w:rsidP="001512F6">
      <w:pPr>
        <w:spacing w:after="0"/>
        <w:jc w:val="both"/>
        <w:rPr>
          <w:rFonts w:ascii="Verdana" w:hAnsi="Verdana"/>
        </w:rPr>
      </w:pPr>
      <w:r w:rsidRPr="005B5CB6">
        <w:rPr>
          <w:rFonts w:ascii="Verdana" w:eastAsia="Verdana" w:hAnsi="Verdana" w:cs="Verdana"/>
          <w:i/>
          <w:color w:val="E36C0A"/>
        </w:rPr>
        <w:t xml:space="preserve"> </w:t>
      </w:r>
    </w:p>
    <w:p w:rsidR="00FB0B24" w:rsidRPr="005B5CB6" w:rsidP="001512F6">
      <w:pPr>
        <w:spacing w:after="0"/>
        <w:jc w:val="both"/>
        <w:rPr>
          <w:rFonts w:ascii="Verdana" w:hAnsi="Verdana"/>
        </w:rPr>
      </w:pPr>
      <w:r w:rsidRPr="005B5CB6">
        <w:rPr>
          <w:rFonts w:ascii="Verdana" w:eastAsia="Verdana" w:hAnsi="Verdana" w:cs="Verdana"/>
          <w:i/>
          <w:color w:val="E36C0A"/>
        </w:rPr>
        <w:t xml:space="preserve"> </w:t>
      </w:r>
    </w:p>
    <w:p w:rsidR="00FB0B24" w:rsidRPr="005B5CB6" w:rsidP="00575F14">
      <w:pPr>
        <w:numPr>
          <w:ilvl w:val="0"/>
          <w:numId w:val="82"/>
        </w:numPr>
        <w:spacing w:after="5" w:line="250" w:lineRule="auto"/>
        <w:ind w:right="190" w:hanging="989"/>
        <w:jc w:val="both"/>
        <w:rPr>
          <w:rFonts w:ascii="Verdana" w:hAnsi="Verdana"/>
        </w:rPr>
      </w:pPr>
      <w:r w:rsidRPr="005B5CB6">
        <w:rPr>
          <w:rFonts w:ascii="Verdana" w:eastAsia="Verdana" w:hAnsi="Verdana" w:cs="Verdana"/>
        </w:rPr>
        <w:t xml:space="preserve">NEW OPPORTUNITIES WITH DIGITAL TECHNOLOGIES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2.1        Even though I have no digital access except when I can get to use the public access computers at the library around workshifts and bus times between my rural village and the town where the library is, and the charge for use is £1 per hour after the first two free hours, this ALLOWS ME TO  </w:t>
      </w:r>
    </w:p>
    <w:p w:rsidR="00FB0B24" w:rsidRPr="005B5CB6" w:rsidP="00575F14">
      <w:pPr>
        <w:numPr>
          <w:ilvl w:val="0"/>
          <w:numId w:val="83"/>
        </w:numPr>
        <w:spacing w:after="5" w:line="250" w:lineRule="auto"/>
        <w:ind w:left="193" w:right="11" w:hanging="178"/>
        <w:jc w:val="both"/>
        <w:rPr>
          <w:rFonts w:ascii="Verdana" w:hAnsi="Verdana"/>
        </w:rPr>
      </w:pPr>
      <w:r w:rsidRPr="005B5CB6">
        <w:rPr>
          <w:rFonts w:ascii="Verdana" w:eastAsia="Verdana" w:hAnsi="Verdana" w:cs="Verdana"/>
        </w:rPr>
        <w:t xml:space="preserve">keep up with meetngs, agendas and reports, </w:t>
      </w:r>
    </w:p>
    <w:p w:rsidR="00FB0B24" w:rsidRPr="005B5CB6" w:rsidP="00575F14">
      <w:pPr>
        <w:numPr>
          <w:ilvl w:val="0"/>
          <w:numId w:val="83"/>
        </w:numPr>
        <w:spacing w:after="5" w:line="250" w:lineRule="auto"/>
        <w:ind w:left="193" w:right="11" w:hanging="178"/>
        <w:jc w:val="both"/>
        <w:rPr>
          <w:rFonts w:ascii="Verdana" w:hAnsi="Verdana"/>
        </w:rPr>
      </w:pPr>
      <w:r w:rsidRPr="005B5CB6">
        <w:rPr>
          <w:rFonts w:ascii="Verdana" w:eastAsia="Verdana" w:hAnsi="Verdana" w:cs="Verdana"/>
        </w:rPr>
        <w:t xml:space="preserve">heck members of cttees so that I know who is who when I go to watch them, - email elected reps or do social media posts to let other people know about meetings, reports etc. without having to pay for writing paper, envelopes, stamps, or extra copies for multiple recipients, and easily and quickly check facts from primary sources whilst drafting them,  </w:t>
      </w:r>
    </w:p>
    <w:p w:rsidR="00FB0B24" w:rsidRPr="005B5CB6" w:rsidP="00575F14">
      <w:pPr>
        <w:numPr>
          <w:ilvl w:val="0"/>
          <w:numId w:val="83"/>
        </w:numPr>
        <w:spacing w:after="5" w:line="250" w:lineRule="auto"/>
        <w:ind w:left="193" w:right="11" w:hanging="178"/>
        <w:jc w:val="both"/>
        <w:rPr>
          <w:rFonts w:ascii="Verdana" w:hAnsi="Verdana"/>
        </w:rPr>
      </w:pPr>
      <w:r w:rsidRPr="005B5CB6">
        <w:rPr>
          <w:rFonts w:ascii="Verdana" w:eastAsia="Verdana" w:hAnsi="Verdana" w:cs="Verdana"/>
        </w:rPr>
        <w:t xml:space="preserve">so spreading the word to others about what primary sources are available and how to access them.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84"/>
        </w:numPr>
        <w:spacing w:after="5" w:line="250" w:lineRule="auto"/>
        <w:ind w:left="685" w:right="11" w:hanging="670"/>
        <w:jc w:val="both"/>
        <w:rPr>
          <w:rFonts w:ascii="Verdana" w:hAnsi="Verdana"/>
        </w:rPr>
      </w:pPr>
      <w:r w:rsidRPr="005B5CB6">
        <w:rPr>
          <w:rFonts w:ascii="Verdana" w:eastAsia="Verdana" w:hAnsi="Verdana" w:cs="Verdana"/>
        </w:rPr>
        <w:t xml:space="preserve">Since my online time is limited, the only social media that I use is Linked In, because even if I was prepared to give up the amount of privacy and security which other forms of social media would require, I still wouldn’t have enough online time to use it to follow conversation threads etc., whilst feeds from the organisations which I follow on Linked In usually take me straight to the PRIMARY DOCUMENTS which might have had an extremely brief mention on the radio if they are lucky.  </w:t>
      </w:r>
    </w:p>
    <w:p w:rsidR="00FB0B24" w:rsidRPr="005B5CB6" w:rsidP="001512F6">
      <w:pPr>
        <w:spacing w:after="0"/>
        <w:ind w:left="1"/>
        <w:jc w:val="both"/>
        <w:rPr>
          <w:rFonts w:ascii="Verdana" w:hAnsi="Verdana"/>
        </w:rPr>
      </w:pPr>
      <w:r w:rsidRPr="005B5CB6">
        <w:rPr>
          <w:rFonts w:ascii="Verdana" w:eastAsia="Verdana" w:hAnsi="Verdana" w:cs="Verdana"/>
          <w:color w:val="E36C0A"/>
        </w:rPr>
        <w:t xml:space="preserve"> </w:t>
      </w:r>
    </w:p>
    <w:p w:rsidR="00FB0B24" w:rsidRPr="005B5CB6" w:rsidP="00575F14">
      <w:pPr>
        <w:numPr>
          <w:ilvl w:val="1"/>
          <w:numId w:val="84"/>
        </w:numPr>
        <w:spacing w:after="5" w:line="250" w:lineRule="auto"/>
        <w:ind w:left="685" w:right="11" w:hanging="670"/>
        <w:jc w:val="both"/>
        <w:rPr>
          <w:rFonts w:ascii="Verdana" w:hAnsi="Verdana"/>
        </w:rPr>
      </w:pPr>
      <w:r w:rsidRPr="005B5CB6">
        <w:rPr>
          <w:rFonts w:ascii="Verdana" w:eastAsia="Verdana" w:hAnsi="Verdana" w:cs="Verdana"/>
        </w:rPr>
        <w:t xml:space="preserve">REDUCED OPPORTUNITIES FOR INFORMATION FROM OTHER SOURCES: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My sources of information are listening to BBC Radio 4 and the World Service, reading the local weekly papers for our rural area, and, when workshifts allow me to get to use the public access computers at the local library, which is my only </w:t>
      </w:r>
      <w:r w:rsidRPr="005B5CB6">
        <w:rPr>
          <w:rFonts w:ascii="Verdana" w:eastAsia="Verdana" w:hAnsi="Verdana" w:cs="Verdana"/>
        </w:rPr>
        <w:t xml:space="preserve">online access, reading the parliamentary and local government press releases.  I have had no TV since 2012, and since the changes in TV licensing and online access a couple of years ago, can no longer access BBC TV written or televised material on the public computers at the library. I sometimes buy the local daily paper which covers both urban and rural areas, but never buy a national daily paper.  ALL newspapers were withdrawn from the library three years ago.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85"/>
        </w:numPr>
        <w:spacing w:after="5" w:line="250" w:lineRule="auto"/>
        <w:ind w:right="11" w:hanging="833"/>
        <w:jc w:val="both"/>
        <w:rPr>
          <w:rFonts w:ascii="Verdana" w:hAnsi="Verdana"/>
        </w:rPr>
      </w:pPr>
      <w:r w:rsidRPr="005B5CB6">
        <w:rPr>
          <w:rFonts w:ascii="Verdana" w:eastAsia="Verdana" w:hAnsi="Verdana" w:cs="Verdana"/>
        </w:rPr>
        <w:t xml:space="preserve">EXAMPLES OF USEFUL WEBSITES FOR DEMOCRATIC INCLUSION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3.1      By chance, some years ago when observing a Parish Council meeting in my village, I was given some information about a Transport Select Committee inquiry about Bus Services in Isolated Communities, and through that I found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3.2.1     the </w:t>
      </w:r>
      <w:r>
        <w:fldChar w:fldCharType="begin"/>
      </w:r>
      <w:r>
        <w:instrText xml:space="preserve"> HYPERLINK "https://www.parliament.uk/" </w:instrText>
      </w:r>
      <w:r>
        <w:fldChar w:fldCharType="separate"/>
      </w:r>
      <w:r w:rsidRPr="005B5CB6">
        <w:rPr>
          <w:rFonts w:ascii="Verdana" w:eastAsia="Verdana" w:hAnsi="Verdana" w:cs="Verdana"/>
          <w:color w:val="0000FF"/>
          <w:u w:val="single" w:color="0000FF"/>
        </w:rPr>
        <w:t>https://www.parliament.uk/</w:t>
      </w:r>
      <w:r>
        <w:fldChar w:fldCharType="end"/>
      </w:r>
      <w:r>
        <w:fldChar w:fldCharType="begin"/>
      </w:r>
      <w:r>
        <w:instrText xml:space="preserve"> HYPERLINK "https://www.parliament.uk/"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website, which  is exemplary, with a selection of up to the minute parliamentary news on the home page, explanations of how parliament works, links to contact details for parliamentary members, details of select committees and inquiries and how ordinary people can contribute to them, and links to bill progress details, Hansard, and information on House of Commons Library, and to get alerts from all of the bills and committees etc that I want to keep up to date with, as well as other sources such as ONS whose reports are often mentioned in the news, and currently, the EU, for which I have also responded to some consultations before the referendum.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3.2.2  I like the way that various parts of thIs website are trying to keep up-todate with improving accessibility, such as offering Easy Read versions of calls for evidence (e.g. Transport Committee) and e.g.  </w:t>
      </w:r>
    </w:p>
    <w:p w:rsidR="00FB0B24" w:rsidRPr="005B5CB6" w:rsidP="001512F6">
      <w:pPr>
        <w:spacing w:after="5" w:line="249" w:lineRule="auto"/>
        <w:ind w:left="-5" w:right="6" w:hanging="10"/>
        <w:jc w:val="both"/>
        <w:rPr>
          <w:rFonts w:ascii="Verdana" w:hAnsi="Verdana"/>
        </w:rPr>
      </w:pPr>
      <w:r>
        <w:fldChar w:fldCharType="begin"/>
      </w:r>
      <w:r>
        <w:instrText xml:space="preserve"> HYPERLINK "https://www.parliament.uk/mps-lords-and-offices/offices/commons/media-relations-group/news/house-of-commons-adopts-new-accessible-visual-identity/" </w:instrText>
      </w:r>
      <w:r>
        <w:fldChar w:fldCharType="separate"/>
      </w:r>
      <w:r w:rsidRPr="005B5CB6" w:rsidR="00A72806">
        <w:rPr>
          <w:rFonts w:ascii="Verdana" w:eastAsia="Verdana" w:hAnsi="Verdana" w:cs="Verdana"/>
          <w:color w:val="0000FF"/>
          <w:u w:val="single" w:color="0000FF"/>
        </w:rPr>
        <w:t>https://www.parliament.uk/mps-lords-and-offices/offices/commons/media</w:t>
      </w:r>
      <w:r>
        <w:fldChar w:fldCharType="end"/>
      </w:r>
      <w:r>
        <w:fldChar w:fldCharType="begin"/>
      </w:r>
      <w:r>
        <w:instrText xml:space="preserve"> HYPERLINK "https://www.parliament.uk/mps-lords-and-offices/offices/commons/media-relations-group/news/house-of-commons-adopts-new-accessible-visual-identity/" </w:instrText>
      </w:r>
      <w:r>
        <w:fldChar w:fldCharType="separate"/>
      </w:r>
      <w:r w:rsidRPr="005B5CB6" w:rsidR="00A72806">
        <w:rPr>
          <w:rFonts w:ascii="Verdana" w:eastAsia="Verdana" w:hAnsi="Verdana" w:cs="Verdana"/>
          <w:color w:val="0000FF"/>
          <w:u w:val="single" w:color="0000FF"/>
        </w:rPr>
        <w:t>relations-group/news/house-of-commons-adopts-new-accessible-visual-identity/</w:t>
      </w:r>
      <w:r>
        <w:fldChar w:fldCharType="end"/>
      </w:r>
      <w:r>
        <w:fldChar w:fldCharType="begin"/>
      </w:r>
      <w:r>
        <w:instrText xml:space="preserve"> HYPERLINK "https://www.parliament.uk/mps-lords-and-offices/offices/commons/media-relations-group/news/house-of-commons-adopts-new-accessible-visual-identity/" </w:instrText>
      </w:r>
      <w:r>
        <w:fldChar w:fldCharType="separate"/>
      </w:r>
      <w:r w:rsidRPr="005B5CB6" w:rsidR="00A72806">
        <w:rPr>
          <w:rFonts w:ascii="Verdana" w:eastAsia="Verdana" w:hAnsi="Verdana" w:cs="Verdana"/>
          <w:color w:val="0000FF"/>
        </w:rPr>
        <w:t xml:space="preserve"> </w:t>
      </w:r>
      <w:r>
        <w:fldChar w:fldCharType="end"/>
      </w:r>
      <w:r w:rsidRPr="005B5CB6" w:rsidR="00A72806">
        <w:rPr>
          <w:rFonts w:ascii="Verdana" w:eastAsia="Verdana" w:hAnsi="Verdana" w:cs="Verdana"/>
          <w:color w:val="0000FF"/>
        </w:rPr>
        <w:t xml:space="preserve"> </w:t>
      </w:r>
    </w:p>
    <w:p w:rsidR="00FB0B24" w:rsidRPr="005B5CB6" w:rsidP="001512F6">
      <w:pPr>
        <w:spacing w:after="0"/>
        <w:jc w:val="both"/>
        <w:rPr>
          <w:rFonts w:ascii="Verdana" w:hAnsi="Verdana"/>
        </w:rPr>
      </w:pPr>
      <w:r w:rsidRPr="005B5CB6">
        <w:rPr>
          <w:rFonts w:ascii="Verdana" w:eastAsia="Verdana" w:hAnsi="Verdana" w:cs="Verdana"/>
          <w:color w:val="E36C0A"/>
        </w:rPr>
        <w:t xml:space="preserve"> </w:t>
      </w:r>
    </w:p>
    <w:p w:rsidR="00FB0B24" w:rsidRPr="005B5CB6" w:rsidP="00575F14">
      <w:pPr>
        <w:numPr>
          <w:ilvl w:val="1"/>
          <w:numId w:val="86"/>
        </w:numPr>
        <w:spacing w:after="5" w:line="250" w:lineRule="auto"/>
        <w:ind w:left="23" w:right="11" w:hanging="8"/>
        <w:jc w:val="both"/>
        <w:rPr>
          <w:rFonts w:ascii="Verdana" w:hAnsi="Verdana"/>
        </w:rPr>
      </w:pPr>
      <w:r w:rsidRPr="005B5CB6">
        <w:rPr>
          <w:rFonts w:ascii="Verdana" w:eastAsia="Verdana" w:hAnsi="Verdana" w:cs="Verdana"/>
        </w:rPr>
        <w:t>Being online also allows me to go on the</w:t>
      </w:r>
      <w:r>
        <w:fldChar w:fldCharType="begin"/>
      </w:r>
      <w:r>
        <w:instrText xml:space="preserve"> HYPERLINK "https://www.gov.uk/" </w:instrText>
      </w:r>
      <w:r>
        <w:fldChar w:fldCharType="separate"/>
      </w:r>
      <w:r w:rsidRPr="005B5CB6">
        <w:rPr>
          <w:rFonts w:ascii="Verdana" w:eastAsia="Verdana" w:hAnsi="Verdana" w:cs="Verdana"/>
          <w:color w:val="E36C0A"/>
        </w:rPr>
        <w:t xml:space="preserve"> </w:t>
      </w:r>
      <w:r>
        <w:fldChar w:fldCharType="end"/>
      </w:r>
      <w:r>
        <w:fldChar w:fldCharType="begin"/>
      </w:r>
      <w:r>
        <w:instrText xml:space="preserve"> HYPERLINK "https://www.gov.uk/" </w:instrText>
      </w:r>
      <w:r>
        <w:fldChar w:fldCharType="separate"/>
      </w:r>
      <w:r w:rsidRPr="005B5CB6">
        <w:rPr>
          <w:rFonts w:ascii="Verdana" w:eastAsia="Verdana" w:hAnsi="Verdana" w:cs="Verdana"/>
          <w:color w:val="0000FF"/>
          <w:u w:val="single" w:color="0000FF"/>
        </w:rPr>
        <w:t>https://www.gov.uk/</w:t>
      </w:r>
      <w:r>
        <w:fldChar w:fldCharType="end"/>
      </w:r>
      <w:r>
        <w:fldChar w:fldCharType="begin"/>
      </w:r>
      <w:r>
        <w:instrText xml:space="preserve"> HYPERLINK "https://www.gov.uk/"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website, check membership of Government departments, consultations and outcomes, and full text of speeches which have been briefly touched on in the media, and contact the departments.  The different forms of the consultations is interesting, ranging from facilities to send in technical papers to tick-box consultations for members of the public, and it allows people to see and comment on the full detail of proposals which might affect them, including equality impact statements.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86"/>
        </w:numPr>
        <w:spacing w:after="5" w:line="250" w:lineRule="auto"/>
        <w:ind w:left="23" w:right="11" w:hanging="8"/>
        <w:jc w:val="both"/>
        <w:rPr>
          <w:rFonts w:ascii="Verdana" w:hAnsi="Verdana"/>
        </w:rPr>
      </w:pPr>
      <w:r w:rsidRPr="005B5CB6">
        <w:rPr>
          <w:rFonts w:ascii="Verdana" w:eastAsia="Verdana" w:hAnsi="Verdana" w:cs="Verdana"/>
        </w:rPr>
        <w:t xml:space="preserve">The only problem with all of this is that most people don’t know that it is open to them or where to find it, and if they did it would be unworkabalbe, SO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AT PRESENT ONLY THOSE WHO ARE IN THE KNOW CAN DO IT, AND IT IS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GIVING THEM MORE VOICE, AND THEREFORE THOSE WHO ARE EXCLUDED PROPORTIONATELY LESS VOICE AS THE DIGITAL Gap BECOMES BIGGER.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e.g. my Linked In postings on 05/09/19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BBC Radio 4 Digital Future: the New Underclass (Dr. Josie Barnard) </w:t>
      </w:r>
    </w:p>
    <w:p w:rsidR="00FB0B24" w:rsidRPr="005B5CB6" w:rsidP="001512F6">
      <w:pPr>
        <w:spacing w:after="5" w:line="249" w:lineRule="auto"/>
        <w:ind w:left="-5" w:right="6" w:hanging="10"/>
        <w:jc w:val="both"/>
        <w:rPr>
          <w:rFonts w:ascii="Verdana" w:hAnsi="Verdana"/>
        </w:rPr>
      </w:pPr>
      <w:r>
        <w:fldChar w:fldCharType="begin"/>
      </w:r>
      <w:r>
        <w:instrText xml:space="preserve"> HYPERLINK "https://www.bbc.co.uk/programmes/m000823p" </w:instrText>
      </w:r>
      <w:r>
        <w:fldChar w:fldCharType="separate"/>
      </w:r>
      <w:r w:rsidRPr="005B5CB6" w:rsidR="00A72806">
        <w:rPr>
          <w:rFonts w:ascii="Verdana" w:eastAsia="Verdana" w:hAnsi="Verdana" w:cs="Verdana"/>
          <w:color w:val="0000FF"/>
          <w:u w:val="single" w:color="0000FF"/>
        </w:rPr>
        <w:t>https://www.bbc.co.uk/programmes/m000823p</w:t>
      </w:r>
      <w:r>
        <w:fldChar w:fldCharType="end"/>
      </w:r>
      <w:r>
        <w:fldChar w:fldCharType="begin"/>
      </w:r>
      <w:r>
        <w:instrText xml:space="preserve"> HYPERLINK "https://www.bbc.co.uk/programmes/m000823p" </w:instrText>
      </w:r>
      <w:r>
        <w:fldChar w:fldCharType="separate"/>
      </w:r>
      <w:r w:rsidRPr="005B5CB6" w:rsidR="00A72806">
        <w:rPr>
          <w:rFonts w:ascii="Verdana" w:eastAsia="Verdana" w:hAnsi="Verdana" w:cs="Verdana"/>
        </w:rPr>
        <w:t xml:space="preserve"> </w:t>
      </w:r>
      <w:r>
        <w:fldChar w:fldCharType="end"/>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best that I have heard on the wider range of groups who are, or are in danger of being, excluded, including many of those regarded as digital natives, and how </w:t>
      </w:r>
      <w:r w:rsidRPr="005B5CB6">
        <w:rPr>
          <w:rFonts w:ascii="Verdana" w:eastAsia="Verdana" w:hAnsi="Verdana" w:cs="Verdana"/>
        </w:rPr>
        <w:t xml:space="preserve">this is. Mostly concentrated on economic exclusion, but exclusion from community and democratic information and participation are huge and growing issues as well.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5" w:right="6" w:hanging="10"/>
        <w:jc w:val="both"/>
        <w:rPr>
          <w:rFonts w:ascii="Verdana" w:hAnsi="Verdana"/>
        </w:rPr>
      </w:pPr>
      <w:r w:rsidRPr="005B5CB6">
        <w:rPr>
          <w:rFonts w:ascii="Verdana" w:eastAsia="Verdana" w:hAnsi="Verdana" w:cs="Verdana"/>
        </w:rPr>
        <w:t xml:space="preserve">Digital Democracy – Call for Evidence </w:t>
      </w:r>
      <w:r>
        <w:fldChar w:fldCharType="begin"/>
      </w:r>
      <w:r>
        <w:instrText xml:space="preserve"> HYPERLINK "https://www.parliament.uk/documents/lords-committees/Digital_democracy/Digital_Call_for_evidence.pdf" </w:instrText>
      </w:r>
      <w:r>
        <w:fldChar w:fldCharType="separate"/>
      </w:r>
      <w:r w:rsidRPr="005B5CB6">
        <w:rPr>
          <w:rFonts w:ascii="Verdana" w:eastAsia="Verdana" w:hAnsi="Verdana" w:cs="Verdana"/>
          <w:color w:val="0000FF"/>
          <w:u w:val="single" w:color="0000FF"/>
        </w:rPr>
        <w:t>https://www.parliament.uk/documents/lords-</w:t>
      </w:r>
      <w:r>
        <w:fldChar w:fldCharType="end"/>
      </w:r>
    </w:p>
    <w:p w:rsidR="00FB0B24" w:rsidRPr="005B5CB6" w:rsidP="001512F6">
      <w:pPr>
        <w:spacing w:after="5" w:line="249" w:lineRule="auto"/>
        <w:ind w:left="-5" w:right="6" w:hanging="10"/>
        <w:jc w:val="both"/>
        <w:rPr>
          <w:rFonts w:ascii="Verdana" w:hAnsi="Verdana"/>
        </w:rPr>
      </w:pPr>
      <w:r>
        <w:fldChar w:fldCharType="begin"/>
      </w:r>
      <w:r>
        <w:instrText xml:space="preserve"> HYPERLINK "https://www.parliament.uk/documents/lords-committees/Digital_democracy/Digital_Call_for_evidence.pdf" </w:instrText>
      </w:r>
      <w:r>
        <w:fldChar w:fldCharType="separate"/>
      </w:r>
      <w:r w:rsidRPr="005B5CB6" w:rsidR="00A72806">
        <w:rPr>
          <w:rFonts w:ascii="Verdana" w:eastAsia="Verdana" w:hAnsi="Verdana" w:cs="Verdana"/>
          <w:color w:val="0000FF"/>
          <w:u w:val="single" w:color="0000FF"/>
        </w:rPr>
        <w:t>committees/Digital_democracy/Digital_Call_for_evidence.pdf</w:t>
      </w:r>
      <w:r>
        <w:fldChar w:fldCharType="end"/>
      </w:r>
      <w:r>
        <w:fldChar w:fldCharType="begin"/>
      </w:r>
      <w:r>
        <w:instrText xml:space="preserve"> HYPERLINK "https://www.parliament.uk/documents/lords-committees/Digital_democracy/Digital_Call_for_evidence.pdf" </w:instrText>
      </w:r>
      <w:r>
        <w:fldChar w:fldCharType="separate"/>
      </w:r>
      <w:r w:rsidRPr="005B5CB6" w:rsidR="00A72806">
        <w:rPr>
          <w:rFonts w:ascii="Verdana" w:eastAsia="Verdana" w:hAnsi="Verdana" w:cs="Verdana"/>
          <w:color w:val="0000FF"/>
        </w:rPr>
        <w:t xml:space="preserve"> </w:t>
      </w:r>
      <w:r>
        <w:fldChar w:fldCharType="end"/>
      </w:r>
    </w:p>
    <w:p w:rsidR="00FB0B24" w:rsidRPr="005B5CB6" w:rsidP="001512F6">
      <w:pPr>
        <w:spacing w:after="0"/>
        <w:jc w:val="both"/>
        <w:rPr>
          <w:rFonts w:ascii="Verdana" w:hAnsi="Verdana"/>
        </w:rPr>
      </w:pPr>
      <w:r w:rsidRPr="005B5CB6">
        <w:rPr>
          <w:rFonts w:ascii="Verdana" w:eastAsia="Verdana" w:hAnsi="Verdana" w:cs="Verdana"/>
          <w:color w:val="0000FF"/>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[I have sent in a submission for the latter]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87"/>
        </w:numPr>
        <w:spacing w:after="5" w:line="250" w:lineRule="auto"/>
        <w:ind w:right="11" w:hanging="756"/>
        <w:jc w:val="both"/>
        <w:rPr>
          <w:rFonts w:ascii="Verdana" w:hAnsi="Verdana"/>
        </w:rPr>
      </w:pPr>
      <w:r w:rsidRPr="005B5CB6">
        <w:rPr>
          <w:rFonts w:ascii="Verdana" w:eastAsia="Verdana" w:hAnsi="Verdana" w:cs="Verdana"/>
        </w:rPr>
        <w:t xml:space="preserve">EXAMPLES OF OPPORTUNITIES FOR DEMOCRATIC PARTICIPATION </w:t>
      </w:r>
    </w:p>
    <w:p w:rsidR="00FB0B24" w:rsidRPr="005B5CB6" w:rsidP="00575F14">
      <w:pPr>
        <w:numPr>
          <w:ilvl w:val="1"/>
          <w:numId w:val="87"/>
        </w:numPr>
        <w:spacing w:after="5" w:line="250" w:lineRule="auto"/>
        <w:ind w:left="23" w:right="11" w:hanging="8"/>
        <w:jc w:val="both"/>
        <w:rPr>
          <w:rFonts w:ascii="Verdana" w:hAnsi="Verdana"/>
        </w:rPr>
      </w:pPr>
      <w:r w:rsidRPr="005B5CB6">
        <w:rPr>
          <w:rFonts w:ascii="Verdana" w:eastAsia="Verdana" w:hAnsi="Verdana" w:cs="Verdana"/>
        </w:rPr>
        <w:t xml:space="preserve">Until Brexit took over so much Parliamentary business earlier this year, I have probably been averaging at least 3 submissions to Parliamentary, Government, and Local Government inquiries and consultations for the last 4 years or more.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87"/>
        </w:numPr>
        <w:spacing w:after="5" w:line="250" w:lineRule="auto"/>
        <w:ind w:left="23" w:right="11" w:hanging="8"/>
        <w:jc w:val="both"/>
        <w:rPr>
          <w:rFonts w:ascii="Verdana" w:hAnsi="Verdana"/>
        </w:rPr>
      </w:pPr>
      <w:r w:rsidRPr="005B5CB6">
        <w:rPr>
          <w:rFonts w:ascii="Verdana" w:eastAsia="Verdana" w:hAnsi="Verdana" w:cs="Verdana"/>
        </w:rPr>
        <w:t xml:space="preserve">The reason that I do so many of these is that they seem to be largely dominated by organisations or their members who have a significant pecuniary interest in the subject or are self-appointed and purport to speak for a group of ordinary people, even though most ordinary people have never heard of  them. I try to redress the balance of these submissions to those of private citizens by sending in submissions based on my personal experience as a bus passenger, dealing with thousands of customers at work, or being a customer in the high street myself.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87"/>
        </w:numPr>
        <w:spacing w:after="5" w:line="250" w:lineRule="auto"/>
        <w:ind w:left="23" w:right="11" w:hanging="8"/>
        <w:jc w:val="both"/>
        <w:rPr>
          <w:rFonts w:ascii="Verdana" w:hAnsi="Verdana"/>
        </w:rPr>
      </w:pPr>
      <w:r w:rsidRPr="005B5CB6">
        <w:rPr>
          <w:rFonts w:ascii="Verdana" w:eastAsia="Verdana" w:hAnsi="Verdana" w:cs="Verdana"/>
        </w:rPr>
        <w:t xml:space="preserve">For details of how digital technologies could be opening up vast new opportunities in democratic participation, but actually severely increasing the inequalities in how most ordinary people who are too busy to even know about this can have their experiences and concerns recognised and properly acted upon in our democratic system,  please see </w:t>
      </w:r>
    </w:p>
    <w:p w:rsidR="00FB0B24" w:rsidRPr="005B5CB6" w:rsidP="001512F6">
      <w:pPr>
        <w:spacing w:after="1" w:line="239" w:lineRule="auto"/>
        <w:ind w:left="-5" w:right="10" w:hanging="10"/>
        <w:jc w:val="both"/>
        <w:rPr>
          <w:rFonts w:ascii="Verdana" w:hAnsi="Verdana"/>
        </w:rPr>
      </w:pPr>
      <w:r w:rsidRPr="005B5CB6">
        <w:rPr>
          <w:rFonts w:ascii="Verdana" w:eastAsia="Verdana" w:hAnsi="Verdana" w:cs="Verdana"/>
        </w:rPr>
        <w:t xml:space="preserve">section 1.3 in my submission </w:t>
      </w:r>
      <w:r w:rsidRPr="005B5CB6">
        <w:rPr>
          <w:rFonts w:ascii="Verdana" w:eastAsia="Verdana" w:hAnsi="Verdana" w:cs="Verdana"/>
          <w:color w:val="E36C0A"/>
        </w:rPr>
        <w:t xml:space="preserve"> </w:t>
      </w:r>
      <w:r>
        <w:fldChar w:fldCharType="begin"/>
      </w:r>
      <w:r>
        <w:instrText xml:space="preserve"> HYPERLINK "http://data.parliament.uk/writtenevidence/committeeevidence.svc/evidencedocument/rural-economy-committee/rural-economy/written/89277.html" </w:instrText>
      </w:r>
      <w:r>
        <w:fldChar w:fldCharType="separate"/>
      </w:r>
      <w:r w:rsidRPr="005B5CB6">
        <w:rPr>
          <w:rFonts w:ascii="Verdana" w:eastAsia="Verdana" w:hAnsi="Verdana" w:cs="Verdana"/>
          <w:color w:val="0000FF"/>
          <w:u w:val="single" w:color="0000FF"/>
        </w:rPr>
        <w:t xml:space="preserve">http://data.parliament.uk/writtenevidence/committeeevidence.svc/evidencedocu </w:t>
      </w:r>
      <w:r>
        <w:fldChar w:fldCharType="end"/>
      </w:r>
      <w:r>
        <w:fldChar w:fldCharType="begin"/>
      </w:r>
      <w:r>
        <w:instrText xml:space="preserve"> HYPERLINK "http://data.parliament.uk/writtenevidence/committeeevidence.svc/evidencedocument/rural-economy-committee/rural-economy/written/89277.html" </w:instrText>
      </w:r>
      <w:r>
        <w:fldChar w:fldCharType="separate"/>
      </w:r>
      <w:r w:rsidRPr="005B5CB6">
        <w:rPr>
          <w:rFonts w:ascii="Verdana" w:eastAsia="Verdana" w:hAnsi="Verdana" w:cs="Verdana"/>
          <w:color w:val="0000FF"/>
          <w:u w:val="single" w:color="0000FF"/>
        </w:rPr>
        <w:t>ment/rural-economy-committee/rural-economy/written/89277.html</w:t>
      </w:r>
      <w:r>
        <w:fldChar w:fldCharType="end"/>
      </w:r>
      <w:r>
        <w:fldChar w:fldCharType="begin"/>
      </w:r>
      <w:r>
        <w:instrText xml:space="preserve"> HYPERLINK "http://data.parliament.uk/writtenevidence/committeeevidence.svc/evidencedocument/rural-economy-committee/rural-economy/written/89277.html" </w:instrText>
      </w:r>
      <w:r>
        <w:fldChar w:fldCharType="separate"/>
      </w:r>
      <w:r w:rsidRPr="005B5CB6">
        <w:rPr>
          <w:rFonts w:ascii="Verdana" w:eastAsia="Verdana" w:hAnsi="Verdana" w:cs="Verdana"/>
          <w:color w:val="E36C0A"/>
        </w:rPr>
        <w:t xml:space="preserve"> </w:t>
      </w:r>
      <w:r>
        <w:fldChar w:fldCharType="end"/>
      </w:r>
      <w:r w:rsidRPr="005B5CB6">
        <w:rPr>
          <w:rFonts w:ascii="Verdana" w:eastAsia="Verdana" w:hAnsi="Verdana" w:cs="Verdana"/>
          <w:color w:val="E36C0A"/>
        </w:rPr>
        <w:t xml:space="preserve"> </w:t>
      </w:r>
      <w:r w:rsidRPr="005B5CB6">
        <w:rPr>
          <w:rFonts w:ascii="Verdana" w:eastAsia="Verdana" w:hAnsi="Verdana" w:cs="Verdana"/>
        </w:rPr>
        <w:t xml:space="preserve">(House of Lords).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and section 14.2, a request for an inquiry into the Quality and Validity of Public Consultations, which links to my submissions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5" w:right="6" w:hanging="10"/>
        <w:jc w:val="both"/>
        <w:rPr>
          <w:rFonts w:ascii="Verdana" w:hAnsi="Verdana"/>
        </w:rPr>
      </w:pPr>
      <w:r>
        <w:fldChar w:fldCharType="begin"/>
      </w:r>
      <w:r>
        <w:instrText xml:space="preserve"> HYPERLINK "http://data.parliament.uk/writtenevidence/committeeevidence.svc/evidencedocument/housing-communities-and-local-government-committee/overview-and-scrutiny-in-local-government/written/70775.html" </w:instrText>
      </w:r>
      <w:r>
        <w:fldChar w:fldCharType="separate"/>
      </w:r>
      <w:r w:rsidRPr="005B5CB6" w:rsidR="00A72806">
        <w:rPr>
          <w:rFonts w:ascii="Verdana" w:eastAsia="Verdana" w:hAnsi="Verdana" w:cs="Verdana"/>
          <w:color w:val="0000FF"/>
          <w:u w:val="single" w:color="0000FF"/>
        </w:rPr>
        <w:t xml:space="preserve">http://data.parliament.uk/writtenevidence/committeeevidence.svc/evidencedocu </w:t>
      </w:r>
      <w:r>
        <w:fldChar w:fldCharType="end"/>
      </w:r>
      <w:r>
        <w:fldChar w:fldCharType="begin"/>
      </w:r>
      <w:r>
        <w:instrText xml:space="preserve"> HYPERLINK "http://data.parliament.uk/writtenevidence/committeeevidence.svc/evidencedocument/housing-communities-and-local-government-committee/overview-and-scrutiny-in-local-government/written/70775.html" </w:instrText>
      </w:r>
      <w:r>
        <w:fldChar w:fldCharType="separate"/>
      </w:r>
      <w:r w:rsidRPr="005B5CB6" w:rsidR="00A72806">
        <w:rPr>
          <w:rFonts w:ascii="Verdana" w:eastAsia="Verdana" w:hAnsi="Verdana" w:cs="Verdana"/>
          <w:color w:val="0000FF"/>
          <w:u w:val="single" w:color="0000FF"/>
        </w:rPr>
        <w:t>ment/housing-communities-and-local-government-committee/overview-and</w:t>
      </w:r>
      <w:r>
        <w:fldChar w:fldCharType="end"/>
      </w:r>
      <w:r>
        <w:fldChar w:fldCharType="begin"/>
      </w:r>
      <w:r>
        <w:instrText xml:space="preserve"> HYPERLINK "http://data.parliament.uk/writtenevidence/committeeevidence.svc/evidencedocument/housing-communities-and-local-government-committee/overview-and-scrutiny-in-local-government/written/70775.html" </w:instrText>
      </w:r>
      <w:r>
        <w:fldChar w:fldCharType="separate"/>
      </w:r>
      <w:r w:rsidRPr="005B5CB6" w:rsidR="00A72806">
        <w:rPr>
          <w:rFonts w:ascii="Verdana" w:eastAsia="Verdana" w:hAnsi="Verdana" w:cs="Verdana"/>
          <w:color w:val="0000FF"/>
          <w:u w:val="single" w:color="0000FF"/>
        </w:rPr>
        <w:t>scrutiny-in-local-government/written/70775.html</w:t>
      </w:r>
      <w:r>
        <w:fldChar w:fldCharType="end"/>
      </w:r>
      <w:r>
        <w:fldChar w:fldCharType="begin"/>
      </w:r>
      <w:r>
        <w:instrText xml:space="preserve"> HYPERLINK "http://data.parliament.uk/writtenevidence/committeeevidence.svc/evidencedocument/housing-communities-and-local-government-committee/overview-and-scrutiny-in-local-government/written/70775.html" </w:instrText>
      </w:r>
      <w:r>
        <w:fldChar w:fldCharType="separate"/>
      </w:r>
      <w:r w:rsidRPr="005B5CB6" w:rsidR="00A72806">
        <w:rPr>
          <w:rFonts w:ascii="Verdana" w:eastAsia="Verdana" w:hAnsi="Verdana" w:cs="Verdana"/>
          <w:color w:val="0000FF"/>
        </w:rPr>
        <w:t xml:space="preserve"> </w:t>
      </w:r>
      <w:r>
        <w:fldChar w:fldCharType="end"/>
      </w:r>
      <w:r w:rsidRPr="005B5CB6" w:rsidR="00A72806">
        <w:rPr>
          <w:rFonts w:ascii="Verdana" w:eastAsia="Verdana" w:hAnsi="Verdana" w:cs="Verdana"/>
          <w:color w:val="0000FF"/>
        </w:rPr>
        <w:t xml:space="preserve"> </w:t>
      </w:r>
    </w:p>
    <w:p w:rsidR="00FB0B24" w:rsidRPr="005B5CB6" w:rsidP="001512F6">
      <w:pPr>
        <w:spacing w:after="0"/>
        <w:jc w:val="both"/>
        <w:rPr>
          <w:rFonts w:ascii="Verdana" w:hAnsi="Verdana"/>
        </w:rPr>
      </w:pPr>
      <w:r w:rsidRPr="005B5CB6">
        <w:rPr>
          <w:rFonts w:ascii="Verdana" w:eastAsia="Verdana" w:hAnsi="Verdana" w:cs="Verdana"/>
          <w:color w:val="0000FF"/>
        </w:rPr>
        <w:t xml:space="preserve"> </w:t>
      </w:r>
    </w:p>
    <w:p w:rsidR="00FB0B24" w:rsidRPr="005B5CB6" w:rsidP="001512F6">
      <w:pPr>
        <w:spacing w:after="5" w:line="249" w:lineRule="auto"/>
        <w:ind w:left="-5" w:right="6" w:hanging="10"/>
        <w:jc w:val="both"/>
        <w:rPr>
          <w:rFonts w:ascii="Verdana" w:hAnsi="Verdana"/>
        </w:rPr>
      </w:pPr>
      <w:r>
        <w:fldChar w:fldCharType="begin"/>
      </w:r>
      <w:r>
        <w:instrText xml:space="preserve"> HYPERLINK "http://data.parliament.uk/WrittenEvidence/CommitteeEvidence.svc/EvidenceDocument/Communities%20and%20Local%20Government/Overview%20and%20scrutiny%20in%20local%20government/written/48572.html" </w:instrText>
      </w:r>
      <w:r>
        <w:fldChar w:fldCharType="separate"/>
      </w:r>
      <w:r w:rsidRPr="005B5CB6" w:rsidR="00A72806">
        <w:rPr>
          <w:rFonts w:ascii="Verdana" w:eastAsia="Verdana" w:hAnsi="Verdana" w:cs="Verdana"/>
          <w:color w:val="0000FF"/>
          <w:u w:val="single" w:color="0000FF"/>
        </w:rPr>
        <w:t xml:space="preserve">http://data.parliament.uk/WrittenEvidence/CommitteeEvidence.svc/EvidenceDoc </w:t>
      </w:r>
      <w:r>
        <w:fldChar w:fldCharType="end"/>
      </w:r>
      <w:r>
        <w:fldChar w:fldCharType="begin"/>
      </w:r>
      <w:r>
        <w:instrText xml:space="preserve"> HYPERLINK "http://data.parliament.uk/WrittenEvidence/CommitteeEvidence.svc/EvidenceDocument/Communities%20and%20Local%20Government/Overview%20and%20scrutiny%20in%20local%20government/written/48572.html" </w:instrText>
      </w:r>
      <w:r>
        <w:fldChar w:fldCharType="separate"/>
      </w:r>
      <w:r w:rsidRPr="005B5CB6" w:rsidR="00A72806">
        <w:rPr>
          <w:rFonts w:ascii="Verdana" w:eastAsia="Verdana" w:hAnsi="Verdana" w:cs="Verdana"/>
          <w:color w:val="0000FF"/>
          <w:u w:val="single" w:color="0000FF"/>
        </w:rPr>
        <w:t xml:space="preserve">ument/Communities%20and%20Local%20Government/Overview%20and%20sc </w:t>
      </w:r>
      <w:r>
        <w:fldChar w:fldCharType="end"/>
      </w:r>
      <w:r>
        <w:fldChar w:fldCharType="begin"/>
      </w:r>
      <w:r>
        <w:instrText xml:space="preserve"> HYPERLINK "http://data.parliament.uk/WrittenEvidence/CommitteeEvidence.svc/EvidenceDocument/Communities%20and%20Local%20Government/Overview%20and%20scrutiny%20in%20local%20government/written/48572.html" </w:instrText>
      </w:r>
      <w:r>
        <w:fldChar w:fldCharType="separate"/>
      </w:r>
      <w:r w:rsidRPr="005B5CB6" w:rsidR="00A72806">
        <w:rPr>
          <w:rFonts w:ascii="Verdana" w:eastAsia="Verdana" w:hAnsi="Verdana" w:cs="Verdana"/>
          <w:color w:val="0000FF"/>
          <w:u w:val="single" w:color="0000FF"/>
        </w:rPr>
        <w:t>rutiny%20in%20local%20government/written/48572.html</w:t>
      </w:r>
      <w:r>
        <w:fldChar w:fldCharType="end"/>
      </w:r>
      <w:r>
        <w:fldChar w:fldCharType="begin"/>
      </w:r>
      <w:r>
        <w:instrText xml:space="preserve"> HYPERLINK "http://data.parliament.uk/WrittenEvidence/CommitteeEvidence.svc/EvidenceDocument/Communities%20and%20Local%20Government/Overview%20and%20scrutiny%20in%20local%20government/written/48572.html" </w:instrText>
      </w:r>
      <w:r>
        <w:fldChar w:fldCharType="separate"/>
      </w:r>
      <w:r w:rsidRPr="005B5CB6" w:rsidR="00A72806">
        <w:rPr>
          <w:rFonts w:ascii="Verdana" w:eastAsia="Verdana" w:hAnsi="Verdana" w:cs="Verdana"/>
          <w:color w:val="0000FF"/>
          <w:u w:val="single" w:color="0000FF"/>
        </w:rPr>
        <w:t xml:space="preserve"> </w:t>
      </w:r>
      <w:r>
        <w:fldChar w:fldCharType="end"/>
      </w:r>
      <w:r w:rsidRPr="005B5CB6" w:rsidR="00A72806">
        <w:rPr>
          <w:rFonts w:ascii="Verdana" w:eastAsia="Verdana" w:hAnsi="Verdana" w:cs="Verdana"/>
        </w:rPr>
        <w:t>- particularly Annex G, point 2</w:t>
      </w:r>
      <w:r w:rsidRPr="005B5CB6" w:rsidR="00A72806">
        <w:rPr>
          <w:rFonts w:ascii="Verdana" w:eastAsia="Verdana" w:hAnsi="Verdana" w:cs="Verdana"/>
          <w:color w:val="0000FF"/>
        </w:rPr>
        <w:t xml:space="preserve"> </w:t>
      </w:r>
    </w:p>
    <w:p w:rsidR="00FB0B24" w:rsidRPr="005B5CB6" w:rsidP="001512F6">
      <w:pPr>
        <w:spacing w:after="0"/>
        <w:jc w:val="both"/>
        <w:rPr>
          <w:rFonts w:ascii="Verdana" w:hAnsi="Verdana"/>
        </w:rPr>
      </w:pPr>
      <w:r w:rsidRPr="005B5CB6">
        <w:rPr>
          <w:rFonts w:ascii="Verdana" w:eastAsia="Verdana" w:hAnsi="Verdana" w:cs="Verdana"/>
          <w:color w:val="0000FF"/>
        </w:rPr>
        <w:t xml:space="preserve"> </w:t>
      </w:r>
    </w:p>
    <w:p w:rsidR="00FB0B24" w:rsidRPr="005B5CB6" w:rsidP="001512F6">
      <w:pPr>
        <w:spacing w:after="0"/>
        <w:jc w:val="both"/>
        <w:rPr>
          <w:rFonts w:ascii="Verdana" w:hAnsi="Verdana"/>
        </w:rPr>
      </w:pPr>
      <w:r w:rsidRPr="005B5CB6">
        <w:rPr>
          <w:rFonts w:ascii="Verdana" w:eastAsia="Verdana" w:hAnsi="Verdana" w:cs="Verdana"/>
          <w:color w:val="0000FF"/>
        </w:rPr>
        <w:t xml:space="preserve"> </w:t>
      </w:r>
    </w:p>
    <w:p w:rsidR="00FB0B24" w:rsidRPr="005B5CB6" w:rsidP="00575F14">
      <w:pPr>
        <w:numPr>
          <w:ilvl w:val="0"/>
          <w:numId w:val="88"/>
        </w:numPr>
        <w:spacing w:after="5" w:line="250" w:lineRule="auto"/>
        <w:ind w:right="11" w:hanging="912"/>
        <w:jc w:val="both"/>
        <w:rPr>
          <w:rFonts w:ascii="Verdana" w:hAnsi="Verdana"/>
        </w:rPr>
      </w:pPr>
      <w:r w:rsidRPr="005B5CB6">
        <w:rPr>
          <w:rFonts w:ascii="Verdana" w:eastAsia="Verdana" w:hAnsi="Verdana" w:cs="Verdana"/>
        </w:rPr>
        <w:t xml:space="preserve">RECOMMENDATION </w:t>
      </w:r>
    </w:p>
    <w:p w:rsidR="00FB0B24" w:rsidRPr="005B5CB6" w:rsidP="00575F14">
      <w:pPr>
        <w:numPr>
          <w:ilvl w:val="1"/>
          <w:numId w:val="88"/>
        </w:numPr>
        <w:spacing w:after="5" w:line="250" w:lineRule="auto"/>
        <w:ind w:right="11" w:hanging="823"/>
        <w:jc w:val="both"/>
        <w:rPr>
          <w:rFonts w:ascii="Verdana" w:hAnsi="Verdana"/>
        </w:rPr>
      </w:pPr>
      <w:r w:rsidRPr="005B5CB6">
        <w:rPr>
          <w:rFonts w:ascii="Verdana" w:eastAsia="Verdana" w:hAnsi="Verdana" w:cs="Verdana"/>
        </w:rPr>
        <w:t xml:space="preserve">WHATEVER ELSE HAPPENS, THERE SHOULD CERTAINLY BE AN AUDIT OF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WHO CAN GET ACCESS TO EFFECTIVE MEANS TO OBTAIN, MAINTAIN, AND OPERATE DIGITAL TECHNOLOGY TO THE EXTENT THAT THEY CAN HAVE EQUAL ACCESS TO DEMOCRATIC INFORMATION AND PARTICIPATION – this is where the traditional census might be a better vehicle than collecting information about people from a variety of data sources, because those who are most likely to be missed out of democracy in digital technologies may well be those who are most likely to be missed out of other commonly used databases.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88"/>
        </w:numPr>
        <w:spacing w:after="5" w:line="250" w:lineRule="auto"/>
        <w:ind w:right="11" w:hanging="823"/>
        <w:jc w:val="both"/>
        <w:rPr>
          <w:rFonts w:ascii="Verdana" w:hAnsi="Verdana"/>
        </w:rPr>
      </w:pPr>
      <w:r w:rsidRPr="005B5CB6">
        <w:rPr>
          <w:rFonts w:ascii="Verdana" w:eastAsia="Verdana" w:hAnsi="Verdana" w:cs="Verdana"/>
        </w:rPr>
        <w:t xml:space="preserve">e.g. the many grandparents, particularly widows, who tell me that they have an old computer which their husband used, but they don’t know how to work it, and when they ask their grandchildren to show them, they don’t really understand, and don’t like to keep asking.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1" w:line="239" w:lineRule="auto"/>
        <w:ind w:left="-5" w:right="10" w:hanging="10"/>
        <w:jc w:val="both"/>
        <w:rPr>
          <w:rFonts w:ascii="Verdana" w:hAnsi="Verdana"/>
        </w:rPr>
      </w:pPr>
      <w:r w:rsidRPr="005B5CB6">
        <w:rPr>
          <w:rFonts w:ascii="Verdana" w:eastAsia="Verdana" w:hAnsi="Verdana" w:cs="Verdana"/>
        </w:rPr>
        <w:t xml:space="preserve">6.3      For full details, if submissions are ever published, please see section 3 [in answer to question 8] of mine to  </w:t>
      </w:r>
      <w:r>
        <w:fldChar w:fldCharType="begin"/>
      </w:r>
      <w:r>
        <w:instrText xml:space="preserve"> HYPERLINK "https://www.parliament.uk/business/committees/committees-a-z/lords-select/electoral-registration-act-2013-committee/news-parliament-2017/call-for-ev/" </w:instrText>
      </w:r>
      <w:r>
        <w:fldChar w:fldCharType="separate"/>
      </w:r>
      <w:r w:rsidRPr="005B5CB6">
        <w:rPr>
          <w:rFonts w:ascii="Verdana" w:eastAsia="Verdana" w:hAnsi="Verdana" w:cs="Verdana"/>
          <w:color w:val="0000FF"/>
          <w:u w:val="single" w:color="0000FF"/>
        </w:rPr>
        <w:t>https://www.parliament.uk/business/committees/committees-a-z/lords</w:t>
      </w:r>
      <w:r>
        <w:fldChar w:fldCharType="end"/>
      </w:r>
      <w:r>
        <w:fldChar w:fldCharType="begin"/>
      </w:r>
      <w:r>
        <w:instrText xml:space="preserve"> HYPERLINK "https://www.parliament.uk/business/committees/committees-a-z/lords-select/electoral-registration-act-2013-committee/news-parliament-2017/call-for-ev/" </w:instrText>
      </w:r>
      <w:r>
        <w:fldChar w:fldCharType="separate"/>
      </w:r>
      <w:r w:rsidRPr="005B5CB6">
        <w:rPr>
          <w:rFonts w:ascii="Verdana" w:eastAsia="Verdana" w:hAnsi="Verdana" w:cs="Verdana"/>
          <w:color w:val="0000FF"/>
          <w:u w:val="single" w:color="0000FF"/>
        </w:rPr>
        <w:t>select/electoral-registration-act-2013-committee/news-parliament-2017/call-for</w:t>
      </w:r>
      <w:r>
        <w:fldChar w:fldCharType="end"/>
      </w:r>
      <w:r>
        <w:fldChar w:fldCharType="begin"/>
      </w:r>
      <w:r>
        <w:instrText xml:space="preserve"> HYPERLINK "https://www.parliament.uk/business/committees/committees-a-z/lords-select/electoral-registration-act-2013-committee/news-parliament-2017/call-for-ev/" </w:instrText>
      </w:r>
      <w:r>
        <w:fldChar w:fldCharType="separate"/>
      </w:r>
      <w:r w:rsidRPr="005B5CB6">
        <w:rPr>
          <w:rFonts w:ascii="Verdana" w:eastAsia="Verdana" w:hAnsi="Verdana" w:cs="Verdana"/>
          <w:color w:val="0000FF"/>
          <w:u w:val="single" w:color="0000FF"/>
        </w:rPr>
        <w:t>ev/</w:t>
      </w:r>
      <w:r>
        <w:fldChar w:fldCharType="end"/>
      </w:r>
      <w:r>
        <w:fldChar w:fldCharType="begin"/>
      </w:r>
      <w:r>
        <w:instrText xml:space="preserve"> HYPERLINK "https://www.parliament.uk/business/committees/committees-a-z/lords-select/electoral-registration-act-2013-committee/news-parliament-2017/call-for-ev/"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20</w:t>
      </w:r>
      <w:r w:rsidRPr="005B5CB6">
        <w:rPr>
          <w:rFonts w:ascii="Verdana" w:eastAsia="Verdana" w:hAnsi="Verdana" w:cs="Verdana"/>
          <w:vertAlign w:val="superscript"/>
        </w:rPr>
        <w:t>th</w:t>
      </w:r>
      <w:r w:rsidRPr="005B5CB6">
        <w:rPr>
          <w:rFonts w:ascii="Verdana" w:eastAsia="Verdana" w:hAnsi="Verdana" w:cs="Verdana"/>
        </w:rPr>
        <w:t xml:space="preserve"> September 2019. </w:t>
      </w:r>
    </w:p>
    <w:p w:rsidR="00FB0B24" w:rsidRPr="005B5CB6" w:rsidP="001512F6">
      <w:pPr>
        <w:spacing w:after="0"/>
        <w:jc w:val="both"/>
        <w:rPr>
          <w:rFonts w:ascii="Verdana" w:hAnsi="Verdana"/>
        </w:rPr>
      </w:pPr>
      <w:r w:rsidRPr="005B5CB6">
        <w:rPr>
          <w:rFonts w:ascii="Verdana" w:eastAsia="Verdana" w:hAnsi="Verdana" w:cs="Verdana"/>
          <w:color w:val="E36C0A"/>
        </w:rPr>
        <w:t xml:space="preserve"> </w:t>
      </w:r>
    </w:p>
    <w:p w:rsidR="00FB0B24" w:rsidRPr="005B5CB6" w:rsidP="001512F6">
      <w:pPr>
        <w:spacing w:after="0"/>
        <w:jc w:val="both"/>
        <w:rPr>
          <w:rFonts w:ascii="Verdana" w:hAnsi="Verdana"/>
        </w:rPr>
      </w:pPr>
      <w:r w:rsidRPr="005B5CB6">
        <w:rPr>
          <w:rFonts w:ascii="Verdana" w:eastAsia="Verdana" w:hAnsi="Verdana" w:cs="Verdana"/>
          <w:color w:val="E36C0A"/>
        </w:rPr>
        <w:t xml:space="preserve"> </w:t>
      </w:r>
    </w:p>
    <w:p w:rsidR="00FB0B24" w:rsidRPr="005B5CB6" w:rsidP="001512F6">
      <w:pPr>
        <w:jc w:val="both"/>
        <w:rPr>
          <w:rFonts w:ascii="Verdana" w:hAnsi="Verdana"/>
        </w:rPr>
        <w:sectPr w:rsidSect="00951A38">
          <w:headerReference w:type="even" r:id="rId153"/>
          <w:headerReference w:type="default" r:id="rId154"/>
          <w:footerReference w:type="even" r:id="rId155"/>
          <w:footerReference w:type="default" r:id="rId156"/>
          <w:headerReference w:type="first" r:id="rId157"/>
          <w:footerReference w:type="first" r:id="rId158"/>
          <w:pgSz w:w="11906" w:h="16838"/>
          <w:pgMar w:top="1492" w:right="1449" w:bottom="1494" w:left="1440" w:header="720" w:footer="709" w:gutter="0"/>
          <w:cols w:space="720"/>
        </w:sectPr>
      </w:pPr>
    </w:p>
    <w:p w:rsidR="00FB0B24" w:rsidRPr="005B5CB6" w:rsidP="00A1624B">
      <w:pPr>
        <w:pStyle w:val="Heading1"/>
        <w:rPr>
          <w:sz w:val="22"/>
        </w:rPr>
      </w:pPr>
      <w:bookmarkStart w:id="27" w:name="_Toc44517715"/>
      <w:r w:rsidRPr="005B5CB6">
        <w:rPr>
          <w:sz w:val="22"/>
        </w:rPr>
        <w:t>Index on Censorship – written evidence (DAD0032)</w:t>
      </w:r>
      <w:bookmarkEnd w:id="27"/>
      <w:r w:rsidRPr="005B5CB6">
        <w:rPr>
          <w:sz w:val="22"/>
        </w:rPr>
        <w:t xml:space="preserve"> </w:t>
      </w:r>
    </w:p>
    <w:p w:rsidR="00FB0B24" w:rsidRPr="005B5CB6" w:rsidP="001512F6">
      <w:pPr>
        <w:spacing w:after="170"/>
        <w:jc w:val="both"/>
        <w:rPr>
          <w:rFonts w:ascii="Verdana" w:hAnsi="Verdana"/>
        </w:rPr>
      </w:pPr>
      <w:r w:rsidRPr="005B5CB6">
        <w:rPr>
          <w:rFonts w:ascii="Verdana" w:hAnsi="Verdana"/>
        </w:rPr>
        <w:t xml:space="preserve"> </w:t>
      </w:r>
    </w:p>
    <w:p w:rsidR="00FB0B24" w:rsidRPr="005B5CB6" w:rsidP="00575F14">
      <w:pPr>
        <w:numPr>
          <w:ilvl w:val="0"/>
          <w:numId w:val="89"/>
        </w:numPr>
        <w:spacing w:after="166" w:line="249" w:lineRule="auto"/>
        <w:ind w:hanging="360"/>
        <w:jc w:val="both"/>
        <w:rPr>
          <w:rFonts w:ascii="Verdana" w:hAnsi="Verdana"/>
        </w:rPr>
      </w:pPr>
      <w:r w:rsidRPr="005B5CB6">
        <w:rPr>
          <w:rFonts w:ascii="Verdana" w:eastAsia="Verdana" w:hAnsi="Verdana" w:cs="Verdana"/>
          <w:i/>
        </w:rPr>
        <w:t xml:space="preserve">Index on Censorship, a registered UK charity and company, campaigns for freedom of expression worldwide. We publish work by censored writers and artists, promote debate, and monitor threats to free speech, and have more than 45 years’ experience in this field. Freedom of expression online and combating online censorship is a priority area for Index’s work. Index works by informing, influencing, debating and supporting.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575F14">
      <w:pPr>
        <w:numPr>
          <w:ilvl w:val="0"/>
          <w:numId w:val="89"/>
        </w:numPr>
        <w:spacing w:after="5" w:line="250" w:lineRule="auto"/>
        <w:ind w:hanging="360"/>
        <w:jc w:val="both"/>
        <w:rPr>
          <w:rFonts w:ascii="Verdana" w:hAnsi="Verdana"/>
        </w:rPr>
      </w:pPr>
      <w:r w:rsidRPr="005B5CB6">
        <w:rPr>
          <w:rFonts w:ascii="Verdana" w:eastAsia="Verdana" w:hAnsi="Verdana" w:cs="Verdana"/>
          <w:b/>
        </w:rPr>
        <w:t xml:space="preserve">(Question 1) How has digital technology changed the way that democracy works in the UK and has this been a net positive or negative effect? </w:t>
      </w:r>
    </w:p>
    <w:p w:rsidR="00FB0B24" w:rsidRPr="005B5CB6" w:rsidP="001512F6">
      <w:pPr>
        <w:spacing w:after="168" w:line="249" w:lineRule="auto"/>
        <w:ind w:left="728" w:right="12" w:hanging="9"/>
        <w:jc w:val="both"/>
        <w:rPr>
          <w:rFonts w:ascii="Verdana" w:hAnsi="Verdana"/>
        </w:rPr>
      </w:pPr>
      <w:r w:rsidRPr="005B5CB6">
        <w:rPr>
          <w:rFonts w:ascii="Verdana" w:eastAsia="Verdana" w:hAnsi="Verdana" w:cs="Verdana"/>
        </w:rPr>
        <w:t xml:space="preserve">Digital technology has had a profound impact, both negative – as demonstrated by the Cambridge Analytica case – and positive, such as allowing politicians to communicate directly with the public and for the public to communicate directly with politicians (please also see our response to question 8 below). In </w:t>
      </w:r>
      <w:r>
        <w:fldChar w:fldCharType="begin"/>
      </w:r>
      <w:r>
        <w:instrText xml:space="preserve"> HYPERLINK "https://www.indexoncensorship.org/wp-content/uploads/2019/07/Online-Harms-Consultation-Response-Index-on-Censorship.pdf" </w:instrText>
      </w:r>
      <w:r>
        <w:fldChar w:fldCharType="separate"/>
      </w:r>
      <w:r w:rsidRPr="005B5CB6">
        <w:rPr>
          <w:rFonts w:ascii="Verdana" w:eastAsia="Verdana" w:hAnsi="Verdana" w:cs="Verdana"/>
          <w:color w:val="0563C1"/>
          <w:u w:val="single" w:color="0563C1"/>
        </w:rPr>
        <w:t>its submission</w:t>
      </w:r>
      <w:r>
        <w:fldChar w:fldCharType="end"/>
      </w:r>
      <w:r>
        <w:fldChar w:fldCharType="begin"/>
      </w:r>
      <w:r>
        <w:instrText xml:space="preserve"> HYPERLINK "https://www.indexoncensorship.org/wp-content/uploads/2019/07/Online-Harms-Consultation-Response-Index-on-Censorship.pdf"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to the Online Harms White Paper consultation Index emphasised the importance of basing any future regulatory action on clear evidence, including evidence of harmful impacts. </w:t>
      </w:r>
    </w:p>
    <w:p w:rsidR="00FB0B24" w:rsidRPr="005B5CB6" w:rsidP="001512F6">
      <w:pPr>
        <w:spacing w:after="156"/>
        <w:jc w:val="both"/>
        <w:rPr>
          <w:rFonts w:ascii="Verdana" w:hAnsi="Verdana"/>
        </w:rPr>
      </w:pPr>
      <w:r w:rsidRPr="005B5CB6">
        <w:rPr>
          <w:rFonts w:ascii="Verdana" w:eastAsia="Verdana" w:hAnsi="Verdana" w:cs="Verdana"/>
          <w:b/>
        </w:rPr>
        <w:t xml:space="preserve"> </w:t>
      </w:r>
    </w:p>
    <w:p w:rsidR="00FB0B24" w:rsidRPr="005B5CB6" w:rsidP="00575F14">
      <w:pPr>
        <w:numPr>
          <w:ilvl w:val="0"/>
          <w:numId w:val="89"/>
        </w:numPr>
        <w:spacing w:after="35" w:line="249" w:lineRule="auto"/>
        <w:ind w:hanging="360"/>
        <w:jc w:val="both"/>
        <w:rPr>
          <w:rFonts w:ascii="Verdana" w:hAnsi="Verdana"/>
        </w:rPr>
      </w:pPr>
      <w:r w:rsidRPr="005B5CB6">
        <w:rPr>
          <w:rFonts w:ascii="Verdana" w:eastAsia="Verdana" w:hAnsi="Verdana" w:cs="Verdana"/>
          <w:b/>
        </w:rPr>
        <w:t>(Question 2)</w:t>
      </w:r>
      <w:r w:rsidRPr="005B5CB6">
        <w:rPr>
          <w:rFonts w:ascii="Verdana" w:eastAsia="Verdana" w:hAnsi="Verdana" w:cs="Verdana"/>
        </w:rPr>
        <w:t xml:space="preserve"> </w:t>
      </w:r>
      <w:r w:rsidRPr="005B5CB6">
        <w:rPr>
          <w:rFonts w:ascii="Verdana" w:eastAsia="Verdana" w:hAnsi="Verdana" w:cs="Verdana"/>
          <w:b/>
        </w:rPr>
        <w:t xml:space="preserve">How have the design of algorithms used by social media platforms shaped democratic debate? To what extent should there be greater accountability for the design of these algorithms? </w:t>
      </w:r>
      <w:r w:rsidRPr="005B5CB6">
        <w:rPr>
          <w:rFonts w:ascii="Verdana" w:eastAsia="Verdana" w:hAnsi="Verdana" w:cs="Verdana"/>
        </w:rPr>
        <w:t>Governments should have no role in the design of algorithms. However, increased transparency about the role that algorithms play in decisionmaking and in driving content to internet users is extremely important. This includes considering the impacts on human rights, including impacts on freedom of expression, privacy and the right to access information. This has been recognised by for example the Council of Europe, which has initiated a process to develop recommendations on the human rights impacts of algorithmic systems.</w:t>
      </w:r>
      <w:r>
        <w:rPr>
          <w:rFonts w:ascii="Verdana" w:eastAsia="Verdana" w:hAnsi="Verdana" w:cs="Verdana"/>
          <w:vertAlign w:val="superscript"/>
        </w:rPr>
        <w:footnoteReference w:id="136"/>
      </w:r>
      <w:r w:rsidRPr="005B5CB6">
        <w:rPr>
          <w:rFonts w:ascii="Verdana" w:eastAsia="Verdana" w:hAnsi="Verdana" w:cs="Verdana"/>
        </w:rPr>
        <w:t xml:space="preserve"> The Electronic Frontier Foundation has highlighted the importance of empowering users as part of the solution.</w:t>
      </w:r>
      <w:r>
        <w:rPr>
          <w:rFonts w:ascii="Verdana" w:eastAsia="Verdana" w:hAnsi="Verdana" w:cs="Verdana"/>
          <w:vertAlign w:val="superscript"/>
        </w:rPr>
        <w:footnoteReference w:id="137"/>
      </w:r>
      <w:r w:rsidRPr="005B5CB6">
        <w:rPr>
          <w:rFonts w:ascii="Verdana" w:eastAsia="Verdana" w:hAnsi="Verdana" w:cs="Verdana"/>
        </w:rPr>
        <w:t xml:space="preserv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89"/>
        </w:numPr>
        <w:spacing w:after="5" w:line="250" w:lineRule="auto"/>
        <w:ind w:hanging="360"/>
        <w:jc w:val="both"/>
        <w:rPr>
          <w:rFonts w:ascii="Verdana" w:hAnsi="Verdana"/>
        </w:rPr>
      </w:pPr>
      <w:r w:rsidRPr="005B5CB6">
        <w:rPr>
          <w:rFonts w:ascii="Verdana" w:eastAsia="Verdana" w:hAnsi="Verdana" w:cs="Verdana"/>
          <w:b/>
        </w:rPr>
        <w:t xml:space="preserve">(Question 3) What role should every stage of education play in helping to create a healthy, active, digitally literate democracy?    </w:t>
      </w:r>
    </w:p>
    <w:p w:rsidR="00FB0B24" w:rsidRPr="005B5CB6" w:rsidP="001512F6">
      <w:pPr>
        <w:spacing w:after="180" w:line="250" w:lineRule="auto"/>
        <w:ind w:left="728" w:right="11" w:hanging="8"/>
        <w:jc w:val="both"/>
        <w:rPr>
          <w:rFonts w:ascii="Verdana" w:hAnsi="Verdana"/>
        </w:rPr>
      </w:pPr>
      <w:r w:rsidRPr="005B5CB6">
        <w:rPr>
          <w:rFonts w:ascii="Verdana" w:eastAsia="Verdana" w:hAnsi="Verdana" w:cs="Verdana"/>
        </w:rPr>
        <w:t xml:space="preserve">Digital media literacy should include a component that helps individuals to understand and to exercise their civil and human rights in full. Often the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35080" name="Group 53508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759" name="Shape 63575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61" style="height:0.72pt;mso-position-horizontal-relative:char;mso-position-vertical-relative:line;width:2in" coordsize="18288,91">
                <v:shape id="_x0000_s1162"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198" w:line="249" w:lineRule="auto"/>
        <w:ind w:left="729" w:right="12" w:hanging="9"/>
        <w:jc w:val="both"/>
        <w:rPr>
          <w:rFonts w:ascii="Verdana" w:hAnsi="Verdana"/>
        </w:rPr>
      </w:pPr>
      <w:r w:rsidRPr="005B5CB6">
        <w:rPr>
          <w:rFonts w:ascii="Verdana" w:eastAsia="Verdana" w:hAnsi="Verdana" w:cs="Verdana"/>
        </w:rPr>
        <w:t>focus is on technical knowledge, rather than rights-based education. It is also important to recognise that efforts need to go beyond school-age children and young people. For example, research that focused on Facebook and fake news indicated that over 65s are more likely to share fake news than those from younger age groups.</w:t>
      </w:r>
      <w:r>
        <w:rPr>
          <w:rFonts w:ascii="Verdana" w:eastAsia="Verdana" w:hAnsi="Verdana" w:cs="Verdana"/>
          <w:vertAlign w:val="superscript"/>
        </w:rPr>
        <w:footnoteReference w:id="138"/>
      </w:r>
      <w:r w:rsidRPr="005B5CB6">
        <w:rPr>
          <w:rFonts w:ascii="Verdana" w:eastAsia="Verdana" w:hAnsi="Verdana" w:cs="Verdana"/>
        </w:rPr>
        <w:t xml:space="preserve">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575F14">
      <w:pPr>
        <w:numPr>
          <w:ilvl w:val="0"/>
          <w:numId w:val="89"/>
        </w:numPr>
        <w:spacing w:after="5" w:line="250" w:lineRule="auto"/>
        <w:ind w:hanging="360"/>
        <w:jc w:val="both"/>
        <w:rPr>
          <w:rFonts w:ascii="Verdana" w:hAnsi="Verdana"/>
        </w:rPr>
      </w:pPr>
      <w:r w:rsidRPr="005B5CB6">
        <w:rPr>
          <w:rFonts w:ascii="Verdana" w:eastAsia="Verdana" w:hAnsi="Verdana" w:cs="Verdana"/>
          <w:b/>
        </w:rPr>
        <w:t>(Question 6)</w:t>
      </w:r>
      <w:r w:rsidRPr="005B5CB6">
        <w:rPr>
          <w:rFonts w:ascii="Verdana" w:eastAsia="Verdana" w:hAnsi="Verdana" w:cs="Verdana"/>
        </w:rPr>
        <w:t xml:space="preserve"> </w:t>
      </w:r>
      <w:r w:rsidRPr="005B5CB6">
        <w:rPr>
          <w:rFonts w:ascii="Verdana" w:eastAsia="Verdana" w:hAnsi="Verdana" w:cs="Verdana"/>
          <w:b/>
        </w:rPr>
        <w:t xml:space="preserve">To what extent does increasing use of encrypted messaging and private groups present a challenge to the democratic process? </w:t>
      </w:r>
    </w:p>
    <w:p w:rsidR="00FB0B24" w:rsidRPr="005B5CB6" w:rsidP="001512F6">
      <w:pPr>
        <w:spacing w:after="168" w:line="249" w:lineRule="auto"/>
        <w:ind w:left="729" w:right="12" w:hanging="9"/>
        <w:jc w:val="both"/>
        <w:rPr>
          <w:rFonts w:ascii="Verdana" w:hAnsi="Verdana"/>
        </w:rPr>
      </w:pPr>
      <w:r w:rsidRPr="005B5CB6">
        <w:rPr>
          <w:rFonts w:ascii="Verdana" w:eastAsia="Verdana" w:hAnsi="Verdana" w:cs="Verdana"/>
        </w:rPr>
        <w:t xml:space="preserve">Disinformation can be spread through private groups, including ones using encrypted communications. However, rather than posing a challenge to the democratic process, encryption and private groups can play an important role in strengthening democracy. In countries with repressive regimes they can be essential tools for mobilising democratic opposition. Free media is an essential part of a functioning democracy: journalists who need to protect sources often need to use encrypted communications. </w:t>
      </w:r>
    </w:p>
    <w:p w:rsidR="00FB0B24" w:rsidRPr="005B5CB6" w:rsidP="001512F6">
      <w:pPr>
        <w:spacing w:after="154"/>
        <w:jc w:val="both"/>
        <w:rPr>
          <w:rFonts w:ascii="Verdana" w:hAnsi="Verdana"/>
        </w:rPr>
      </w:pPr>
      <w:r w:rsidRPr="005B5CB6">
        <w:rPr>
          <w:rFonts w:ascii="Verdana" w:eastAsia="Verdana" w:hAnsi="Verdana" w:cs="Verdana"/>
        </w:rPr>
        <w:t xml:space="preserve"> </w:t>
      </w:r>
    </w:p>
    <w:p w:rsidR="00FB0B24" w:rsidRPr="005B5CB6" w:rsidP="00575F14">
      <w:pPr>
        <w:numPr>
          <w:ilvl w:val="0"/>
          <w:numId w:val="89"/>
        </w:numPr>
        <w:spacing w:after="5" w:line="250" w:lineRule="auto"/>
        <w:ind w:hanging="360"/>
        <w:jc w:val="both"/>
        <w:rPr>
          <w:rFonts w:ascii="Verdana" w:hAnsi="Verdana"/>
        </w:rPr>
      </w:pPr>
      <w:r w:rsidRPr="005B5CB6">
        <w:rPr>
          <w:rFonts w:ascii="Verdana" w:eastAsia="Verdana" w:hAnsi="Verdana" w:cs="Verdana"/>
          <w:b/>
        </w:rPr>
        <w:t>(Question 7)</w:t>
      </w:r>
      <w:r w:rsidRPr="005B5CB6">
        <w:rPr>
          <w:rFonts w:ascii="Verdana" w:eastAsia="Verdana" w:hAnsi="Verdana" w:cs="Verdana"/>
        </w:rPr>
        <w:t xml:space="preserve"> </w:t>
      </w:r>
      <w:r w:rsidRPr="005B5CB6">
        <w:rPr>
          <w:rFonts w:ascii="Verdana" w:eastAsia="Verdana" w:hAnsi="Verdana" w:cs="Verdana"/>
          <w:b/>
        </w:rPr>
        <w:t xml:space="preserve">What are the positive or negative effects of anonymity on online democratic discourse? </w:t>
      </w:r>
    </w:p>
    <w:p w:rsidR="00FB0B24" w:rsidRPr="005B5CB6" w:rsidP="001512F6">
      <w:pPr>
        <w:spacing w:after="43" w:line="249" w:lineRule="auto"/>
        <w:ind w:left="729" w:right="12" w:hanging="9"/>
        <w:jc w:val="both"/>
        <w:rPr>
          <w:rFonts w:ascii="Verdana" w:hAnsi="Verdana"/>
        </w:rPr>
      </w:pPr>
      <w:r w:rsidRPr="005B5CB6">
        <w:rPr>
          <w:rFonts w:ascii="Verdana" w:eastAsia="Verdana" w:hAnsi="Verdana" w:cs="Verdana"/>
        </w:rPr>
        <w:t>Index on Censorship strongly defends the right to anonymity online. Anonymity can be extremely important for human rights defenders working under repressive regimes and for members of minority groups, and for journalists. Contributors to Index on Censorship’s magazine are often individuals in a position where personal safety is a major concern, so they do not wish their name to be revealed. Some might choose to use a pseudonym.</w:t>
      </w:r>
      <w:r>
        <w:rPr>
          <w:rFonts w:ascii="Verdana" w:eastAsia="Verdana" w:hAnsi="Verdana" w:cs="Verdana"/>
          <w:vertAlign w:val="superscript"/>
        </w:rPr>
        <w:footnoteReference w:id="139"/>
      </w:r>
      <w:r w:rsidRPr="005B5CB6">
        <w:rPr>
          <w:rFonts w:ascii="Verdana" w:eastAsia="Verdana" w:hAnsi="Verdana" w:cs="Verdana"/>
        </w:rPr>
        <w:t xml:space="preserv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89"/>
        </w:numPr>
        <w:spacing w:after="168" w:line="249" w:lineRule="auto"/>
        <w:ind w:hanging="360"/>
        <w:jc w:val="both"/>
        <w:rPr>
          <w:rFonts w:ascii="Verdana" w:hAnsi="Verdana"/>
        </w:rPr>
      </w:pPr>
      <w:r w:rsidRPr="005B5CB6">
        <w:rPr>
          <w:rFonts w:ascii="Verdana" w:eastAsia="Verdana" w:hAnsi="Verdana" w:cs="Verdana"/>
        </w:rPr>
        <w:t>The United Nations Special Rapporteur on the promotion and protection of the right to freedom of opinion and expression, David Kaye, has questioned the value of real-name policies, highlighting the importance of anonymity for vulnerable users, and has suggested that narrowly crafted rules on impersonation, which limit the ability of users to portray another person in a confusing or deceptive manner might be a better approach.</w:t>
      </w:r>
      <w:r>
        <w:rPr>
          <w:rFonts w:ascii="Verdana" w:eastAsia="Verdana" w:hAnsi="Verdana" w:cs="Verdana"/>
          <w:vertAlign w:val="superscript"/>
        </w:rPr>
        <w:footnoteReference w:id="140"/>
      </w:r>
      <w:r w:rsidRPr="005B5CB6">
        <w:rPr>
          <w:rFonts w:ascii="Verdana" w:eastAsia="Verdana" w:hAnsi="Verdana" w:cs="Verdana"/>
        </w:rPr>
        <w:t xml:space="preserve"> Index believes that this should be explored further as a better alternative than blanket real-name policies.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575F14">
      <w:pPr>
        <w:numPr>
          <w:ilvl w:val="0"/>
          <w:numId w:val="89"/>
        </w:numPr>
        <w:spacing w:after="5" w:line="250" w:lineRule="auto"/>
        <w:ind w:hanging="360"/>
        <w:jc w:val="both"/>
        <w:rPr>
          <w:rFonts w:ascii="Verdana" w:hAnsi="Verdana"/>
        </w:rPr>
      </w:pPr>
      <w:r w:rsidRPr="005B5CB6">
        <w:rPr>
          <w:rFonts w:ascii="Verdana" w:eastAsia="Verdana" w:hAnsi="Verdana" w:cs="Verdana"/>
          <w:b/>
        </w:rPr>
        <w:t xml:space="preserve">(Question 8) To what extent does social media negatively shape public debate, either through encouraging polarisation or through abuse deterring individuals from engaging in public life?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35901" name="Group 53590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761" name="Shape 63576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63" style="height:0.72pt;mso-position-horizontal-relative:char;mso-position-vertical-relative:line;width:2in" coordsize="18288,91">
                <v:shape id="_x0000_s1164"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5" w:line="249" w:lineRule="auto"/>
        <w:ind w:left="729" w:right="12" w:hanging="9"/>
        <w:jc w:val="both"/>
        <w:rPr>
          <w:rFonts w:ascii="Verdana" w:hAnsi="Verdana"/>
        </w:rPr>
      </w:pPr>
      <w:r w:rsidRPr="005B5CB6">
        <w:rPr>
          <w:rFonts w:ascii="Verdana" w:eastAsia="Verdana" w:hAnsi="Verdana" w:cs="Verdana"/>
        </w:rPr>
        <w:t xml:space="preserve">As Index on Censorship has pointed out in a </w:t>
      </w:r>
      <w:r>
        <w:fldChar w:fldCharType="begin"/>
      </w:r>
      <w:r>
        <w:instrText xml:space="preserve"> HYPERLINK "http://data.parliament.uk/writtenevidence/committeeevidence.svc/evidencedocument/human-rights-committee/democracy-free-speech-and-freedom-of-association/written/98529.html" </w:instrText>
      </w:r>
      <w:r>
        <w:fldChar w:fldCharType="separate"/>
      </w:r>
      <w:r w:rsidRPr="005B5CB6">
        <w:rPr>
          <w:rFonts w:ascii="Verdana" w:eastAsia="Verdana" w:hAnsi="Verdana" w:cs="Verdana"/>
          <w:color w:val="0563C1"/>
          <w:u w:val="single" w:color="0563C1"/>
        </w:rPr>
        <w:t>submission to the Joint</w:t>
      </w:r>
      <w:r>
        <w:fldChar w:fldCharType="end"/>
      </w:r>
      <w:r>
        <w:fldChar w:fldCharType="begin"/>
      </w:r>
      <w:r>
        <w:instrText xml:space="preserve"> HYPERLINK "http://data.parliament.uk/writtenevidence/committeeevidence.svc/evidencedocument/human-rights-committee/democracy-free-speech-and-freedom-of-association/written/98529.html" </w:instrText>
      </w:r>
      <w:r>
        <w:fldChar w:fldCharType="separate"/>
      </w:r>
      <w:r w:rsidRPr="005B5CB6">
        <w:rPr>
          <w:rFonts w:ascii="Verdana" w:eastAsia="Verdana" w:hAnsi="Verdana" w:cs="Verdana"/>
          <w:color w:val="0563C1"/>
        </w:rPr>
        <w:t xml:space="preserve"> </w:t>
      </w:r>
      <w:r>
        <w:fldChar w:fldCharType="end"/>
      </w:r>
      <w:r>
        <w:fldChar w:fldCharType="begin"/>
      </w:r>
      <w:r>
        <w:instrText xml:space="preserve"> HYPERLINK "http://data.parliament.uk/writtenevidence/committeeevidence.svc/evidencedocument/human-rights-committee/democracy-free-speech-and-freedom-of-association/written/98529.html" </w:instrText>
      </w:r>
      <w:r>
        <w:fldChar w:fldCharType="separate"/>
      </w:r>
      <w:r w:rsidRPr="005B5CB6">
        <w:rPr>
          <w:rFonts w:ascii="Verdana" w:eastAsia="Verdana" w:hAnsi="Verdana" w:cs="Verdana"/>
          <w:color w:val="0563C1"/>
          <w:u w:val="single" w:color="0563C1"/>
        </w:rPr>
        <w:t>Committee on Human Rights,</w:t>
      </w:r>
      <w:r>
        <w:fldChar w:fldCharType="end"/>
      </w:r>
      <w:r>
        <w:fldChar w:fldCharType="begin"/>
      </w:r>
      <w:r>
        <w:instrText xml:space="preserve"> HYPERLINK "http://data.parliament.uk/writtenevidence/committeeevidence.svc/evidencedocument/human-rights-committee/democracy-free-speech-and-freedom-of-association/written/98529.html"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social media has increased the ease with which the general public can communicate with members of parliament. This undoubtedly has a positive outcome – bringing parliamentary accountability closer to individual constituents, allowing for MPs to communicate directly with the public, without dilution by the mainstream media, and vice versa. Lively debates occur on social media with and between MPs and, overall, this has increased the volume of democratic participation. However, the flip side of the increase in the ease with which individuals can directly communicate with MPs is that it is more common for MPs to receive abuse. In some cases, this has resulted in MPs receiving a litany of racist or misogynistic abuse, and direct threats of violence.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89"/>
        </w:numPr>
        <w:spacing w:after="5" w:line="249" w:lineRule="auto"/>
        <w:ind w:hanging="360"/>
        <w:jc w:val="both"/>
        <w:rPr>
          <w:rFonts w:ascii="Verdana" w:hAnsi="Verdana"/>
        </w:rPr>
      </w:pPr>
      <w:r w:rsidRPr="005B5CB6">
        <w:rPr>
          <w:rFonts w:ascii="Verdana" w:eastAsia="Verdana" w:hAnsi="Verdana" w:cs="Verdana"/>
        </w:rPr>
        <w:t xml:space="preserve">The precise level of the problem is difficult to quantify because social media companies do not release sufficient data to allow for comprehensive, evidence-based research in this area. It is also made more complicated by the fact that studies often combine a wide range of behaviours and speech under the term “abuse” that fail to separate, for example, threats of violence from other forms of discourse that might “offend, shock or disturb”, and indeed what might be considered to be strong criticism.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720" w:right="12" w:hanging="360"/>
        <w:jc w:val="both"/>
        <w:rPr>
          <w:rFonts w:ascii="Verdana" w:hAnsi="Verdana"/>
        </w:rPr>
      </w:pPr>
      <w:r w:rsidRPr="005B5CB6">
        <w:rPr>
          <w:rFonts w:ascii="Verdana" w:eastAsia="Verdana" w:hAnsi="Verdana" w:cs="Verdana"/>
        </w:rPr>
        <w:t xml:space="preserve">10.Social media can shape the public debate in a positive way (for example, the MeToo campaign). While a negative tone of debate and personal online attacks can deter individuals from engaging in the process, so can confusing and inconsistently applied community standards and terms and conditions of online platforms.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166" w:line="249" w:lineRule="auto"/>
        <w:ind w:left="720" w:right="12" w:hanging="360"/>
        <w:jc w:val="both"/>
        <w:rPr>
          <w:rFonts w:ascii="Verdana" w:hAnsi="Verdana"/>
        </w:rPr>
      </w:pPr>
      <w:r w:rsidRPr="005B5CB6">
        <w:rPr>
          <w:rFonts w:ascii="Verdana" w:eastAsia="Verdana" w:hAnsi="Verdana" w:cs="Verdana"/>
        </w:rPr>
        <w:t xml:space="preserve">11.As Index on Censorship also pointed out in its submission to the Joint Committee on Human Rights, extensive powers are available to protect MPs from harassment, both off and online. The rise of social media has created a significant new problem of online abuse which may sometimes spill over to offline abuse or even violence. However, Index on Censorship believes that the root of the problem is in a dramatic social change which has occurred in a relatively short and politically tumultuous period, rather than a deficiency in the criminal law. Ultimately, the focus should be on ensuring that the police and Crown Prosecution Service are sufficiently resourced to use the powers they have, rather than giving them more powers which they do not need. Free speech is the lifeblood of democracy and it should therefore be jealously guarded.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0" w:hanging="360"/>
        <w:jc w:val="both"/>
        <w:rPr>
          <w:rFonts w:ascii="Verdana" w:hAnsi="Verdana"/>
        </w:rPr>
      </w:pPr>
      <w:r w:rsidRPr="005B5CB6">
        <w:rPr>
          <w:rFonts w:ascii="Verdana" w:eastAsia="Verdana" w:hAnsi="Verdana" w:cs="Verdana"/>
          <w:b/>
        </w:rPr>
        <w:t>12.</w:t>
      </w:r>
      <w:r w:rsidRPr="005B5CB6">
        <w:rPr>
          <w:rFonts w:ascii="Verdana" w:eastAsia="Arial" w:hAnsi="Verdana" w:cs="Arial"/>
          <w:b/>
        </w:rPr>
        <w:t xml:space="preserve"> </w:t>
      </w:r>
      <w:r w:rsidRPr="005B5CB6">
        <w:rPr>
          <w:rFonts w:ascii="Verdana" w:eastAsia="Verdana" w:hAnsi="Verdana" w:cs="Verdana"/>
          <w:b/>
        </w:rPr>
        <w:t>(Question 9)</w:t>
      </w:r>
      <w:r w:rsidRPr="005B5CB6">
        <w:rPr>
          <w:rFonts w:ascii="Verdana" w:eastAsia="Verdana" w:hAnsi="Verdana" w:cs="Verdana"/>
        </w:rPr>
        <w:t xml:space="preserve"> </w:t>
      </w:r>
      <w:r w:rsidRPr="005B5CB6">
        <w:rPr>
          <w:rFonts w:ascii="Verdana" w:eastAsia="Verdana" w:hAnsi="Verdana" w:cs="Verdana"/>
          <w:b/>
        </w:rPr>
        <w:t xml:space="preserve">To what extent do you think that there are those who are using social media to attempt to undermine trust in the democratic process and in democratic institutions; and what might be the best ways to combat this and strengthen faith in democracy? </w:t>
      </w:r>
      <w:r w:rsidRPr="005B5CB6">
        <w:rPr>
          <w:rFonts w:ascii="Verdana" w:eastAsia="Verdana" w:hAnsi="Verdana" w:cs="Verdana"/>
        </w:rPr>
        <w:t xml:space="preserve">Bad actors who attempt to undermine the democratic process and democratic institutions do so in various ways, including but most likely not </w:t>
      </w:r>
      <w:r w:rsidRPr="005B5CB6">
        <w:rPr>
          <w:rFonts w:ascii="Verdana" w:eastAsia="Verdana" w:hAnsi="Verdana" w:cs="Verdana"/>
        </w:rPr>
        <w:t xml:space="preserve">exclusively online. Censorship and closing of user accounts are not the right way to approach this.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202" w:line="249" w:lineRule="auto"/>
        <w:ind w:left="720" w:right="12" w:hanging="360"/>
        <w:jc w:val="both"/>
        <w:rPr>
          <w:rFonts w:ascii="Verdana" w:hAnsi="Verdana"/>
        </w:rPr>
      </w:pPr>
      <w:r w:rsidRPr="005B5CB6">
        <w:rPr>
          <w:rFonts w:ascii="Verdana" w:eastAsia="Verdana" w:hAnsi="Verdana" w:cs="Verdana"/>
        </w:rPr>
        <w:t>13.As Index has stated: Index believes that all speech – eccentric, contentious, heretical, unwelcome, provocative and even bigoted – should be protected unless it directly incites violence. Social media and tech companies — as private entities — have the right to set whatever terms they choose, but the patchwork, inconsistent and opaque terms of service approach to policing speech online leaves them open to political and societal pressures. We strongly encourage the adoption of terms of service policies that maintain the widest possible scope for free speech online. This means we – as users – will have to tolerate the fraudulent, the offensive and the idiotic. The ability to express contrary points of view, to call out racism, to demand retraction and to highlight obvious hypocrisy depend on the ability to freely share information across the evenest possible playing field. Any other course of action will – in the end – diminish everyone’s right to free expression.</w:t>
      </w:r>
      <w:r>
        <w:rPr>
          <w:rFonts w:ascii="Verdana" w:eastAsia="Verdana" w:hAnsi="Verdana" w:cs="Verdana"/>
          <w:vertAlign w:val="superscript"/>
        </w:rPr>
        <w:footnoteReference w:id="141"/>
      </w:r>
      <w:r w:rsidRPr="005B5CB6">
        <w:rPr>
          <w:rFonts w:ascii="Verdana" w:eastAsia="Verdana" w:hAnsi="Verdana" w:cs="Verdana"/>
        </w:rPr>
        <w:t xml:space="preserve">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575F14">
      <w:pPr>
        <w:numPr>
          <w:ilvl w:val="0"/>
          <w:numId w:val="90"/>
        </w:numPr>
        <w:spacing w:after="5" w:line="250" w:lineRule="auto"/>
        <w:ind w:hanging="360"/>
        <w:jc w:val="both"/>
        <w:rPr>
          <w:rFonts w:ascii="Verdana" w:hAnsi="Verdana"/>
        </w:rPr>
      </w:pPr>
      <w:r w:rsidRPr="005B5CB6">
        <w:rPr>
          <w:rFonts w:ascii="Verdana" w:eastAsia="Verdana" w:hAnsi="Verdana" w:cs="Verdana"/>
          <w:b/>
        </w:rPr>
        <w:t>(Question 10</w:t>
      </w:r>
      <w:r w:rsidRPr="005B5CB6">
        <w:rPr>
          <w:rFonts w:ascii="Verdana" w:eastAsia="Verdana" w:hAnsi="Verdana" w:cs="Verdana"/>
        </w:rPr>
        <w:t xml:space="preserve">) </w:t>
      </w:r>
      <w:r w:rsidRPr="005B5CB6">
        <w:rPr>
          <w:rFonts w:ascii="Verdana" w:eastAsia="Verdana" w:hAnsi="Verdana" w:cs="Verdana"/>
          <w:b/>
        </w:rPr>
        <w:t xml:space="preserve">What might be the best ways of reducing the effects of misinformation on social media platforms? </w:t>
      </w:r>
    </w:p>
    <w:p w:rsidR="00FB0B24" w:rsidRPr="005B5CB6" w:rsidP="001512F6">
      <w:pPr>
        <w:spacing w:after="168" w:line="249" w:lineRule="auto"/>
        <w:ind w:left="729" w:right="12" w:hanging="9"/>
        <w:jc w:val="both"/>
        <w:rPr>
          <w:rFonts w:ascii="Verdana" w:hAnsi="Verdana"/>
        </w:rPr>
      </w:pPr>
      <w:r w:rsidRPr="005B5CB6">
        <w:rPr>
          <w:rFonts w:ascii="Verdana" w:eastAsia="Verdana" w:hAnsi="Verdana" w:cs="Verdana"/>
        </w:rPr>
        <w:t xml:space="preserve">Increasing digital media literacy is a critical part of the solution. It is also important to distinguish between disinformation (deliberately manipulative) and misinformation (not aiming to cause deliberate harm). The root causes of misinformation can be complex and very difficult to address. However, tackling the issue through online censorship is not the answer. Index on Censorship also has significant concerns about proposals that would result in “kitemarking” news sources, because of the questions it raises about who would decide what constitutes “approved news”. The dividing line between opinion and misinformation may be very difficult to define: one person’s point of view can be another person’s misinformation.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575F14">
      <w:pPr>
        <w:numPr>
          <w:ilvl w:val="0"/>
          <w:numId w:val="90"/>
        </w:numPr>
        <w:spacing w:after="5" w:line="250" w:lineRule="auto"/>
        <w:ind w:hanging="360"/>
        <w:jc w:val="both"/>
        <w:rPr>
          <w:rFonts w:ascii="Verdana" w:hAnsi="Verdana"/>
        </w:rPr>
      </w:pPr>
      <w:r w:rsidRPr="005B5CB6">
        <w:rPr>
          <w:rFonts w:ascii="Verdana" w:eastAsia="Verdana" w:hAnsi="Verdana" w:cs="Verdana"/>
          <w:b/>
        </w:rPr>
        <w:t>(Question 11</w:t>
      </w:r>
      <w:r w:rsidRPr="005B5CB6">
        <w:rPr>
          <w:rFonts w:ascii="Verdana" w:eastAsia="Verdana" w:hAnsi="Verdana" w:cs="Verdana"/>
        </w:rPr>
        <w:t xml:space="preserve">) </w:t>
      </w:r>
      <w:r w:rsidRPr="005B5CB6">
        <w:rPr>
          <w:rFonts w:ascii="Verdana" w:eastAsia="Verdana" w:hAnsi="Verdana" w:cs="Verdana"/>
          <w:b/>
        </w:rPr>
        <w:t xml:space="preserve">How could the moderation processes of large technology companies be improved to better tackle abuse and misinformation, as well as helping public debate flourish? </w:t>
      </w:r>
    </w:p>
    <w:p w:rsidR="00FB0B24" w:rsidRPr="005B5CB6" w:rsidP="001512F6">
      <w:pPr>
        <w:spacing w:after="528" w:line="249" w:lineRule="auto"/>
        <w:ind w:left="729" w:right="12" w:hanging="9"/>
        <w:jc w:val="both"/>
        <w:rPr>
          <w:rFonts w:ascii="Verdana" w:hAnsi="Verdana"/>
        </w:rPr>
      </w:pPr>
      <w:r w:rsidRPr="005B5CB6">
        <w:rPr>
          <w:rFonts w:ascii="Verdana" w:eastAsia="Verdana" w:hAnsi="Verdana" w:cs="Verdana"/>
        </w:rPr>
        <w:t xml:space="preserve">As highlighted in </w:t>
      </w:r>
      <w:r w:rsidRPr="005B5CB6">
        <w:rPr>
          <w:rFonts w:ascii="Verdana" w:eastAsia="Verdana" w:hAnsi="Verdana" w:cs="Verdana"/>
          <w:i/>
        </w:rPr>
        <w:t>Content Moderation is Broken. Let Us Count the Ways</w:t>
      </w:r>
      <w:r w:rsidRPr="005B5CB6">
        <w:rPr>
          <w:rFonts w:ascii="Verdana" w:eastAsia="Verdana" w:hAnsi="Verdana" w:cs="Verdana"/>
          <w:i/>
          <w:vertAlign w:val="superscript"/>
        </w:rPr>
        <w:t>7</w:t>
      </w:r>
      <w:r w:rsidRPr="005B5CB6">
        <w:rPr>
          <w:rFonts w:ascii="Verdana" w:eastAsia="Verdana" w:hAnsi="Verdana" w:cs="Verdana"/>
        </w:rPr>
        <w:t xml:space="preserve"> social media platforms engage in content moderation that involves depublication, downranking and sometimes outright censorship. This is usually based on the platforms’ community standards. The community standards are often not clearly formulated and their application is not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36227" name="Group 53622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763" name="Shape 63576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65" style="height:0.72pt;mso-position-horizontal-relative:char;mso-position-vertical-relative:line;width:2in" coordsize="18288,91">
                <v:shape id="_x0000_s1166"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transparent. Appeals processes may be non-existent or difficult to understand.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165" w:line="249" w:lineRule="auto"/>
        <w:ind w:left="720" w:right="12" w:hanging="360"/>
        <w:jc w:val="both"/>
        <w:rPr>
          <w:rFonts w:ascii="Verdana" w:hAnsi="Verdana"/>
        </w:rPr>
      </w:pPr>
      <w:r w:rsidRPr="005B5CB6">
        <w:rPr>
          <w:rFonts w:ascii="Verdana" w:eastAsia="Verdana" w:hAnsi="Verdana" w:cs="Verdana"/>
        </w:rPr>
        <w:t>16.The Manila Principles on Intermediary Liability</w:t>
      </w:r>
      <w:r>
        <w:rPr>
          <w:rFonts w:ascii="Verdana" w:eastAsia="Verdana" w:hAnsi="Verdana" w:cs="Verdana"/>
          <w:vertAlign w:val="superscript"/>
        </w:rPr>
        <w:footnoteReference w:id="142"/>
      </w:r>
      <w:r w:rsidRPr="005B5CB6">
        <w:rPr>
          <w:rFonts w:ascii="Verdana" w:eastAsia="Verdana" w:hAnsi="Verdana" w:cs="Verdana"/>
        </w:rPr>
        <w:t xml:space="preserve">, which aim to guide government, industry and civil    society in the development of best practices should be a starting point. Users should also have easily accessible information and tools to help them to respond to unwanted communications, for example by muting other users.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0" w:hanging="360"/>
        <w:jc w:val="both"/>
        <w:rPr>
          <w:rFonts w:ascii="Verdana" w:hAnsi="Verdana"/>
        </w:rPr>
      </w:pPr>
      <w:r w:rsidRPr="005B5CB6">
        <w:rPr>
          <w:rFonts w:ascii="Verdana" w:eastAsia="Verdana" w:hAnsi="Verdana" w:cs="Verdana"/>
          <w:b/>
        </w:rPr>
        <w:t>17.</w:t>
      </w:r>
      <w:r w:rsidRPr="005B5CB6">
        <w:rPr>
          <w:rFonts w:ascii="Verdana" w:eastAsia="Arial" w:hAnsi="Verdana" w:cs="Arial"/>
          <w:b/>
        </w:rPr>
        <w:t xml:space="preserve"> </w:t>
      </w:r>
      <w:r w:rsidRPr="005B5CB6">
        <w:rPr>
          <w:rFonts w:ascii="Verdana" w:eastAsia="Verdana" w:hAnsi="Verdana" w:cs="Verdana"/>
          <w:b/>
        </w:rPr>
        <w:t>(Question 13)</w:t>
      </w:r>
      <w:r w:rsidRPr="005B5CB6">
        <w:rPr>
          <w:rFonts w:ascii="Verdana" w:eastAsia="Verdana" w:hAnsi="Verdana" w:cs="Verdana"/>
        </w:rPr>
        <w:t xml:space="preserve"> </w:t>
      </w:r>
      <w:r w:rsidRPr="005B5CB6">
        <w:rPr>
          <w:rFonts w:ascii="Verdana" w:eastAsia="Verdana" w:hAnsi="Verdana" w:cs="Verdana"/>
          <w:b/>
        </w:rPr>
        <w:t xml:space="preserve">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1512F6">
      <w:pPr>
        <w:spacing w:after="168" w:line="249" w:lineRule="auto"/>
        <w:ind w:left="729" w:right="12" w:hanging="9"/>
        <w:jc w:val="both"/>
        <w:rPr>
          <w:rFonts w:ascii="Verdana" w:hAnsi="Verdana"/>
        </w:rPr>
      </w:pPr>
      <w:r w:rsidRPr="005B5CB6">
        <w:rPr>
          <w:rFonts w:ascii="Verdana" w:eastAsia="Verdana" w:hAnsi="Verdana" w:cs="Verdana"/>
        </w:rPr>
        <w:t xml:space="preserve">Elected representatives and government officials should – as a matter of priority – undertake to increase their own digital media literacy. Successive consultations from various arms of parliament and government have highlighted that the understanding among law and policy makers about how social media platforms operate is often patchy or limited and that data on its impact for good or ill is partial.  </w:t>
      </w:r>
    </w:p>
    <w:p w:rsidR="00FB0B24" w:rsidRPr="005B5CB6" w:rsidP="001512F6">
      <w:pPr>
        <w:spacing w:after="6889"/>
        <w:ind w:left="46"/>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35763" name="Group 53576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765" name="Shape 63576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67" style="height:0.72pt;mso-position-horizontal-relative:char;mso-position-vertical-relative:line;width:2in" coordsize="18288,91">
                <v:shape id="_x0000_s116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jc w:val="both"/>
        <w:rPr>
          <w:rFonts w:ascii="Verdana" w:hAnsi="Verdana"/>
        </w:rPr>
        <w:sectPr w:rsidSect="00A047E5">
          <w:headerReference w:type="even" r:id="rId159"/>
          <w:headerReference w:type="default" r:id="rId160"/>
          <w:footerReference w:type="even" r:id="rId161"/>
          <w:footerReference w:type="default" r:id="rId162"/>
          <w:headerReference w:type="first" r:id="rId163"/>
          <w:footerReference w:type="first" r:id="rId164"/>
          <w:pgSz w:w="11906" w:h="16838"/>
          <w:pgMar w:top="1492" w:right="1436" w:bottom="1439" w:left="1440" w:header="720" w:footer="709" w:gutter="0"/>
          <w:cols w:space="720"/>
        </w:sectPr>
      </w:pPr>
    </w:p>
    <w:p w:rsidR="00FB0B24" w:rsidRPr="005B5CB6" w:rsidP="00A1624B">
      <w:pPr>
        <w:pStyle w:val="Heading1"/>
        <w:rPr>
          <w:sz w:val="22"/>
        </w:rPr>
      </w:pPr>
      <w:bookmarkStart w:id="28" w:name="_Toc44517716"/>
      <w:r w:rsidRPr="005B5CB6">
        <w:rPr>
          <w:sz w:val="22"/>
        </w:rPr>
        <w:t>The Digital Life Skills Company CIC – written evidence (DAD0033)</w:t>
      </w:r>
      <w:bookmarkEnd w:id="28"/>
      <w:r w:rsidRPr="005B5CB6">
        <w:rPr>
          <w:sz w:val="22"/>
        </w:rPr>
        <w:t xml:space="preserve"> </w:t>
      </w:r>
    </w:p>
    <w:p w:rsidR="00A047E5" w:rsidRPr="005B5CB6" w:rsidP="00A047E5">
      <w:pPr>
        <w:rPr>
          <w:rFonts w:ascii="Verdana" w:hAnsi="Verdana"/>
        </w:rPr>
      </w:pPr>
    </w:p>
    <w:p w:rsidR="00FB0B24" w:rsidRPr="005B5CB6" w:rsidP="001512F6">
      <w:pPr>
        <w:spacing w:after="271" w:line="250" w:lineRule="auto"/>
        <w:ind w:left="345" w:hanging="360"/>
        <w:jc w:val="both"/>
        <w:rPr>
          <w:rFonts w:ascii="Verdana" w:hAnsi="Verdana"/>
        </w:rPr>
      </w:pPr>
      <w:r w:rsidRPr="005B5CB6">
        <w:rPr>
          <w:rFonts w:ascii="Verdana" w:hAnsi="Verdana"/>
          <w:b/>
        </w:rPr>
        <w:t>3)</w:t>
      </w:r>
      <w:r w:rsidRPr="005B5CB6">
        <w:rPr>
          <w:rFonts w:ascii="Verdana" w:eastAsia="Arial" w:hAnsi="Verdana" w:cs="Arial"/>
          <w:b/>
        </w:rPr>
        <w:t xml:space="preserve"> </w:t>
      </w:r>
      <w:r w:rsidRPr="005B5CB6">
        <w:rPr>
          <w:rFonts w:ascii="Verdana" w:hAnsi="Verdana"/>
          <w:b/>
        </w:rPr>
        <w:t xml:space="preserve">What role should every stage of education play in helping to create a healthy, active, digitally literate democracy?  </w:t>
      </w:r>
    </w:p>
    <w:p w:rsidR="00FB0B24" w:rsidRPr="005B5CB6" w:rsidP="00575F14">
      <w:pPr>
        <w:numPr>
          <w:ilvl w:val="0"/>
          <w:numId w:val="91"/>
        </w:numPr>
        <w:spacing w:after="5" w:line="250" w:lineRule="auto"/>
        <w:ind w:hanging="360"/>
        <w:jc w:val="both"/>
        <w:rPr>
          <w:rFonts w:ascii="Verdana" w:hAnsi="Verdana"/>
        </w:rPr>
      </w:pPr>
      <w:r w:rsidRPr="005B5CB6">
        <w:rPr>
          <w:rFonts w:ascii="Verdana" w:hAnsi="Verdana"/>
        </w:rPr>
        <w:t xml:space="preserve">Democratic societies rely on a well-informed citizenry. While misinformation has existed throughout history, in the digital age it can spread more rapidly and with more devastating consequences than ever before. </w:t>
      </w:r>
    </w:p>
    <w:p w:rsidR="00FB0B24" w:rsidRPr="005B5CB6" w:rsidP="00575F14">
      <w:pPr>
        <w:numPr>
          <w:ilvl w:val="0"/>
          <w:numId w:val="91"/>
        </w:numPr>
        <w:spacing w:after="5" w:line="250" w:lineRule="auto"/>
        <w:ind w:hanging="360"/>
        <w:jc w:val="both"/>
        <w:rPr>
          <w:rFonts w:ascii="Verdana" w:hAnsi="Verdana"/>
        </w:rPr>
      </w:pPr>
      <w:r w:rsidRPr="005B5CB6">
        <w:rPr>
          <w:rFonts w:ascii="Verdana" w:hAnsi="Verdana"/>
        </w:rPr>
        <w:t xml:space="preserve">Children and adults alike need to be equipped with the skills to evaluate online content and identify misinformation. At the Digital Life Skills Company (CIC), our goal is to equip children and young people with digital information literacy skills. We have developed and delivered digital information literacy workshops in primary and secondary schools and youth groups throughout the North West for the past 3 years. This is where we shall focus our response to this question. </w:t>
      </w:r>
    </w:p>
    <w:p w:rsidR="00FB0B24" w:rsidRPr="005B5CB6" w:rsidP="00575F14">
      <w:pPr>
        <w:numPr>
          <w:ilvl w:val="0"/>
          <w:numId w:val="91"/>
        </w:numPr>
        <w:spacing w:after="5" w:line="250" w:lineRule="auto"/>
        <w:ind w:hanging="360"/>
        <w:jc w:val="both"/>
        <w:rPr>
          <w:rFonts w:ascii="Verdana" w:hAnsi="Verdana"/>
        </w:rPr>
      </w:pPr>
      <w:r w:rsidRPr="005B5CB6">
        <w:rPr>
          <w:rFonts w:ascii="Verdana" w:hAnsi="Verdana"/>
        </w:rPr>
        <w:t xml:space="preserve">Most children have access to internet-enabled devices from an early age, and more young people than ever use the internet as their main source of information. The internet influences people’s beliefs, world views, emotional responses and how we behave. With the proliferation of inaccurate, misleading hateful and harmful content online, it is difficult to think of a time when the need to develop the public’s digital information literacy - the ability to think critically and make balanced judgements about the digital information we use - was more urgent.  Without it we can’t have an informed electorate. </w:t>
      </w:r>
    </w:p>
    <w:p w:rsidR="00FB0B24" w:rsidRPr="005B5CB6" w:rsidP="00575F14">
      <w:pPr>
        <w:numPr>
          <w:ilvl w:val="0"/>
          <w:numId w:val="91"/>
        </w:numPr>
        <w:spacing w:after="5" w:line="250" w:lineRule="auto"/>
        <w:ind w:hanging="360"/>
        <w:jc w:val="both"/>
        <w:rPr>
          <w:rFonts w:ascii="Verdana" w:hAnsi="Verdana"/>
        </w:rPr>
      </w:pPr>
      <w:r w:rsidRPr="005B5CB6">
        <w:rPr>
          <w:rFonts w:ascii="Verdana" w:hAnsi="Verdana"/>
        </w:rPr>
        <w:t>A 2019</w:t>
      </w:r>
      <w:r>
        <w:fldChar w:fldCharType="begin"/>
      </w:r>
      <w:r>
        <w:instrText xml:space="preserve"> HYPERLINK "https://publications.parliament.uk/pa/cm201719/cmselect/cmcumeds/2184/2184.pdf" </w:instrText>
      </w:r>
      <w:r>
        <w:fldChar w:fldCharType="separate"/>
      </w:r>
      <w:r w:rsidRPr="005B5CB6">
        <w:rPr>
          <w:rFonts w:ascii="Verdana" w:hAnsi="Verdana"/>
        </w:rPr>
        <w:t xml:space="preserve"> </w:t>
      </w:r>
      <w:r>
        <w:fldChar w:fldCharType="end"/>
      </w:r>
      <w:r>
        <w:fldChar w:fldCharType="begin"/>
      </w:r>
      <w:r>
        <w:instrText xml:space="preserve"> HYPERLINK "https://publications.parliament.uk/pa/cm201719/cmselect/cmcumeds/2184/2184.pdf" </w:instrText>
      </w:r>
      <w:r>
        <w:fldChar w:fldCharType="separate"/>
      </w:r>
      <w:r w:rsidRPr="005B5CB6">
        <w:rPr>
          <w:rFonts w:ascii="Verdana" w:hAnsi="Verdana"/>
          <w:u w:val="single" w:color="000000"/>
        </w:rPr>
        <w:t>report</w:t>
      </w:r>
      <w:r>
        <w:fldChar w:fldCharType="end"/>
      </w:r>
      <w:r>
        <w:fldChar w:fldCharType="begin"/>
      </w:r>
      <w:r>
        <w:instrText xml:space="preserve"> HYPERLINK "https://publications.parliament.uk/pa/cm201719/cmselect/cmcumeds/2184/2184.pdf" </w:instrText>
      </w:r>
      <w:r>
        <w:fldChar w:fldCharType="separate"/>
      </w:r>
      <w:r w:rsidRPr="005B5CB6">
        <w:rPr>
          <w:rFonts w:ascii="Verdana" w:hAnsi="Verdana"/>
        </w:rPr>
        <w:t xml:space="preserve"> </w:t>
      </w:r>
      <w:r>
        <w:fldChar w:fldCharType="end"/>
      </w:r>
      <w:r w:rsidRPr="005B5CB6">
        <w:rPr>
          <w:rFonts w:ascii="Verdana" w:hAnsi="Verdana"/>
        </w:rPr>
        <w:t xml:space="preserve">by the DCMS Select Committee called for digital literacy to be the “fourth pillar of education alongside reading, writing and maths,” but the Government rejected the recommendation, responding that “digital literacy is already taught across the national school curriculum”. This is not the case. Our experience reflects the recent </w:t>
      </w:r>
      <w:r>
        <w:fldChar w:fldCharType="begin"/>
      </w:r>
      <w:r>
        <w:instrText xml:space="preserve"> HYPERLINK "https://literacytrust.org.uk/news/only-2-uk-children-have-critical-literacy-skills-they-need-tell-if-news-real-or-fake/" </w:instrText>
      </w:r>
      <w:r>
        <w:fldChar w:fldCharType="separate"/>
      </w:r>
      <w:r w:rsidRPr="005B5CB6">
        <w:rPr>
          <w:rFonts w:ascii="Verdana" w:hAnsi="Verdana"/>
          <w:color w:val="0563C1"/>
          <w:u w:val="single" w:color="0563C1"/>
        </w:rPr>
        <w:t>report</w:t>
      </w:r>
      <w:r>
        <w:fldChar w:fldCharType="end"/>
      </w:r>
      <w:r>
        <w:fldChar w:fldCharType="begin"/>
      </w:r>
      <w:r>
        <w:instrText xml:space="preserve"> HYPERLINK "https://literacytrust.org.uk/news/only-2-uk-children-have-critical-literacy-skills-they-need-tell-if-news-real-or-fake/" </w:instrText>
      </w:r>
      <w:r>
        <w:fldChar w:fldCharType="separate"/>
      </w:r>
      <w:r w:rsidRPr="005B5CB6">
        <w:rPr>
          <w:rFonts w:ascii="Verdana" w:hAnsi="Verdana"/>
        </w:rPr>
        <w:t xml:space="preserve"> </w:t>
      </w:r>
      <w:r>
        <w:fldChar w:fldCharType="end"/>
      </w:r>
      <w:r w:rsidRPr="005B5CB6">
        <w:rPr>
          <w:rFonts w:ascii="Verdana" w:hAnsi="Verdana"/>
        </w:rPr>
        <w:t xml:space="preserve">from the National Literacy Trust which found that only 2% of children and young people in the UK have the critical literacy skills to tell if a news story is real or fake and findings from Ofcom and which indicate that although young people are often seen as “digital natives”, in fact they lack the skills and knowledge to tell the difference between fact and fiction online, or discern reliable from misleading sources.  </w:t>
      </w:r>
    </w:p>
    <w:p w:rsidR="00FB0B24" w:rsidRPr="005B5CB6" w:rsidP="00575F14">
      <w:pPr>
        <w:numPr>
          <w:ilvl w:val="0"/>
          <w:numId w:val="91"/>
        </w:numPr>
        <w:spacing w:after="271" w:line="250" w:lineRule="auto"/>
        <w:ind w:hanging="360"/>
        <w:jc w:val="both"/>
        <w:rPr>
          <w:rFonts w:ascii="Verdana" w:hAnsi="Verdana"/>
        </w:rPr>
      </w:pPr>
      <w:r w:rsidRPr="005B5CB6">
        <w:rPr>
          <w:rFonts w:ascii="Verdana" w:hAnsi="Verdana"/>
        </w:rPr>
        <w:t>Although the internet is a primary source of information for most children and young people (more than half of 12-15s rely on Google, YouTube or social media for ‘true or accurate’ news about serious things going on in the world [</w:t>
      </w:r>
      <w:r>
        <w:fldChar w:fldCharType="begin"/>
      </w:r>
      <w:r>
        <w:instrText xml:space="preserve"> HYPERLINK "https://www.ofcom.org.uk/research-and-data/media-literacy-research/childrens/children-and-parents-media-use-and-attitudes-report-2018" </w:instrText>
      </w:r>
      <w:r>
        <w:fldChar w:fldCharType="separate"/>
      </w:r>
      <w:r w:rsidRPr="005B5CB6">
        <w:rPr>
          <w:rFonts w:ascii="Verdana" w:hAnsi="Verdana"/>
          <w:color w:val="0563C1"/>
          <w:u w:val="single" w:color="0563C1"/>
        </w:rPr>
        <w:t>Ofcom</w:t>
      </w:r>
      <w:r>
        <w:fldChar w:fldCharType="end"/>
      </w:r>
      <w:r>
        <w:fldChar w:fldCharType="begin"/>
      </w:r>
      <w:r>
        <w:instrText xml:space="preserve"> HYPERLINK "https://www.ofcom.org.uk/research-and-data/media-literacy-research/childrens/children-and-parents-media-use-and-attitudes-report-2018" </w:instrText>
      </w:r>
      <w:r>
        <w:fldChar w:fldCharType="separate"/>
      </w:r>
      <w:r w:rsidRPr="005B5CB6">
        <w:rPr>
          <w:rFonts w:ascii="Verdana" w:hAnsi="Verdana"/>
        </w:rPr>
        <w:t>]</w:t>
      </w:r>
      <w:r>
        <w:fldChar w:fldCharType="end"/>
      </w:r>
      <w:r w:rsidRPr="005B5CB6">
        <w:rPr>
          <w:rFonts w:ascii="Verdana" w:hAnsi="Verdana"/>
        </w:rPr>
        <w:t xml:space="preserve">), many children and young lack a even a basic understanding of the trustworthiness of the platforms they use. For example, most don’t recognise that google doesn’t fact-check the websites it lists, or that YouTube doesn’t remove factually incorrect videos. They don’t know how the algorithms that serve them information when they search online or use social media contribute to misinformation and have little or no understanding of how their behavioural data can be used for highly targeted advertising or propaganda. </w:t>
      </w:r>
    </w:p>
    <w:p w:rsidR="00FB0B24" w:rsidRPr="005B5CB6" w:rsidP="001512F6">
      <w:pPr>
        <w:spacing w:after="0"/>
        <w:jc w:val="both"/>
        <w:rPr>
          <w:rFonts w:ascii="Verdana" w:hAnsi="Verdana"/>
        </w:rPr>
      </w:pPr>
      <w:r w:rsidRPr="005B5CB6">
        <w:rPr>
          <w:rFonts w:ascii="Verdana" w:hAnsi="Verdana"/>
        </w:rPr>
        <w:t xml:space="preserve"> </w:t>
      </w:r>
    </w:p>
    <w:p w:rsidR="00FB0B24" w:rsidRPr="005B5CB6" w:rsidP="00575F14">
      <w:pPr>
        <w:numPr>
          <w:ilvl w:val="0"/>
          <w:numId w:val="91"/>
        </w:numPr>
        <w:spacing w:after="5" w:line="250" w:lineRule="auto"/>
        <w:ind w:hanging="360"/>
        <w:jc w:val="both"/>
        <w:rPr>
          <w:rFonts w:ascii="Verdana" w:hAnsi="Verdana"/>
        </w:rPr>
      </w:pPr>
      <w:r w:rsidRPr="005B5CB6">
        <w:rPr>
          <w:rFonts w:ascii="Verdana" w:hAnsi="Verdana"/>
        </w:rPr>
        <w:t xml:space="preserve">These are some of the comments we’ve heard in our research conversations:  </w:t>
      </w:r>
    </w:p>
    <w:p w:rsidR="00FB0B24" w:rsidRPr="005B5CB6" w:rsidP="001512F6">
      <w:pPr>
        <w:spacing w:after="0"/>
        <w:jc w:val="both"/>
        <w:rPr>
          <w:rFonts w:ascii="Verdana" w:hAnsi="Verdana"/>
        </w:rPr>
      </w:pPr>
      <w:r w:rsidRPr="005B5CB6">
        <w:rPr>
          <w:rFonts w:ascii="Verdana" w:hAnsi="Verdana"/>
        </w:rPr>
        <w:t xml:space="preserve"> </w:t>
      </w:r>
    </w:p>
    <w:p w:rsidR="00FB0B24" w:rsidRPr="005B5CB6" w:rsidP="001512F6">
      <w:pPr>
        <w:spacing w:after="5" w:line="250" w:lineRule="auto"/>
        <w:ind w:left="-5" w:hanging="10"/>
        <w:jc w:val="both"/>
        <w:rPr>
          <w:rFonts w:ascii="Verdana" w:hAnsi="Verdana"/>
        </w:rPr>
      </w:pPr>
      <w:r w:rsidRPr="005B5CB6">
        <w:rPr>
          <w:rFonts w:ascii="Verdana" w:hAnsi="Verdana"/>
        </w:rPr>
        <w:t xml:space="preserve">“Students usually think that everything they see online is real.” (Head of ICT, Secondary School, Greater Manchester) </w:t>
      </w:r>
    </w:p>
    <w:p w:rsidR="00FB0B24" w:rsidRPr="005B5CB6" w:rsidP="001512F6">
      <w:pPr>
        <w:spacing w:after="0"/>
        <w:jc w:val="both"/>
        <w:rPr>
          <w:rFonts w:ascii="Verdana" w:hAnsi="Verdana"/>
        </w:rPr>
      </w:pPr>
      <w:r w:rsidRPr="005B5CB6">
        <w:rPr>
          <w:rFonts w:ascii="Verdana" w:hAnsi="Verdana"/>
        </w:rPr>
        <w:t xml:space="preserve"> </w:t>
      </w:r>
    </w:p>
    <w:p w:rsidR="00FB0B24" w:rsidRPr="005B5CB6" w:rsidP="001512F6">
      <w:pPr>
        <w:spacing w:after="5" w:line="250" w:lineRule="auto"/>
        <w:ind w:left="-5" w:hanging="10"/>
        <w:jc w:val="both"/>
        <w:rPr>
          <w:rFonts w:ascii="Verdana" w:hAnsi="Verdana"/>
        </w:rPr>
      </w:pPr>
      <w:r w:rsidRPr="005B5CB6">
        <w:rPr>
          <w:rFonts w:ascii="Verdana" w:hAnsi="Verdana"/>
        </w:rPr>
        <w:t xml:space="preserve">“Conspiracy theories are a real problem. Some of my students genuinely think that the earth could be flat.” (Head of Maths, Secondary School, Buckinghamshire) </w:t>
      </w:r>
    </w:p>
    <w:p w:rsidR="00FB0B24" w:rsidRPr="005B5CB6" w:rsidP="001512F6">
      <w:pPr>
        <w:spacing w:after="0"/>
        <w:jc w:val="both"/>
        <w:rPr>
          <w:rFonts w:ascii="Verdana" w:hAnsi="Verdana"/>
        </w:rPr>
      </w:pPr>
      <w:r w:rsidRPr="005B5CB6">
        <w:rPr>
          <w:rFonts w:ascii="Verdana" w:hAnsi="Verdana"/>
        </w:rPr>
        <w:t xml:space="preserve"> </w:t>
      </w:r>
    </w:p>
    <w:p w:rsidR="00FB0B24" w:rsidRPr="005B5CB6" w:rsidP="001512F6">
      <w:pPr>
        <w:spacing w:after="271" w:line="250" w:lineRule="auto"/>
        <w:ind w:left="-5" w:hanging="10"/>
        <w:jc w:val="both"/>
        <w:rPr>
          <w:rFonts w:ascii="Verdana" w:hAnsi="Verdana"/>
        </w:rPr>
      </w:pPr>
      <w:r w:rsidRPr="005B5CB6">
        <w:rPr>
          <w:rFonts w:ascii="Verdana" w:hAnsi="Verdana"/>
        </w:rPr>
        <w:t xml:space="preserve">“Too many students ‘swallow information as fact’, copying and pasting from the internet without questioning it or being aware that it might not be accurate.” (Head of Biology, Secondary School, Stockport) </w:t>
      </w:r>
    </w:p>
    <w:p w:rsidR="00FB0B24" w:rsidRPr="005B5CB6" w:rsidP="00575F14">
      <w:pPr>
        <w:numPr>
          <w:ilvl w:val="0"/>
          <w:numId w:val="91"/>
        </w:numPr>
        <w:spacing w:after="5" w:line="250" w:lineRule="auto"/>
        <w:ind w:hanging="360"/>
        <w:jc w:val="both"/>
        <w:rPr>
          <w:rFonts w:ascii="Verdana" w:hAnsi="Verdana"/>
        </w:rPr>
      </w:pPr>
      <w:r w:rsidRPr="005B5CB6">
        <w:rPr>
          <w:rFonts w:ascii="Verdana" w:hAnsi="Verdana"/>
        </w:rPr>
        <w:t xml:space="preserve">Recognising misinformation can be very difficult – even professional fact-checkers admit they make mistakes. There is a lack of evidence on whether school teachers know how to spot misinformation themselves, however most parents and teachers we speak to admit they feel inadequately experienced and/or skilled to guide children and young people – who have the world’s information (and misinformation) at their fingertips.  </w:t>
      </w:r>
    </w:p>
    <w:p w:rsidR="00FB0B24" w:rsidRPr="005B5CB6" w:rsidP="00575F14">
      <w:pPr>
        <w:numPr>
          <w:ilvl w:val="0"/>
          <w:numId w:val="91"/>
        </w:numPr>
        <w:spacing w:after="5" w:line="250" w:lineRule="auto"/>
        <w:ind w:hanging="360"/>
        <w:jc w:val="both"/>
        <w:rPr>
          <w:rFonts w:ascii="Verdana" w:hAnsi="Verdana"/>
        </w:rPr>
      </w:pPr>
      <w:r w:rsidRPr="005B5CB6">
        <w:rPr>
          <w:rFonts w:ascii="Verdana" w:hAnsi="Verdana"/>
        </w:rPr>
        <w:t xml:space="preserve">Many teachers we work with feel outdated and poorly-supported to teach this complex and constantly evolving subject – often tending towards an ‘avoidance’ strategy when it comes to digital information. Teachers regularly tell us they - or the school - ban or restrict access to the internet and recommend that young people refer instead to reference books for school work. This approach is failing children and young people who inevitably access their information – be it about schoolwork, health, news or celebrity gossip – via digital sources. Most of the technologies (hardware and software) they access on a daily basis via their personal devices are absent (or blacklisted) from classrooms. Consequently students are failing to learn how to consume digital content with a critical eye, or how to evaluate information using the internet. Meanwhile, their news and social feeds fill up with questionable content. </w:t>
      </w:r>
    </w:p>
    <w:p w:rsidR="00FB0B24" w:rsidRPr="005B5CB6" w:rsidP="00575F14">
      <w:pPr>
        <w:numPr>
          <w:ilvl w:val="0"/>
          <w:numId w:val="91"/>
        </w:numPr>
        <w:spacing w:after="5" w:line="250" w:lineRule="auto"/>
        <w:ind w:hanging="360"/>
        <w:jc w:val="both"/>
        <w:rPr>
          <w:rFonts w:ascii="Verdana" w:hAnsi="Verdana"/>
        </w:rPr>
      </w:pPr>
      <w:r w:rsidRPr="005B5CB6">
        <w:rPr>
          <w:rFonts w:ascii="Verdana" w:hAnsi="Verdana"/>
        </w:rPr>
        <w:t xml:space="preserve">Without knowledge of reliable online sources, effective strategies to locate trustworthy information, critical literacy and fact-checking skills, young people are unable to critically evaluate the materials they are exposed to, leaving them vulnerable to misleading and potentially harmful false information. Disadvantaged young people are particularly vulnerable because they are less likely to have access to digital technology, or to receive useful guidance or support at home. (Source: </w:t>
      </w:r>
      <w:r>
        <w:fldChar w:fldCharType="begin"/>
      </w:r>
      <w:r>
        <w:instrText xml:space="preserve"> HYPERLINK "https://www.princes-trust.org.uk/about-the-trust/research-policies-reports/slipping-through-the-net" </w:instrText>
      </w:r>
      <w:r>
        <w:fldChar w:fldCharType="separate"/>
      </w:r>
      <w:r w:rsidRPr="005B5CB6">
        <w:rPr>
          <w:rFonts w:ascii="Verdana" w:hAnsi="Verdana"/>
          <w:color w:val="0563C1"/>
          <w:u w:val="single" w:color="0563C1"/>
        </w:rPr>
        <w:t>The Princes Trust</w:t>
      </w:r>
      <w:r>
        <w:fldChar w:fldCharType="end"/>
      </w:r>
      <w:r>
        <w:fldChar w:fldCharType="begin"/>
      </w:r>
      <w:r>
        <w:instrText xml:space="preserve"> HYPERLINK "https://www.princes-trust.org.uk/about-the-trust/research-policies-reports/slipping-through-the-net" </w:instrText>
      </w:r>
      <w:r>
        <w:fldChar w:fldCharType="separate"/>
      </w:r>
      <w:r w:rsidRPr="005B5CB6">
        <w:rPr>
          <w:rFonts w:ascii="Verdana" w:hAnsi="Verdana"/>
        </w:rPr>
        <w:t>)</w:t>
      </w:r>
      <w:r>
        <w:fldChar w:fldCharType="end"/>
      </w:r>
      <w:r w:rsidRPr="005B5CB6">
        <w:rPr>
          <w:rFonts w:ascii="Verdana" w:hAnsi="Verdana"/>
        </w:rPr>
        <w:t xml:space="preserve">. Those with poor literacy skills are especially vulnerable to online misinformation, being more likely to rely on video (YouTube in particular) as their primary information source. </w:t>
      </w:r>
    </w:p>
    <w:p w:rsidR="00FB0B24" w:rsidRPr="005B5CB6" w:rsidP="00575F14">
      <w:pPr>
        <w:numPr>
          <w:ilvl w:val="0"/>
          <w:numId w:val="91"/>
        </w:numPr>
        <w:spacing w:after="5" w:line="250" w:lineRule="auto"/>
        <w:ind w:hanging="360"/>
        <w:jc w:val="both"/>
        <w:rPr>
          <w:rFonts w:ascii="Verdana" w:hAnsi="Verdana"/>
        </w:rPr>
      </w:pPr>
      <w:r w:rsidRPr="005B5CB6">
        <w:rPr>
          <w:rFonts w:ascii="Verdana" w:hAnsi="Verdana"/>
        </w:rPr>
        <w:t xml:space="preserve">People of all ages need to know how to be discerning consumers of digital information. As our society becomes increasingly divided, more work needs to be done to educate people to recognise misleading media and to encourage people to explore different sides of the same story, including those with different values or political leanings to their own. </w:t>
      </w:r>
    </w:p>
    <w:p w:rsidR="00FB0B24" w:rsidRPr="005B5CB6" w:rsidP="00575F14">
      <w:pPr>
        <w:numPr>
          <w:ilvl w:val="0"/>
          <w:numId w:val="91"/>
        </w:numPr>
        <w:spacing w:after="5" w:line="250" w:lineRule="auto"/>
        <w:ind w:hanging="360"/>
        <w:jc w:val="both"/>
        <w:rPr>
          <w:rFonts w:ascii="Verdana" w:hAnsi="Verdana"/>
        </w:rPr>
      </w:pPr>
      <w:r w:rsidRPr="005B5CB6">
        <w:rPr>
          <w:rFonts w:ascii="Verdana" w:hAnsi="Verdana"/>
        </w:rPr>
        <w:t xml:space="preserve">Digital information literacy is fundamental to how children and young people find out about and make sense of the world – from how to spot a hoax, to who to vote for. It informs our understanding of history, science, politics, current affairs, local and global issues. Digital information literacy is essential for an informed electorate, a functioning democracy, and – increasingly - a cohesive and tolerant society.  It urgently needs to be embedded into our curriculum as a core learning skill. It is no longer an optional extra. </w:t>
      </w:r>
    </w:p>
    <w:p w:rsidR="00FB0B24" w:rsidRPr="005B5CB6" w:rsidP="001512F6">
      <w:pPr>
        <w:spacing w:after="0"/>
        <w:ind w:left="360"/>
        <w:jc w:val="both"/>
        <w:rPr>
          <w:rFonts w:ascii="Verdana" w:hAnsi="Verdana"/>
        </w:rPr>
      </w:pPr>
      <w:r w:rsidRPr="005B5CB6">
        <w:rPr>
          <w:rFonts w:ascii="Verdana" w:hAnsi="Verdana"/>
        </w:rPr>
        <w:t xml:space="preserve"> </w:t>
      </w:r>
    </w:p>
    <w:p w:rsidR="00FB0B24" w:rsidRPr="005B5CB6" w:rsidP="00575F14">
      <w:pPr>
        <w:numPr>
          <w:ilvl w:val="0"/>
          <w:numId w:val="91"/>
        </w:numPr>
        <w:spacing w:after="12" w:line="250" w:lineRule="auto"/>
        <w:ind w:hanging="360"/>
        <w:jc w:val="both"/>
        <w:rPr>
          <w:rFonts w:ascii="Verdana" w:hAnsi="Verdana"/>
        </w:rPr>
      </w:pPr>
      <w:r w:rsidRPr="005B5CB6">
        <w:rPr>
          <w:rFonts w:ascii="Verdana" w:hAnsi="Verdana"/>
          <w:b/>
        </w:rPr>
        <w:t xml:space="preserve">Specific recommendations by key stage: </w:t>
      </w:r>
    </w:p>
    <w:p w:rsidR="00FB0B24" w:rsidRPr="005B5CB6" w:rsidP="001512F6">
      <w:pPr>
        <w:spacing w:after="12" w:line="250" w:lineRule="auto"/>
        <w:ind w:left="-5" w:hanging="10"/>
        <w:jc w:val="both"/>
        <w:rPr>
          <w:rFonts w:ascii="Verdana" w:hAnsi="Verdana"/>
        </w:rPr>
      </w:pPr>
      <w:r w:rsidRPr="005B5CB6">
        <w:rPr>
          <w:rFonts w:ascii="Verdana" w:hAnsi="Verdana"/>
          <w:b/>
        </w:rPr>
        <w:t xml:space="preserve">12.1  </w:t>
      </w:r>
    </w:p>
    <w:p w:rsidR="00FB0B24" w:rsidRPr="005B5CB6" w:rsidP="001512F6">
      <w:pPr>
        <w:spacing w:after="271" w:line="250" w:lineRule="auto"/>
        <w:ind w:left="-5" w:hanging="10"/>
        <w:jc w:val="both"/>
        <w:rPr>
          <w:rFonts w:ascii="Verdana" w:hAnsi="Verdana"/>
        </w:rPr>
      </w:pPr>
      <w:r w:rsidRPr="005B5CB6">
        <w:rPr>
          <w:rFonts w:ascii="Verdana" w:hAnsi="Verdana"/>
          <w:b/>
        </w:rPr>
        <w:t>Key Stage 1</w:t>
      </w:r>
      <w:r w:rsidRPr="005B5CB6">
        <w:rPr>
          <w:rFonts w:ascii="Verdana" w:hAnsi="Verdana"/>
        </w:rPr>
        <w:t xml:space="preserve"> Digital information literacy should be integrated into the classroom from an early age - many children access social media (especially YouTube) frequently at this age so their beliefs and world views will be shaped by what they see. (Other children witness their parents or siblings doing so and may infer from this that these are trustworthy sources.) </w:t>
      </w:r>
    </w:p>
    <w:p w:rsidR="00FB0B24" w:rsidRPr="005B5CB6" w:rsidP="001512F6">
      <w:pPr>
        <w:spacing w:after="271" w:line="250" w:lineRule="auto"/>
        <w:ind w:left="-5" w:hanging="10"/>
        <w:jc w:val="both"/>
        <w:rPr>
          <w:rFonts w:ascii="Verdana" w:hAnsi="Verdana"/>
        </w:rPr>
      </w:pPr>
      <w:r w:rsidRPr="005B5CB6">
        <w:rPr>
          <w:rFonts w:ascii="Verdana" w:hAnsi="Verdana"/>
        </w:rPr>
        <w:t xml:space="preserve">Children should be given a basic understanding of the fact-checking processes that major platforms they use (Google, YouTube, BBC) do (or don’t) carry out. They should be encouraged to check information they find online with trusted adults (teachers, parents, librarians). </w:t>
      </w:r>
    </w:p>
    <w:p w:rsidR="00FB0B24" w:rsidRPr="005B5CB6" w:rsidP="001512F6">
      <w:pPr>
        <w:spacing w:after="12" w:line="250" w:lineRule="auto"/>
        <w:ind w:left="-5" w:hanging="10"/>
        <w:jc w:val="both"/>
        <w:rPr>
          <w:rFonts w:ascii="Verdana" w:hAnsi="Verdana"/>
        </w:rPr>
      </w:pPr>
      <w:r w:rsidRPr="005B5CB6">
        <w:rPr>
          <w:rFonts w:ascii="Verdana" w:hAnsi="Verdana"/>
          <w:b/>
        </w:rPr>
        <w:t xml:space="preserve">12.2  </w:t>
      </w:r>
    </w:p>
    <w:p w:rsidR="00FB0B24" w:rsidRPr="005B5CB6" w:rsidP="001512F6">
      <w:pPr>
        <w:spacing w:after="271" w:line="250" w:lineRule="auto"/>
        <w:ind w:left="-5" w:hanging="10"/>
        <w:jc w:val="both"/>
        <w:rPr>
          <w:rFonts w:ascii="Verdana" w:hAnsi="Verdana"/>
        </w:rPr>
      </w:pPr>
      <w:r w:rsidRPr="005B5CB6">
        <w:rPr>
          <w:rFonts w:ascii="Verdana" w:hAnsi="Verdana"/>
          <w:b/>
        </w:rPr>
        <w:t xml:space="preserve">Key Stage 2 </w:t>
      </w:r>
      <w:r w:rsidRPr="005B5CB6">
        <w:rPr>
          <w:rFonts w:ascii="Verdana" w:hAnsi="Verdana"/>
        </w:rPr>
        <w:t>At this age, as children go online with increasing autonomy, the classroom can become an important space for discussing current events and how they are portrayed in the media. They should practise answering the question “how do you know?” and learn and practise basic verification techniques.</w:t>
      </w:r>
      <w:r w:rsidRPr="005B5CB6">
        <w:rPr>
          <w:rFonts w:ascii="Verdana" w:hAnsi="Verdana"/>
          <w:b/>
        </w:rPr>
        <w:t xml:space="preserve"> </w:t>
      </w:r>
    </w:p>
    <w:p w:rsidR="00FB0B24" w:rsidRPr="005B5CB6" w:rsidP="001512F6">
      <w:pPr>
        <w:spacing w:after="271" w:line="250" w:lineRule="auto"/>
        <w:ind w:left="-5" w:hanging="10"/>
        <w:jc w:val="both"/>
        <w:rPr>
          <w:rFonts w:ascii="Verdana" w:hAnsi="Verdana"/>
        </w:rPr>
      </w:pPr>
      <w:r w:rsidRPr="005B5CB6">
        <w:rPr>
          <w:rFonts w:ascii="Verdana" w:hAnsi="Verdana"/>
        </w:rPr>
        <w:t xml:space="preserve">This age group increasingly uses ‘search’ (search engines such as google) and ‘discovery’ (recommendation engines on their social media/news feeds) for entertainment and to find out about the world, so they should understand how algorithms determine what they see and how this can lead to them seeing factually incorrect materials.  </w:t>
      </w:r>
    </w:p>
    <w:p w:rsidR="00FB0B24" w:rsidRPr="005B5CB6" w:rsidP="001512F6">
      <w:pPr>
        <w:spacing w:after="271" w:line="250" w:lineRule="auto"/>
        <w:ind w:left="-5" w:hanging="10"/>
        <w:jc w:val="both"/>
        <w:rPr>
          <w:rFonts w:ascii="Verdana" w:hAnsi="Verdana"/>
        </w:rPr>
      </w:pPr>
      <w:r w:rsidRPr="005B5CB6">
        <w:rPr>
          <w:rFonts w:ascii="Verdana" w:hAnsi="Verdana"/>
          <w:noProof/>
        </w:rPr>
        <mc:AlternateContent>
          <mc:Choice Requires="wpg">
            <w:drawing>
              <wp:anchor distT="0" distB="0" distL="114300" distR="114300" simplePos="0" relativeHeight="251669504" behindDoc="0" locked="0" layoutInCell="1" allowOverlap="1">
                <wp:simplePos x="0" y="0"/>
                <wp:positionH relativeFrom="page">
                  <wp:posOffset>457200</wp:posOffset>
                </wp:positionH>
                <wp:positionV relativeFrom="page">
                  <wp:posOffset>9584436</wp:posOffset>
                </wp:positionV>
                <wp:extent cx="9144" cy="185927"/>
                <wp:effectExtent l="0" t="0" r="0" b="0"/>
                <wp:wrapSquare wrapText="bothSides"/>
                <wp:docPr id="536582" name="Group 536582"/>
                <wp:cNvGraphicFramePr/>
                <a:graphic xmlns:a="http://schemas.openxmlformats.org/drawingml/2006/main">
                  <a:graphicData uri="http://schemas.microsoft.com/office/word/2010/wordprocessingGroup">
                    <wpg:wgp xmlns:wpg="http://schemas.microsoft.com/office/word/2010/wordprocessingGroup">
                      <wpg:cNvGrpSpPr/>
                      <wpg:grpSpPr>
                        <a:xfrm>
                          <a:off x="0" y="0"/>
                          <a:ext cx="9144" cy="185927"/>
                          <a:chOff x="0" y="0"/>
                          <a:chExt cx="9144" cy="185927"/>
                        </a:xfrm>
                      </wpg:grpSpPr>
                      <wps:wsp xmlns:wps="http://schemas.microsoft.com/office/word/2010/wordprocessingShape">
                        <wps:cNvPr id="635767" name="Shape 635767"/>
                        <wps:cNvSpPr/>
                        <wps:spPr>
                          <a:xfrm>
                            <a:off x="0" y="0"/>
                            <a:ext cx="9144" cy="185927"/>
                          </a:xfrm>
                          <a:custGeom>
                            <a:avLst/>
                            <a:gdLst/>
                            <a:ahLst/>
                            <a:cxnLst/>
                            <a:rect l="0" t="0" r="0" b="0"/>
                            <a:pathLst>
                              <a:path w="9144" h="185927">
                                <a:moveTo>
                                  <a:pt x="0" y="0"/>
                                </a:moveTo>
                                <a:lnTo>
                                  <a:pt x="9144" y="0"/>
                                </a:lnTo>
                                <a:lnTo>
                                  <a:pt x="9144" y="185927"/>
                                </a:lnTo>
                                <a:lnTo>
                                  <a:pt x="0" y="18592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_x0000_s1169" style="height:14.64pt;margin-left:36pt;margin-top:754.68pt;mso-position-horizontal-relative:page;mso-position-vertical-relative:page;position:absolute;width:0.72pt;z-index:251662336" coordsize="91,1859">
                <v:shape id="_x0000_s1170" style="height:1859;position:absolute;width:91" coordsize="9144,185927" path="m,l9144,l9144,185927l,185927l,e">
                  <v:stroke joinstyle="miter" endcap="flat" opacity="0"/>
                </v:shape>
                <w10:wrap type="square"/>
              </v:group>
            </w:pict>
          </mc:Fallback>
        </mc:AlternateContent>
      </w:r>
      <w:r w:rsidRPr="005B5CB6">
        <w:rPr>
          <w:rFonts w:ascii="Verdana" w:hAnsi="Verdana"/>
        </w:rPr>
        <w:t xml:space="preserve">They should also learn how to recognise advertising online, including more covert forms of advertising such as influencer marketing and native advertising.  </w:t>
      </w:r>
    </w:p>
    <w:p w:rsidR="00FB0B24" w:rsidRPr="005B5CB6" w:rsidP="001512F6">
      <w:pPr>
        <w:spacing w:after="12" w:line="250" w:lineRule="auto"/>
        <w:ind w:left="-5" w:hanging="10"/>
        <w:jc w:val="both"/>
        <w:rPr>
          <w:rFonts w:ascii="Verdana" w:hAnsi="Verdana"/>
        </w:rPr>
      </w:pPr>
      <w:r w:rsidRPr="005B5CB6">
        <w:rPr>
          <w:rFonts w:ascii="Verdana" w:hAnsi="Verdana"/>
          <w:b/>
        </w:rPr>
        <w:t xml:space="preserve">12.3 </w:t>
      </w:r>
    </w:p>
    <w:p w:rsidR="00FB0B24" w:rsidRPr="005B5CB6" w:rsidP="001512F6">
      <w:pPr>
        <w:spacing w:after="271" w:line="250" w:lineRule="auto"/>
        <w:ind w:left="-5" w:hanging="10"/>
        <w:jc w:val="both"/>
        <w:rPr>
          <w:rFonts w:ascii="Verdana" w:hAnsi="Verdana"/>
        </w:rPr>
      </w:pPr>
      <w:r w:rsidRPr="005B5CB6">
        <w:rPr>
          <w:rFonts w:ascii="Verdana" w:hAnsi="Verdana"/>
          <w:b/>
        </w:rPr>
        <w:t xml:space="preserve">Key Stage 3 </w:t>
      </w:r>
      <w:r w:rsidRPr="005B5CB6">
        <w:rPr>
          <w:rFonts w:ascii="Verdana" w:hAnsi="Verdana"/>
        </w:rPr>
        <w:t>At this age, sharing news stories becomes social fuel and currency, so young people should be taught how to be discerning and responsible users, about their role in shaping the digital media landscape, and how to curate for themselves a balanced mix of credible media.</w:t>
      </w:r>
      <w:r w:rsidRPr="005B5CB6">
        <w:rPr>
          <w:rFonts w:ascii="Verdana" w:hAnsi="Verdana"/>
          <w:b/>
        </w:rPr>
        <w:t xml:space="preserve"> </w:t>
      </w:r>
    </w:p>
    <w:p w:rsidR="00FB0B24" w:rsidRPr="005B5CB6" w:rsidP="001512F6">
      <w:pPr>
        <w:spacing w:after="281" w:line="250" w:lineRule="auto"/>
        <w:ind w:left="-5" w:hanging="10"/>
        <w:jc w:val="both"/>
        <w:rPr>
          <w:rFonts w:ascii="Verdana" w:hAnsi="Verdana"/>
        </w:rPr>
      </w:pPr>
      <w:r w:rsidRPr="005B5CB6">
        <w:rPr>
          <w:rFonts w:ascii="Verdana" w:hAnsi="Verdana"/>
        </w:rPr>
        <w:t xml:space="preserve">They should learn: </w:t>
      </w:r>
    </w:p>
    <w:p w:rsidR="00FB0B24" w:rsidRPr="005B5CB6" w:rsidP="00575F14">
      <w:pPr>
        <w:numPr>
          <w:ilvl w:val="0"/>
          <w:numId w:val="92"/>
        </w:numPr>
        <w:spacing w:after="5" w:line="250" w:lineRule="auto"/>
        <w:ind w:hanging="360"/>
        <w:jc w:val="both"/>
        <w:rPr>
          <w:rFonts w:ascii="Verdana" w:hAnsi="Verdana"/>
        </w:rPr>
      </w:pPr>
      <w:r w:rsidRPr="005B5CB6">
        <w:rPr>
          <w:rFonts w:ascii="Verdana" w:hAnsi="Verdana"/>
        </w:rPr>
        <w:t xml:space="preserve">about different types of false information and the forms they take  </w:t>
      </w:r>
    </w:p>
    <w:p w:rsidR="00FB0B24" w:rsidRPr="005B5CB6" w:rsidP="00575F14">
      <w:pPr>
        <w:numPr>
          <w:ilvl w:val="0"/>
          <w:numId w:val="92"/>
        </w:numPr>
        <w:spacing w:after="5" w:line="250" w:lineRule="auto"/>
        <w:ind w:hanging="360"/>
        <w:jc w:val="both"/>
        <w:rPr>
          <w:rFonts w:ascii="Verdana" w:hAnsi="Verdana"/>
        </w:rPr>
      </w:pPr>
      <w:r w:rsidRPr="005B5CB6">
        <w:rPr>
          <w:rFonts w:ascii="Verdana" w:hAnsi="Verdana"/>
        </w:rPr>
        <w:t xml:space="preserve">how digital materials can be manipulated  </w:t>
      </w:r>
    </w:p>
    <w:p w:rsidR="00FB0B24" w:rsidRPr="005B5CB6" w:rsidP="00575F14">
      <w:pPr>
        <w:numPr>
          <w:ilvl w:val="0"/>
          <w:numId w:val="92"/>
        </w:numPr>
        <w:spacing w:after="5" w:line="250" w:lineRule="auto"/>
        <w:ind w:hanging="360"/>
        <w:jc w:val="both"/>
        <w:rPr>
          <w:rFonts w:ascii="Verdana" w:hAnsi="Verdana"/>
        </w:rPr>
      </w:pPr>
      <w:r w:rsidRPr="005B5CB6">
        <w:rPr>
          <w:rFonts w:ascii="Verdana" w:hAnsi="Verdana"/>
        </w:rPr>
        <w:t xml:space="preserve">practical digital verification techniques  </w:t>
      </w:r>
    </w:p>
    <w:p w:rsidR="00FB0B24" w:rsidRPr="005B5CB6" w:rsidP="00575F14">
      <w:pPr>
        <w:numPr>
          <w:ilvl w:val="0"/>
          <w:numId w:val="92"/>
        </w:numPr>
        <w:spacing w:after="5" w:line="250" w:lineRule="auto"/>
        <w:ind w:hanging="360"/>
        <w:jc w:val="both"/>
        <w:rPr>
          <w:rFonts w:ascii="Verdana" w:hAnsi="Verdana"/>
        </w:rPr>
      </w:pPr>
      <w:r w:rsidRPr="005B5CB6">
        <w:rPr>
          <w:rFonts w:ascii="Verdana" w:hAnsi="Verdana"/>
        </w:rPr>
        <w:t xml:space="preserve">how online advertising can be personalised and micro-targeted  </w:t>
      </w:r>
    </w:p>
    <w:p w:rsidR="00FB0B24" w:rsidRPr="005B5CB6" w:rsidP="00575F14">
      <w:pPr>
        <w:numPr>
          <w:ilvl w:val="0"/>
          <w:numId w:val="92"/>
        </w:numPr>
        <w:spacing w:after="5" w:line="250" w:lineRule="auto"/>
        <w:ind w:hanging="360"/>
        <w:jc w:val="both"/>
        <w:rPr>
          <w:rFonts w:ascii="Verdana" w:hAnsi="Verdana"/>
        </w:rPr>
      </w:pPr>
      <w:r w:rsidRPr="005B5CB6">
        <w:rPr>
          <w:rFonts w:ascii="Verdana" w:hAnsi="Verdana"/>
        </w:rPr>
        <w:t xml:space="preserve">about the economics behind the platforms they use, how this influences what they see online </w:t>
      </w:r>
      <w:r w:rsidRPr="005B5CB6">
        <w:rPr>
          <w:rFonts w:ascii="Verdana" w:hAnsi="Verdana"/>
          <w:b/>
        </w:rPr>
        <w:t xml:space="preserve"> </w:t>
      </w:r>
    </w:p>
    <w:p w:rsidR="00FB0B24" w:rsidRPr="005B5CB6" w:rsidP="00575F14">
      <w:pPr>
        <w:numPr>
          <w:ilvl w:val="0"/>
          <w:numId w:val="92"/>
        </w:numPr>
        <w:spacing w:after="268" w:line="250" w:lineRule="auto"/>
        <w:ind w:hanging="360"/>
        <w:jc w:val="both"/>
        <w:rPr>
          <w:rFonts w:ascii="Verdana" w:hAnsi="Verdana"/>
        </w:rPr>
      </w:pPr>
      <w:r w:rsidRPr="005B5CB6">
        <w:rPr>
          <w:rFonts w:ascii="Verdana" w:hAnsi="Verdana"/>
        </w:rPr>
        <w:t>effective online search skills</w:t>
      </w:r>
      <w:r w:rsidRPr="005B5CB6">
        <w:rPr>
          <w:rFonts w:ascii="Verdana" w:hAnsi="Verdana"/>
          <w:b/>
        </w:rPr>
        <w:t xml:space="preserve"> </w:t>
      </w:r>
    </w:p>
    <w:p w:rsidR="00FB0B24" w:rsidRPr="005B5CB6" w:rsidP="001512F6">
      <w:pPr>
        <w:spacing w:after="271" w:line="250" w:lineRule="auto"/>
        <w:ind w:left="-5" w:hanging="10"/>
        <w:jc w:val="both"/>
        <w:rPr>
          <w:rFonts w:ascii="Verdana" w:hAnsi="Verdana"/>
        </w:rPr>
      </w:pPr>
      <w:r w:rsidRPr="005B5CB6">
        <w:rPr>
          <w:rFonts w:ascii="Verdana" w:hAnsi="Verdana"/>
        </w:rPr>
        <w:t xml:space="preserve">They should build on the verification techniques learnt in KS2, be taught to think critically about the materials they see, and given opportunities to evaluate materials they access online. </w:t>
      </w:r>
    </w:p>
    <w:p w:rsidR="00FB0B24" w:rsidRPr="005B5CB6" w:rsidP="001512F6">
      <w:pPr>
        <w:spacing w:after="271" w:line="250" w:lineRule="auto"/>
        <w:ind w:left="-5" w:hanging="10"/>
        <w:jc w:val="both"/>
        <w:rPr>
          <w:rFonts w:ascii="Verdana" w:hAnsi="Verdana"/>
        </w:rPr>
      </w:pPr>
      <w:r w:rsidRPr="005B5CB6">
        <w:rPr>
          <w:rFonts w:ascii="Verdana" w:hAnsi="Verdana"/>
        </w:rPr>
        <w:t xml:space="preserve">They should be taught how and where to access a variety of balanced, credible information sources for current affairs and general understanding of the world as </w:t>
      </w:r>
      <w:r w:rsidRPr="005B5CB6">
        <w:rPr>
          <w:rFonts w:ascii="Verdana" w:hAnsi="Verdana"/>
        </w:rPr>
        <w:t>well as their schoolwork. By the end of KS3, students should have a knowledge of credible</w:t>
      </w:r>
      <w:r w:rsidRPr="005B5CB6">
        <w:rPr>
          <w:rFonts w:ascii="Verdana" w:hAnsi="Verdana"/>
          <w:color w:val="2E97D3"/>
          <w:u w:val="single" w:color="2E97D3"/>
        </w:rPr>
        <w:t xml:space="preserve"> </w:t>
      </w:r>
      <w:r w:rsidRPr="005B5CB6">
        <w:rPr>
          <w:rFonts w:ascii="Verdana" w:hAnsi="Verdana"/>
        </w:rPr>
        <w:t>online sources for current events, as well as key school subject areas and be regularly carrying out online research and provided with opportunities to reflect on their research practices.</w:t>
      </w:r>
      <w:r w:rsidRPr="005B5CB6">
        <w:rPr>
          <w:rFonts w:ascii="Verdana" w:hAnsi="Verdana"/>
          <w:color w:val="B5082E"/>
        </w:rPr>
        <w:t xml:space="preserve"> </w:t>
      </w:r>
    </w:p>
    <w:p w:rsidR="00FB0B24" w:rsidRPr="005B5CB6" w:rsidP="001512F6">
      <w:pPr>
        <w:spacing w:after="12" w:line="250" w:lineRule="auto"/>
        <w:ind w:left="-5" w:hanging="10"/>
        <w:jc w:val="both"/>
        <w:rPr>
          <w:rFonts w:ascii="Verdana" w:hAnsi="Verdana"/>
        </w:rPr>
      </w:pPr>
      <w:r w:rsidRPr="005B5CB6">
        <w:rPr>
          <w:rFonts w:ascii="Verdana" w:hAnsi="Verdana"/>
          <w:b/>
        </w:rPr>
        <w:t xml:space="preserve">12.4 </w:t>
      </w:r>
    </w:p>
    <w:p w:rsidR="00FB0B24" w:rsidRPr="005B5CB6" w:rsidP="001512F6">
      <w:pPr>
        <w:spacing w:after="271" w:line="250" w:lineRule="auto"/>
        <w:ind w:left="-5" w:hanging="10"/>
        <w:jc w:val="both"/>
        <w:rPr>
          <w:rFonts w:ascii="Verdana" w:hAnsi="Verdana"/>
        </w:rPr>
      </w:pPr>
      <w:r w:rsidRPr="005B5CB6">
        <w:rPr>
          <w:rFonts w:ascii="Verdana" w:hAnsi="Verdana"/>
          <w:b/>
        </w:rPr>
        <w:t>Key Stage 4 and 5</w:t>
      </w:r>
      <w:r w:rsidRPr="005B5CB6">
        <w:rPr>
          <w:rFonts w:ascii="Verdana" w:hAnsi="Verdana"/>
        </w:rPr>
        <w:t xml:space="preserve"> Young people – soon to become eligible to vote - should be prepared with the informational skills needed to assess the quality and credibility of online information. They need to be aware of strategies and tools used to manipulate people for political gain before they leave formal education: disinformation campaigns, microtargeting, dark posts, undisclosed ads, conspiracy theories, sockpuppets, like farms, computational propaganda, bots &amp; botnets, deepfakes etc. </w:t>
      </w:r>
    </w:p>
    <w:p w:rsidR="00FB0B24" w:rsidRPr="005B5CB6" w:rsidP="001512F6">
      <w:pPr>
        <w:spacing w:after="271" w:line="250" w:lineRule="auto"/>
        <w:ind w:left="-5" w:hanging="10"/>
        <w:jc w:val="both"/>
        <w:rPr>
          <w:rFonts w:ascii="Verdana" w:hAnsi="Verdana"/>
        </w:rPr>
      </w:pPr>
      <w:r w:rsidRPr="005B5CB6">
        <w:rPr>
          <w:rFonts w:ascii="Verdana" w:hAnsi="Verdana"/>
        </w:rPr>
        <w:t xml:space="preserve">They need to understand how the media can be twisted or manipulated to present a distorted version of the truth, how algorithms prioritise “extreme” content, and why extreme and divisive content is so prevalent online. </w:t>
      </w:r>
    </w:p>
    <w:p w:rsidR="00FB0B24" w:rsidRPr="005B5CB6" w:rsidP="001512F6">
      <w:pPr>
        <w:spacing w:after="271" w:line="250" w:lineRule="auto"/>
        <w:ind w:left="-5" w:hanging="10"/>
        <w:jc w:val="both"/>
        <w:rPr>
          <w:rFonts w:ascii="Verdana" w:hAnsi="Verdana"/>
        </w:rPr>
      </w:pPr>
      <w:r w:rsidRPr="005B5CB6">
        <w:rPr>
          <w:rFonts w:ascii="Verdana" w:hAnsi="Verdana"/>
          <w:noProof/>
        </w:rPr>
        <mc:AlternateContent>
          <mc:Choice Requires="wpg">
            <w:drawing>
              <wp:anchor distT="0" distB="0" distL="114300" distR="114300" simplePos="0" relativeHeight="251670528" behindDoc="0" locked="0" layoutInCell="1" allowOverlap="1">
                <wp:simplePos x="0" y="0"/>
                <wp:positionH relativeFrom="page">
                  <wp:posOffset>457200</wp:posOffset>
                </wp:positionH>
                <wp:positionV relativeFrom="page">
                  <wp:posOffset>1100341</wp:posOffset>
                </wp:positionV>
                <wp:extent cx="9144" cy="364224"/>
                <wp:effectExtent l="0" t="0" r="0" b="0"/>
                <wp:wrapSquare wrapText="bothSides"/>
                <wp:docPr id="536666" name="Group 536666"/>
                <wp:cNvGraphicFramePr/>
                <a:graphic xmlns:a="http://schemas.openxmlformats.org/drawingml/2006/main">
                  <a:graphicData uri="http://schemas.microsoft.com/office/word/2010/wordprocessingGroup">
                    <wpg:wgp xmlns:wpg="http://schemas.microsoft.com/office/word/2010/wordprocessingGroup">
                      <wpg:cNvGrpSpPr/>
                      <wpg:grpSpPr>
                        <a:xfrm>
                          <a:off x="0" y="0"/>
                          <a:ext cx="9144" cy="364224"/>
                          <a:chOff x="0" y="0"/>
                          <a:chExt cx="9144" cy="364224"/>
                        </a:xfrm>
                      </wpg:grpSpPr>
                      <wps:wsp xmlns:wps="http://schemas.microsoft.com/office/word/2010/wordprocessingShape">
                        <wps:cNvPr id="635769" name="Shape 635769"/>
                        <wps:cNvSpPr/>
                        <wps:spPr>
                          <a:xfrm>
                            <a:off x="0" y="0"/>
                            <a:ext cx="9144" cy="364224"/>
                          </a:xfrm>
                          <a:custGeom>
                            <a:avLst/>
                            <a:gdLst/>
                            <a:ahLst/>
                            <a:cxnLst/>
                            <a:rect l="0" t="0" r="0" b="0"/>
                            <a:pathLst>
                              <a:path w="9144" h="364224">
                                <a:moveTo>
                                  <a:pt x="0" y="0"/>
                                </a:moveTo>
                                <a:lnTo>
                                  <a:pt x="9144" y="0"/>
                                </a:lnTo>
                                <a:lnTo>
                                  <a:pt x="9144" y="364224"/>
                                </a:lnTo>
                                <a:lnTo>
                                  <a:pt x="0" y="3642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_x0000_s1171" style="height:28.68pt;margin-left:36pt;margin-top:86.64pt;mso-position-horizontal-relative:page;mso-position-vertical-relative:page;position:absolute;width:0.72pt;z-index:251663360" coordsize="91,3642">
                <v:shape id="_x0000_s1172" style="height:3642;position:absolute;width:91" coordsize="9144,364224" path="m,l9144,l9144,364224l,364224l,e">
                  <v:stroke joinstyle="miter" endcap="flat" opacity="0"/>
                </v:shape>
                <w10:wrap type="square"/>
              </v:group>
            </w:pict>
          </mc:Fallback>
        </mc:AlternateContent>
      </w:r>
      <w:r w:rsidRPr="005B5CB6">
        <w:rPr>
          <w:rFonts w:ascii="Verdana" w:hAnsi="Verdana"/>
        </w:rPr>
        <w:t xml:space="preserve">By this age, the majority of young people will have been exposed to hate speech online. They should learn how false information can spread hate, fear, manipulate emotions and sow division, and taught practical skills to critique, provide context and debunk false claims. </w:t>
      </w:r>
    </w:p>
    <w:p w:rsidR="00FB0B24" w:rsidRPr="005B5CB6" w:rsidP="001512F6">
      <w:pPr>
        <w:spacing w:after="271" w:line="250" w:lineRule="auto"/>
        <w:ind w:left="-5" w:hanging="10"/>
        <w:jc w:val="both"/>
        <w:rPr>
          <w:rFonts w:ascii="Verdana" w:hAnsi="Verdana"/>
        </w:rPr>
      </w:pPr>
      <w:r w:rsidRPr="005B5CB6">
        <w:rPr>
          <w:rFonts w:ascii="Verdana" w:hAnsi="Verdana"/>
        </w:rPr>
        <w:t xml:space="preserve">They should learn about the human motivations and susceptibilities that can fuel the spread of false information enabling them to gain insight into their own actions so they can avoid sharing misinformation themselves.  </w:t>
      </w:r>
    </w:p>
    <w:p w:rsidR="00FB0B24" w:rsidRPr="005B5CB6" w:rsidP="001512F6">
      <w:pPr>
        <w:spacing w:after="269" w:line="250" w:lineRule="auto"/>
        <w:ind w:left="-5" w:hanging="10"/>
        <w:jc w:val="both"/>
        <w:rPr>
          <w:rFonts w:ascii="Verdana" w:hAnsi="Verdana"/>
        </w:rPr>
      </w:pPr>
      <w:r w:rsidRPr="005B5CB6">
        <w:rPr>
          <w:rFonts w:ascii="Verdana" w:hAnsi="Verdana"/>
        </w:rPr>
        <w:t xml:space="preserve">Finally, they should be supported to find out how other users (peers, teachers) source, filter and sort their information and encouraged to reflect on the strategies they use to assess a source/story’s credibility. </w:t>
      </w:r>
    </w:p>
    <w:p w:rsidR="00FB0B24" w:rsidRPr="005B5CB6" w:rsidP="001512F6">
      <w:pPr>
        <w:spacing w:after="5" w:line="250" w:lineRule="auto"/>
        <w:ind w:left="-5" w:hanging="10"/>
        <w:jc w:val="both"/>
        <w:rPr>
          <w:rFonts w:ascii="Verdana" w:hAnsi="Verdana"/>
        </w:rPr>
      </w:pPr>
      <w:r w:rsidRPr="005B5CB6">
        <w:rPr>
          <w:rFonts w:ascii="Verdana" w:hAnsi="Verdana"/>
        </w:rPr>
        <w:t xml:space="preserve">Before they leave school, young people should understand the difference between nonpartisan, partisan and hyper-partisan media, and encouraged to seek out and compare sources from a variety of political viewpoints, countries and genres, including those that may have different political leanings to their own.  </w:t>
      </w:r>
    </w:p>
    <w:p w:rsidR="00FB0B24" w:rsidRPr="005B5CB6" w:rsidP="001512F6">
      <w:pPr>
        <w:jc w:val="both"/>
        <w:rPr>
          <w:rFonts w:ascii="Verdana" w:hAnsi="Verdana"/>
        </w:rPr>
        <w:sectPr w:rsidSect="00D804C9">
          <w:headerReference w:type="even" r:id="rId165"/>
          <w:headerReference w:type="default" r:id="rId166"/>
          <w:footerReference w:type="even" r:id="rId167"/>
          <w:footerReference w:type="default" r:id="rId168"/>
          <w:headerReference w:type="first" r:id="rId169"/>
          <w:footerReference w:type="first" r:id="rId170"/>
          <w:pgSz w:w="11899" w:h="16841"/>
          <w:pgMar w:top="1488" w:right="1441" w:bottom="1455" w:left="1440" w:header="720" w:footer="708" w:gutter="0"/>
          <w:cols w:space="720"/>
        </w:sectPr>
      </w:pPr>
    </w:p>
    <w:p w:rsidR="00FB0B24" w:rsidRPr="005B5CB6" w:rsidP="00A1624B">
      <w:pPr>
        <w:pStyle w:val="Heading1"/>
        <w:rPr>
          <w:sz w:val="22"/>
        </w:rPr>
      </w:pPr>
      <w:bookmarkStart w:id="29" w:name="_Toc44517717"/>
      <w:r w:rsidRPr="005B5CB6">
        <w:rPr>
          <w:sz w:val="22"/>
        </w:rPr>
        <w:t>HM Government – written evidence (DAD0034)</w:t>
      </w:r>
      <w:bookmarkEnd w:id="29"/>
      <w:r w:rsidRPr="005B5CB6">
        <w:rPr>
          <w:sz w:val="22"/>
        </w:rPr>
        <w:t xml:space="preserve">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26" w:line="250" w:lineRule="auto"/>
        <w:ind w:left="11" w:hanging="10"/>
        <w:jc w:val="both"/>
        <w:rPr>
          <w:rFonts w:ascii="Verdana" w:hAnsi="Verdana"/>
        </w:rPr>
      </w:pPr>
      <w:r w:rsidRPr="005B5CB6">
        <w:rPr>
          <w:rFonts w:ascii="Verdana" w:eastAsia="Verdana" w:hAnsi="Verdana" w:cs="Verdana"/>
          <w:b/>
        </w:rPr>
        <w:t xml:space="preserve">Introduction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Government welcomes this important inquiry into democracy and digital technology. The internet and other new technologies have driven dramatic improvements to our economy and society. Equally, open democracy and free speech are cornerstones of British values in which robust debate is fundamental, but threats and other forms of abuse are unacceptable and must not be tolerated. To date, we have not seen evidence of successful interference in UK democratic processes, including the 2016 EU Referendum. The Government takes any allegations of interference in UK democratic processes extremely seriously and remains vigilant against attempts to erode trust in our democratic processes and institutions. We will defend the UK from all forms of malign interference.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Government has set up a Defending Democracy programme to pull together existing work and expertise from a number of government departments. This sets out to </w:t>
      </w:r>
      <w:r w:rsidRPr="005B5CB6">
        <w:rPr>
          <w:rFonts w:ascii="Verdana" w:eastAsia="Verdana" w:hAnsi="Verdana" w:cs="Verdana"/>
          <w:b/>
        </w:rPr>
        <w:t xml:space="preserve">protect </w:t>
      </w:r>
      <w:r w:rsidRPr="005B5CB6">
        <w:rPr>
          <w:rFonts w:ascii="Verdana" w:eastAsia="Verdana" w:hAnsi="Verdana" w:cs="Verdana"/>
        </w:rPr>
        <w:t xml:space="preserve">and secure UK democratic processes, systems and institutions; </w:t>
      </w:r>
      <w:r w:rsidRPr="005B5CB6">
        <w:rPr>
          <w:rFonts w:ascii="Verdana" w:eastAsia="Verdana" w:hAnsi="Verdana" w:cs="Verdana"/>
          <w:b/>
        </w:rPr>
        <w:t xml:space="preserve">strengthen </w:t>
      </w:r>
      <w:r w:rsidRPr="005B5CB6">
        <w:rPr>
          <w:rFonts w:ascii="Verdana" w:eastAsia="Verdana" w:hAnsi="Verdana" w:cs="Verdana"/>
        </w:rPr>
        <w:t xml:space="preserve">the integrity of UK elections, encourage </w:t>
      </w:r>
      <w:r w:rsidRPr="005B5CB6">
        <w:rPr>
          <w:rFonts w:ascii="Verdana" w:eastAsia="Verdana" w:hAnsi="Verdana" w:cs="Verdana"/>
          <w:b/>
        </w:rPr>
        <w:t xml:space="preserve">respect </w:t>
      </w:r>
      <w:r w:rsidRPr="005B5CB6">
        <w:rPr>
          <w:rFonts w:ascii="Verdana" w:eastAsia="Verdana" w:hAnsi="Verdana" w:cs="Verdana"/>
        </w:rPr>
        <w:t xml:space="preserve">for open, fair and safe democratic participation; and </w:t>
      </w:r>
      <w:r w:rsidRPr="005B5CB6">
        <w:rPr>
          <w:rFonts w:ascii="Verdana" w:eastAsia="Verdana" w:hAnsi="Verdana" w:cs="Verdana"/>
          <w:b/>
        </w:rPr>
        <w:t xml:space="preserve">promote </w:t>
      </w:r>
      <w:r w:rsidRPr="005B5CB6">
        <w:rPr>
          <w:rFonts w:ascii="Verdana" w:eastAsia="Verdana" w:hAnsi="Verdana" w:cs="Verdana"/>
        </w:rPr>
        <w:t xml:space="preserve">fact-based and open discourse, including online.  </w:t>
      </w:r>
    </w:p>
    <w:p w:rsidR="00FB0B24" w:rsidRPr="005B5CB6" w:rsidP="001512F6">
      <w:pPr>
        <w:spacing w:after="17"/>
        <w:ind w:left="1"/>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In April this year, the Government published the Online Harms White Paper. The Government will set out measures to protect against illegal harms and improve users’ online safety - and especially the safety of children.  We believe our proposals can lead towards a new, global approach for online safety that supports our democratic values, including freedom of speech, and promote a free, open and secure internet. </w:t>
      </w:r>
    </w:p>
    <w:p w:rsidR="00FB0B24" w:rsidRPr="005B5CB6" w:rsidP="001512F6">
      <w:pPr>
        <w:spacing w:after="17"/>
        <w:ind w:left="1"/>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The Government is also taking action to help people attain the digital skills needed to fully participate and thrive in an increasingly digital world. This includes introducing digital literacy as a core part of the national curriculum and publishing a media literacy strategy, which includes measures to ensure users are more able to deal with mis- and disinformation. This will be published in the new year. </w:t>
      </w:r>
    </w:p>
    <w:p w:rsidR="00FB0B24" w:rsidRPr="005B5CB6" w:rsidP="001512F6">
      <w:pPr>
        <w:spacing w:after="17"/>
        <w:ind w:left="1"/>
        <w:jc w:val="both"/>
        <w:rPr>
          <w:rFonts w:ascii="Verdana" w:hAnsi="Verdana"/>
        </w:rPr>
      </w:pPr>
      <w:r w:rsidRPr="005B5CB6">
        <w:rPr>
          <w:rFonts w:ascii="Verdana" w:eastAsia="Verdana" w:hAnsi="Verdana" w:cs="Verdana"/>
          <w:b/>
        </w:rPr>
        <w:t xml:space="preserve"> </w:t>
      </w:r>
    </w:p>
    <w:p w:rsidR="00FB0B24" w:rsidRPr="005B5CB6" w:rsidP="001512F6">
      <w:pPr>
        <w:spacing w:after="17"/>
        <w:ind w:left="1"/>
        <w:jc w:val="both"/>
        <w:rPr>
          <w:rFonts w:ascii="Verdana" w:hAnsi="Verdana"/>
        </w:rPr>
      </w:pPr>
      <w:r w:rsidRPr="005B5CB6">
        <w:rPr>
          <w:rFonts w:ascii="Verdana" w:eastAsia="Verdana" w:hAnsi="Verdana" w:cs="Verdana"/>
          <w:b/>
        </w:rPr>
        <w:t xml:space="preserve"> </w:t>
      </w:r>
    </w:p>
    <w:p w:rsidR="00FB0B24" w:rsidRPr="005B5CB6" w:rsidP="001512F6">
      <w:pPr>
        <w:spacing w:after="26" w:line="250" w:lineRule="auto"/>
        <w:ind w:left="11" w:hanging="10"/>
        <w:jc w:val="both"/>
        <w:rPr>
          <w:rFonts w:ascii="Verdana" w:hAnsi="Verdana"/>
        </w:rPr>
      </w:pPr>
      <w:r w:rsidRPr="005B5CB6">
        <w:rPr>
          <w:rFonts w:ascii="Verdana" w:eastAsia="Verdana" w:hAnsi="Verdana" w:cs="Verdana"/>
          <w:b/>
        </w:rPr>
        <w:t>General</w:t>
      </w: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1. How has digital technology changed the way that democracy works in the UK and has this been a net positive or negative effect? </w:t>
      </w:r>
      <w:r w:rsidRPr="005B5CB6">
        <w:rPr>
          <w:rFonts w:ascii="Verdana" w:eastAsia="Verdana" w:hAnsi="Verdana" w:cs="Verdana"/>
          <w:b/>
        </w:rPr>
        <w:t xml:space="preserve"> </w:t>
      </w:r>
    </w:p>
    <w:p w:rsidR="00FB0B24" w:rsidRPr="005B5CB6" w:rsidP="001512F6">
      <w:pPr>
        <w:spacing w:after="17"/>
        <w:ind w:left="1"/>
        <w:jc w:val="both"/>
        <w:rPr>
          <w:rFonts w:ascii="Verdana" w:hAnsi="Verdana"/>
        </w:rPr>
      </w:pPr>
      <w:r w:rsidRPr="005B5CB6">
        <w:rPr>
          <w:rFonts w:ascii="Verdana" w:eastAsia="Verdana" w:hAnsi="Verdana" w:cs="Verdana"/>
          <w:b/>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internet is an enabler, allowing information to be more accessible, targeted, and travel faster and has had an overall positive effect in increasing engagement with democratic issues.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One of the major positives of an increasingly digital democratic landscape has been Individual Electoral Registration (IER). This was the main change introduced by the Electoral Registration and Administration Act 2013 and has proved to be a significant success. Introduced in June 2014, IER was designed to make </w:t>
      </w:r>
      <w:r w:rsidRPr="005B5CB6">
        <w:rPr>
          <w:rFonts w:ascii="Verdana" w:eastAsia="Verdana" w:hAnsi="Verdana" w:cs="Verdana"/>
        </w:rPr>
        <w:t xml:space="preserve">registering to vote easier, more secure and less open to fraud. Unlike the previous system, it means Government can prove electors are genuine, dramatically reducing the risk of electoral fraud. The Electoral Commission produced a number of reports on the implementation of IER. In particular, in July 2016, the Commission reported on the completeness and accuracy of the electoral registers in Great Britain, following the end of the transition to IER. The Commission found that the accuracy of the electoral registers had increased by 4%, from 87% to 91% since the introduction of IER.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Government’s Register to Vote Website has also proved to be a tremendous success and is considered an exemplar of public sector digital innovation. The IER Digital Service, which verifies both online and paper applications, has processed over 40 million applications to register to vote since June 2014, with over 75.8% of applications having been made online. User satisfaction rate with the online service is consistently over 90%.The effect of online registration has been transformative. For the 2017 General Election 93% of the 2.9 million applications submitted between the day the poll was announced and the registration deadline were made online. This resulted in a Parliamentary register of 46.8 million electors, the highest number we have seen.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However, we are aware that the advent of digital technology can have social consequences as well, bringing present challenges around transparency. Reports frequently use social media algorithms as an example of technology which has the potential to increase polarisation in public debate by only showing users content that aligns with their existing beliefs. The anonymity of social media is often also partially blamed for an increase in abuse online. Government recognises that it is vital to keep pace with rapid technological change to ensure that electoral law and our capabilities are fit for the digital age.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2. How have the design of algorithms used by social media platforms shaped democratic debate? To what extent should there be greater accountability for the design of these algorithms? </w:t>
      </w: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26" w:line="249" w:lineRule="auto"/>
        <w:ind w:left="10" w:hanging="10"/>
        <w:jc w:val="both"/>
        <w:rPr>
          <w:rFonts w:ascii="Verdana" w:hAnsi="Verdana"/>
        </w:rPr>
      </w:pPr>
      <w:r w:rsidRPr="005B5CB6">
        <w:rPr>
          <w:rFonts w:ascii="Verdana" w:eastAsia="Verdana" w:hAnsi="Verdana" w:cs="Verdana"/>
          <w:i/>
        </w:rPr>
        <w:t xml:space="preserve">Online Harms White Paper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As acknowledged in the Online Harms White Paper, social media platforms use algorithms which can lead to ‘echo chambers’ or ‘filter bubbles’ where a user is presented with only one type of content instead of seeing a range of voices and opinions. This can promote disinformation by ensuring that users do not see rebuttals or other sources that may disagree and can lead to a story being perceived as far more widely believed than it really is.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Though there is no evidence to suggest that social media algorithms have interfered in the outcome of UK democratic processes, the role of social media algorithms in disinformation is of concern to Government and we are exploring ways to address the issue of algorithms driving users to content that distorts the information landscape.  One of the proposals is that of an independent regulator. The regulator could have powers to require information from platforms, which </w:t>
      </w:r>
      <w:r w:rsidRPr="005B5CB6">
        <w:rPr>
          <w:rFonts w:ascii="Verdana" w:eastAsia="Verdana" w:hAnsi="Verdana" w:cs="Verdana"/>
        </w:rPr>
        <w:t xml:space="preserve">could include information about the impact of algorithms in selecting content for users.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9"/>
        <w:jc w:val="both"/>
        <w:rPr>
          <w:rFonts w:ascii="Verdana" w:hAnsi="Verdana"/>
        </w:rPr>
      </w:pP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hanging="10"/>
        <w:jc w:val="both"/>
        <w:rPr>
          <w:rFonts w:ascii="Verdana" w:hAnsi="Verdana"/>
        </w:rPr>
      </w:pPr>
      <w:r w:rsidRPr="005B5CB6">
        <w:rPr>
          <w:rFonts w:ascii="Verdana" w:eastAsia="Verdana" w:hAnsi="Verdana" w:cs="Verdana"/>
          <w:i/>
        </w:rPr>
        <w:t xml:space="preserve">Digital journalism and the Cairncross review </w:t>
      </w: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Democratic debate has also been impacted by the news industry becoming an increasingly digital business. Search, social media and news aggregation platforms have become increasingly important for driving traffic to news websites. Some publishers have estimated that as much as 70% of their traffic comes from the dominant search and social media platforms. As news publishers become increasingly reliant on digital platforms for distribution of their content, so algorithms have come to play an increasingly central role in that distribution.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Dame Frances Cairncross addressed the role of algorithms in her report into the sustainability of high quality journalism in the UK.</w:t>
      </w:r>
      <w:r>
        <w:rPr>
          <w:rFonts w:ascii="Verdana" w:eastAsia="Verdana" w:hAnsi="Verdana" w:cs="Verdana"/>
          <w:vertAlign w:val="superscript"/>
        </w:rPr>
        <w:footnoteReference w:id="143"/>
      </w:r>
      <w:r w:rsidRPr="005B5CB6">
        <w:rPr>
          <w:rFonts w:ascii="Verdana" w:eastAsia="Verdana" w:hAnsi="Verdana" w:cs="Verdana"/>
        </w:rPr>
        <w:t xml:space="preserve"> She stated that algorithms are the biggest concern of the publishers in terms of their commercial relationship with the platforms. Algorithms determine how high or low on the page any particular article is ranked, yet those algorithms are opaque and closely guarded by the platforms, who rarely consult with the publishers about changes to those algorithms or give them sufficient notice when they do change. </w:t>
      </w:r>
    </w:p>
    <w:p w:rsidR="00FB0B24" w:rsidRPr="005B5CB6" w:rsidP="001512F6">
      <w:pPr>
        <w:spacing w:after="17"/>
        <w:ind w:left="720"/>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Publishers also complain that they have to spend a lot of money on optimization to tailor their content in order to maximize their ranking by the algorithm, only for a change to be made which makes the expenditure and time spent wasted. Dame Frances gave the example of Facebook’s algorithm change in January 2018, in which Facebook changed their algorithm to favour ‘friends and family’ content over news content. It was estimated that news content on Facebook dropped from 5% of all content to 4%, which may only be 1% of all content on Facebook, but represents a 20% drop for news publishers, which is significant. </w:t>
      </w:r>
    </w:p>
    <w:p w:rsidR="00FB0B24" w:rsidRPr="005B5CB6" w:rsidP="001512F6">
      <w:pPr>
        <w:spacing w:after="232"/>
        <w:ind w:left="72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37499" name="Group 53749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771" name="Shape 63577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73" style="height:0.6pt;mso-position-horizontal-relative:char;mso-position-vertical-relative:line;width:2in" coordsize="18288,76">
                <v:shape id="_x0000_s1174"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As a result of this central role that algorithms play, Dame Frances recommended that a code of conduct be implemented that regulates the commercial relationships between platforms and publishers. This code of conduct could address the overreliance on algorithms by obliging the platforms to consult with the publishers prior to algorithm changes and to give publishers reasonable notice of such changes to allow them to better plan optimization strategies. The Government is now carefully considering the recommendations made by Dame Frances and will respond later in 2019.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hanging="10"/>
        <w:jc w:val="both"/>
        <w:rPr>
          <w:rFonts w:ascii="Verdana" w:hAnsi="Verdana"/>
        </w:rPr>
      </w:pPr>
      <w:r w:rsidRPr="005B5CB6">
        <w:rPr>
          <w:rFonts w:ascii="Verdana" w:eastAsia="Verdana" w:hAnsi="Verdana" w:cs="Verdana"/>
          <w:i/>
        </w:rPr>
        <w:t>Centre for Data Ethics and Innovation</w:t>
      </w: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To help Government understand the implications of data-driven technologies, DCMS established the Centre for Data Ethics and Innovation in November 2018. The Centre will identify the measures needed to strengthen and improve the way data-driven technologies and AI are used. This will include advising on how Government can address potential gaps in the governance and accountability of these technologies, and promoting best practice. The Centre published its 2019/20 </w:t>
      </w:r>
      <w:r>
        <w:fldChar w:fldCharType="begin"/>
      </w:r>
      <w:r>
        <w:instrText xml:space="preserve"> HYPERLINK "https://www.gov.uk/government/publications/the-centre-for-data-ethics-and-innovation-cdei-2019-20-work-programme" </w:instrText>
      </w:r>
      <w:r>
        <w:fldChar w:fldCharType="separate"/>
      </w:r>
      <w:r w:rsidRPr="005B5CB6">
        <w:rPr>
          <w:rFonts w:ascii="Verdana" w:eastAsia="Verdana" w:hAnsi="Verdana" w:cs="Verdana"/>
          <w:color w:val="1155CC"/>
          <w:u w:val="single" w:color="1155CC"/>
        </w:rPr>
        <w:t>Work Programme</w:t>
      </w:r>
      <w:r>
        <w:fldChar w:fldCharType="end"/>
      </w:r>
      <w:r>
        <w:fldChar w:fldCharType="begin"/>
      </w:r>
      <w:r>
        <w:instrText xml:space="preserve"> HYPERLINK "https://www.gov.uk/government/publications/the-centre-for-data-ethics-and-innovation-cdei-2019-20-work-programme"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and two-year </w:t>
      </w:r>
      <w:r>
        <w:fldChar w:fldCharType="begin"/>
      </w:r>
      <w:r>
        <w:instrText xml:space="preserve"> HYPERLINK "https://www.gov.uk/government/publications/the-centre-for-data-ethics-and-innovation-cdei-2-year-strategy/centre-for-data-ethics-cdei-2-year-strategy" </w:instrText>
      </w:r>
      <w:r>
        <w:fldChar w:fldCharType="separate"/>
      </w:r>
      <w:r w:rsidRPr="005B5CB6">
        <w:rPr>
          <w:rFonts w:ascii="Verdana" w:eastAsia="Verdana" w:hAnsi="Verdana" w:cs="Verdana"/>
          <w:color w:val="1155CC"/>
          <w:u w:val="single" w:color="1155CC"/>
        </w:rPr>
        <w:t>Strategy</w:t>
      </w:r>
      <w:r>
        <w:fldChar w:fldCharType="end"/>
      </w:r>
      <w:r>
        <w:fldChar w:fldCharType="begin"/>
      </w:r>
      <w:r>
        <w:instrText xml:space="preserve"> HYPERLINK "https://www.gov.uk/government/publications/the-centre-for-data-ethics-and-innovation-cdei-2-year-strategy/centre-for-data-ethics-cdei-2-year-strategy"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in March 2019 setting out its priorities and how it will operate in undertaking its terms of reference.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The Centre’s 2019/20 Work Programme is focused on two major reviews into online targeting and algorithmic bias. The Online Targeting Review is investigating how data is used to shape people’s online environments via the personalisation and targeting of messages, content and services online. This review is considering the benefits and harms, practices, governance, public views and potential recommendations related to the customisation of online experience. The Centre has engaged with the public on their views on targeting practices as well as begun a programme of structured interviews with regulators to understand in greater detail the effectiveness of current oversight arrangements. The Centre published </w:t>
      </w:r>
      <w:r>
        <w:fldChar w:fldCharType="begin"/>
      </w:r>
      <w:r>
        <w:instrText xml:space="preserve"> HYPERLINK "https://www.gov.uk/government/publications/interim-reports-from-the-centre-for-data-ethics-and-innovation" </w:instrText>
      </w:r>
      <w:r>
        <w:fldChar w:fldCharType="separate"/>
      </w:r>
      <w:r w:rsidRPr="005B5CB6">
        <w:rPr>
          <w:rFonts w:ascii="Verdana" w:eastAsia="Verdana" w:hAnsi="Verdana" w:cs="Verdana"/>
          <w:color w:val="1155CC"/>
          <w:u w:val="single" w:color="1155CC"/>
        </w:rPr>
        <w:t>interim findings</w:t>
      </w:r>
      <w:r>
        <w:fldChar w:fldCharType="end"/>
      </w:r>
      <w:r>
        <w:fldChar w:fldCharType="begin"/>
      </w:r>
      <w:r>
        <w:instrText xml:space="preserve"> HYPERLINK "https://www.gov.uk/government/publications/interim-reports-from-the-centre-for-data-ethics-and-innovation"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in July 2019 and is expected to publish its final recommendations to Government in December 2019.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50" w:lineRule="auto"/>
        <w:ind w:left="11" w:hanging="10"/>
        <w:jc w:val="both"/>
        <w:rPr>
          <w:rFonts w:ascii="Verdana" w:hAnsi="Verdana"/>
        </w:rPr>
      </w:pPr>
      <w:r w:rsidRPr="005B5CB6">
        <w:rPr>
          <w:rFonts w:ascii="Verdana" w:eastAsia="Verdana" w:hAnsi="Verdana" w:cs="Verdana"/>
          <w:b/>
        </w:rPr>
        <w:t xml:space="preserve">Education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3. What role should every stage of education play in helping to create a healthy, active, digitally literate democracy? </w:t>
      </w: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26" w:line="249" w:lineRule="auto"/>
        <w:ind w:left="10" w:hanging="10"/>
        <w:jc w:val="both"/>
        <w:rPr>
          <w:rFonts w:ascii="Verdana" w:hAnsi="Verdana"/>
        </w:rPr>
      </w:pPr>
      <w:r w:rsidRPr="005B5CB6">
        <w:rPr>
          <w:rFonts w:ascii="Verdana" w:eastAsia="Verdana" w:hAnsi="Verdana" w:cs="Verdana"/>
          <w:i/>
        </w:rPr>
        <w:t xml:space="preserve">Media and digital literacy </w:t>
      </w:r>
    </w:p>
    <w:p w:rsidR="00FB0B24" w:rsidRPr="005B5CB6" w:rsidP="001512F6">
      <w:pPr>
        <w:spacing w:after="107" w:line="249" w:lineRule="auto"/>
        <w:ind w:left="10" w:right="12" w:hanging="9"/>
        <w:jc w:val="both"/>
        <w:rPr>
          <w:rFonts w:ascii="Verdana" w:hAnsi="Verdana"/>
        </w:rPr>
      </w:pPr>
      <w:r w:rsidRPr="005B5CB6">
        <w:rPr>
          <w:rFonts w:ascii="Verdana" w:eastAsia="Verdana" w:hAnsi="Verdana" w:cs="Verdana"/>
        </w:rPr>
        <w:t>Online media and digital literacy can equip users with the skills they need to spot dangers online, critically appraise information and take steps to keep themselves and others safe online. It can also have wider benefits, including for the functioning of democracy by giving users a better understanding of online content and enabling them to distinguish between facts and opinions online. In recent months, there have been several reports that recognise the importance of online media and digital literacy, calling for action at all levels.</w:t>
      </w:r>
      <w:r>
        <w:rPr>
          <w:rFonts w:ascii="Verdana" w:eastAsia="Verdana" w:hAnsi="Verdana" w:cs="Verdana"/>
          <w:vertAlign w:val="superscript"/>
        </w:rPr>
        <w:footnoteReference w:id="144"/>
      </w:r>
      <w:r>
        <w:rPr>
          <w:rFonts w:ascii="Verdana" w:eastAsia="Verdana" w:hAnsi="Verdana" w:cs="Verdana"/>
          <w:vertAlign w:val="superscript"/>
        </w:rPr>
        <w:footnoteReference w:id="145"/>
      </w:r>
      <w:r>
        <w:rPr>
          <w:rFonts w:ascii="Verdana" w:eastAsia="Verdana" w:hAnsi="Verdana" w:cs="Verdana"/>
          <w:vertAlign w:val="superscript"/>
        </w:rPr>
        <w:footnoteReference w:id="146"/>
      </w: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There has been significant work in this area, with several organisations in tech, media and civil society developing resources for use in school and at home, to equip children and young people with the skills to critically assess information and keep themselves safe online. For example, NewsWise is a free, cross-curricular news literacy project for 9-11 year olds across the UK. The project, a partnership between the Guardian Foundation, National Literacy Trust and the PSHE </w:t>
      </w:r>
      <w:r w:rsidRPr="005B5CB6">
        <w:rPr>
          <w:rFonts w:ascii="Verdana" w:eastAsia="Verdana" w:hAnsi="Verdana" w:cs="Verdana"/>
        </w:rPr>
        <w:t xml:space="preserve">Association, officially launched in September 2018 and Google is funding its first year. The project aims to strengthen children’s critical thinking skills before they start using social media, and aims to deepen children and young people’s understanding of why and how the news is produced. In addition, BBC Own It, launching later in 2019, is a new wellbeing app aimed at children aged 8-13 receiving their first smartphone. The app is part of the BBC’s commitment to supporting young people in today’s changing media environment and follows the successful launch of the Own It website in 2018. While the Government welcomes these initiatives, we believe that there are notable gaps in provision and that adults need support too – especially as parents.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Industry and government have a shared responsibility to empower users to manage their online safety. A new regulator would have oversight of industry activity and spend in this area, and a responsibility to promote online media literacy. Ahead of the new regulator, the government is developing an online media literacy strategy to develop media literacy at all ages. The Government is currently consulting a broad range of stakeholders, including major digital, broadcast and news media organisations, the education sector, researchers and civil society, and we have recently published an </w:t>
      </w:r>
      <w:r>
        <w:fldChar w:fldCharType="begin"/>
      </w:r>
      <w:r>
        <w:instrText xml:space="preserve"> HYPERLINK "https://www.contractsfinder.service.gov.uk/Notice/a601f0bf-bd20-4ca8-8695-b23d655a62df?p=@FQxUlRRPT0=NjJNT08=U" </w:instrText>
      </w:r>
      <w:r>
        <w:fldChar w:fldCharType="separate"/>
      </w:r>
      <w:r w:rsidRPr="005B5CB6">
        <w:rPr>
          <w:rFonts w:ascii="Verdana" w:eastAsia="Verdana" w:hAnsi="Verdana" w:cs="Verdana"/>
          <w:color w:val="1155CC"/>
          <w:u w:val="single" w:color="1155CC"/>
        </w:rPr>
        <w:t>Invitation to Tender</w:t>
      </w:r>
      <w:r>
        <w:fldChar w:fldCharType="end"/>
      </w:r>
      <w:r>
        <w:fldChar w:fldCharType="begin"/>
      </w:r>
      <w:r>
        <w:instrText xml:space="preserve"> HYPERLINK "https://www.contractsfinder.service.gov.uk/Notice/a601f0bf-bd20-4ca8-8695-b23d655a62df?p=@FQxUlRRPT0=NjJNT08=U"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for analysis into existing media literacy initiatives and accompanying evaluation. The strategy is expected to identify what additional activity is needed to make progress against key objectives, which may include ensuring that users can better deal with mis- and disinformation, including in relation to democratic processes and representation. The Government will publish its online media literacy strategy in the new year.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hanging="10"/>
        <w:jc w:val="both"/>
        <w:rPr>
          <w:rFonts w:ascii="Verdana" w:hAnsi="Verdana"/>
        </w:rPr>
      </w:pPr>
      <w:r w:rsidRPr="005B5CB6">
        <w:rPr>
          <w:rFonts w:ascii="Verdana" w:eastAsia="Verdana" w:hAnsi="Verdana" w:cs="Verdana"/>
          <w:i/>
        </w:rPr>
        <w:t xml:space="preserve">Action in schools </w:t>
      </w:r>
    </w:p>
    <w:p w:rsidR="00FB0B24" w:rsidRPr="005B5CB6" w:rsidP="001512F6">
      <w:pPr>
        <w:spacing w:after="117" w:line="250" w:lineRule="auto"/>
        <w:ind w:left="23" w:right="11" w:hanging="8"/>
        <w:jc w:val="both"/>
        <w:rPr>
          <w:rFonts w:ascii="Verdana" w:hAnsi="Verdana"/>
        </w:rPr>
      </w:pPr>
      <w:r w:rsidRPr="005B5CB6">
        <w:rPr>
          <w:rFonts w:ascii="Verdana" w:eastAsia="Verdana" w:hAnsi="Verdana" w:cs="Verdana"/>
        </w:rPr>
        <w:t xml:space="preserve">Clearly education plays an important role in equipping children with the knowledge, skills, and values that will prepare them to be responsible, engaged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37589" name="Group 53758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5773" name="Shape 63577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75" style="height:0.6pt;mso-position-horizontal-relative:char;mso-position-vertical-relative:line;width:2in" coordsize="18288,76">
                <v:shape id="_x0000_s1176"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citizens in modern Britain. All schools have specific duties to promote the spiritual, moral, social and cultural development (SMSC) of their pupils and to prepare them for the opportunities and responsibilities of adult life. Furthermore, we expect all schools and further education (FE) colleges to promote the fundamental British values of democracy, the rule of law, individual liberty and mutual respect and tolerance of those of different faiths and beliefs. DfE has provided advice to schools and colleges on how to teach these values, including through classroom-based debates and through various aspects of the curriculum and school ethos.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Citizenship education is part of the national curriculum at key stages 3 and 4 and it is compulsory in maintained secondary schools. High quality citizenship education provides pupils with the knowledge to prepare them to play a full and active part in society as responsible citizens. Pupils are taught about democracy, government and how laws are made and upheld. Teaching should equip pupils to explore political and social issues, to debate, and to make reasoned arguments. Citizenship programmes of study also include opportunities for school- and community-based volunteering.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In terms of improving digital literacy, there are many opportunities across the curriculum to learn about these issues; in subjects such as English, History and Citizenship. The computer science curriculum, which was reformed in 2014, includes the fundamental knowledge that empowers pupils to make well-informed choices. It also covers the principles of e-safety, with progression in the content to reflect the different and escalating risks that young people face.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We are introducing new mandatory subjects of Relationships Education (for all primary pupils), Relationships and Sex Education (RSE, for all secondary pupils) and Health Education (for all pupils in primary and secondary state-funded schools). Pupils will be taught about online relationships, the implications of sharing private or personal data (including images) online, harmful content and contact, cyberbullying and where to get help and support for issues that occur online. The new subject includes extensive internet safety content, including the importance of rationing time spent online, how to be a discerning consumer of online information, age restrictions, trolling, bullying and how online information is targeted.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In June 2019, the DfE published a new non-statutory guidance, “Teaching online safety in schools”, which aims to support schools in teaching pupils how to stay safe online within new and existing school subjects, such as Relationships Education, Relationships and Sex Education, Health Education, Citizenship and Computing.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Ofsted’s new education inspection framework, which came into effect in September, has a new stronger emphasis on ensuring schools provide a broad and rich curriculum for all their pupils. That means the full national curriculum, or in the case of academies, a curriculum similar in breadth and ambition. The new framework also includes a new separate graded judgement on pupils’ personal development. The personal development judgement focuses on the development of pupils’ character, their confidence, resilience, independence and knowledge. It includes a range of matters including pupils’ ability to recognise and respond to online and offline risks to their wellbeing; pupil’s spiritual, moral, social and cultural development; relationships and sex education; and how the school prepares pupils for life in modern Britain. The handbook also sets the expectation that schools should be providing pupils with meaningful opportunities to understand how to be responsible, respectful citizens who contribute positively to society.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Building on the opportunities within the citizenship curriculum, many schools will offer additional opportunities for their pupils to undertake social action projects or volunteering – often working with national bodies or by creating their own links with local organisations or charities in their community.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DfE works closely with the National Citizen Service (NCS), which brings young people from different backgrounds together to work on local volunteering projects. Guidance for schools and colleges on 16 to 19 study programmes, published by DfE and the Education and Skills Funding Agency, encourages further education colleges to incorporate youth social action into study programmes alongside other </w:t>
      </w:r>
      <w:r w:rsidRPr="005B5CB6">
        <w:rPr>
          <w:rFonts w:ascii="Verdana" w:eastAsia="Verdana" w:hAnsi="Verdana" w:cs="Verdana"/>
        </w:rPr>
        <w:t xml:space="preserve">work experience. It also encourages participation in the National Citizen Service which helps young people to contribute to their. The university sector helps to ensure that all students are given the opportunity to develop their thinking, and to debate ideas –essential skills in a modern, healthy democracy.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49" w:line="249" w:lineRule="auto"/>
        <w:ind w:left="10" w:hanging="10"/>
        <w:jc w:val="both"/>
        <w:rPr>
          <w:rFonts w:ascii="Verdana" w:hAnsi="Verdana"/>
        </w:rPr>
      </w:pPr>
      <w:r w:rsidRPr="005B5CB6">
        <w:rPr>
          <w:rFonts w:ascii="Verdana" w:eastAsia="Verdana" w:hAnsi="Verdana" w:cs="Verdana"/>
          <w:i/>
        </w:rPr>
        <w:t xml:space="preserve">Improving understanding of democracy </w:t>
      </w:r>
    </w:p>
    <w:p w:rsidR="00FB0B24" w:rsidRPr="005B5CB6" w:rsidP="001512F6">
      <w:pPr>
        <w:spacing w:after="142" w:line="249" w:lineRule="auto"/>
        <w:ind w:left="10" w:right="12" w:hanging="9"/>
        <w:jc w:val="both"/>
        <w:rPr>
          <w:rFonts w:ascii="Verdana" w:hAnsi="Verdana"/>
        </w:rPr>
      </w:pPr>
      <w:r w:rsidRPr="005B5CB6">
        <w:rPr>
          <w:rFonts w:ascii="Verdana" w:eastAsia="Verdana" w:hAnsi="Verdana" w:cs="Verdana"/>
        </w:rPr>
        <w:t xml:space="preserve">As part of the 2018 Suffrage Centenary Programme the Government commissioned the Historical Association to develop a resource for secondary schools use in order to increase knowledge of the history of the suffrage movement. </w:t>
      </w:r>
    </w:p>
    <w:p w:rsidR="00FB0B24" w:rsidRPr="005B5CB6" w:rsidP="001512F6">
      <w:pPr>
        <w:spacing w:after="142" w:line="249" w:lineRule="auto"/>
        <w:ind w:left="10" w:right="12" w:hanging="9"/>
        <w:jc w:val="both"/>
        <w:rPr>
          <w:rFonts w:ascii="Verdana" w:hAnsi="Verdana"/>
        </w:rPr>
      </w:pPr>
      <w:r w:rsidRPr="005B5CB6">
        <w:rPr>
          <w:rFonts w:ascii="Verdana" w:eastAsia="Verdana" w:hAnsi="Verdana" w:cs="Verdana"/>
        </w:rPr>
        <w:t xml:space="preserve">Government wants schools to use that knowledge base to improve pupils’ understanding of UK democracy and how they can participate in our democratic processes. The resource is called Women's Suffrage: History and Citizenship Resources for Schools and is a fantastic comprehensive online interactive resource which includes films, articles and podcasts. </w:t>
      </w:r>
    </w:p>
    <w:p w:rsidR="00FB0B24" w:rsidRPr="005B5CB6" w:rsidP="001512F6">
      <w:pPr>
        <w:spacing w:after="139" w:line="249" w:lineRule="auto"/>
        <w:ind w:left="10" w:right="12" w:hanging="9"/>
        <w:jc w:val="both"/>
        <w:rPr>
          <w:rFonts w:ascii="Verdana" w:hAnsi="Verdana"/>
        </w:rPr>
      </w:pPr>
      <w:r w:rsidRPr="005B5CB6">
        <w:rPr>
          <w:rFonts w:ascii="Verdana" w:eastAsia="Verdana" w:hAnsi="Verdana" w:cs="Verdana"/>
        </w:rPr>
        <w:t xml:space="preserve">The Government has also launched the Democracy Ambassadors scheme, one of three projects aimed at young people which are part of the Government’s Suffrage Centenary Fund Programme. They were designed to raise awareness of democracy and our democratic systems with young people aged 13-16, particularly those who are more likely to be disengaged from democratic processes. </w:t>
      </w:r>
    </w:p>
    <w:p w:rsidR="00FB0B24" w:rsidRPr="005B5CB6" w:rsidP="001512F6">
      <w:pPr>
        <w:spacing w:after="143" w:line="249" w:lineRule="auto"/>
        <w:ind w:left="10" w:right="12" w:hanging="9"/>
        <w:jc w:val="both"/>
        <w:rPr>
          <w:rFonts w:ascii="Verdana" w:hAnsi="Verdana"/>
        </w:rPr>
      </w:pPr>
      <w:r w:rsidRPr="005B5CB6">
        <w:rPr>
          <w:rFonts w:ascii="Verdana" w:eastAsia="Verdana" w:hAnsi="Verdana" w:cs="Verdana"/>
        </w:rPr>
        <w:t xml:space="preserve">The objective of this scheme was to recruit young people across England and provide them with a training programme to equip them with the skills and knowledge to discuss with their peers the importance of democracy and how it operates. The Government grant funded Young Citizens to deliver this scheme and recruit 1,000 young people as Democracy Ambassadors across England. </w:t>
      </w:r>
    </w:p>
    <w:p w:rsidR="00FB0B24" w:rsidRPr="005B5CB6" w:rsidP="001512F6">
      <w:pPr>
        <w:spacing w:after="139" w:line="249" w:lineRule="auto"/>
        <w:ind w:left="10" w:right="12" w:hanging="9"/>
        <w:jc w:val="both"/>
        <w:rPr>
          <w:rFonts w:ascii="Verdana" w:hAnsi="Verdana"/>
        </w:rPr>
      </w:pPr>
      <w:r w:rsidRPr="005B5CB6">
        <w:rPr>
          <w:rFonts w:ascii="Verdana" w:eastAsia="Verdana" w:hAnsi="Verdana" w:cs="Verdana"/>
        </w:rPr>
        <w:t xml:space="preserve">The role of a Democracy Ambassador is to learn how democracy works in the UK, on both a local and national level, and to identify opportunities to share their knowledge with 100 young people from their peer group. They can engage with their peers in a variety of different ways, be it via social media, giving presentations or using games and quizzes.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However, the Government is clear that education about a healthy, active, digitally literate democracy does not stop at school.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hanging="10"/>
        <w:jc w:val="both"/>
        <w:rPr>
          <w:rFonts w:ascii="Verdana" w:hAnsi="Verdana"/>
        </w:rPr>
      </w:pPr>
      <w:r w:rsidRPr="005B5CB6">
        <w:rPr>
          <w:rFonts w:ascii="Verdana" w:eastAsia="Verdana" w:hAnsi="Verdana" w:cs="Verdana"/>
          <w:i/>
        </w:rPr>
        <w:t>Building digital skills</w:t>
      </w: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Government recognises that digital skills are as important to employability and participation in society as English and maths. To address this, from 2020, alongside the existing legal entitlements to English and maths, we will introduce an entitlement to fully funded digital qualifications.  Adults with no or low digital skills will have the opportunity to undertake new digital qualifications free of charge.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The new publicly funded digital offer will comprise two qualification types - essential digital skills qualifications (EDSQs) and new digital functional skills qualifications (Digital FSQs), both based on new national standards for essential digital skills: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EDSQs are a new qualification type designed to meet the diverse needs of adults with no or low digital skills. EDSQs will have different objectives, reflecting different learning needs, motivations and starting points of adults with no or low digital skills.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Digital FSQs will replace FSQs in Information and Communication Technology and will meet the needs of adults wishing to achieve an employer recognised qualification certifying attainment of the full range of digital skills needed for work, life and further study.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DfE has recently consulted on proposed subject content for digital FSQs and will publish final subject content in autumn 2019. Ofqual has also recently consulted on their proposed approach for regulating Digital FSQs and will consult on detailed rules and guidance in due course.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In the interim, the Government will continue to support the provision of basic digital skills training for adults in colleges and community learning settings through the Adult Education Budget and other programmes. These include the Future Digital Inclusion programme delivered through the 3,000 strong Online Centres Network which has supported over 1.3 million over the last five years to engage with digital technology and develop their digital skills in community settings.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8" w:line="250" w:lineRule="auto"/>
        <w:ind w:left="11" w:hanging="10"/>
        <w:jc w:val="both"/>
        <w:rPr>
          <w:rFonts w:ascii="Verdana" w:hAnsi="Verdana"/>
        </w:rPr>
      </w:pPr>
      <w:r w:rsidRPr="005B5CB6">
        <w:rPr>
          <w:rFonts w:ascii="Verdana" w:eastAsia="Verdana" w:hAnsi="Verdana" w:cs="Verdana"/>
          <w:b/>
        </w:rPr>
        <w:t xml:space="preserve">Online campaigning </w:t>
      </w:r>
    </w:p>
    <w:p w:rsidR="00FB0B24" w:rsidRPr="005B5CB6" w:rsidP="00575F14">
      <w:pPr>
        <w:numPr>
          <w:ilvl w:val="0"/>
          <w:numId w:val="93"/>
        </w:numPr>
        <w:spacing w:after="5" w:line="249" w:lineRule="auto"/>
        <w:ind w:right="12" w:hanging="9"/>
        <w:jc w:val="both"/>
        <w:rPr>
          <w:rFonts w:ascii="Verdana" w:hAnsi="Verdana"/>
        </w:rPr>
      </w:pPr>
      <w:r w:rsidRPr="005B5CB6">
        <w:rPr>
          <w:rFonts w:ascii="Verdana" w:eastAsia="Verdana" w:hAnsi="Verdana" w:cs="Verdana"/>
        </w:rPr>
        <w:t xml:space="preserve">Would greater transparency in the online spending and campaigning of political groups improve the electoral process in the UK by ensuring accountability, and if so what should this transparency look like? </w:t>
      </w: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rules that govern the spending by campaigners at elections are vitally important in ensuring transparency for the public and a level playing field for campaigners. </w:t>
      </w:r>
    </w:p>
    <w:p w:rsidR="00FB0B24" w:rsidRPr="005B5CB6" w:rsidP="001512F6">
      <w:pPr>
        <w:spacing w:after="19"/>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Government is pledging to do our part to regulate digital campaigning by making elections more transparent. As part of that, the Government has committed to implementing an imprints regime for digital election material. Our aim is to increase transparency and allow voters to see more information about who has produced election material. We will publish the technical proposals for this regime later this year.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Government has also committed to consulting on measures to strengthen electoral integrity. The consultation may consider recommendations for actions Government could take to increase transparency on digital political advertising; close loopholes on foreign spending in elections; prevent shell companies from sidestepping current rules on political finance; and action to tackle foreign lobbying.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575F14">
      <w:pPr>
        <w:numPr>
          <w:ilvl w:val="0"/>
          <w:numId w:val="93"/>
        </w:numPr>
        <w:spacing w:after="5" w:line="249" w:lineRule="auto"/>
        <w:ind w:right="12" w:hanging="9"/>
        <w:jc w:val="both"/>
        <w:rPr>
          <w:rFonts w:ascii="Verdana" w:hAnsi="Verdana"/>
        </w:rPr>
      </w:pPr>
      <w:r w:rsidRPr="005B5CB6">
        <w:rPr>
          <w:rFonts w:ascii="Verdana" w:eastAsia="Verdana" w:hAnsi="Verdana" w:cs="Verdana"/>
        </w:rPr>
        <w:t>What effect does online targeted advertising have on the political process, and what effects could it have in the future? Should there be additional regulation of political advertising?</w:t>
      </w: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Government recognises that a number of reports have raised concerns on the impact of targeted advertising on the political process. We are undertaking work to understand the implications of targeted advertising more broadly. As mentioned previously, the Centre for Data Ethics and Innovation’s Online Targeting Review is investigating how data is used to shape people’s online environments via the personalisation and targeting of messages, content and services online. This review is considering the benefits and harms, practices, governance, public views and potential recommendations related to the customisation of online experience. The Centre is expected to publish its final recommendations to Government in December 2019.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Additionally, in February 2019, the government announced its intention to conduct a review into how online advertising is regulated in the UK, assessing the economic and social challenges that are associated with it in the round.</w:t>
      </w:r>
      <w:r w:rsidRPr="005B5CB6">
        <w:rPr>
          <w:rFonts w:ascii="Verdana" w:eastAsia="Verdana" w:hAnsi="Verdana" w:cs="Verdana"/>
          <w:b/>
        </w:rPr>
        <w:t xml:space="preserve"> </w:t>
      </w:r>
      <w:r w:rsidRPr="005B5CB6">
        <w:rPr>
          <w:rFonts w:ascii="Verdana" w:eastAsia="Verdana" w:hAnsi="Verdana" w:cs="Verdana"/>
        </w:rPr>
        <w:t xml:space="preserve">Though the Review will not specifically focus on political advertising, its aim is to look at cross-cutting challenges that arise from online advertising and how Government can ensure that our response to them is coherent, strategic, impactful, and future-proofed. </w:t>
      </w:r>
    </w:p>
    <w:p w:rsidR="00FB0B24" w:rsidRPr="005B5CB6" w:rsidP="001512F6">
      <w:pPr>
        <w:spacing w:after="19"/>
        <w:jc w:val="both"/>
        <w:rPr>
          <w:rFonts w:ascii="Verdana" w:hAnsi="Verdana"/>
        </w:rPr>
      </w:pP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50" w:lineRule="auto"/>
        <w:ind w:left="11" w:hanging="10"/>
        <w:jc w:val="both"/>
        <w:rPr>
          <w:rFonts w:ascii="Verdana" w:hAnsi="Verdana"/>
        </w:rPr>
      </w:pPr>
      <w:r w:rsidRPr="005B5CB6">
        <w:rPr>
          <w:rFonts w:ascii="Verdana" w:eastAsia="Verdana" w:hAnsi="Verdana" w:cs="Verdana"/>
          <w:b/>
        </w:rPr>
        <w:t xml:space="preserve">Privacy and anonymity </w:t>
      </w:r>
    </w:p>
    <w:p w:rsidR="00FB0B24" w:rsidRPr="005B5CB6" w:rsidP="00575F14">
      <w:pPr>
        <w:numPr>
          <w:ilvl w:val="0"/>
          <w:numId w:val="93"/>
        </w:numPr>
        <w:spacing w:after="5" w:line="250" w:lineRule="auto"/>
        <w:ind w:right="12" w:hanging="9"/>
        <w:jc w:val="both"/>
        <w:rPr>
          <w:rFonts w:ascii="Verdana" w:hAnsi="Verdana"/>
        </w:rPr>
      </w:pPr>
      <w:r w:rsidRPr="005B5CB6">
        <w:rPr>
          <w:rFonts w:ascii="Verdana" w:eastAsia="Verdana" w:hAnsi="Verdana" w:cs="Verdana"/>
        </w:rPr>
        <w:t xml:space="preserve">To what extent does increasing use of encrypted messaging and private groups present a challenge to the democratic process? </w:t>
      </w: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UK Government is in favour of strong encryption: it is critical to protect UK citizens around the world from harm online, who use encryption to protect their data and communications. It can also serve a vital purpose in repressive states to protect journalists, human rights defenders and other vulnerable people from unlawful surveillance.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However, we are concerned where companies deliberately design their systems in a way that precludes any form of access to content, even in cases of the most serious crimes. This approach puts citizens and society at risk by severely eroding a company’s ability to identify and respond to the most harmful content, including foreign adversaries’ attempts to undermine democratic values and institutions.  </w:t>
      </w:r>
    </w:p>
    <w:p w:rsidR="00FB0B24" w:rsidRPr="005B5CB6" w:rsidP="001512F6">
      <w:pPr>
        <w:spacing w:after="19"/>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Government expects online companies to comply promptly and cooperatively to legal authorisations for the disclosure of information about individual users, in order to prevent and detect serious crime and protect national security</w:t>
      </w:r>
      <w:r w:rsidRPr="005B5CB6">
        <w:rPr>
          <w:rFonts w:ascii="Verdana" w:eastAsia="Verdana" w:hAnsi="Verdana" w:cs="Verdana"/>
          <w:color w:val="263238"/>
        </w:rPr>
        <w:t>.</w:t>
      </w:r>
      <w:r w:rsidRPr="005B5CB6">
        <w:rPr>
          <w:rFonts w:ascii="Verdana" w:eastAsia="Verdana" w:hAnsi="Verdana" w:cs="Verdana"/>
        </w:rPr>
        <w:t xml:space="preserve"> We also expect companies to take action now to tackle harmful content or activity on their services. For those harms where there is a risk to national security or to the physical safety of children, the Government will work with law enforcement and other relevant bodies to produce interim codes of practice, which will be published </w:t>
      </w:r>
      <w:r w:rsidRPr="005B5CB6">
        <w:rPr>
          <w:rFonts w:ascii="Verdana" w:eastAsia="Verdana" w:hAnsi="Verdana" w:cs="Verdana"/>
        </w:rPr>
        <w:t xml:space="preserve">later this year. Voluntary initiatives between government, industry and civil society are also promising in some areas, including on terrorism and CSEA.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Disinformation and misinformation spread through encrypted messaging presents a potential challenge to our democracy as it is harder to identify than disinformation on open groups and pages. This means that Government, political parties and civil society fact checkers are unable to identify and correct false narratives.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However steps can still be taken to reduce disinformation on private messaging services and several social media companies have already implemented tools and processes to achieve this such as clearly indicating where a message has been forwarded, improved reporting mechanisms and reducing the amount of times an individual account can forward a message. The Government is working with industry to identify the best way to understand the impact of these approaches in order to tackle these issues.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7. What are the positive or negative effects of anonymity on online democratic discourse? </w:t>
      </w:r>
      <w:r w:rsidRPr="005B5CB6">
        <w:rPr>
          <w:rFonts w:ascii="Verdana" w:eastAsia="Verdana" w:hAnsi="Verdana" w:cs="Verdana"/>
          <w:b/>
        </w:rPr>
        <w:t xml:space="preserve"> </w:t>
      </w:r>
    </w:p>
    <w:p w:rsidR="00FB0B24" w:rsidRPr="005B5CB6" w:rsidP="001512F6">
      <w:pPr>
        <w:spacing w:after="19"/>
        <w:jc w:val="both"/>
        <w:rPr>
          <w:rFonts w:ascii="Verdana" w:hAnsi="Verdana"/>
        </w:rPr>
      </w:pPr>
      <w:r w:rsidRPr="005B5CB6">
        <w:rPr>
          <w:rFonts w:ascii="Verdana" w:eastAsia="Verdana" w:hAnsi="Verdana" w:cs="Verdana"/>
          <w:i/>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Online anonymity is an important principle of a free and open internet. There are many legitimate reasons why an individual would not wish to identify themselves online. These include to protect whistle-blowers and empower victims of modern slavery and domestic and sexual abuse. Globally, anonymity can be especially important for allowing human rights defenders and journalists to operate, especially within authoritarian regimes, without fear of undue reprisal and detention. This would also apply to human rights defenders and journalists from abroad posting on UK-hosted sites. </w:t>
      </w:r>
    </w:p>
    <w:p w:rsidR="00FB0B24" w:rsidRPr="005B5CB6" w:rsidP="001512F6">
      <w:pPr>
        <w:spacing w:after="17"/>
        <w:ind w:left="1"/>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protection of anonymity can be an important component in protecting human rights. The UK co-sponsored a 2018 resolution in the UN Human Rights Council recognising the importance of privacy online, which has a particular relevance not only to the right to privacy, but also to freedom of expression; freedom of peaceful assembly and association; and other human rights.  </w:t>
      </w:r>
    </w:p>
    <w:p w:rsidR="00FB0B24" w:rsidRPr="005B5CB6" w:rsidP="001512F6">
      <w:pPr>
        <w:spacing w:after="17"/>
        <w:ind w:left="1"/>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However, in recent years there has been a worrying rise in the amount of abuse, harassment and intimidation directed at those in public life. Much of this abuse happens on social media, and the Government is aware of too many stories of public figures closing social media accounts following online abuse. In many cases, the offender will be unknown to the victim, and in some instances, they will have taken technical steps to conceal their identity. It should be noted, however, that abuse, harassment and intimidation online is not solely done under the cover of anonymity.  </w:t>
      </w:r>
    </w:p>
    <w:p w:rsidR="00FB0B24" w:rsidRPr="005B5CB6" w:rsidP="001512F6">
      <w:pPr>
        <w:spacing w:after="17"/>
        <w:ind w:left="1"/>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As part of our work in this area, the government is working with law enforcement to review whether the existing powers to identify individuals who attempt to use anonymity to escape sanctions for online abuse are sufficient. </w:t>
      </w:r>
    </w:p>
    <w:p w:rsidR="00FB0B24" w:rsidRPr="005B5CB6" w:rsidP="001512F6">
      <w:pPr>
        <w:spacing w:after="19"/>
        <w:ind w:left="1"/>
        <w:jc w:val="both"/>
        <w:rPr>
          <w:rFonts w:ascii="Verdana" w:hAnsi="Verdana"/>
        </w:rPr>
      </w:pPr>
      <w:r w:rsidRPr="005B5CB6">
        <w:rPr>
          <w:rFonts w:ascii="Verdana" w:eastAsia="Verdana" w:hAnsi="Verdana" w:cs="Verdana"/>
        </w:rPr>
        <w:t xml:space="preserve"> </w:t>
      </w:r>
    </w:p>
    <w:p w:rsidR="00FB0B24" w:rsidRPr="005B5CB6" w:rsidP="001512F6">
      <w:pPr>
        <w:spacing w:after="221" w:line="249" w:lineRule="auto"/>
        <w:ind w:left="10" w:right="12" w:hanging="9"/>
        <w:jc w:val="both"/>
        <w:rPr>
          <w:rFonts w:ascii="Verdana" w:hAnsi="Verdana"/>
        </w:rPr>
      </w:pPr>
      <w:r w:rsidRPr="005B5CB6">
        <w:rPr>
          <w:rFonts w:ascii="Verdana" w:eastAsia="Verdana" w:hAnsi="Verdana" w:cs="Verdana"/>
        </w:rPr>
        <w:t xml:space="preserve">We are pledging to do our part to regulate digital campaigning by increasing awareness of disinformation and making elections more transparent. As part of that, the Government has committed to implementing a digital imprints regime for online election campaign material.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Cabinet Office will work closely with the Department for Digital, Culture, Media and Sport and other stakeholders to confirm how such regulations will be put into practice and which third party organisations it would extend to. </w:t>
      </w:r>
    </w:p>
    <w:p w:rsidR="00FB0B24" w:rsidRPr="005B5CB6" w:rsidP="001512F6">
      <w:pPr>
        <w:spacing w:after="19"/>
        <w:ind w:left="1"/>
        <w:jc w:val="both"/>
        <w:rPr>
          <w:rFonts w:ascii="Verdana" w:hAnsi="Verdana"/>
        </w:rPr>
      </w:pPr>
      <w:r w:rsidRPr="005B5CB6">
        <w:rPr>
          <w:rFonts w:ascii="Verdana" w:eastAsia="Verdana" w:hAnsi="Verdana" w:cs="Verdana"/>
        </w:rPr>
        <w:t xml:space="preserve"> </w:t>
      </w:r>
    </w:p>
    <w:p w:rsidR="00FB0B24" w:rsidRPr="005B5CB6" w:rsidP="001512F6">
      <w:pPr>
        <w:spacing w:after="17"/>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Democratic debate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8. To what extent does social media negatively shape public debate, either through encouraging polarisation or through abuse deterring individuals from engaging in public life? </w:t>
      </w: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Social media can play a positive role in public debate, helping to connect people and hold our political figures to account. The Government is committed to protecting freedom of speech and recognises the importance of healthy democratic debate online. However, as stated above, social media algorithms can lead to ‘echo chambers’ or ‘filter bubbles’. This can promote disinformation by ensuring that users do not see rebuttals or other sources that may disagree and can lead to a story being perceived as far more widely believed than it really is. Furthermore, fake accounts and bots can exploit social media algorithms to amplify false information and target and mislead specific groups. This can lead to increased polarisation in society.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UK has witnessed a worrying rise in the levels of violence and abuse in our public life and across the political debate, particularly online. This risks not only putting voters off politics, but also putting off talented people from wanting to stand for public office. Thick skin cannot be the most important prerequisite for taking up a role in public life, particularly if we want the most diverse range of people to be represented in our politics.  </w:t>
      </w:r>
    </w:p>
    <w:p w:rsidR="00FB0B24" w:rsidRPr="005B5CB6" w:rsidP="001512F6">
      <w:pPr>
        <w:spacing w:after="19"/>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In July 2017, the previous Prime Minister invited the Committee on Standards in Public Life (CSPL) to undertake a review on the intimidation of Parliamentary candidates, considering the wider implications for public office-holders, and producing recommendations for action which could be taken in the short- and the long-term. In December 2017, the Committee published its review, which set out 33 recommendations to protect people in public life from the severe level of intimidation and abuse that some MPs may receive. They concluded that intimidation in public life presents a threat to the very nature of representative democracy in the UK.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In the Government response to the Committee’s report, we committed to a series of actions. The Government has undertaken a public consultation, ‘Protecting the Debate: Intimidation, Influence and Information’ and, in response, announced a range of measures to safeguard UK elections and crack down on intimidation, harmful influence and disinformation. The Government is committed to legislating </w:t>
      </w:r>
      <w:r w:rsidRPr="005B5CB6">
        <w:rPr>
          <w:rFonts w:ascii="Verdana" w:eastAsia="Verdana" w:hAnsi="Verdana" w:cs="Verdana"/>
        </w:rPr>
        <w:t xml:space="preserve">to introduce a new electoral offence of intimidating a candidate or campaigner during the run up to an election, either in person or online.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In February 2018 the previous Prime Minister announced a review by the Law Commission of the law relating to abusive and offensive online communications, to highlight any gaps in the criminal law which cause problems in tackling this abuse. In its November 2018 scoping report, the Law Commission concluded that behaviour is broadly criminalised to the same extent online as offline, but noted that there remained significant scope for reform. DCMS and MOJ have now engaged the Law Commission on a second phase of their review of Abusive and Offensive Online Communications. This work began in July 2019 and will build on the analysis undertaken by the Law Commission as part of Phase 1 of this review. It is expected to report in early 2021.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Government is clear that hate crime is completely unacceptable and that those who commit hateful attacks should feel the full force of the law. The Government is committed to upholding free speech, and legislation is already in place to protect these fundamental rights. Current UK legislation values free speech and enables people who wish to engage in debate to do so - regardless of whether others agree with the views which are being expressed. Importantly, the law ensures that people are protected against criminal activity including threatening, menacing or obscene behaviour both on and offline. In this way, the Government believes the law strikes the right balance between protecting citizens and protecting their right to free expression.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9. To what extent do you think that there are those who are using social media to attempt to undermine trust in the democratic process and in democratic institutions; and what might be the best ways to combat this and strengthen faith in democracy? </w:t>
      </w: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The Government takes the issue of online manipulation/disinformation very seriously and DCMS is leading work across Government to tackle this. We know that certain organisations and states routinely use disinformation as a political or foreign policy tool, so it is not surprising that they should run campaigns attempting to influence democratic processes, trust and discourse in the UK. We take any allegations of interference in UK democratic processes extremely seriously.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Freedom of expression and the media are essential qualities of any functioning democracy; people must be allowed to discuss and debate issues freely, to challenge their governments, and to make informed political decisions. The Government is proud that the UK benefits from a free, open and accessible media, though others may try to use this to manipulate and confuse the information environment to suit their own ends. Although robust mechanisms are in place to address manipulation/ disinformation in the broadcast and press industries, more work is needed, especially in the online space, to address its spread. We are working across government and beyond to monitor for any disinformation campaigns that threaten national security so that we can be ready to respond to </w:t>
      </w:r>
      <w:r w:rsidRPr="005B5CB6">
        <w:rPr>
          <w:rFonts w:ascii="Verdana" w:eastAsia="Verdana" w:hAnsi="Verdana" w:cs="Verdana"/>
        </w:rPr>
        <w:t xml:space="preserve">them quickly and effectively. This includes engaging with social media platforms. Furthermore, the measures outlined in the Online Harms White Paper are intended to counter disinformation in all its forms, regardless of the actor(s) spreading it.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Internet has greatly enhanced the public’s access to news and political engagement, providing platforms for journalism and forums for debate. But it has also created unforeseen challenges to the accuracy of information. The Government has taken steps to ensure that there is a coordinated structure across all relevant UK authorities to defend against hostile foreign interference in British politics, regardless of where it comes from, and reinforce faith in democracy. In July, Cabinet Office announced the creation of the Defending Democracy programme, which captures work taking place across government to ensure that our democracy is protected. This brings together work to safeguard our democratic processes and Government’s commitment to ensure that our democracy remains safe and inclusive.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8" w:line="250" w:lineRule="auto"/>
        <w:ind w:left="23" w:right="11" w:hanging="8"/>
        <w:jc w:val="both"/>
        <w:rPr>
          <w:rFonts w:ascii="Verdana" w:hAnsi="Verdana"/>
        </w:rPr>
      </w:pPr>
      <w:r w:rsidRPr="005B5CB6">
        <w:rPr>
          <w:rFonts w:ascii="Verdana" w:eastAsia="Verdana" w:hAnsi="Verdana" w:cs="Verdana"/>
        </w:rPr>
        <w:t xml:space="preserve">The programme will: </w:t>
      </w:r>
    </w:p>
    <w:p w:rsidR="00FB0B24" w:rsidRPr="005B5CB6" w:rsidP="00575F14">
      <w:pPr>
        <w:numPr>
          <w:ilvl w:val="0"/>
          <w:numId w:val="94"/>
        </w:numPr>
        <w:spacing w:after="5" w:line="250" w:lineRule="auto"/>
        <w:ind w:right="11" w:hanging="360"/>
        <w:jc w:val="both"/>
        <w:rPr>
          <w:rFonts w:ascii="Verdana" w:hAnsi="Verdana"/>
        </w:rPr>
      </w:pPr>
      <w:r w:rsidRPr="005B5CB6">
        <w:rPr>
          <w:rFonts w:ascii="Verdana" w:eastAsia="Verdana" w:hAnsi="Verdana" w:cs="Verdana"/>
          <w:b/>
        </w:rPr>
        <w:t xml:space="preserve">Protect </w:t>
      </w:r>
      <w:r w:rsidRPr="005B5CB6">
        <w:rPr>
          <w:rFonts w:ascii="Verdana" w:eastAsia="Verdana" w:hAnsi="Verdana" w:cs="Verdana"/>
        </w:rPr>
        <w:t xml:space="preserve">and secure UK democratic processes, systems and institutions from interference, including from cyber, personnel and physical threats. </w:t>
      </w:r>
    </w:p>
    <w:p w:rsidR="00FB0B24" w:rsidRPr="005B5CB6" w:rsidP="00575F14">
      <w:pPr>
        <w:numPr>
          <w:ilvl w:val="0"/>
          <w:numId w:val="94"/>
        </w:numPr>
        <w:spacing w:after="26" w:line="250" w:lineRule="auto"/>
        <w:ind w:right="11" w:hanging="360"/>
        <w:jc w:val="both"/>
        <w:rPr>
          <w:rFonts w:ascii="Verdana" w:hAnsi="Verdana"/>
        </w:rPr>
      </w:pPr>
      <w:r w:rsidRPr="005B5CB6">
        <w:rPr>
          <w:rFonts w:ascii="Verdana" w:eastAsia="Verdana" w:hAnsi="Verdana" w:cs="Verdana"/>
          <w:b/>
        </w:rPr>
        <w:t>Strengthen</w:t>
      </w:r>
      <w:r w:rsidRPr="005B5CB6">
        <w:rPr>
          <w:rFonts w:ascii="Verdana" w:eastAsia="Verdana" w:hAnsi="Verdana" w:cs="Verdana"/>
        </w:rPr>
        <w:t xml:space="preserve"> the integrity of UK elections. </w:t>
      </w:r>
    </w:p>
    <w:p w:rsidR="00FB0B24" w:rsidRPr="005B5CB6" w:rsidP="00575F14">
      <w:pPr>
        <w:numPr>
          <w:ilvl w:val="0"/>
          <w:numId w:val="94"/>
        </w:numPr>
        <w:spacing w:after="5" w:line="250" w:lineRule="auto"/>
        <w:ind w:right="11" w:hanging="360"/>
        <w:jc w:val="both"/>
        <w:rPr>
          <w:rFonts w:ascii="Verdana" w:hAnsi="Verdana"/>
        </w:rPr>
      </w:pPr>
      <w:r w:rsidRPr="005B5CB6">
        <w:rPr>
          <w:rFonts w:ascii="Verdana" w:eastAsia="Verdana" w:hAnsi="Verdana" w:cs="Verdana"/>
        </w:rPr>
        <w:t xml:space="preserve">Encourage </w:t>
      </w:r>
      <w:r w:rsidRPr="005B5CB6">
        <w:rPr>
          <w:rFonts w:ascii="Verdana" w:eastAsia="Verdana" w:hAnsi="Verdana" w:cs="Verdana"/>
          <w:b/>
        </w:rPr>
        <w:t>Respect</w:t>
      </w:r>
      <w:r w:rsidRPr="005B5CB6">
        <w:rPr>
          <w:rFonts w:ascii="Verdana" w:eastAsia="Verdana" w:hAnsi="Verdana" w:cs="Verdana"/>
        </w:rPr>
        <w:t xml:space="preserve"> for open, fair and safe democratic participation. ●</w:t>
      </w:r>
      <w:r w:rsidRPr="005B5CB6">
        <w:rPr>
          <w:rFonts w:ascii="Verdana" w:eastAsia="Arial" w:hAnsi="Verdana" w:cs="Arial"/>
        </w:rPr>
        <w:t xml:space="preserve"> </w:t>
      </w:r>
      <w:r w:rsidRPr="005B5CB6">
        <w:rPr>
          <w:rFonts w:ascii="Verdana" w:eastAsia="Verdana" w:hAnsi="Verdana" w:cs="Verdana"/>
          <w:b/>
        </w:rPr>
        <w:t>Promote</w:t>
      </w:r>
      <w:r w:rsidRPr="005B5CB6">
        <w:rPr>
          <w:rFonts w:ascii="Verdana" w:eastAsia="Verdana" w:hAnsi="Verdana" w:cs="Verdana"/>
        </w:rPr>
        <w:t xml:space="preserve"> fact-based and open discourse, including online. </w:t>
      </w:r>
    </w:p>
    <w:p w:rsidR="00FB0B24" w:rsidRPr="005B5CB6" w:rsidP="001512F6">
      <w:pPr>
        <w:spacing w:after="17"/>
        <w:ind w:left="722"/>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Defending Democracy programme will help promote the integrity of our electoral system, defend it from hostile activity and disinformation, and maintain public confidence in democracy by improving transparency and accountability. Though this is a Government programme, we want to work with people from a broad range of perspectives to inform our work. That is why we are inviting the views of Parliamentarians, political parties, third party organisations, academics, regulators and others on the programme and its outcomes. At the same time, we will continue to consider all the recommendations already made to the Government. We all have a stake in our democracy and care deeply about the values it represents. By taking a broad and inclusive approach, this programme can build a consensus on the way forward to continue to defend our democracy into the future. </w:t>
      </w:r>
    </w:p>
    <w:p w:rsidR="00FB0B24" w:rsidRPr="005B5CB6" w:rsidP="001512F6">
      <w:pPr>
        <w:spacing w:after="17"/>
        <w:ind w:left="2"/>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Government also regularly engages with international partners to bolster our collective response to disinformation and interference. For example, at the June 2018 G7 Charlevoix Summit, we agreed to the G7 Rapid Response Mechanism (RRM).  </w:t>
      </w:r>
    </w:p>
    <w:p w:rsidR="00FB0B24" w:rsidRPr="005B5CB6" w:rsidP="001512F6">
      <w:pPr>
        <w:spacing w:after="17"/>
        <w:ind w:left="2"/>
        <w:jc w:val="both"/>
        <w:rPr>
          <w:rFonts w:ascii="Verdana" w:hAnsi="Verdana"/>
        </w:rPr>
      </w:pPr>
      <w:r w:rsidRPr="005B5CB6">
        <w:rPr>
          <w:rFonts w:ascii="Verdana" w:eastAsia="Verdana" w:hAnsi="Verdana" w:cs="Verdana"/>
        </w:rPr>
        <w:t xml:space="preserve"> </w:t>
      </w:r>
    </w:p>
    <w:p w:rsidR="00FB0B24" w:rsidRPr="005B5CB6" w:rsidP="001512F6">
      <w:pPr>
        <w:spacing w:after="19"/>
        <w:ind w:left="2"/>
        <w:jc w:val="both"/>
        <w:rPr>
          <w:rFonts w:ascii="Verdana" w:hAnsi="Verdana"/>
        </w:rPr>
      </w:pPr>
      <w:r w:rsidRPr="005B5CB6">
        <w:rPr>
          <w:rFonts w:ascii="Verdana" w:eastAsia="Verdana" w:hAnsi="Verdana" w:cs="Verdana"/>
        </w:rPr>
        <w:t xml:space="preserve"> </w:t>
      </w:r>
    </w:p>
    <w:p w:rsidR="00FB0B24" w:rsidRPr="005B5CB6" w:rsidP="001512F6">
      <w:pPr>
        <w:spacing w:after="26" w:line="250" w:lineRule="auto"/>
        <w:ind w:left="11" w:hanging="10"/>
        <w:jc w:val="both"/>
        <w:rPr>
          <w:rFonts w:ascii="Verdana" w:hAnsi="Verdana"/>
        </w:rPr>
      </w:pPr>
      <w:r w:rsidRPr="005B5CB6">
        <w:rPr>
          <w:rFonts w:ascii="Verdana" w:eastAsia="Verdana" w:hAnsi="Verdana" w:cs="Verdana"/>
          <w:b/>
        </w:rPr>
        <w:t xml:space="preserve">Misinformation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10. What might be the best ways of reducing the effects of misinformation on social media platforms? </w:t>
      </w:r>
      <w:r w:rsidRPr="005B5CB6">
        <w:rPr>
          <w:rFonts w:ascii="Verdana" w:eastAsia="Verdana" w:hAnsi="Verdana" w:cs="Verdana"/>
          <w:b/>
        </w:rPr>
        <w:t xml:space="preserve"> </w:t>
      </w:r>
    </w:p>
    <w:p w:rsidR="00FB0B24" w:rsidRPr="005B5CB6" w:rsidP="001512F6">
      <w:pPr>
        <w:spacing w:after="19"/>
        <w:ind w:left="2"/>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Government makes a distinction between disinformation and misinformation. Government is primarily concerned with disinformation, which we define as the </w:t>
      </w:r>
      <w:r w:rsidRPr="005B5CB6">
        <w:rPr>
          <w:rFonts w:ascii="Verdana" w:eastAsia="Verdana" w:hAnsi="Verdana" w:cs="Verdana"/>
          <w:u w:val="single" w:color="000000"/>
        </w:rPr>
        <w:t>deliberate</w:t>
      </w:r>
      <w:r w:rsidRPr="005B5CB6">
        <w:rPr>
          <w:rFonts w:ascii="Verdana" w:eastAsia="Verdana" w:hAnsi="Verdana" w:cs="Verdana"/>
        </w:rPr>
        <w:t xml:space="preserve"> creation or dissemination of content known to be false, either to cause </w:t>
      </w:r>
      <w:r w:rsidRPr="005B5CB6">
        <w:rPr>
          <w:rFonts w:ascii="Verdana" w:eastAsia="Verdana" w:hAnsi="Verdana" w:cs="Verdana"/>
        </w:rPr>
        <w:t xml:space="preserve">harm or for personal, political or financial gain. Misinformation is defined as the inadvertent spreading of false information, with no malign intent. However, misinformation can still be harmful - anti-vaccination misinformation presents a risk to public health, for instance.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Disinformation is in scope of the Online Harms White Paper. The White Paper provides an indicative list of the types of actions social media and other companies could take to limit the spread and impact of disinformation on their platforms and help their users understand the information they are receiving. These include: </w:t>
      </w:r>
    </w:p>
    <w:p w:rsidR="00FB0B24" w:rsidRPr="005B5CB6" w:rsidP="00575F14">
      <w:pPr>
        <w:numPr>
          <w:ilvl w:val="0"/>
          <w:numId w:val="95"/>
        </w:numPr>
        <w:spacing w:after="5" w:line="249" w:lineRule="auto"/>
        <w:ind w:right="11" w:hanging="360"/>
        <w:jc w:val="both"/>
        <w:rPr>
          <w:rFonts w:ascii="Verdana" w:hAnsi="Verdana"/>
        </w:rPr>
      </w:pPr>
      <w:r w:rsidRPr="005B5CB6">
        <w:rPr>
          <w:rFonts w:ascii="Verdana" w:eastAsia="Verdana" w:hAnsi="Verdana" w:cs="Verdana"/>
        </w:rPr>
        <w:t xml:space="preserve">Making clear in their terms of service what constitutes disinformation, the expectations they have of users, and the penalties for violating those terms of service. </w:t>
      </w:r>
    </w:p>
    <w:p w:rsidR="00FB0B24" w:rsidRPr="005B5CB6" w:rsidP="00575F14">
      <w:pPr>
        <w:numPr>
          <w:ilvl w:val="0"/>
          <w:numId w:val="95"/>
        </w:numPr>
        <w:spacing w:after="25" w:line="250" w:lineRule="auto"/>
        <w:ind w:right="11" w:hanging="360"/>
        <w:jc w:val="both"/>
        <w:rPr>
          <w:rFonts w:ascii="Verdana" w:hAnsi="Verdana"/>
        </w:rPr>
      </w:pPr>
      <w:r w:rsidRPr="005B5CB6">
        <w:rPr>
          <w:rFonts w:ascii="Verdana" w:eastAsia="Verdana" w:hAnsi="Verdana" w:cs="Verdana"/>
        </w:rPr>
        <w:t xml:space="preserve">Taking steps in relation to users who deliberately misrepresent their identity to spread and strengthen disinformation. </w:t>
      </w:r>
    </w:p>
    <w:p w:rsidR="00FB0B24" w:rsidRPr="005B5CB6" w:rsidP="00575F14">
      <w:pPr>
        <w:numPr>
          <w:ilvl w:val="0"/>
          <w:numId w:val="95"/>
        </w:numPr>
        <w:spacing w:after="5" w:line="250" w:lineRule="auto"/>
        <w:ind w:right="11" w:hanging="360"/>
        <w:jc w:val="both"/>
        <w:rPr>
          <w:rFonts w:ascii="Verdana" w:hAnsi="Verdana"/>
        </w:rPr>
      </w:pPr>
      <w:r w:rsidRPr="005B5CB6">
        <w:rPr>
          <w:rFonts w:ascii="Verdana" w:eastAsia="Verdana" w:hAnsi="Verdana" w:cs="Verdana"/>
        </w:rPr>
        <w:t xml:space="preserve">Making content which has been disputed by reputable fact-checking services less visible to users.  </w:t>
      </w:r>
    </w:p>
    <w:p w:rsidR="00FB0B24" w:rsidRPr="005B5CB6" w:rsidP="00575F14">
      <w:pPr>
        <w:numPr>
          <w:ilvl w:val="0"/>
          <w:numId w:val="95"/>
        </w:numPr>
        <w:spacing w:after="26" w:line="250" w:lineRule="auto"/>
        <w:ind w:right="11" w:hanging="360"/>
        <w:jc w:val="both"/>
        <w:rPr>
          <w:rFonts w:ascii="Verdana" w:hAnsi="Verdana"/>
        </w:rPr>
      </w:pPr>
      <w:r w:rsidRPr="005B5CB6">
        <w:rPr>
          <w:rFonts w:ascii="Verdana" w:eastAsia="Verdana" w:hAnsi="Verdana" w:cs="Verdana"/>
        </w:rPr>
        <w:t xml:space="preserve">Using fact-checking services, particularly during election periods.  </w:t>
      </w:r>
    </w:p>
    <w:p w:rsidR="00FB0B24" w:rsidRPr="005B5CB6" w:rsidP="00575F14">
      <w:pPr>
        <w:numPr>
          <w:ilvl w:val="0"/>
          <w:numId w:val="95"/>
        </w:numPr>
        <w:spacing w:after="26" w:line="250" w:lineRule="auto"/>
        <w:ind w:right="11" w:hanging="360"/>
        <w:jc w:val="both"/>
        <w:rPr>
          <w:rFonts w:ascii="Verdana" w:hAnsi="Verdana"/>
        </w:rPr>
      </w:pPr>
      <w:r w:rsidRPr="005B5CB6">
        <w:rPr>
          <w:rFonts w:ascii="Verdana" w:eastAsia="Verdana" w:hAnsi="Verdana" w:cs="Verdana"/>
        </w:rPr>
        <w:t xml:space="preserve">Promoting authoritative news sources. </w:t>
      </w:r>
    </w:p>
    <w:p w:rsidR="00FB0B24" w:rsidRPr="005B5CB6" w:rsidP="00575F14">
      <w:pPr>
        <w:numPr>
          <w:ilvl w:val="0"/>
          <w:numId w:val="95"/>
        </w:numPr>
        <w:spacing w:after="5" w:line="249" w:lineRule="auto"/>
        <w:ind w:right="11" w:hanging="360"/>
        <w:jc w:val="both"/>
        <w:rPr>
          <w:rFonts w:ascii="Verdana" w:hAnsi="Verdana"/>
        </w:rPr>
      </w:pPr>
      <w:r w:rsidRPr="005B5CB6">
        <w:rPr>
          <w:rFonts w:ascii="Verdana" w:eastAsia="Verdana" w:hAnsi="Verdana" w:cs="Verdana"/>
        </w:rPr>
        <w:t xml:space="preserve">Promoting diverse news content, countering the ‘echo chamber’ in which people are only exposed to information which reinforces their existing views. </w:t>
      </w:r>
    </w:p>
    <w:p w:rsidR="00FB0B24" w:rsidRPr="005B5CB6" w:rsidP="00575F14">
      <w:pPr>
        <w:numPr>
          <w:ilvl w:val="0"/>
          <w:numId w:val="95"/>
        </w:numPr>
        <w:spacing w:after="25" w:line="250" w:lineRule="auto"/>
        <w:ind w:right="11" w:hanging="360"/>
        <w:jc w:val="both"/>
        <w:rPr>
          <w:rFonts w:ascii="Verdana" w:hAnsi="Verdana"/>
        </w:rPr>
      </w:pPr>
      <w:r w:rsidRPr="005B5CB6">
        <w:rPr>
          <w:rFonts w:ascii="Verdana" w:eastAsia="Verdana" w:hAnsi="Verdana" w:cs="Verdana"/>
        </w:rPr>
        <w:t xml:space="preserve">Ensuring that it is clear to users when they are dealing with automated accounts, and that automated dissemination of content is not abused. </w:t>
      </w:r>
    </w:p>
    <w:p w:rsidR="00FB0B24" w:rsidRPr="005B5CB6" w:rsidP="00575F14">
      <w:pPr>
        <w:numPr>
          <w:ilvl w:val="0"/>
          <w:numId w:val="95"/>
        </w:numPr>
        <w:spacing w:after="5" w:line="250" w:lineRule="auto"/>
        <w:ind w:right="11" w:hanging="360"/>
        <w:jc w:val="both"/>
        <w:rPr>
          <w:rFonts w:ascii="Verdana" w:hAnsi="Verdana"/>
        </w:rPr>
      </w:pPr>
      <w:r w:rsidRPr="005B5CB6">
        <w:rPr>
          <w:rFonts w:ascii="Verdana" w:eastAsia="Verdana" w:hAnsi="Verdana" w:cs="Verdana"/>
        </w:rPr>
        <w:t xml:space="preserve">Improving the transparency of political advertising, helping meet any requirements in electoral law. </w:t>
      </w:r>
    </w:p>
    <w:p w:rsidR="00FB0B24" w:rsidRPr="005B5CB6" w:rsidP="00575F14">
      <w:pPr>
        <w:numPr>
          <w:ilvl w:val="0"/>
          <w:numId w:val="95"/>
        </w:numPr>
        <w:spacing w:after="5" w:line="249" w:lineRule="auto"/>
        <w:ind w:right="11" w:hanging="360"/>
        <w:jc w:val="both"/>
        <w:rPr>
          <w:rFonts w:ascii="Verdana" w:hAnsi="Verdana"/>
        </w:rPr>
      </w:pPr>
      <w:r w:rsidRPr="005B5CB6">
        <w:rPr>
          <w:rFonts w:ascii="Verdana" w:eastAsia="Verdana" w:hAnsi="Verdana" w:cs="Verdana"/>
        </w:rPr>
        <w:t xml:space="preserve">Reporting processes which companies should put in place to ensure that users can easily flag content that they suspect or know to be false, and which enable users to understand what actions have been taken and why. </w:t>
      </w:r>
    </w:p>
    <w:p w:rsidR="00FB0B24" w:rsidRPr="005B5CB6" w:rsidP="00575F14">
      <w:pPr>
        <w:numPr>
          <w:ilvl w:val="0"/>
          <w:numId w:val="95"/>
        </w:numPr>
        <w:spacing w:after="26" w:line="249" w:lineRule="auto"/>
        <w:ind w:right="11" w:hanging="360"/>
        <w:jc w:val="both"/>
        <w:rPr>
          <w:rFonts w:ascii="Verdana" w:hAnsi="Verdana"/>
        </w:rPr>
      </w:pPr>
      <w:r w:rsidRPr="005B5CB6">
        <w:rPr>
          <w:rFonts w:ascii="Verdana" w:eastAsia="Verdana" w:hAnsi="Verdana" w:cs="Verdana"/>
        </w:rPr>
        <w:t xml:space="preserve">Processes for publishing data that will enable the public to assess the overall effectiveness of the actions companies are taking, and for supporting research into the nature of online disinformation activity. </w:t>
      </w:r>
    </w:p>
    <w:p w:rsidR="00FB0B24" w:rsidRPr="005B5CB6" w:rsidP="00575F14">
      <w:pPr>
        <w:numPr>
          <w:ilvl w:val="0"/>
          <w:numId w:val="95"/>
        </w:numPr>
        <w:spacing w:after="5" w:line="249" w:lineRule="auto"/>
        <w:ind w:right="11" w:hanging="360"/>
        <w:jc w:val="both"/>
        <w:rPr>
          <w:rFonts w:ascii="Verdana" w:hAnsi="Verdana"/>
        </w:rPr>
      </w:pPr>
      <w:r w:rsidRPr="005B5CB6">
        <w:rPr>
          <w:rFonts w:ascii="Verdana" w:eastAsia="Verdana" w:hAnsi="Verdana" w:cs="Verdana"/>
        </w:rPr>
        <w:t xml:space="preserve">Steps that services should take to monitor and evaluate the effectiveness of their processes for tackling disinformation and adapt processes accordingly. </w:t>
      </w:r>
    </w:p>
    <w:p w:rsidR="00FB0B24" w:rsidRPr="005B5CB6" w:rsidP="001512F6">
      <w:pPr>
        <w:spacing w:after="17"/>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Although these measures have been proposed with tackling disinformation in mind, they would also be effective in tackling misinformation.  </w:t>
      </w:r>
    </w:p>
    <w:p w:rsidR="00FB0B24" w:rsidRPr="005B5CB6" w:rsidP="001512F6">
      <w:pPr>
        <w:spacing w:after="17"/>
        <w:ind w:left="2"/>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Better education and awareness are also key to long-term success in limiting the harmful impact of disinformation and misinformation - as well as other online harms - on social media and society more widely. As stated in the Online Harms White Paper, online media and digital literacy can equip users with the skills they need to spot dangers online, critically appraise information and take steps to keep themselves and others safe online. It can also have wider benefits, including for the functioning of democracy by giving users a better understanding of online content and enabling them to distinguish between facts and opinions online. The White Paper announced the Government’s plans to develop an online media literacy strategy to ensure a coordinated and strategic approach to online media literacy education and awareness for children, young people and adults.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Government has also taken action to increase awareness among the public of how to recognise disinformation online with the “Don’t Feed the Beast” campaign. Launched In April 2019, the campaign aims to increase audience awareness to disinformation by educating and empowering those who see, inadvertently share and are affected by false or misleading information. It provides straightforward advice to help the public check whether content is likely to be false or intentionally misleading. Earlier this year, the Government launched the ‘RESIST’ toolkit, which supports organisations in developing their own strategic counter-disinformation capability. The toolkit is primarily a resource for public service communications teams and it equips people with the knowledge and skills to identify, assess and respond to disinformation. The ‘RESIST’ model provides straightforward steps to follow and promotes a consistent approach. </w:t>
      </w:r>
      <w:r w:rsidRPr="005B5CB6">
        <w:rPr>
          <w:rFonts w:ascii="Verdana" w:eastAsia="Verdana" w:hAnsi="Verdana" w:cs="Verdana"/>
          <w:color w:val="222222"/>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50" w:lineRule="auto"/>
        <w:ind w:left="11" w:hanging="10"/>
        <w:jc w:val="both"/>
        <w:rPr>
          <w:rFonts w:ascii="Verdana" w:hAnsi="Verdana"/>
        </w:rPr>
      </w:pPr>
      <w:r w:rsidRPr="005B5CB6">
        <w:rPr>
          <w:rFonts w:ascii="Verdana" w:eastAsia="Verdana" w:hAnsi="Verdana" w:cs="Verdana"/>
          <w:b/>
        </w:rPr>
        <w:t xml:space="preserve">Moderation </w:t>
      </w:r>
    </w:p>
    <w:p w:rsidR="00FB0B24" w:rsidRPr="005B5CB6" w:rsidP="00575F14">
      <w:pPr>
        <w:numPr>
          <w:ilvl w:val="0"/>
          <w:numId w:val="96"/>
        </w:numPr>
        <w:spacing w:after="26" w:line="249" w:lineRule="auto"/>
        <w:ind w:right="12" w:hanging="9"/>
        <w:jc w:val="both"/>
        <w:rPr>
          <w:rFonts w:ascii="Verdana" w:hAnsi="Verdana"/>
        </w:rPr>
      </w:pPr>
      <w:r w:rsidRPr="005B5CB6">
        <w:rPr>
          <w:rFonts w:ascii="Verdana" w:eastAsia="Verdana" w:hAnsi="Verdana" w:cs="Verdana"/>
        </w:rPr>
        <w:t xml:space="preserve">How could the moderation processes of large technology companies be improved to better tackle abuse and misinformation, as well as helping public debate flourish? </w:t>
      </w: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Online Harms White Paper sets out the types of actions the Government thinks large technology companies could implement to tackle disinformation/ misinformation on their services more effectively, and one proposal is that an online harms regulator could enforce these as part of companies’ duty of care to protect their users from disinformation. These recommendations are very much focused on the processes by which companies could do this, rather than expecting them to make judgements about what is true or false. The Government believes that these proposed measures will help improve safety of whole information environment and promote a healthier public debate online.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Some of the proposals Government consulted on were moderation processes that could be improved to better tackle disinformation and misinformation, including: </w:t>
      </w:r>
    </w:p>
    <w:p w:rsidR="00FB0B24" w:rsidRPr="005B5CB6" w:rsidP="00575F14">
      <w:pPr>
        <w:numPr>
          <w:ilvl w:val="1"/>
          <w:numId w:val="96"/>
        </w:numPr>
        <w:spacing w:after="5" w:line="250" w:lineRule="auto"/>
        <w:ind w:left="720" w:right="11" w:hanging="360"/>
        <w:jc w:val="both"/>
        <w:rPr>
          <w:rFonts w:ascii="Verdana" w:hAnsi="Verdana"/>
        </w:rPr>
      </w:pPr>
      <w:r w:rsidRPr="005B5CB6">
        <w:rPr>
          <w:rFonts w:ascii="Verdana" w:eastAsia="Verdana" w:hAnsi="Verdana" w:cs="Verdana"/>
        </w:rPr>
        <w:t xml:space="preserve">Making content disputed by reputable fact-checking services less visible to users; </w:t>
      </w:r>
    </w:p>
    <w:p w:rsidR="00FB0B24" w:rsidRPr="005B5CB6" w:rsidP="00575F14">
      <w:pPr>
        <w:numPr>
          <w:ilvl w:val="1"/>
          <w:numId w:val="96"/>
        </w:numPr>
        <w:spacing w:after="25" w:line="250" w:lineRule="auto"/>
        <w:ind w:left="720" w:right="11" w:hanging="360"/>
        <w:jc w:val="both"/>
        <w:rPr>
          <w:rFonts w:ascii="Verdana" w:hAnsi="Verdana"/>
        </w:rPr>
      </w:pPr>
      <w:r w:rsidRPr="005B5CB6">
        <w:rPr>
          <w:rFonts w:ascii="Verdana" w:eastAsia="Verdana" w:hAnsi="Verdana" w:cs="Verdana"/>
        </w:rPr>
        <w:t xml:space="preserve">Taking steps in relation to users who deliberately misrepresent their identity to spread and strengthen disinformation; </w:t>
      </w:r>
    </w:p>
    <w:p w:rsidR="00FB0B24" w:rsidRPr="005B5CB6" w:rsidP="00575F14">
      <w:pPr>
        <w:numPr>
          <w:ilvl w:val="1"/>
          <w:numId w:val="96"/>
        </w:numPr>
        <w:spacing w:after="26" w:line="250" w:lineRule="auto"/>
        <w:ind w:left="720" w:right="11" w:hanging="360"/>
        <w:jc w:val="both"/>
        <w:rPr>
          <w:rFonts w:ascii="Verdana" w:hAnsi="Verdana"/>
        </w:rPr>
      </w:pPr>
      <w:r w:rsidRPr="005B5CB6">
        <w:rPr>
          <w:rFonts w:ascii="Verdana" w:eastAsia="Verdana" w:hAnsi="Verdana" w:cs="Verdana"/>
        </w:rPr>
        <w:t xml:space="preserve">Using fact-checking services, particularly during election periods; </w:t>
      </w:r>
    </w:p>
    <w:p w:rsidR="00FB0B24" w:rsidRPr="005B5CB6" w:rsidP="00575F14">
      <w:pPr>
        <w:numPr>
          <w:ilvl w:val="1"/>
          <w:numId w:val="96"/>
        </w:numPr>
        <w:spacing w:after="26" w:line="250" w:lineRule="auto"/>
        <w:ind w:left="720" w:right="11" w:hanging="360"/>
        <w:jc w:val="both"/>
        <w:rPr>
          <w:rFonts w:ascii="Verdana" w:hAnsi="Verdana"/>
        </w:rPr>
      </w:pPr>
      <w:r w:rsidRPr="005B5CB6">
        <w:rPr>
          <w:rFonts w:ascii="Verdana" w:eastAsia="Verdana" w:hAnsi="Verdana" w:cs="Verdana"/>
        </w:rPr>
        <w:t xml:space="preserve">Taking steps to ensure automated dissemination of content is not abused; </w:t>
      </w:r>
    </w:p>
    <w:p w:rsidR="00FB0B24" w:rsidRPr="005B5CB6" w:rsidP="00575F14">
      <w:pPr>
        <w:numPr>
          <w:ilvl w:val="1"/>
          <w:numId w:val="96"/>
        </w:numPr>
        <w:spacing w:after="5" w:line="249" w:lineRule="auto"/>
        <w:ind w:left="720" w:right="11" w:hanging="360"/>
        <w:jc w:val="both"/>
        <w:rPr>
          <w:rFonts w:ascii="Verdana" w:hAnsi="Verdana"/>
        </w:rPr>
      </w:pPr>
      <w:r w:rsidRPr="005B5CB6">
        <w:rPr>
          <w:rFonts w:ascii="Verdana" w:eastAsia="Verdana" w:hAnsi="Verdana" w:cs="Verdana"/>
        </w:rPr>
        <w:t xml:space="preserve">Implementing reporting processes for users to be able to easily flag content they suspect or know to be false, and which enable users to understand what actions have been taken and why;  </w:t>
      </w:r>
    </w:p>
    <w:p w:rsidR="00FB0B24" w:rsidRPr="005B5CB6" w:rsidP="00575F14">
      <w:pPr>
        <w:numPr>
          <w:ilvl w:val="1"/>
          <w:numId w:val="96"/>
        </w:numPr>
        <w:spacing w:after="5" w:line="250" w:lineRule="auto"/>
        <w:ind w:left="720" w:right="11" w:hanging="360"/>
        <w:jc w:val="both"/>
        <w:rPr>
          <w:rFonts w:ascii="Verdana" w:hAnsi="Verdana"/>
        </w:rPr>
      </w:pPr>
      <w:r w:rsidRPr="005B5CB6">
        <w:rPr>
          <w:rFonts w:ascii="Verdana" w:eastAsia="Verdana" w:hAnsi="Verdana" w:cs="Verdana"/>
        </w:rPr>
        <w:t xml:space="preserve">Taking steps to monitor and evaluate the effectiveness of their processes for tackling disinformation and adapt processes accordingly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Government recognises that several social media companies have already implemented tools and processes in line with these recommendations, as well as using automated AI techniques to detect and remove fake and spam accounts. However, we are clear that there is more that can be done to protect users. </w:t>
      </w:r>
      <w:r w:rsidRPr="005B5CB6">
        <w:rPr>
          <w:rFonts w:ascii="Verdana" w:eastAsia="Verdana" w:hAnsi="Verdana" w:cs="Verdana"/>
        </w:rPr>
        <w:t xml:space="preserve">Government believes that the proposals set out in the Online Harms White Paper such as the Duty of Care on platforms would help to ensure that fact-based debate is able to flourish.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8" w:line="250" w:lineRule="auto"/>
        <w:ind w:left="11" w:hanging="10"/>
        <w:jc w:val="both"/>
        <w:rPr>
          <w:rFonts w:ascii="Verdana" w:hAnsi="Verdana"/>
        </w:rPr>
      </w:pPr>
      <w:r w:rsidRPr="005B5CB6">
        <w:rPr>
          <w:rFonts w:ascii="Verdana" w:eastAsia="Verdana" w:hAnsi="Verdana" w:cs="Verdana"/>
          <w:b/>
        </w:rPr>
        <w:t xml:space="preserve">Technology and democratic engagement </w:t>
      </w:r>
    </w:p>
    <w:p w:rsidR="00FB0B24" w:rsidRPr="005B5CB6" w:rsidP="00575F14">
      <w:pPr>
        <w:numPr>
          <w:ilvl w:val="0"/>
          <w:numId w:val="96"/>
        </w:numPr>
        <w:spacing w:after="5" w:line="249" w:lineRule="auto"/>
        <w:ind w:right="12" w:hanging="9"/>
        <w:jc w:val="both"/>
        <w:rPr>
          <w:rFonts w:ascii="Verdana" w:hAnsi="Verdana"/>
        </w:rPr>
      </w:pPr>
      <w:r w:rsidRPr="005B5CB6">
        <w:rPr>
          <w:rFonts w:ascii="Verdana" w:eastAsia="Verdana" w:hAnsi="Verdana" w:cs="Verdana"/>
        </w:rPr>
        <w:t xml:space="preserve">How could the Government better support the positive work of civil society organisations using technology to facilitate engagement with democratic processes? </w:t>
      </w:r>
    </w:p>
    <w:p w:rsidR="00FB0B24" w:rsidRPr="005B5CB6" w:rsidP="001512F6">
      <w:pPr>
        <w:spacing w:after="17"/>
        <w:jc w:val="both"/>
        <w:rPr>
          <w:rFonts w:ascii="Verdana" w:hAnsi="Verdana"/>
        </w:rPr>
      </w:pPr>
      <w:r w:rsidRPr="005B5CB6">
        <w:rPr>
          <w:rFonts w:ascii="Verdana" w:eastAsia="Verdana" w:hAnsi="Verdana" w:cs="Verdana"/>
          <w:color w:val="999999"/>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The Government recognises the contributions of civil society organisations in facilitating effective functioning of our democracy. A number of proactive approaches have been employed by the government to engage and partner with civil society organisations, while leveraging technological outputs and media to drive and convey critical messages of democracy.  </w:t>
      </w:r>
    </w:p>
    <w:p w:rsidR="00FB0B24" w:rsidRPr="005B5CB6" w:rsidP="001512F6">
      <w:pPr>
        <w:spacing w:after="17"/>
        <w:ind w:left="1"/>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introduction of Individual Electoral Registration (IER) and the Register to Vote website has transformed the interaction with civil society organisations by enabling immediate applications and the inclusion of links to register to vote via social media and online platforms.  </w:t>
      </w:r>
    </w:p>
    <w:p w:rsidR="00FB0B24" w:rsidRPr="005B5CB6" w:rsidP="001512F6">
      <w:pPr>
        <w:spacing w:after="18"/>
        <w:ind w:left="1"/>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Cabinet Office has produced the </w:t>
      </w:r>
      <w:r>
        <w:fldChar w:fldCharType="begin"/>
      </w:r>
      <w:r>
        <w:instrText xml:space="preserve"> HYPERLINK "https://assets.publishing.service.gov.uk/government/uploads/system/uploads/attachment_data/file/773336/AtlasOfDemocraticVariation.pdf" </w:instrText>
      </w:r>
      <w:r>
        <w:fldChar w:fldCharType="separate"/>
      </w:r>
      <w:r w:rsidRPr="005B5CB6">
        <w:rPr>
          <w:rFonts w:ascii="Verdana" w:eastAsia="Verdana" w:hAnsi="Verdana" w:cs="Verdana"/>
          <w:color w:val="1155CC"/>
          <w:u w:val="single" w:color="1155CC"/>
        </w:rPr>
        <w:t>Atlas</w:t>
      </w:r>
      <w:r>
        <w:fldChar w:fldCharType="end"/>
      </w:r>
      <w:r>
        <w:fldChar w:fldCharType="begin"/>
      </w:r>
      <w:r>
        <w:instrText xml:space="preserve"> HYPERLINK "https://assets.publishing.service.gov.uk/government/uploads/system/uploads/attachment_data/file/773336/AtlasOfDemocraticVariation.pdf" </w:instrText>
      </w:r>
      <w:r>
        <w:fldChar w:fldCharType="separate"/>
      </w:r>
      <w:r w:rsidRPr="005B5CB6">
        <w:rPr>
          <w:rFonts w:ascii="Verdana" w:eastAsia="Verdana" w:hAnsi="Verdana" w:cs="Verdana"/>
          <w:color w:val="1155CC"/>
          <w:u w:val="single" w:color="1155CC"/>
        </w:rPr>
        <w:t xml:space="preserve"> of Democratic Variation,</w:t>
      </w:r>
      <w:r>
        <w:fldChar w:fldCharType="end"/>
      </w:r>
      <w:r>
        <w:fldChar w:fldCharType="begin"/>
      </w:r>
      <w:r>
        <w:instrText xml:space="preserve"> HYPERLINK "https://assets.publishing.service.gov.uk/government/uploads/system/uploads/attachment_data/file/773336/AtlasOfDemocraticVariation.pdf"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 collection of choropleth maps, developed in collaboration with the Office for National Statistics, to illustrate geographical variations in data relevant to electoral registration activity. These maps are now publicly available online and can help civil society groups understand the levels of engagement in their communities.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23" w:line="249" w:lineRule="auto"/>
        <w:ind w:left="10" w:right="12" w:hanging="9"/>
        <w:jc w:val="both"/>
        <w:rPr>
          <w:rFonts w:ascii="Verdana" w:hAnsi="Verdana"/>
        </w:rPr>
      </w:pPr>
      <w:r w:rsidRPr="005B5CB6">
        <w:rPr>
          <w:rFonts w:ascii="Verdana" w:eastAsia="Verdana" w:hAnsi="Verdana" w:cs="Verdana"/>
        </w:rPr>
        <w:t xml:space="preserve">The Government has also developed a dedicated website for </w:t>
      </w:r>
      <w:r>
        <w:fldChar w:fldCharType="begin"/>
      </w:r>
      <w:r>
        <w:instrText xml:space="preserve"> HYPERLINK "https://democracyweek.campaign.gov.uk/" </w:instrText>
      </w:r>
      <w:r>
        <w:fldChar w:fldCharType="separate"/>
      </w:r>
      <w:r w:rsidRPr="005B5CB6">
        <w:rPr>
          <w:rFonts w:ascii="Verdana" w:eastAsia="Verdana" w:hAnsi="Verdana" w:cs="Verdana"/>
          <w:color w:val="1155CC"/>
          <w:u w:val="single" w:color="1155CC"/>
        </w:rPr>
        <w:t>National Democracy</w:t>
      </w:r>
      <w:r>
        <w:fldChar w:fldCharType="end"/>
      </w:r>
      <w:r>
        <w:fldChar w:fldCharType="begin"/>
      </w:r>
      <w:r>
        <w:instrText xml:space="preserve"> HYPERLINK "https://democracyweek.campaign.gov.uk/" </w:instrText>
      </w:r>
      <w:r>
        <w:fldChar w:fldCharType="separate"/>
      </w:r>
      <w:r w:rsidRPr="005B5CB6">
        <w:rPr>
          <w:rFonts w:ascii="Verdana" w:eastAsia="Verdana" w:hAnsi="Verdana" w:cs="Verdana"/>
          <w:color w:val="1155CC"/>
        </w:rPr>
        <w:t xml:space="preserve"> </w:t>
      </w:r>
      <w:r>
        <w:fldChar w:fldCharType="end"/>
      </w:r>
      <w:r>
        <w:fldChar w:fldCharType="begin"/>
      </w:r>
      <w:r>
        <w:instrText xml:space="preserve"> HYPERLINK "https://democracyweek.campaign.gov.uk/" </w:instrText>
      </w:r>
      <w:r>
        <w:fldChar w:fldCharType="separate"/>
      </w:r>
      <w:r w:rsidRPr="005B5CB6">
        <w:rPr>
          <w:rFonts w:ascii="Verdana" w:eastAsia="Verdana" w:hAnsi="Verdana" w:cs="Verdana"/>
          <w:color w:val="1155CC"/>
          <w:u w:val="single" w:color="1155CC"/>
        </w:rPr>
        <w:t>Week</w:t>
      </w:r>
      <w:r>
        <w:fldChar w:fldCharType="end"/>
      </w:r>
      <w:r>
        <w:fldChar w:fldCharType="begin"/>
      </w:r>
      <w:r>
        <w:instrText xml:space="preserve"> HYPERLINK "https://democracyweek.campaign.gov.uk/"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(NDW). NDW in 2018 saw 52 organisations across the UK run democratic engagement activities from 2 to 8 July 2018. The second National Democracy Week will run from 14 to 20 October 2019. The website has numerous digital assets including branding and partner pack and other resources designed to help civil society organisations and other partners to plan and deliver activity. This has been very successful as this was downloaded more than 2,000 times last year and it has been updated for NDW 2019.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Government has previously funded national organisations to deliver democratic engagement activity, using social media as an integral element. For example, ahead of the EU Referendum UpRising, a national youth leadership development organisation, were funded to engage young people to run a digital campaign. They were given the support of central and regional staff to get key messages out to their online followers via different social media channels. </w:t>
      </w:r>
    </w:p>
    <w:p w:rsidR="00FB0B24" w:rsidRPr="005B5CB6" w:rsidP="001512F6">
      <w:pPr>
        <w:spacing w:after="19"/>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Government has co-created a number of interactive resources, available as a </w:t>
      </w:r>
      <w:r>
        <w:fldChar w:fldCharType="begin"/>
      </w:r>
      <w:r>
        <w:instrText xml:space="preserve"> HYPERLINK "https://www.gov.uk/government/collections/democratic-engagement-resources" </w:instrText>
      </w:r>
      <w:r>
        <w:fldChar w:fldCharType="separate"/>
      </w:r>
      <w:r w:rsidRPr="005B5CB6">
        <w:rPr>
          <w:rFonts w:ascii="Verdana" w:eastAsia="Verdana" w:hAnsi="Verdana" w:cs="Verdana"/>
          <w:u w:val="single" w:color="000000"/>
        </w:rPr>
        <w:t>collection on GOV.UK</w:t>
      </w:r>
      <w:r>
        <w:fldChar w:fldCharType="end"/>
      </w:r>
      <w:r>
        <w:fldChar w:fldCharType="begin"/>
      </w:r>
      <w:r>
        <w:instrText xml:space="preserve"> HYPERLINK "https://www.gov.uk/government/collections/democratic-engagement-resources"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which we encourage civil society organisations, schools and parliamentarians to use with different audiences. These include Rock Enrol! aimed at 13 to 16 year olds which incorporates short films, and the Historical Association who in partnership with Cabinet Office and the Government Equalities Office created </w:t>
      </w:r>
      <w:r>
        <w:fldChar w:fldCharType="begin"/>
      </w:r>
      <w:r>
        <w:instrText xml:space="preserve"> HYPERLINK "https://www.suffrageresources.org.uk/" </w:instrText>
      </w:r>
      <w:r>
        <w:fldChar w:fldCharType="separate"/>
      </w:r>
      <w:r w:rsidRPr="005B5CB6">
        <w:rPr>
          <w:rFonts w:ascii="Verdana" w:eastAsia="Verdana" w:hAnsi="Verdana" w:cs="Verdana"/>
          <w:u w:val="single" w:color="000000"/>
        </w:rPr>
        <w:t>Women’s Suffrage: History and Citizenship resources for schools</w:t>
      </w:r>
      <w:r>
        <w:fldChar w:fldCharType="end"/>
      </w:r>
      <w:r>
        <w:fldChar w:fldCharType="begin"/>
      </w:r>
      <w:r>
        <w:instrText xml:space="preserve"> HYPERLINK "https://www.suffrageresources.org.uk/"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The </w:t>
      </w:r>
      <w:r w:rsidRPr="005B5CB6">
        <w:rPr>
          <w:rFonts w:ascii="Verdana" w:eastAsia="Verdana" w:hAnsi="Verdana" w:cs="Verdana"/>
        </w:rPr>
        <w:t xml:space="preserve">Democracy Ambassador resource pack, including session plans, supporting guidance and handouts is also included in this online collection. Anyone can use the materials: the sessions are straightforward to prepare and run and can be tailored to suit different groups and settings. There are some easy-read versions available. </w:t>
      </w:r>
    </w:p>
    <w:p w:rsidR="00FB0B24" w:rsidRPr="005B5CB6" w:rsidP="001512F6">
      <w:pPr>
        <w:spacing w:after="0"/>
        <w:jc w:val="both"/>
        <w:rPr>
          <w:rFonts w:ascii="Verdana" w:hAnsi="Verdana"/>
        </w:rPr>
      </w:pPr>
      <w:r w:rsidRPr="005B5CB6">
        <w:rPr>
          <w:rFonts w:ascii="Verdana" w:eastAsia="Verdana" w:hAnsi="Verdana" w:cs="Verdana"/>
          <w:color w:val="999999"/>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Government also has an ongoing </w:t>
      </w:r>
      <w:r w:rsidRPr="005B5CB6">
        <w:rPr>
          <w:rFonts w:ascii="Verdana" w:eastAsia="Verdana" w:hAnsi="Verdana" w:cs="Verdana"/>
          <w:i/>
        </w:rPr>
        <w:t xml:space="preserve">Reducing Barriers to Registration Project </w:t>
      </w:r>
      <w:r w:rsidRPr="005B5CB6">
        <w:rPr>
          <w:rFonts w:ascii="Verdana" w:eastAsia="Verdana" w:hAnsi="Verdana" w:cs="Verdana"/>
        </w:rPr>
        <w:t xml:space="preserve">which used a mixture of user testing and video ethnography to compile evidence on barriers facing frequent movers and homeless electors in registering to vote. These videos are being shared widely among electoral registration officers and civil society organisations to help them better understand the barriers to registration that exist for these groups, informing their democratic engagement work and co-designing potential solutions, many with a technological component. Insights from these videos have also fed into the development of anonymised frequent mover and homeless personas, made publicly available in the GOV.UK resource collection, to further support civil society organisations' democratic engagement work. </w:t>
      </w:r>
      <w:r w:rsidRPr="005B5CB6">
        <w:rPr>
          <w:rFonts w:ascii="Verdana" w:eastAsia="Verdana" w:hAnsi="Verdana" w:cs="Verdana"/>
          <w:color w:val="999999"/>
        </w:rPr>
        <w:t xml:space="preserve"> </w:t>
      </w:r>
    </w:p>
    <w:p w:rsidR="00FB0B24" w:rsidRPr="005B5CB6" w:rsidP="001512F6">
      <w:pPr>
        <w:spacing w:after="17"/>
        <w:jc w:val="both"/>
        <w:rPr>
          <w:rFonts w:ascii="Verdana" w:hAnsi="Verdana"/>
        </w:rPr>
      </w:pPr>
      <w:r w:rsidRPr="005B5CB6">
        <w:rPr>
          <w:rFonts w:ascii="Verdana" w:eastAsia="Verdana" w:hAnsi="Verdana" w:cs="Verdana"/>
          <w:color w:val="999999"/>
        </w:rPr>
        <w:t xml:space="preserve"> </w:t>
      </w:r>
    </w:p>
    <w:p w:rsidR="00FB0B24" w:rsidRPr="005B5CB6" w:rsidP="001512F6">
      <w:pPr>
        <w:spacing w:after="17"/>
        <w:jc w:val="both"/>
        <w:rPr>
          <w:rFonts w:ascii="Verdana" w:hAnsi="Verdana"/>
        </w:rPr>
      </w:pPr>
      <w:r w:rsidRPr="005B5CB6">
        <w:rPr>
          <w:rFonts w:ascii="Verdana" w:eastAsia="Verdana" w:hAnsi="Verdana" w:cs="Verdana"/>
          <w:color w:val="999999"/>
        </w:rPr>
        <w:t xml:space="preserve"> </w:t>
      </w:r>
    </w:p>
    <w:p w:rsidR="00FB0B24" w:rsidRPr="005B5CB6" w:rsidP="00575F14">
      <w:pPr>
        <w:numPr>
          <w:ilvl w:val="0"/>
          <w:numId w:val="97"/>
        </w:numPr>
        <w:spacing w:after="5" w:line="249" w:lineRule="auto"/>
        <w:ind w:right="12" w:hanging="9"/>
        <w:jc w:val="both"/>
        <w:rPr>
          <w:rFonts w:ascii="Verdana" w:hAnsi="Verdana"/>
        </w:rPr>
      </w:pPr>
      <w:r w:rsidRPr="005B5CB6">
        <w:rPr>
          <w:rFonts w:ascii="Verdana" w:eastAsia="Verdana" w:hAnsi="Verdana" w:cs="Verdana"/>
        </w:rPr>
        <w:t>How can elected representatives use technology to engage with the public in local and national decision making? What can Parliament and Government do to better use technology to support democratic engagement and ensure the efficacy of the democratic process?</w:t>
      </w:r>
      <w:r w:rsidRPr="005B5CB6">
        <w:rPr>
          <w:rFonts w:ascii="Verdana" w:eastAsia="Verdana" w:hAnsi="Verdana" w:cs="Verdana"/>
          <w:b/>
        </w:rPr>
        <w:t xml:space="preserve"> </w:t>
      </w:r>
    </w:p>
    <w:p w:rsidR="00FB0B24" w:rsidRPr="005B5CB6" w:rsidP="001512F6">
      <w:pPr>
        <w:spacing w:after="18"/>
        <w:jc w:val="both"/>
        <w:rPr>
          <w:rFonts w:ascii="Verdana" w:hAnsi="Verdana"/>
        </w:rPr>
      </w:pPr>
      <w:r w:rsidRPr="005B5CB6">
        <w:rPr>
          <w:rFonts w:ascii="Verdana" w:eastAsia="Verdana" w:hAnsi="Verdana" w:cs="Verdana"/>
          <w:b/>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Democratic Engagement Team in Cabinet Office created </w:t>
      </w:r>
      <w:r>
        <w:fldChar w:fldCharType="begin"/>
      </w:r>
      <w:r>
        <w:instrText xml:space="preserve"> HYPERLINK "https://www.gov.uk/government/publications/youth-engagement-toolkit-for-elected-and-non-elected-officials" </w:instrText>
      </w:r>
      <w:r>
        <w:fldChar w:fldCharType="separate"/>
      </w:r>
      <w:r w:rsidRPr="005B5CB6">
        <w:rPr>
          <w:rFonts w:ascii="Verdana" w:eastAsia="Verdana" w:hAnsi="Verdana" w:cs="Verdana"/>
        </w:rPr>
        <w:t>a</w:t>
      </w:r>
      <w:r>
        <w:fldChar w:fldCharType="end"/>
      </w:r>
      <w:r>
        <w:fldChar w:fldCharType="begin"/>
      </w:r>
      <w:r>
        <w:instrText xml:space="preserve"> HYPERLINK "https://www.gov.uk/government/publications/youth-engagement-toolkit-for-elected-and-non-elected-officials"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"https://www.gov.uk/government/publications/youth-engagement-toolkit-for-elected-and-non-elected-officials" </w:instrText>
      </w:r>
      <w:r>
        <w:fldChar w:fldCharType="separate"/>
      </w:r>
      <w:r w:rsidRPr="005B5CB6">
        <w:rPr>
          <w:rFonts w:ascii="Verdana" w:eastAsia="Verdana" w:hAnsi="Verdana" w:cs="Verdana"/>
          <w:u w:val="single" w:color="000000"/>
        </w:rPr>
        <w:t>Youth Engagement</w:t>
      </w:r>
      <w:r>
        <w:fldChar w:fldCharType="end"/>
      </w:r>
      <w:r>
        <w:fldChar w:fldCharType="begin"/>
      </w:r>
      <w:r>
        <w:instrText xml:space="preserve"> HYPERLINK "https://www.gov.uk/government/publications/youth-engagement-toolkit-for-elected-and-non-elected-officials"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"https://www.gov.uk/government/publications/youth-engagement-toolkit-for-elected-and-non-elected-officials" </w:instrText>
      </w:r>
      <w:r>
        <w:fldChar w:fldCharType="separate"/>
      </w:r>
      <w:r w:rsidRPr="005B5CB6">
        <w:rPr>
          <w:rFonts w:ascii="Verdana" w:eastAsia="Verdana" w:hAnsi="Verdana" w:cs="Verdana"/>
          <w:u w:val="single" w:color="000000"/>
        </w:rPr>
        <w:t>Toolkit for Elected and Non-Elected Officials</w:t>
      </w:r>
      <w:r>
        <w:fldChar w:fldCharType="end"/>
      </w:r>
      <w:r>
        <w:fldChar w:fldCharType="begin"/>
      </w:r>
      <w:r>
        <w:instrText xml:space="preserve"> HYPERLINK "https://www.gov.uk/government/publications/youth-engagement-toolkit-for-elected-and-non-elected-officials" </w:instrText>
      </w:r>
      <w:r>
        <w:fldChar w:fldCharType="separate"/>
      </w:r>
      <w:r w:rsidRPr="005B5CB6">
        <w:rPr>
          <w:rFonts w:ascii="Verdana" w:eastAsia="Verdana" w:hAnsi="Verdana" w:cs="Verdana"/>
          <w:b/>
        </w:rPr>
        <w:t>.</w:t>
      </w:r>
      <w:r>
        <w:fldChar w:fldCharType="end"/>
      </w:r>
      <w:r w:rsidRPr="005B5CB6">
        <w:rPr>
          <w:rFonts w:ascii="Verdana" w:eastAsia="Verdana" w:hAnsi="Verdana" w:cs="Verdana"/>
          <w:b/>
        </w:rPr>
        <w:t xml:space="preserve"> </w:t>
      </w:r>
      <w:r w:rsidRPr="005B5CB6">
        <w:rPr>
          <w:rFonts w:ascii="Verdana" w:eastAsia="Verdana" w:hAnsi="Verdana" w:cs="Verdana"/>
        </w:rPr>
        <w:t>The toolkit was designed with young people and Parliamentarians to create activities young people will engage with and the toolkit offers advice on how to engage with young people, including what digital platforms to use. A section of the toolkit explores how elected and nonelected officials can effectively use social media to engage with young people aged 13-16 years old.</w:t>
      </w: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97"/>
        </w:numPr>
        <w:spacing w:after="5" w:line="250" w:lineRule="auto"/>
        <w:ind w:right="12" w:hanging="9"/>
        <w:jc w:val="both"/>
        <w:rPr>
          <w:rFonts w:ascii="Verdana" w:hAnsi="Verdana"/>
        </w:rPr>
      </w:pPr>
      <w:r w:rsidRPr="005B5CB6">
        <w:rPr>
          <w:rFonts w:ascii="Verdana" w:eastAsia="Verdana" w:hAnsi="Verdana" w:cs="Verdana"/>
        </w:rPr>
        <w:t>What positive examples are there of technology being used to enhance democracy?</w:t>
      </w: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As set out in the CSPL report, social media is a powerful democratising force. It has allowed citizens to communicate directly with politicians and those standing for office, to ensure that their voices are heard and public figures can be directly held to account.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Social media platforms have taken direct action to encourage democratic participation, with Facebook providing reminders to help users find out how to register, what to expect on election day and where voting places are located. In the US 2016 elections, Google created a pop up banner which appeared at the top of Google Maps and read, “Find your Polling Place.” Clicking on this banner would then take users to a customized Google Search query, built especially for Election Day.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As previously mentioned, the introduction of Individual Electoral Registration (IER) has proved to be a significant success, making registering to vote easier, more secure and less open to fraud.  Similarly, the Government’s Register to Vote Website has also had a positive impact on democratic engagement. For the 2017 General Election 93% of the 2.9 million applications submitted between the day the poll was announced and the registration deadline were made online. This resulted in a Parliamentary register of 46.8 million electors, the highest number we have seen.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34"/>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 </w:t>
      </w:r>
    </w:p>
    <w:p w:rsidR="00FB0B24" w:rsidRPr="005B5CB6" w:rsidP="001512F6">
      <w:pPr>
        <w:spacing w:after="26" w:line="250" w:lineRule="auto"/>
        <w:ind w:left="23" w:right="11" w:hanging="8"/>
        <w:jc w:val="both"/>
        <w:rPr>
          <w:rFonts w:ascii="Verdana" w:hAnsi="Verdana"/>
        </w:rPr>
      </w:pPr>
      <w:r w:rsidRPr="005B5CB6">
        <w:rPr>
          <w:rFonts w:ascii="Verdana" w:eastAsia="Verdana" w:hAnsi="Verdana" w:cs="Verdana"/>
        </w:rPr>
        <w:t xml:space="preserve">Clarifications from the session: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b/>
        </w:rPr>
        <w:t xml:space="preserve">Lord Harris of Haringey: </w:t>
      </w:r>
      <w:r w:rsidRPr="005B5CB6">
        <w:rPr>
          <w:rFonts w:ascii="Verdana" w:eastAsia="Verdana" w:hAnsi="Verdana" w:cs="Verdana"/>
        </w:rPr>
        <w:t xml:space="preserve">This is a very small point. You talk about escalating the issues up to the National Security Council. I had understood that, following the change of Prime Minister, the sub-committee structure under the National Security Council had not yet been reconstituted. If that is the case, does it present an issue, because presumably it would not necessarily have gone to the full National Security Council?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b/>
        </w:rPr>
        <w:t>A:</w:t>
      </w:r>
      <w:r w:rsidRPr="005B5CB6">
        <w:rPr>
          <w:rFonts w:ascii="Verdana" w:eastAsia="Verdana" w:hAnsi="Verdana" w:cs="Verdana"/>
        </w:rPr>
        <w:t xml:space="preserve"> Cabinet Committees, including National Security Council sub-committees are set up by the Prime Minister as required. If an issue requires discussion at a Cabinet Committee, there is no reason to prevent the National Security Council or another Cabinet Committee discussing the matter should it be judged necessary and in scope.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b/>
        </w:rPr>
        <w:t>Lord Harris of Haringey:</w:t>
      </w:r>
      <w:r w:rsidRPr="005B5CB6">
        <w:rPr>
          <w:rFonts w:ascii="Verdana" w:eastAsia="Verdana" w:hAnsi="Verdana" w:cs="Verdana"/>
        </w:rPr>
        <w:t xml:space="preserve"> I had been going to ask this question and you have almost answered it. Would it be possible to have a note on the various initiatives which the Government are taking on raising the digital media literacy of adults as opposed to children?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b/>
        </w:rPr>
        <w:t>A:</w:t>
      </w:r>
      <w:r w:rsidRPr="005B5CB6">
        <w:rPr>
          <w:rFonts w:ascii="Verdana" w:eastAsia="Verdana" w:hAnsi="Verdana" w:cs="Verdana"/>
        </w:rPr>
        <w:t xml:space="preserve"> Details on digital and media literacy initiatives for people of all ages have been included within our answer to question 3. </w:t>
      </w:r>
    </w:p>
    <w:p w:rsidR="00FB0B24" w:rsidRPr="005B5CB6" w:rsidP="001512F6">
      <w:pPr>
        <w:jc w:val="both"/>
        <w:rPr>
          <w:rFonts w:ascii="Verdana" w:hAnsi="Verdana"/>
        </w:rPr>
        <w:sectPr w:rsidSect="00D804C9">
          <w:headerReference w:type="even" r:id="rId171"/>
          <w:headerReference w:type="default" r:id="rId172"/>
          <w:footerReference w:type="even" r:id="rId173"/>
          <w:footerReference w:type="default" r:id="rId174"/>
          <w:headerReference w:type="first" r:id="rId175"/>
          <w:footerReference w:type="first" r:id="rId176"/>
          <w:pgSz w:w="11909" w:h="16834"/>
          <w:pgMar w:top="1492" w:right="1435" w:bottom="1441" w:left="1440" w:header="766" w:footer="757" w:gutter="0"/>
          <w:cols w:space="720"/>
        </w:sectPr>
      </w:pPr>
    </w:p>
    <w:p w:rsidR="00FB0B24" w:rsidRPr="005B5CB6" w:rsidP="00A1624B">
      <w:pPr>
        <w:pStyle w:val="Heading1"/>
        <w:rPr>
          <w:sz w:val="22"/>
        </w:rPr>
      </w:pPr>
      <w:bookmarkStart w:id="30" w:name="_Toc44517718"/>
      <w:r w:rsidRPr="005B5CB6">
        <w:rPr>
          <w:sz w:val="22"/>
        </w:rPr>
        <w:t>Dr Claire Hardaker – written evidence (DAD0035)</w:t>
      </w:r>
      <w:bookmarkEnd w:id="30"/>
      <w:r w:rsidRPr="005B5CB6">
        <w:rPr>
          <w:sz w:val="22"/>
        </w:rPr>
        <w:t xml:space="preserve"> </w:t>
      </w:r>
    </w:p>
    <w:p w:rsidR="00FB0B24" w:rsidRPr="005B5CB6" w:rsidP="001512F6">
      <w:pPr>
        <w:spacing w:after="96"/>
        <w:jc w:val="both"/>
        <w:rPr>
          <w:rFonts w:ascii="Verdana" w:hAnsi="Verdana"/>
        </w:rPr>
      </w:pPr>
      <w:r w:rsidRPr="005B5CB6">
        <w:rPr>
          <w:rFonts w:ascii="Verdana" w:eastAsia="Verdana" w:hAnsi="Verdana" w:cs="Verdana"/>
          <w:b/>
        </w:rPr>
        <w:t xml:space="preserve"> </w:t>
      </w:r>
    </w:p>
    <w:p w:rsidR="00FB0B24" w:rsidRPr="005B5CB6" w:rsidP="00575F14">
      <w:pPr>
        <w:numPr>
          <w:ilvl w:val="0"/>
          <w:numId w:val="98"/>
        </w:numPr>
        <w:spacing w:after="109" w:line="250" w:lineRule="auto"/>
        <w:ind w:hanging="10"/>
        <w:jc w:val="both"/>
        <w:rPr>
          <w:rFonts w:ascii="Verdana" w:hAnsi="Verdana"/>
        </w:rPr>
      </w:pPr>
      <w:r w:rsidRPr="005B5CB6">
        <w:rPr>
          <w:rFonts w:ascii="Verdana" w:eastAsia="Verdana" w:hAnsi="Verdana" w:cs="Verdana"/>
          <w:b/>
        </w:rPr>
        <w:t xml:space="preserve">How has digital technology changed the way that democracy works in the UK and has this been a net positive or negative effect? </w:t>
      </w:r>
    </w:p>
    <w:p w:rsidR="00FB0B24" w:rsidRPr="005B5CB6" w:rsidP="00575F14">
      <w:pPr>
        <w:numPr>
          <w:ilvl w:val="2"/>
          <w:numId w:val="102"/>
        </w:numPr>
        <w:spacing w:after="109" w:line="250" w:lineRule="auto"/>
        <w:ind w:right="11" w:hanging="530"/>
        <w:jc w:val="both"/>
        <w:rPr>
          <w:rFonts w:ascii="Verdana" w:hAnsi="Verdana"/>
        </w:rPr>
      </w:pPr>
      <w:r w:rsidRPr="005B5CB6">
        <w:rPr>
          <w:rFonts w:ascii="Verdana" w:eastAsia="Verdana" w:hAnsi="Verdana" w:cs="Verdana"/>
        </w:rPr>
        <w:t xml:space="preserve">It is difficult to envision how one might rigorously and objectively assess whether digital technology has brought with it greater benefits or drawbacks to UK democracy, but it is clear that the digitisation of democracy has certainly had profound impacts across multiple dimensions, including formal political process, informal diplomatic soft power, media actions and reactions, and perhaps most fundamentally of all, the social fabric of inclusion and debate at the level of the ordinary individual. For some these changes will have brought benefits, given them a voice, and shone light on necessary topics, whilst for others, these consequences will have had just the opposite effect. </w:t>
      </w:r>
    </w:p>
    <w:p w:rsidR="00FB0B24" w:rsidRPr="005B5CB6" w:rsidP="00575F14">
      <w:pPr>
        <w:numPr>
          <w:ilvl w:val="2"/>
          <w:numId w:val="102"/>
        </w:numPr>
        <w:spacing w:after="112" w:line="250" w:lineRule="auto"/>
        <w:ind w:right="11" w:hanging="530"/>
        <w:jc w:val="both"/>
        <w:rPr>
          <w:rFonts w:ascii="Verdana" w:hAnsi="Verdana"/>
        </w:rPr>
      </w:pPr>
      <w:r w:rsidRPr="005B5CB6">
        <w:rPr>
          <w:rFonts w:ascii="Verdana" w:eastAsia="Verdana" w:hAnsi="Verdana" w:cs="Verdana"/>
        </w:rPr>
        <w:t xml:space="preserve">Just one concrete example of this is thus: social media platforms have given ordinary individuals the capacity to conduct their own political campaigns (cf. Led by Donkeys, the People’s Vote campaign, and so forth) with extraordinary levels of success. Through a successful Twitter and online campaign, for instance, Led by Donkeys was able to bring attention to a topic they considered crucial, e.g. the honesty of politicians, but that the media was otherwise unwilling to expend much focus on due to the general weary acceptance of, and even boredom with stories about politicians misleading the public. By posting giant tweets of statements made by politicians which conspicuously contradicted their present positions, and then posting images of these online, Led by Donkeys was able to amass a substantial following, leverage crowd-sourced funding, and in the space of six months, rapidly accelerate public debate on issues surrounding honesty, integrity, and the general coherence of the planning and preparation around Brexit. </w:t>
      </w:r>
    </w:p>
    <w:p w:rsidR="00FB0B24" w:rsidRPr="005B5CB6" w:rsidP="00575F14">
      <w:pPr>
        <w:numPr>
          <w:ilvl w:val="2"/>
          <w:numId w:val="102"/>
        </w:numPr>
        <w:spacing w:after="109" w:line="250" w:lineRule="auto"/>
        <w:ind w:right="11" w:hanging="530"/>
        <w:jc w:val="both"/>
        <w:rPr>
          <w:rFonts w:ascii="Verdana" w:hAnsi="Verdana"/>
        </w:rPr>
      </w:pPr>
      <w:r w:rsidRPr="005B5CB6">
        <w:rPr>
          <w:rFonts w:ascii="Verdana" w:eastAsia="Verdana" w:hAnsi="Verdana" w:cs="Verdana"/>
        </w:rPr>
        <w:t xml:space="preserve">However, such grassroots campaigns are also apt to be spoofed via “astroturfing” – that is, a purportedly grassroots campaign that is in fact funded, organised, or otherwise managed by an interested domestic organisation such as a political party. And of course, such movements can be engineered from abroad, as evidenced in the </w:t>
      </w:r>
      <w:r w:rsidRPr="005B5CB6">
        <w:rPr>
          <w:rFonts w:ascii="Verdana" w:eastAsia="Verdana" w:hAnsi="Verdana" w:cs="Verdana"/>
          <w:i/>
        </w:rPr>
        <w:t>Report on the Investigation into Russian Interference in the 2016 Presidential Election</w:t>
      </w:r>
      <w:r w:rsidRPr="005B5CB6">
        <w:rPr>
          <w:rFonts w:ascii="Verdana" w:eastAsia="Verdana" w:hAnsi="Verdana" w:cs="Verdana"/>
        </w:rPr>
        <w:t xml:space="preserve"> by Robert S. Mueller III, thus: </w:t>
      </w:r>
    </w:p>
    <w:p w:rsidR="00FB0B24" w:rsidRPr="005B5CB6" w:rsidP="001512F6">
      <w:pPr>
        <w:spacing w:after="5" w:line="249" w:lineRule="auto"/>
        <w:ind w:left="1449" w:right="12" w:hanging="9"/>
        <w:jc w:val="both"/>
        <w:rPr>
          <w:rFonts w:ascii="Verdana" w:hAnsi="Verdana"/>
        </w:rPr>
      </w:pPr>
      <w:r w:rsidRPr="005B5CB6">
        <w:rPr>
          <w:rFonts w:ascii="Verdana" w:eastAsia="Verdana" w:hAnsi="Verdana" w:cs="Verdana"/>
        </w:rPr>
        <w:t xml:space="preserve">The IRA organized and promoted political rallies inside the United States while posing as U.S. grassroots activists. First, the IRA used one of its preexisting social media personas (Facebook groups and Twitter accounts, for example) to announce and promote the event. The IRA then sent a large number of direct messages to followers of its social media account asking them to attend the event. From those who responded with interest in attending, the IRA then sought a U.S. person to serve as the event's coordinator. […] The Office identified dozens of U.S. rallies organized by the IRA. The earliest evidence of a rally was a "confederate rally" in November 2015.(Mueller 2019: </w:t>
      </w:r>
    </w:p>
    <w:p w:rsidR="00FB0B24" w:rsidRPr="005B5CB6" w:rsidP="001512F6">
      <w:pPr>
        <w:spacing w:after="5" w:line="250" w:lineRule="auto"/>
        <w:ind w:left="1448" w:right="11" w:hanging="8"/>
        <w:jc w:val="both"/>
        <w:rPr>
          <w:rFonts w:ascii="Verdana" w:hAnsi="Verdana"/>
        </w:rPr>
      </w:pPr>
      <w:r w:rsidRPr="005B5CB6">
        <w:rPr>
          <w:rFonts w:ascii="Verdana" w:eastAsia="Verdana" w:hAnsi="Verdana" w:cs="Verdana"/>
        </w:rPr>
        <w:t xml:space="preserve">v1, p29) </w:t>
      </w:r>
    </w:p>
    <w:p w:rsidR="00FB0B24" w:rsidRPr="005B5CB6" w:rsidP="00575F14">
      <w:pPr>
        <w:numPr>
          <w:ilvl w:val="2"/>
          <w:numId w:val="102"/>
        </w:numPr>
        <w:spacing w:after="112" w:line="250" w:lineRule="auto"/>
        <w:ind w:right="11" w:hanging="530"/>
        <w:jc w:val="both"/>
        <w:rPr>
          <w:rFonts w:ascii="Verdana" w:hAnsi="Verdana"/>
        </w:rPr>
      </w:pPr>
      <w:r w:rsidRPr="005B5CB6">
        <w:rPr>
          <w:rFonts w:ascii="Verdana" w:eastAsia="Verdana" w:hAnsi="Verdana" w:cs="Verdana"/>
        </w:rPr>
        <w:t xml:space="preserve">As is often the case, the technology itself is morally agnostic, and will be as beneficial or as mendacious as the individuals who use it. </w:t>
      </w:r>
    </w:p>
    <w:p w:rsidR="00FB0B24" w:rsidRPr="005B5CB6" w:rsidP="00575F14">
      <w:pPr>
        <w:numPr>
          <w:ilvl w:val="0"/>
          <w:numId w:val="98"/>
        </w:numPr>
        <w:spacing w:after="110" w:line="249" w:lineRule="auto"/>
        <w:ind w:hanging="10"/>
        <w:jc w:val="both"/>
        <w:rPr>
          <w:rFonts w:ascii="Verdana" w:hAnsi="Verdana"/>
        </w:rPr>
      </w:pPr>
      <w:r w:rsidRPr="005B5CB6">
        <w:rPr>
          <w:rFonts w:ascii="Verdana" w:eastAsia="Verdana" w:hAnsi="Verdana" w:cs="Verdana"/>
          <w:b/>
        </w:rPr>
        <w:t xml:space="preserve">How have the design of algorithms used by social media platforms shaped democratic debate? To what extent should there be greater accountability for the design of these algorithms? </w:t>
      </w:r>
    </w:p>
    <w:p w:rsidR="00FB0B24" w:rsidRPr="005B5CB6" w:rsidP="00575F14">
      <w:pPr>
        <w:numPr>
          <w:ilvl w:val="2"/>
          <w:numId w:val="99"/>
        </w:numPr>
        <w:spacing w:after="112" w:line="250" w:lineRule="auto"/>
        <w:ind w:right="11" w:hanging="530"/>
        <w:jc w:val="both"/>
        <w:rPr>
          <w:rFonts w:ascii="Verdana" w:hAnsi="Verdana"/>
        </w:rPr>
      </w:pPr>
      <w:r w:rsidRPr="005B5CB6">
        <w:rPr>
          <w:rFonts w:ascii="Verdana" w:eastAsia="Verdana" w:hAnsi="Verdana" w:cs="Verdana"/>
        </w:rPr>
        <w:t xml:space="preserve">Social media algorithms are, rightly, a serious matter. They learn from our preferences, create echo chambers that provide us with more content that we like, filter out content we dislike, and in so doing, they arguably “radicalise” us across a range of topics and attitudes, however benign the aspects we are being radicalised into, from amusing animal memes to appalling videos of gratuitous violence. The net result is that our online environment reinforces an increasingly narrow view of the world, which in turn makes us less culturally, socially, and ideologically literate. </w:t>
      </w:r>
    </w:p>
    <w:p w:rsidR="00FB0B24" w:rsidRPr="005B5CB6" w:rsidP="00575F14">
      <w:pPr>
        <w:numPr>
          <w:ilvl w:val="2"/>
          <w:numId w:val="99"/>
        </w:numPr>
        <w:spacing w:after="109" w:line="250" w:lineRule="auto"/>
        <w:ind w:right="11" w:hanging="530"/>
        <w:jc w:val="both"/>
        <w:rPr>
          <w:rFonts w:ascii="Verdana" w:hAnsi="Verdana"/>
        </w:rPr>
      </w:pPr>
      <w:r w:rsidRPr="005B5CB6">
        <w:rPr>
          <w:rFonts w:ascii="Verdana" w:eastAsia="Verdana" w:hAnsi="Verdana" w:cs="Verdana"/>
        </w:rPr>
        <w:t xml:space="preserve">Algorithm design should be entirely transparent for many reasons. Algorithms are written by humans (who are biased), they are trained on data produced by humans (which is full of biases), they provide results that humans interpret (with bias), and their “services” (that are full of bias) are then provided to humans to consume. Those humans will then go on to reproduce the bias to which they are exposed. Thus algorithms that attempt to curate content for preference are fundamentally reinforcing and amplifying pre-existing biases. </w:t>
      </w:r>
    </w:p>
    <w:p w:rsidR="00FB0B24" w:rsidRPr="005B5CB6" w:rsidP="00575F14">
      <w:pPr>
        <w:numPr>
          <w:ilvl w:val="2"/>
          <w:numId w:val="99"/>
        </w:numPr>
        <w:spacing w:after="109" w:line="250" w:lineRule="auto"/>
        <w:ind w:right="11" w:hanging="530"/>
        <w:jc w:val="both"/>
        <w:rPr>
          <w:rFonts w:ascii="Verdana" w:hAnsi="Verdana"/>
        </w:rPr>
      </w:pPr>
      <w:r w:rsidRPr="005B5CB6">
        <w:rPr>
          <w:rFonts w:ascii="Verdana" w:eastAsia="Verdana" w:hAnsi="Verdana" w:cs="Verdana"/>
        </w:rPr>
        <w:t xml:space="preserve">Moreover, as mentioned above about technology in general, algorithms are morally agnostic and the consequences of their use will be imbued with the intentions of their user. Just as one could use such algorithms to analyse social inequality, target medical resources, and support vulnerable populations, organisations such as Cambridge Analytica/SCL and AIQ can use the same algorithms to inundate groups with low educational attainment levels, serious medical concerns, and other vulnerable populations with fear-based propaganda and disinformation. In short, transparency of the algorithm itself is relatively trivial. It would be far more illuminating for users to be able to switch off or turn down algorithms on social media platforms or be able to switch on a counter-view where content they would not typically see is shown to them, and in general, for any subsequent off-platform uses of algorithm-derived results to be made publicly available for proper scrutiny. </w:t>
      </w:r>
    </w:p>
    <w:p w:rsidR="00FB0B24" w:rsidRPr="005B5CB6" w:rsidP="00575F14">
      <w:pPr>
        <w:numPr>
          <w:ilvl w:val="0"/>
          <w:numId w:val="98"/>
        </w:numPr>
        <w:spacing w:after="112" w:line="250" w:lineRule="auto"/>
        <w:ind w:hanging="10"/>
        <w:jc w:val="both"/>
        <w:rPr>
          <w:rFonts w:ascii="Verdana" w:hAnsi="Verdana"/>
        </w:rPr>
      </w:pPr>
      <w:r w:rsidRPr="005B5CB6">
        <w:rPr>
          <w:rFonts w:ascii="Verdana" w:eastAsia="Verdana" w:hAnsi="Verdana" w:cs="Verdana"/>
          <w:b/>
        </w:rPr>
        <w:t xml:space="preserve">What role should every stage of education play in helping to create a healthy, active, digitally literate democracy? </w:t>
      </w:r>
    </w:p>
    <w:p w:rsidR="00FB0B24" w:rsidRPr="005B5CB6" w:rsidP="00575F14">
      <w:pPr>
        <w:numPr>
          <w:ilvl w:val="1"/>
          <w:numId w:val="98"/>
        </w:numPr>
        <w:spacing w:after="109" w:line="250" w:lineRule="auto"/>
        <w:ind w:right="11" w:hanging="600"/>
        <w:jc w:val="both"/>
        <w:rPr>
          <w:rFonts w:ascii="Verdana" w:hAnsi="Verdana"/>
        </w:rPr>
      </w:pPr>
      <w:r w:rsidRPr="005B5CB6">
        <w:rPr>
          <w:rFonts w:ascii="Verdana" w:eastAsia="Verdana" w:hAnsi="Verdana" w:cs="Verdana"/>
        </w:rPr>
        <w:t xml:space="preserve">There are two crucial notes here before I turn to a possible answer: firstly, education is unlikely to have a substantive impact on malicious misinformation (that is, disinformation) unless that education also incidentally happens to deal with the systemic issues or problems that have encouraged that individual to turn to disinformation in the first place. </w:t>
      </w:r>
    </w:p>
    <w:p w:rsidR="00FB0B24" w:rsidRPr="005B5CB6" w:rsidP="00575F14">
      <w:pPr>
        <w:numPr>
          <w:ilvl w:val="1"/>
          <w:numId w:val="98"/>
        </w:numPr>
        <w:spacing w:after="5" w:line="250" w:lineRule="auto"/>
        <w:ind w:right="11" w:hanging="600"/>
        <w:jc w:val="both"/>
        <w:rPr>
          <w:rFonts w:ascii="Verdana" w:hAnsi="Verdana"/>
        </w:rPr>
      </w:pPr>
      <w:r w:rsidRPr="005B5CB6">
        <w:rPr>
          <w:rFonts w:ascii="Verdana" w:eastAsia="Verdana" w:hAnsi="Verdana" w:cs="Verdana"/>
        </w:rPr>
        <w:t xml:space="preserve">Secondly, education is only likely to help in the </w:t>
      </w:r>
      <w:r w:rsidRPr="005B5CB6">
        <w:rPr>
          <w:rFonts w:ascii="Verdana" w:eastAsia="Verdana" w:hAnsi="Verdana" w:cs="Verdana"/>
          <w:i/>
        </w:rPr>
        <w:t xml:space="preserve">naïve </w:t>
      </w:r>
      <w:r w:rsidRPr="005B5CB6">
        <w:rPr>
          <w:rFonts w:ascii="Verdana" w:eastAsia="Verdana" w:hAnsi="Verdana" w:cs="Verdana"/>
        </w:rPr>
        <w:t xml:space="preserve">spread of misinformation </w:t>
      </w:r>
      <w:r w:rsidRPr="005B5CB6">
        <w:rPr>
          <w:rFonts w:ascii="Verdana" w:eastAsia="Verdana" w:hAnsi="Verdana" w:cs="Verdana"/>
          <w:i/>
        </w:rPr>
        <w:t>in limited cases</w:t>
      </w:r>
      <w:r w:rsidRPr="005B5CB6">
        <w:rPr>
          <w:rFonts w:ascii="Verdana" w:eastAsia="Verdana" w:hAnsi="Verdana" w:cs="Verdana"/>
        </w:rPr>
        <w:t xml:space="preserve">. To use a well-worn phrase, it is difficult to reason a person out of a position they were never reasoned </w:t>
      </w:r>
    </w:p>
    <w:p w:rsidR="00FB0B24" w:rsidRPr="005B5CB6" w:rsidP="001512F6">
      <w:pPr>
        <w:spacing w:after="109" w:line="250" w:lineRule="auto"/>
        <w:ind w:left="1088" w:right="11" w:hanging="8"/>
        <w:jc w:val="both"/>
        <w:rPr>
          <w:rFonts w:ascii="Verdana" w:hAnsi="Verdana"/>
        </w:rPr>
      </w:pPr>
      <w:r w:rsidRPr="005B5CB6">
        <w:rPr>
          <w:rFonts w:ascii="Verdana" w:eastAsia="Verdana" w:hAnsi="Verdana" w:cs="Verdana"/>
        </w:rPr>
        <w:t xml:space="preserve">into in the first place. In turn, misinformation is primarily a product of, and parasite upon, cognitive, cultural, and emotional biases. It provides views, attitudes, and ideologies that appeal not to reason or logic, but to fears and aspirations. Fighting misinformation with education is somewhat akin to fighting a fire with a thoughtful description of water. Education will help where the individual is already open-minded, but this subsection of the population is likely disappointingly small. Just as social media algorithms serve up the content the user most prefers and deviation from this will likely breed discontent, so too does misinformation serve up a version of the world most palatable to that individual’s perspectives and beliefs. Not only do we resist being argued out of our preconceived beliefs and values, attempts to </w:t>
      </w:r>
      <w:r w:rsidRPr="005B5CB6">
        <w:rPr>
          <w:rFonts w:ascii="Verdana" w:eastAsia="Verdana" w:hAnsi="Verdana" w:cs="Verdana"/>
          <w:i/>
        </w:rPr>
        <w:t>force</w:t>
      </w:r>
      <w:r w:rsidRPr="005B5CB6">
        <w:rPr>
          <w:rFonts w:ascii="Verdana" w:eastAsia="Verdana" w:hAnsi="Verdana" w:cs="Verdana"/>
        </w:rPr>
        <w:t xml:space="preserve"> us out of them can even make us cling to them more vehemently than we did in the first place, </w:t>
      </w:r>
      <w:r w:rsidRPr="005B5CB6">
        <w:rPr>
          <w:rFonts w:ascii="Verdana" w:eastAsia="Verdana" w:hAnsi="Verdana" w:cs="Verdana"/>
          <w:i/>
        </w:rPr>
        <w:t>even in the face of concrete evidence</w:t>
      </w:r>
      <w:r w:rsidRPr="005B5CB6">
        <w:rPr>
          <w:rFonts w:ascii="Verdana" w:eastAsia="Verdana" w:hAnsi="Verdana" w:cs="Verdana"/>
        </w:rPr>
        <w:t xml:space="preserve">. In different words, for some, education – particularly if it is enforced or semi-enforced – will even have a </w:t>
      </w:r>
      <w:r w:rsidRPr="005B5CB6">
        <w:rPr>
          <w:rFonts w:ascii="Verdana" w:eastAsia="Verdana" w:hAnsi="Verdana" w:cs="Verdana"/>
          <w:i/>
        </w:rPr>
        <w:t>negative</w:t>
      </w:r>
      <w:r w:rsidRPr="005B5CB6">
        <w:rPr>
          <w:rFonts w:ascii="Verdana" w:eastAsia="Verdana" w:hAnsi="Verdana" w:cs="Verdana"/>
        </w:rPr>
        <w:t xml:space="preserve"> impact on information literacy. For many who have already been exposed to disinformation for years now, information literacy via education is, in crude terms, a process of deradicalisation. For such people, sources telling them that they are wrong will likely be viewed as in league with The Enemy (whatever that enemy is – Big Pharma, the Deep State, the BBC, etc.), and overcoming that cognitive catch-22 is an especially difficult, delicate process. I refer the interested reader here to Brandolini’s Law, which summarises this whole paragraph in a much more amusing single sentence. In short, there is no single answer to this complex problem, but a comprehensive approach across multiple dimensions is likely to yield the most effective results, thus. </w:t>
      </w:r>
    </w:p>
    <w:p w:rsidR="00FB0B24" w:rsidRPr="005B5CB6" w:rsidP="00575F14">
      <w:pPr>
        <w:numPr>
          <w:ilvl w:val="1"/>
          <w:numId w:val="98"/>
        </w:numPr>
        <w:spacing w:after="112" w:line="250" w:lineRule="auto"/>
        <w:ind w:right="11" w:hanging="600"/>
        <w:jc w:val="both"/>
        <w:rPr>
          <w:rFonts w:ascii="Verdana" w:hAnsi="Verdana"/>
        </w:rPr>
      </w:pPr>
      <w:r w:rsidRPr="005B5CB6">
        <w:rPr>
          <w:rFonts w:ascii="Verdana" w:eastAsia="Verdana" w:hAnsi="Verdana" w:cs="Verdana"/>
          <w:b/>
        </w:rPr>
        <w:t>Children and young adults</w:t>
      </w:r>
      <w:r w:rsidRPr="005B5CB6">
        <w:rPr>
          <w:rFonts w:ascii="Verdana" w:eastAsia="Verdana" w:hAnsi="Verdana" w:cs="Verdana"/>
        </w:rPr>
        <w:t xml:space="preserve">: In a perfect world, we would always choose prevention over cure, and whilst I welcome the fact that online safety was introduced across the 2014 National Curriculum, it is now more than time to introduce information literacy – not merely for academic purposes, but for the purposes of being a well-adjusted social citizen. For best effect, such lessons need to be appropriately supported, sufficiently detailed and thorough, and adopted across </w:t>
      </w:r>
      <w:r w:rsidRPr="005B5CB6">
        <w:rPr>
          <w:rFonts w:ascii="Verdana" w:eastAsia="Verdana" w:hAnsi="Verdana" w:cs="Verdana"/>
          <w:i/>
        </w:rPr>
        <w:t>all</w:t>
      </w:r>
      <w:r w:rsidRPr="005B5CB6">
        <w:rPr>
          <w:rFonts w:ascii="Verdana" w:eastAsia="Verdana" w:hAnsi="Verdana" w:cs="Verdana"/>
        </w:rPr>
        <w:t xml:space="preserve"> schools (private, public, and free). These lessons also should not be restricted purely to Computing, but should be adopted across a number of classes, including PSHEE and Citizenship. However, in order for this to be successful, teachers themselves need to be well-trained in the safety measures, in tell-tale signs, and in appropriate strategies of intervention. Teachers also need the support of parents and caregivers, and this leads into a second area of improvement. </w:t>
      </w:r>
    </w:p>
    <w:p w:rsidR="00FB0B24" w:rsidRPr="005B5CB6" w:rsidP="00575F14">
      <w:pPr>
        <w:numPr>
          <w:ilvl w:val="1"/>
          <w:numId w:val="98"/>
        </w:numPr>
        <w:spacing w:after="5" w:line="250" w:lineRule="auto"/>
        <w:ind w:right="11" w:hanging="600"/>
        <w:jc w:val="both"/>
        <w:rPr>
          <w:rFonts w:ascii="Verdana" w:hAnsi="Verdana"/>
        </w:rPr>
      </w:pPr>
      <w:r w:rsidRPr="005B5CB6">
        <w:rPr>
          <w:rFonts w:ascii="Verdana" w:eastAsia="Verdana" w:hAnsi="Verdana" w:cs="Verdana"/>
          <w:b/>
        </w:rPr>
        <w:t>Adults, including parents, caregivers, and teachers</w:t>
      </w:r>
      <w:r w:rsidRPr="005B5CB6">
        <w:rPr>
          <w:rFonts w:ascii="Verdana" w:eastAsia="Verdana" w:hAnsi="Verdana" w:cs="Verdana"/>
        </w:rPr>
        <w:t xml:space="preserve">: Schoolbased education could be substantially underpinned with compulsory information literacy training in </w:t>
      </w:r>
      <w:r w:rsidRPr="005B5CB6">
        <w:rPr>
          <w:rFonts w:ascii="Verdana" w:eastAsia="Verdana" w:hAnsi="Verdana" w:cs="Verdana"/>
          <w:i/>
        </w:rPr>
        <w:t>all</w:t>
      </w:r>
      <w:r w:rsidRPr="005B5CB6">
        <w:rPr>
          <w:rFonts w:ascii="Verdana" w:eastAsia="Verdana" w:hAnsi="Verdana" w:cs="Verdana"/>
        </w:rPr>
        <w:t xml:space="preserve"> PGCEs. We know that NSPCC research shows that far too many teachers currently don't feel confident when it comes to </w:t>
      </w:r>
      <w:r>
        <w:fldChar w:fldCharType="begin"/>
      </w:r>
      <w:r>
        <w:instrText xml:space="preserve"> HYPERLINK "http://www.nspcc.org.uk/Inform/resourcesforprofessionals/onlinesafety/statistics-online-safety_wda93975.html" </w:instrText>
      </w:r>
      <w:r>
        <w:fldChar w:fldCharType="separate"/>
      </w:r>
      <w:r w:rsidRPr="005B5CB6">
        <w:rPr>
          <w:rFonts w:ascii="Verdana" w:eastAsia="Verdana" w:hAnsi="Verdana" w:cs="Verdana"/>
          <w:color w:val="0000FF"/>
          <w:u w:val="single" w:color="0000FF"/>
        </w:rPr>
        <w:t>advising pupils on safe social network</w:t>
      </w:r>
      <w:r>
        <w:fldChar w:fldCharType="end"/>
      </w:r>
      <w:r>
        <w:fldChar w:fldCharType="begin"/>
      </w:r>
      <w:r>
        <w:instrText xml:space="preserve"> HYPERLINK "http://www.nspcc.org.uk/Inform/resourcesforprofessionals/onlinesafety/statistics-online-safety_wda93975.html" </w:instrText>
      </w:r>
      <w:r>
        <w:fldChar w:fldCharType="separate"/>
      </w:r>
      <w:r w:rsidRPr="005B5CB6">
        <w:rPr>
          <w:rFonts w:ascii="Verdana" w:eastAsia="Verdana" w:hAnsi="Verdana" w:cs="Verdana"/>
          <w:color w:val="0000FF"/>
        </w:rPr>
        <w:t xml:space="preserve"> </w:t>
      </w:r>
      <w:r>
        <w:fldChar w:fldCharType="end"/>
      </w:r>
      <w:r>
        <w:fldChar w:fldCharType="begin"/>
      </w:r>
      <w:r>
        <w:instrText xml:space="preserve"> HYPERLINK "http://www.nspcc.org.uk/Inform/resourcesforprofessionals/onlinesafety/statistics-online-safety_wda93975.html" </w:instrText>
      </w:r>
      <w:r>
        <w:fldChar w:fldCharType="separate"/>
      </w:r>
      <w:r w:rsidRPr="005B5CB6">
        <w:rPr>
          <w:rFonts w:ascii="Verdana" w:eastAsia="Verdana" w:hAnsi="Verdana" w:cs="Verdana"/>
          <w:color w:val="0000FF"/>
          <w:u w:val="single" w:color="0000FF"/>
        </w:rPr>
        <w:t>practices</w:t>
      </w:r>
      <w:r>
        <w:fldChar w:fldCharType="end"/>
      </w:r>
      <w:r>
        <w:fldChar w:fldCharType="begin"/>
      </w:r>
      <w:r>
        <w:instrText xml:space="preserve"> HYPERLINK "http://www.nspcc.org.uk/Inform/resourcesforprofessionals/onlinesafety/statistics-online-safety_wda93975.html"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so it stands </w:t>
      </w:r>
      <w:r w:rsidRPr="005B5CB6">
        <w:rPr>
          <w:rFonts w:ascii="Verdana" w:eastAsia="Verdana" w:hAnsi="Verdana" w:cs="Verdana"/>
        </w:rPr>
        <w:t xml:space="preserve">to reason that they will feel equally uncertain around information literacy. Meanwhile, parents would benefit from proactive, face-to-face training in online misinformation, signs of radicalisation, and more broadly, </w:t>
      </w:r>
      <w:r>
        <w:fldChar w:fldCharType="begin"/>
      </w:r>
      <w:r>
        <w:instrText xml:space="preserve"> HYPERLINK "http://consumers.ofcom.org.uk/2009/12/child-internet-safety-strategy-launched/" </w:instrText>
      </w:r>
      <w:r>
        <w:fldChar w:fldCharType="separate"/>
      </w:r>
      <w:r w:rsidRPr="005B5CB6">
        <w:rPr>
          <w:rFonts w:ascii="Verdana" w:eastAsia="Verdana" w:hAnsi="Verdana" w:cs="Verdana"/>
          <w:color w:val="0000FF"/>
          <w:u w:val="single" w:color="0000FF"/>
        </w:rPr>
        <w:t>ways to keep children safe online</w:t>
      </w:r>
      <w:r>
        <w:fldChar w:fldCharType="end"/>
      </w:r>
      <w:r>
        <w:fldChar w:fldCharType="begin"/>
      </w:r>
      <w:r>
        <w:instrText xml:space="preserve"> HYPERLINK "http://consumers.ofcom.org.uk/2009/12/child-internet-safety-strategy-launched/"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(technologically and behaviourally). </w:t>
      </w:r>
    </w:p>
    <w:p w:rsidR="00FB0B24" w:rsidRPr="005B5CB6" w:rsidP="00575F14">
      <w:pPr>
        <w:numPr>
          <w:ilvl w:val="1"/>
          <w:numId w:val="98"/>
        </w:numPr>
        <w:spacing w:after="112" w:line="250" w:lineRule="auto"/>
        <w:ind w:right="11" w:hanging="600"/>
        <w:jc w:val="both"/>
        <w:rPr>
          <w:rFonts w:ascii="Verdana" w:hAnsi="Verdana"/>
        </w:rPr>
      </w:pPr>
      <w:r w:rsidRPr="005B5CB6">
        <w:rPr>
          <w:rFonts w:ascii="Verdana" w:eastAsia="Verdana" w:hAnsi="Verdana" w:cs="Verdana"/>
          <w:b/>
        </w:rPr>
        <w:t>Site tools, responsibilities, and processes</w:t>
      </w:r>
      <w:r w:rsidRPr="005B5CB6">
        <w:rPr>
          <w:rFonts w:ascii="Verdana" w:eastAsia="Verdana" w:hAnsi="Verdana" w:cs="Verdana"/>
        </w:rPr>
        <w:t xml:space="preserve">: We generally expect social networks to offer the tools and support to allow us to exclude damaging and harmful content, but disinformation falls into a grey area between potentially harmful, and freedom of expression. Sites also differ widely in the availability, sophistication, and transparency of their policies on disinformation, algorithms, and political processes. At the most basic level, social networks should: </w:t>
      </w:r>
    </w:p>
    <w:p w:rsidR="00FB0B24" w:rsidRPr="005B5CB6" w:rsidP="00575F14">
      <w:pPr>
        <w:numPr>
          <w:ilvl w:val="3"/>
          <w:numId w:val="101"/>
        </w:numPr>
        <w:spacing w:after="112" w:line="250" w:lineRule="auto"/>
        <w:ind w:right="11" w:hanging="528"/>
        <w:jc w:val="both"/>
        <w:rPr>
          <w:rFonts w:ascii="Verdana" w:hAnsi="Verdana"/>
        </w:rPr>
      </w:pPr>
      <w:r w:rsidRPr="005B5CB6">
        <w:rPr>
          <w:rFonts w:ascii="Verdana" w:eastAsia="Verdana" w:hAnsi="Verdana" w:cs="Verdana"/>
        </w:rPr>
        <w:t xml:space="preserve">allow users to control their own environment (e.g. switching algorithms on or off or turning them down) </w:t>
      </w:r>
    </w:p>
    <w:p w:rsidR="00FB0B24" w:rsidRPr="005B5CB6" w:rsidP="00575F14">
      <w:pPr>
        <w:numPr>
          <w:ilvl w:val="3"/>
          <w:numId w:val="101"/>
        </w:numPr>
        <w:spacing w:after="106" w:line="250" w:lineRule="auto"/>
        <w:ind w:right="11" w:hanging="528"/>
        <w:jc w:val="both"/>
        <w:rPr>
          <w:rFonts w:ascii="Verdana" w:hAnsi="Verdana"/>
        </w:rPr>
      </w:pPr>
      <w:r w:rsidRPr="005B5CB6">
        <w:rPr>
          <w:rFonts w:ascii="Verdana" w:eastAsia="Verdana" w:hAnsi="Verdana" w:cs="Verdana"/>
        </w:rPr>
        <w:t xml:space="preserve">proactively use their own management tools (e.g. IP blocks) </w:t>
      </w:r>
    </w:p>
    <w:p w:rsidR="00FB0B24" w:rsidRPr="005B5CB6" w:rsidP="00575F14">
      <w:pPr>
        <w:numPr>
          <w:ilvl w:val="3"/>
          <w:numId w:val="101"/>
        </w:numPr>
        <w:spacing w:after="109" w:line="250" w:lineRule="auto"/>
        <w:ind w:right="11" w:hanging="528"/>
        <w:jc w:val="both"/>
        <w:rPr>
          <w:rFonts w:ascii="Verdana" w:hAnsi="Verdana"/>
        </w:rPr>
      </w:pPr>
      <w:r w:rsidRPr="005B5CB6">
        <w:rPr>
          <w:rFonts w:ascii="Verdana" w:eastAsia="Verdana" w:hAnsi="Verdana" w:cs="Verdana"/>
        </w:rPr>
        <w:t xml:space="preserve">draw from a centralised database of trust that provides a score for the veracity of various online sources, such that, for instance, trusted sources could be various shades of green (darker for better), yellows and oranges could be used for biased sites, and shades of red could indicate known sources of misinformation </w:t>
      </w:r>
    </w:p>
    <w:p w:rsidR="00FB0B24" w:rsidRPr="005B5CB6" w:rsidP="00575F14">
      <w:pPr>
        <w:numPr>
          <w:ilvl w:val="1"/>
          <w:numId w:val="98"/>
        </w:numPr>
        <w:spacing w:after="109" w:line="250" w:lineRule="auto"/>
        <w:ind w:right="11" w:hanging="600"/>
        <w:jc w:val="both"/>
        <w:rPr>
          <w:rFonts w:ascii="Verdana" w:hAnsi="Verdana"/>
        </w:rPr>
      </w:pPr>
      <w:r w:rsidRPr="005B5CB6">
        <w:rPr>
          <w:rFonts w:ascii="Verdana" w:eastAsia="Verdana" w:hAnsi="Verdana" w:cs="Verdana"/>
          <w:b/>
        </w:rPr>
        <w:t>Legislation and guidance</w:t>
      </w:r>
      <w:r w:rsidRPr="005B5CB6">
        <w:rPr>
          <w:rFonts w:ascii="Verdana" w:eastAsia="Verdana" w:hAnsi="Verdana" w:cs="Verdana"/>
        </w:rPr>
        <w:t xml:space="preserve">: Where misinformation and online activities, such as campaign finances, breach electoral, civil, or criminal law, there should be necessary and sufficient legislation to deal with the matter. The guidelines on these should be informed by: </w:t>
      </w:r>
    </w:p>
    <w:p w:rsidR="00FB0B24" w:rsidRPr="005B5CB6" w:rsidP="00575F14">
      <w:pPr>
        <w:numPr>
          <w:ilvl w:val="3"/>
          <w:numId w:val="100"/>
        </w:numPr>
        <w:spacing w:after="108" w:line="250" w:lineRule="auto"/>
        <w:ind w:right="11" w:hanging="528"/>
        <w:jc w:val="both"/>
        <w:rPr>
          <w:rFonts w:ascii="Verdana" w:hAnsi="Verdana"/>
        </w:rPr>
      </w:pPr>
      <w:r w:rsidRPr="005B5CB6">
        <w:rPr>
          <w:rFonts w:ascii="Verdana" w:eastAsia="Verdana" w:hAnsi="Verdana" w:cs="Verdana"/>
        </w:rPr>
        <w:t xml:space="preserve">the speed with which content can be reproduced; </w:t>
      </w:r>
    </w:p>
    <w:p w:rsidR="00FB0B24" w:rsidRPr="005B5CB6" w:rsidP="00575F14">
      <w:pPr>
        <w:numPr>
          <w:ilvl w:val="3"/>
          <w:numId w:val="100"/>
        </w:numPr>
        <w:spacing w:after="106" w:line="250" w:lineRule="auto"/>
        <w:ind w:right="11" w:hanging="528"/>
        <w:jc w:val="both"/>
        <w:rPr>
          <w:rFonts w:ascii="Verdana" w:hAnsi="Verdana"/>
        </w:rPr>
      </w:pPr>
      <w:r w:rsidRPr="005B5CB6">
        <w:rPr>
          <w:rFonts w:ascii="Verdana" w:eastAsia="Verdana" w:hAnsi="Verdana" w:cs="Verdana"/>
        </w:rPr>
        <w:t xml:space="preserve">the breadth and vulnerability of audience that can be reached; </w:t>
      </w:r>
    </w:p>
    <w:p w:rsidR="00FB0B24" w:rsidRPr="005B5CB6" w:rsidP="00575F14">
      <w:pPr>
        <w:numPr>
          <w:ilvl w:val="3"/>
          <w:numId w:val="100"/>
        </w:numPr>
        <w:spacing w:after="112" w:line="250" w:lineRule="auto"/>
        <w:ind w:right="11" w:hanging="528"/>
        <w:jc w:val="both"/>
        <w:rPr>
          <w:rFonts w:ascii="Verdana" w:hAnsi="Verdana"/>
        </w:rPr>
      </w:pPr>
      <w:r w:rsidRPr="005B5CB6">
        <w:rPr>
          <w:rFonts w:ascii="Verdana" w:eastAsia="Verdana" w:hAnsi="Verdana" w:cs="Verdana"/>
        </w:rPr>
        <w:t xml:space="preserve">the inability of targets to distinguish malicious misinformation from verified news; </w:t>
      </w:r>
    </w:p>
    <w:p w:rsidR="00FB0B24" w:rsidRPr="005B5CB6" w:rsidP="00575F14">
      <w:pPr>
        <w:numPr>
          <w:ilvl w:val="3"/>
          <w:numId w:val="100"/>
        </w:numPr>
        <w:spacing w:after="112" w:line="250" w:lineRule="auto"/>
        <w:ind w:right="11" w:hanging="528"/>
        <w:jc w:val="both"/>
        <w:rPr>
          <w:rFonts w:ascii="Verdana" w:hAnsi="Verdana"/>
        </w:rPr>
      </w:pPr>
      <w:r w:rsidRPr="005B5CB6">
        <w:rPr>
          <w:rFonts w:ascii="Verdana" w:eastAsia="Verdana" w:hAnsi="Verdana" w:cs="Verdana"/>
        </w:rPr>
        <w:t xml:space="preserve">the corrosive effect that such activities have on the faith in the democratic process. </w:t>
      </w:r>
    </w:p>
    <w:p w:rsidR="00FB0B24" w:rsidRPr="005B5CB6" w:rsidP="00575F14">
      <w:pPr>
        <w:numPr>
          <w:ilvl w:val="0"/>
          <w:numId w:val="98"/>
        </w:numPr>
        <w:spacing w:after="113" w:line="249" w:lineRule="auto"/>
        <w:ind w:hanging="10"/>
        <w:jc w:val="both"/>
        <w:rPr>
          <w:rFonts w:ascii="Verdana" w:hAnsi="Verdana"/>
        </w:rPr>
      </w:pPr>
      <w:r w:rsidRPr="005B5CB6">
        <w:rPr>
          <w:rFonts w:ascii="Verdana" w:eastAsia="Verdana" w:hAnsi="Verdana" w:cs="Verdana"/>
          <w:b/>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575F14">
      <w:pPr>
        <w:numPr>
          <w:ilvl w:val="1"/>
          <w:numId w:val="98"/>
        </w:numPr>
        <w:spacing w:after="112" w:line="250" w:lineRule="auto"/>
        <w:ind w:right="11" w:hanging="600"/>
        <w:jc w:val="both"/>
        <w:rPr>
          <w:rFonts w:ascii="Verdana" w:hAnsi="Verdana"/>
        </w:rPr>
      </w:pPr>
      <w:r w:rsidRPr="005B5CB6">
        <w:rPr>
          <w:rFonts w:ascii="Verdana" w:eastAsia="Verdana" w:hAnsi="Verdana" w:cs="Verdana"/>
        </w:rPr>
        <w:t xml:space="preserve">Yes. This is not my area of expertise so I will leave it to others to tackle. </w:t>
      </w:r>
    </w:p>
    <w:p w:rsidR="00FB0B24" w:rsidRPr="005B5CB6" w:rsidP="00575F14">
      <w:pPr>
        <w:numPr>
          <w:ilvl w:val="0"/>
          <w:numId w:val="98"/>
        </w:numPr>
        <w:spacing w:after="113" w:line="249" w:lineRule="auto"/>
        <w:ind w:hanging="10"/>
        <w:jc w:val="both"/>
        <w:rPr>
          <w:rFonts w:ascii="Verdana" w:hAnsi="Verdana"/>
        </w:rPr>
      </w:pPr>
      <w:r w:rsidRPr="005B5CB6">
        <w:rPr>
          <w:rFonts w:ascii="Verdana" w:eastAsia="Verdana" w:hAnsi="Verdana" w:cs="Verdana"/>
          <w:b/>
        </w:rPr>
        <w:t xml:space="preserve">What effect does online targeted advertising have on the political process, and what effects could it have in the future? Should there be additional regulation of political advertising? </w:t>
      </w:r>
    </w:p>
    <w:p w:rsidR="00FB0B24" w:rsidRPr="005B5CB6" w:rsidP="00575F14">
      <w:pPr>
        <w:numPr>
          <w:ilvl w:val="1"/>
          <w:numId w:val="98"/>
        </w:numPr>
        <w:spacing w:after="109" w:line="250" w:lineRule="auto"/>
        <w:ind w:right="11" w:hanging="600"/>
        <w:jc w:val="both"/>
        <w:rPr>
          <w:rFonts w:ascii="Verdana" w:hAnsi="Verdana"/>
        </w:rPr>
      </w:pPr>
      <w:r w:rsidRPr="005B5CB6">
        <w:rPr>
          <w:rFonts w:ascii="Verdana" w:eastAsia="Verdana" w:hAnsi="Verdana" w:cs="Verdana"/>
        </w:rPr>
        <w:t xml:space="preserve">Political advertising can be extremely nefarious, especially where it is based on psychologically-profiled hyper-targeted groups whose digital footprint has revealed a particular vulnerability to certain trigger ideas or events. In many respects, this is little different than misinformation, in that the sender intends to manipulate the behaviours of the recipient, and does so via emotional rather than rational means. Political </w:t>
      </w:r>
      <w:r w:rsidRPr="005B5CB6">
        <w:rPr>
          <w:rFonts w:ascii="Verdana" w:eastAsia="Verdana" w:hAnsi="Verdana" w:cs="Verdana"/>
        </w:rPr>
        <w:t xml:space="preserve">advertising, therefore, should be far more comprehensively regulated, particularly for fear- and intimidation-based methods of “selling” or promoting certain parties and individuals. </w:t>
      </w:r>
    </w:p>
    <w:p w:rsidR="00FB0B24" w:rsidRPr="005B5CB6" w:rsidP="00575F14">
      <w:pPr>
        <w:numPr>
          <w:ilvl w:val="0"/>
          <w:numId w:val="98"/>
        </w:numPr>
        <w:spacing w:after="5" w:line="250" w:lineRule="auto"/>
        <w:ind w:hanging="10"/>
        <w:jc w:val="both"/>
        <w:rPr>
          <w:rFonts w:ascii="Verdana" w:hAnsi="Verdana"/>
        </w:rPr>
      </w:pPr>
      <w:r w:rsidRPr="005B5CB6">
        <w:rPr>
          <w:rFonts w:ascii="Verdana" w:eastAsia="Verdana" w:hAnsi="Verdana" w:cs="Verdana"/>
          <w:b/>
        </w:rPr>
        <w:t xml:space="preserve">To what extent does increasing use of encrypted messaging and private groups present a challenge to the democratic process? </w:t>
      </w:r>
    </w:p>
    <w:p w:rsidR="00FB0B24" w:rsidRPr="005B5CB6" w:rsidP="00575F14">
      <w:pPr>
        <w:numPr>
          <w:ilvl w:val="1"/>
          <w:numId w:val="98"/>
        </w:numPr>
        <w:spacing w:after="112" w:line="250" w:lineRule="auto"/>
        <w:ind w:right="11" w:hanging="600"/>
        <w:jc w:val="both"/>
        <w:rPr>
          <w:rFonts w:ascii="Verdana" w:hAnsi="Verdana"/>
        </w:rPr>
      </w:pPr>
      <w:r w:rsidRPr="005B5CB6">
        <w:rPr>
          <w:rFonts w:ascii="Verdana" w:eastAsia="Verdana" w:hAnsi="Verdana" w:cs="Verdana"/>
        </w:rPr>
        <w:t xml:space="preserve">As mentioned multiple times now, technology is morally agnostic and is no better or worse than the people who use it. Such services allow for safe discussion to take place amongst otherwise marginalised groups, and they allow plans for awful acts of violence amongst criminals. The issue is not the medium. It is the person using it, and what has brought them to that place in their life where they might feel that they need to use an encrypted service for a deeply abhorrent purpose. </w:t>
      </w:r>
    </w:p>
    <w:p w:rsidR="00FB0B24" w:rsidRPr="005B5CB6" w:rsidP="00575F14">
      <w:pPr>
        <w:numPr>
          <w:ilvl w:val="0"/>
          <w:numId w:val="98"/>
        </w:numPr>
        <w:spacing w:after="112" w:line="250" w:lineRule="auto"/>
        <w:ind w:hanging="10"/>
        <w:jc w:val="both"/>
        <w:rPr>
          <w:rFonts w:ascii="Verdana" w:hAnsi="Verdana"/>
        </w:rPr>
      </w:pPr>
      <w:r w:rsidRPr="005B5CB6">
        <w:rPr>
          <w:rFonts w:ascii="Verdana" w:eastAsia="Verdana" w:hAnsi="Verdana" w:cs="Verdana"/>
          <w:b/>
        </w:rPr>
        <w:t xml:space="preserve">What are the positive or negative effects of anonymity on online democratic discourse? </w:t>
      </w:r>
    </w:p>
    <w:p w:rsidR="00FB0B24" w:rsidRPr="005B5CB6" w:rsidP="00575F14">
      <w:pPr>
        <w:numPr>
          <w:ilvl w:val="1"/>
          <w:numId w:val="98"/>
        </w:numPr>
        <w:spacing w:after="109" w:line="250" w:lineRule="auto"/>
        <w:ind w:right="11" w:hanging="600"/>
        <w:jc w:val="both"/>
        <w:rPr>
          <w:rFonts w:ascii="Verdana" w:hAnsi="Verdana"/>
        </w:rPr>
      </w:pPr>
      <w:r w:rsidRPr="005B5CB6">
        <w:rPr>
          <w:rFonts w:ascii="Verdana" w:eastAsia="Verdana" w:hAnsi="Verdana" w:cs="Verdana"/>
        </w:rPr>
        <w:t xml:space="preserve">It is crucial to note that anonymity can result in both benign, and toxic disinhibition. For the purposes of this report, and because a later question addresses on it, I will focus on the latter, but the benefits of the former absolutely must not be overlooked. </w:t>
      </w:r>
    </w:p>
    <w:p w:rsidR="00FB0B24" w:rsidRPr="005B5CB6" w:rsidP="00575F14">
      <w:pPr>
        <w:numPr>
          <w:ilvl w:val="1"/>
          <w:numId w:val="98"/>
        </w:numPr>
        <w:spacing w:after="109" w:line="250" w:lineRule="auto"/>
        <w:ind w:right="11" w:hanging="600"/>
        <w:jc w:val="both"/>
        <w:rPr>
          <w:rFonts w:ascii="Verdana" w:hAnsi="Verdana"/>
        </w:rPr>
      </w:pPr>
      <w:r w:rsidRPr="005B5CB6">
        <w:rPr>
          <w:rFonts w:ascii="Verdana" w:eastAsia="Verdana" w:hAnsi="Verdana" w:cs="Verdana"/>
        </w:rPr>
        <w:t xml:space="preserve">The internet offers a perceived anonymity that has no real parallel offline, and this appearance of invisibility encourages a phenomenon known as the Gyges Effect – the user feels that they can do unpleasant things with a highly reduced risk of suffering any consequences. In turn, the sense of being invulnerable encourages disinhibition: the user thinks that she is safe from repercussions, so behaves in a mildly objectionable way. Each time there is no negative consequence, her behaviour may gradually escalate. By itself, however, anonymity does not explain why the internet seems to bring the worst out in some, since many of us are online and anonymous all the time, yet would never think to behave in this way. A second issue to consider, then, is detachment. </w:t>
      </w:r>
    </w:p>
    <w:p w:rsidR="00FB0B24" w:rsidRPr="005B5CB6" w:rsidP="00575F14">
      <w:pPr>
        <w:numPr>
          <w:ilvl w:val="1"/>
          <w:numId w:val="98"/>
        </w:numPr>
        <w:spacing w:after="109" w:line="250" w:lineRule="auto"/>
        <w:ind w:right="11" w:hanging="600"/>
        <w:jc w:val="both"/>
        <w:rPr>
          <w:rFonts w:ascii="Verdana" w:hAnsi="Verdana"/>
        </w:rPr>
      </w:pPr>
      <w:r w:rsidRPr="005B5CB6">
        <w:rPr>
          <w:rFonts w:ascii="Verdana" w:eastAsia="Verdana" w:hAnsi="Verdana" w:cs="Verdana"/>
        </w:rPr>
        <w:t xml:space="preserve">Linked to disinhibition, detachment is the way that the internet allows users to shut down their empathy, and in particular, their compassion. In fact, we can choose not to empathise at will, especially when dealing with someone we dislike. The internet, however, drastically increases this ability, and allows users to emotionally distance themselves—not just from people they don't like but also from those they don't even know—in several ways: </w:t>
      </w:r>
    </w:p>
    <w:p w:rsidR="00FB0B24" w:rsidRPr="005B5CB6" w:rsidP="00575F14">
      <w:pPr>
        <w:numPr>
          <w:ilvl w:val="1"/>
          <w:numId w:val="98"/>
        </w:numPr>
        <w:spacing w:after="112" w:line="250" w:lineRule="auto"/>
        <w:ind w:right="11" w:hanging="600"/>
        <w:jc w:val="both"/>
        <w:rPr>
          <w:rFonts w:ascii="Verdana" w:hAnsi="Verdana"/>
        </w:rPr>
      </w:pPr>
      <w:r w:rsidRPr="005B5CB6">
        <w:rPr>
          <w:rFonts w:ascii="Verdana" w:eastAsia="Verdana" w:hAnsi="Verdana" w:cs="Verdana"/>
          <w:b/>
        </w:rPr>
        <w:t>Dehumanising</w:t>
      </w:r>
      <w:r w:rsidRPr="005B5CB6">
        <w:rPr>
          <w:rFonts w:ascii="Verdana" w:eastAsia="Verdana" w:hAnsi="Verdana" w:cs="Verdana"/>
        </w:rPr>
        <w:t xml:space="preserve">: Because we lose many indications of emotional response (eye contact, tone of voice, facial expressions) it is easier to "forget" that we are communicating with another human. Instead, we have only the words and/or images sent back and forth. </w:t>
      </w:r>
    </w:p>
    <w:p w:rsidR="00FB0B24" w:rsidRPr="005B5CB6" w:rsidP="00575F14">
      <w:pPr>
        <w:numPr>
          <w:ilvl w:val="1"/>
          <w:numId w:val="98"/>
        </w:numPr>
        <w:spacing w:after="112" w:line="250" w:lineRule="auto"/>
        <w:ind w:right="11" w:hanging="600"/>
        <w:jc w:val="both"/>
        <w:rPr>
          <w:rFonts w:ascii="Verdana" w:hAnsi="Verdana"/>
        </w:rPr>
      </w:pPr>
      <w:r w:rsidRPr="005B5CB6">
        <w:rPr>
          <w:rFonts w:ascii="Verdana" w:eastAsia="Verdana" w:hAnsi="Verdana" w:cs="Verdana"/>
          <w:b/>
        </w:rPr>
        <w:t>Devaluing</w:t>
      </w:r>
      <w:r w:rsidRPr="005B5CB6">
        <w:rPr>
          <w:rFonts w:ascii="Verdana" w:eastAsia="Verdana" w:hAnsi="Verdana" w:cs="Verdana"/>
        </w:rPr>
        <w:t xml:space="preserve">: The above means that we can downplay any emotional reaction. If a recipient claims to be offended or hurt, because that reaction is unseen, it is easier to believe that they are lying or exaggerating. It is also easier to quickly forget the incident, whilst it may linger in the recipient’s mind for days. </w:t>
      </w:r>
    </w:p>
    <w:p w:rsidR="00FB0B24" w:rsidRPr="005B5CB6" w:rsidP="00575F14">
      <w:pPr>
        <w:numPr>
          <w:ilvl w:val="1"/>
          <w:numId w:val="98"/>
        </w:numPr>
        <w:spacing w:after="109" w:line="250" w:lineRule="auto"/>
        <w:ind w:right="11" w:hanging="600"/>
        <w:jc w:val="both"/>
        <w:rPr>
          <w:rFonts w:ascii="Verdana" w:hAnsi="Verdana"/>
        </w:rPr>
      </w:pPr>
      <w:r w:rsidRPr="005B5CB6">
        <w:rPr>
          <w:rFonts w:ascii="Verdana" w:eastAsia="Verdana" w:hAnsi="Verdana" w:cs="Verdana"/>
          <w:b/>
        </w:rPr>
        <w:t>Victim-blaming</w:t>
      </w:r>
      <w:r w:rsidRPr="005B5CB6">
        <w:rPr>
          <w:rFonts w:ascii="Verdana" w:eastAsia="Verdana" w:hAnsi="Verdana" w:cs="Verdana"/>
        </w:rPr>
        <w:t xml:space="preserve">: It can be easier for an abusive online user to shift the responsibility for what they are doing from themselves, and blame their victim for what is happening, because, e.g., they're a famous politician. </w:t>
      </w:r>
    </w:p>
    <w:p w:rsidR="00FB0B24" w:rsidRPr="005B5CB6" w:rsidP="00575F14">
      <w:pPr>
        <w:numPr>
          <w:ilvl w:val="1"/>
          <w:numId w:val="98"/>
        </w:numPr>
        <w:spacing w:after="5" w:line="250" w:lineRule="auto"/>
        <w:ind w:right="11" w:hanging="600"/>
        <w:jc w:val="both"/>
        <w:rPr>
          <w:rFonts w:ascii="Verdana" w:hAnsi="Verdana"/>
        </w:rPr>
      </w:pPr>
      <w:r w:rsidRPr="005B5CB6">
        <w:rPr>
          <w:rFonts w:ascii="Verdana" w:eastAsia="Verdana" w:hAnsi="Verdana" w:cs="Verdana"/>
          <w:b/>
        </w:rPr>
        <w:t>Self-vindicating</w:t>
      </w:r>
      <w:r w:rsidRPr="005B5CB6">
        <w:rPr>
          <w:rFonts w:ascii="Verdana" w:eastAsia="Verdana" w:hAnsi="Verdana" w:cs="Verdana"/>
        </w:rPr>
        <w:t xml:space="preserve">: It can also easier to diminish the severity of these behaviour. Because we each inhabit our own heads, it seems obvious to us just how seriously we intended a certain statement, so when </w:t>
      </w:r>
    </w:p>
    <w:p w:rsidR="00FB0B24" w:rsidRPr="005B5CB6" w:rsidP="001512F6">
      <w:pPr>
        <w:spacing w:after="109" w:line="250" w:lineRule="auto"/>
        <w:ind w:left="1088" w:right="11" w:hanging="8"/>
        <w:jc w:val="both"/>
        <w:rPr>
          <w:rFonts w:ascii="Verdana" w:hAnsi="Verdana"/>
        </w:rPr>
      </w:pPr>
      <w:r w:rsidRPr="005B5CB6">
        <w:rPr>
          <w:rFonts w:ascii="Verdana" w:eastAsia="Verdana" w:hAnsi="Verdana" w:cs="Verdana"/>
        </w:rPr>
        <w:t xml:space="preserve">abusive online users are confronted, we tend to hear excuses like, "Stuff said on the internet isn't real. I was just joking. I obviously didn't really mean that I was going to kill her!" Our innate bias means that we are more likely to adopt such a self-supporting viewpoint than to judge our own behaviour as reprehensible. </w:t>
      </w:r>
    </w:p>
    <w:p w:rsidR="00FB0B24" w:rsidRPr="005B5CB6" w:rsidP="00575F14">
      <w:pPr>
        <w:numPr>
          <w:ilvl w:val="0"/>
          <w:numId w:val="98"/>
        </w:numPr>
        <w:spacing w:after="110" w:line="249" w:lineRule="auto"/>
        <w:ind w:hanging="10"/>
        <w:jc w:val="both"/>
        <w:rPr>
          <w:rFonts w:ascii="Verdana" w:hAnsi="Verdana"/>
        </w:rPr>
      </w:pPr>
      <w:r w:rsidRPr="005B5CB6">
        <w:rPr>
          <w:rFonts w:ascii="Verdana" w:eastAsia="Verdana" w:hAnsi="Verdana" w:cs="Verdana"/>
          <w:b/>
        </w:rPr>
        <w:t xml:space="preserve">To what extent does social media negatively shape public debate, either through encouraging polarisation or through abuse deterring individuals from engaging in public life? </w:t>
      </w:r>
    </w:p>
    <w:p w:rsidR="00FB0B24" w:rsidRPr="005B5CB6" w:rsidP="00575F14">
      <w:pPr>
        <w:numPr>
          <w:ilvl w:val="1"/>
          <w:numId w:val="98"/>
        </w:numPr>
        <w:spacing w:after="109" w:line="250" w:lineRule="auto"/>
        <w:ind w:right="11" w:hanging="600"/>
        <w:jc w:val="both"/>
        <w:rPr>
          <w:rFonts w:ascii="Verdana" w:hAnsi="Verdana"/>
        </w:rPr>
      </w:pPr>
      <w:r w:rsidRPr="005B5CB6">
        <w:rPr>
          <w:rFonts w:ascii="Verdana" w:eastAsia="Verdana" w:hAnsi="Verdana" w:cs="Verdana"/>
        </w:rPr>
        <w:t xml:space="preserve">See the response to the above question. Note, however, that social media is not the same as abusive online users. Social media itself, as noted in the earliest questions, can have be fundamentally democratic and a powerful voice for the voiceless. It can also be a weapon of mass disruption for the nefarious. This answer therefore focuses primarily on abusive </w:t>
      </w:r>
      <w:r w:rsidRPr="005B5CB6">
        <w:rPr>
          <w:rFonts w:ascii="Verdana" w:eastAsia="Verdana" w:hAnsi="Verdana" w:cs="Verdana"/>
          <w:i/>
        </w:rPr>
        <w:t>users</w:t>
      </w:r>
      <w:r w:rsidRPr="005B5CB6">
        <w:rPr>
          <w:rFonts w:ascii="Verdana" w:eastAsia="Verdana" w:hAnsi="Verdana" w:cs="Verdana"/>
        </w:rPr>
        <w:t xml:space="preserve"> and not so centrally on the platform or device that they use. Those platforms do have their role to play, yes, but they are not the sole arbiters of public debate. </w:t>
      </w:r>
    </w:p>
    <w:p w:rsidR="00FB0B24" w:rsidRPr="005B5CB6" w:rsidP="00575F14">
      <w:pPr>
        <w:numPr>
          <w:ilvl w:val="1"/>
          <w:numId w:val="98"/>
        </w:numPr>
        <w:spacing w:after="109" w:line="250" w:lineRule="auto"/>
        <w:ind w:right="11" w:hanging="600"/>
        <w:jc w:val="both"/>
        <w:rPr>
          <w:rFonts w:ascii="Verdana" w:hAnsi="Verdana"/>
        </w:rPr>
      </w:pPr>
      <w:r w:rsidRPr="005B5CB6">
        <w:rPr>
          <w:rFonts w:ascii="Verdana" w:eastAsia="Verdana" w:hAnsi="Verdana" w:cs="Verdana"/>
        </w:rPr>
        <w:t xml:space="preserve">Online abuse absolutely has an impact on deterring individuals, and especially those from non-white, non-male, non-heterosexual backgrounds from entering public life. The consequences of even a minor online debate can reach every corner of one’s life, from family and friends to schools and employers, as malicious users attempt to find or fabricate damaging content and proliferate it across the internet at large. </w:t>
      </w:r>
    </w:p>
    <w:p w:rsidR="00FB0B24" w:rsidRPr="005B5CB6" w:rsidP="00575F14">
      <w:pPr>
        <w:numPr>
          <w:ilvl w:val="1"/>
          <w:numId w:val="98"/>
        </w:numPr>
        <w:spacing w:after="109" w:line="250" w:lineRule="auto"/>
        <w:ind w:right="11" w:hanging="600"/>
        <w:jc w:val="both"/>
        <w:rPr>
          <w:rFonts w:ascii="Verdana" w:hAnsi="Verdana"/>
        </w:rPr>
      </w:pPr>
      <w:r w:rsidRPr="005B5CB6">
        <w:rPr>
          <w:rFonts w:ascii="Verdana" w:eastAsia="Verdana" w:hAnsi="Verdana" w:cs="Verdana"/>
        </w:rPr>
        <w:t xml:space="preserve">Saturation into the common consciousness - tiger in the market square; Sucking the air out of the room; Disenfranchising - Crisis exhaustion - angry boredom; Democracy requires a shared reality; Pejorating a characteristic (e.g. "socialism") and then assigning it ever more broadly to less relevant groups; Attacks against people/figures rather than policies, a la the courtroom; Polarisation leads to a hardening of positions and a removal of opportunity for compromise </w:t>
      </w:r>
    </w:p>
    <w:p w:rsidR="00FB0B24" w:rsidRPr="005B5CB6" w:rsidP="00575F14">
      <w:pPr>
        <w:numPr>
          <w:ilvl w:val="0"/>
          <w:numId w:val="98"/>
        </w:numPr>
        <w:spacing w:after="112" w:line="249" w:lineRule="auto"/>
        <w:ind w:hanging="10"/>
        <w:jc w:val="both"/>
        <w:rPr>
          <w:rFonts w:ascii="Verdana" w:hAnsi="Verdana"/>
        </w:rPr>
      </w:pPr>
      <w:r w:rsidRPr="005B5CB6">
        <w:rPr>
          <w:rFonts w:ascii="Verdana" w:eastAsia="Verdana" w:hAnsi="Verdana" w:cs="Verdana"/>
          <w:b/>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575F14">
      <w:pPr>
        <w:numPr>
          <w:ilvl w:val="1"/>
          <w:numId w:val="98"/>
        </w:numPr>
        <w:spacing w:after="5" w:line="250" w:lineRule="auto"/>
        <w:ind w:right="11" w:hanging="600"/>
        <w:jc w:val="both"/>
        <w:rPr>
          <w:rFonts w:ascii="Verdana" w:hAnsi="Verdana"/>
        </w:rPr>
      </w:pPr>
      <w:r w:rsidRPr="005B5CB6">
        <w:rPr>
          <w:rFonts w:ascii="Verdana" w:eastAsia="Verdana" w:hAnsi="Verdana" w:cs="Verdana"/>
        </w:rPr>
        <w:t xml:space="preserve">As per para. 1, the first part of this question is difficult to objectively answer, and subjective experience is prone to being skewed by the news cycle and personal biases. However, evidence suggests, taking these caveats into account, that there are indeed strong efforts globally to roll out substantial information operations programmes aimed at undermining democratic processes both within and across borders. </w:t>
      </w:r>
      <w:r w:rsidRPr="005B5CB6">
        <w:rPr>
          <w:rFonts w:ascii="Verdana" w:eastAsia="Verdana" w:hAnsi="Verdana" w:cs="Verdana"/>
        </w:rPr>
        <w:t xml:space="preserve">Combatting this is not simple. I refer the reader back to paras. 8 and 9. Education and literacy may help certain sections of society, and countries where digital literacy is generally lower, but disinformation and its unfortunate offspring, misinformation, are driven and perpetuated by other motives and goals, e.g. a desire to maintain or increase power, emotional investment in certain ideologies, and so forth. Reactively fighting such forces will always be difficult. By contrast, proactively strengthening the faith in democratic processes can begin at home, and immediately, in both the larger events and </w:t>
      </w:r>
    </w:p>
    <w:p w:rsidR="00FB0B24" w:rsidRPr="005B5CB6" w:rsidP="001512F6">
      <w:pPr>
        <w:spacing w:after="112" w:line="250" w:lineRule="auto"/>
        <w:ind w:left="1088" w:right="11" w:hanging="8"/>
        <w:jc w:val="both"/>
        <w:rPr>
          <w:rFonts w:ascii="Verdana" w:hAnsi="Verdana"/>
        </w:rPr>
      </w:pPr>
      <w:r w:rsidRPr="005B5CB6">
        <w:rPr>
          <w:rFonts w:ascii="Verdana" w:eastAsia="Verdana" w:hAnsi="Verdana" w:cs="Verdana"/>
        </w:rPr>
        <w:t xml:space="preserve">smaller day-to-day matters. This would be achieved through politicians exhibiting principled behaviour, stately rhetoric, calm and reasoned responses, and so forth. Especially where money enters politics, an absolute commitment to transparency and an unyielding intolerance for corruption would be extremely welcome. Research suggests that, with the advent of the internet, the overwhelming immediacy and access of information has led to a general decline in trust, whether in bankers because of subprime mortgages or politicians because of expenses scandals or the media through phone hacking. One can roll out short-term strategies to deal with this, but ultimately, the only long-term protection against distrust is trustworthy and honourable behaviour – a strong aversion to unnecessary secrecy, a marked disinclination for covering up failures, a willingness to acknowledge wrongdoings, and so forth. Though difficult, as we would teach our children, these are the ways forward that inspire trust and at the same time, such actions paint a realistic picture of what any one individual aspire to be like. </w:t>
      </w:r>
    </w:p>
    <w:p w:rsidR="00FB0B24" w:rsidRPr="005B5CB6" w:rsidP="00575F14">
      <w:pPr>
        <w:numPr>
          <w:ilvl w:val="0"/>
          <w:numId w:val="98"/>
        </w:numPr>
        <w:spacing w:after="112" w:line="250" w:lineRule="auto"/>
        <w:ind w:hanging="10"/>
        <w:jc w:val="both"/>
        <w:rPr>
          <w:rFonts w:ascii="Verdana" w:hAnsi="Verdana"/>
        </w:rPr>
      </w:pPr>
      <w:r w:rsidRPr="005B5CB6">
        <w:rPr>
          <w:rFonts w:ascii="Verdana" w:eastAsia="Verdana" w:hAnsi="Verdana" w:cs="Verdana"/>
          <w:b/>
        </w:rPr>
        <w:t xml:space="preserve">What might be the best ways of reducing the effects of misinformation on social media platforms? </w:t>
      </w:r>
    </w:p>
    <w:p w:rsidR="00FB0B24" w:rsidRPr="005B5CB6" w:rsidP="00575F14">
      <w:pPr>
        <w:numPr>
          <w:ilvl w:val="1"/>
          <w:numId w:val="98"/>
        </w:numPr>
        <w:spacing w:after="105" w:line="250" w:lineRule="auto"/>
        <w:ind w:right="11" w:hanging="600"/>
        <w:jc w:val="both"/>
        <w:rPr>
          <w:rFonts w:ascii="Verdana" w:hAnsi="Verdana"/>
        </w:rPr>
      </w:pPr>
      <w:r w:rsidRPr="005B5CB6">
        <w:rPr>
          <w:rFonts w:ascii="Verdana" w:eastAsia="Verdana" w:hAnsi="Verdana" w:cs="Verdana"/>
        </w:rPr>
        <w:t xml:space="preserve">See the answer to Q3 (paras. 8 and 9) above. </w:t>
      </w:r>
    </w:p>
    <w:p w:rsidR="00FB0B24" w:rsidRPr="005B5CB6" w:rsidP="00575F14">
      <w:pPr>
        <w:numPr>
          <w:ilvl w:val="0"/>
          <w:numId w:val="98"/>
        </w:numPr>
        <w:spacing w:after="110" w:line="249" w:lineRule="auto"/>
        <w:ind w:hanging="10"/>
        <w:jc w:val="both"/>
        <w:rPr>
          <w:rFonts w:ascii="Verdana" w:hAnsi="Verdana"/>
        </w:rPr>
      </w:pPr>
      <w:r w:rsidRPr="005B5CB6">
        <w:rPr>
          <w:rFonts w:ascii="Verdana" w:eastAsia="Verdana" w:hAnsi="Verdana" w:cs="Verdana"/>
          <w:b/>
        </w:rPr>
        <w:t xml:space="preserve">How could the moderation processes of large technology companies be improved to better tackle abuse and misinformation, as well as helping public debate flourish? </w:t>
      </w:r>
    </w:p>
    <w:p w:rsidR="00FB0B24" w:rsidRPr="005B5CB6" w:rsidP="00575F14">
      <w:pPr>
        <w:numPr>
          <w:ilvl w:val="1"/>
          <w:numId w:val="98"/>
        </w:numPr>
        <w:spacing w:after="109" w:line="250" w:lineRule="auto"/>
        <w:ind w:right="11" w:hanging="600"/>
        <w:jc w:val="both"/>
        <w:rPr>
          <w:rFonts w:ascii="Verdana" w:hAnsi="Verdana"/>
        </w:rPr>
      </w:pPr>
      <w:r w:rsidRPr="005B5CB6">
        <w:rPr>
          <w:rFonts w:ascii="Verdana" w:eastAsia="Verdana" w:hAnsi="Verdana" w:cs="Verdana"/>
        </w:rPr>
        <w:t xml:space="preserve">There is no easy answer to this question. Automated means will produce false positives (banning those who are innocent) and false negatives (allowing those who are problematic). Manual means are simply unfeasible, and are no less prone to false positives and negatives anyway. One step forward might be to bring social media platforms into the remit of an organisation like Ofcom, or to create legislative frameworks that oblige platforms who wish to operate in this country to submit to a certain degree of transparency. Additionally, prompting such platforms to make available to researchers the data they have collected from problematic accounts would be extremely productive of external, independent research into the means to identify and tackle such problems. Similarly, encouraging an atmosphere of trust and fostering partnerships between academics, civil servants, the Government, and social media platforms would lead toward longer term solutions and better understandings of the problems faced on all sides. There appears to be a tendency, at the moment, to score political points by painting all social media platforms as negligent or even criminally complicit. Given </w:t>
      </w:r>
      <w:r w:rsidRPr="005B5CB6">
        <w:rPr>
          <w:rFonts w:ascii="Verdana" w:eastAsia="Verdana" w:hAnsi="Verdana" w:cs="Verdana"/>
        </w:rPr>
        <w:t xml:space="preserve">the work done by some platforms, this seems both disingenuous and counterproductive. </w:t>
      </w:r>
    </w:p>
    <w:p w:rsidR="00FB0B24" w:rsidRPr="005B5CB6" w:rsidP="00575F14">
      <w:pPr>
        <w:numPr>
          <w:ilvl w:val="0"/>
          <w:numId w:val="98"/>
        </w:numPr>
        <w:spacing w:after="110" w:line="249" w:lineRule="auto"/>
        <w:ind w:hanging="10"/>
        <w:jc w:val="both"/>
        <w:rPr>
          <w:rFonts w:ascii="Verdana" w:hAnsi="Verdana"/>
        </w:rPr>
      </w:pPr>
      <w:r w:rsidRPr="005B5CB6">
        <w:rPr>
          <w:rFonts w:ascii="Verdana" w:eastAsia="Verdana" w:hAnsi="Verdana" w:cs="Verdana"/>
          <w:b/>
        </w:rPr>
        <w:t xml:space="preserve">How could the Government better support the positive work of civil society organisations using technology to facilitate engagement with democratic processes? </w:t>
      </w:r>
    </w:p>
    <w:p w:rsidR="00FB0B24" w:rsidRPr="005B5CB6" w:rsidP="00575F14">
      <w:pPr>
        <w:numPr>
          <w:ilvl w:val="1"/>
          <w:numId w:val="98"/>
        </w:numPr>
        <w:spacing w:after="108" w:line="250" w:lineRule="auto"/>
        <w:ind w:right="11" w:hanging="600"/>
        <w:jc w:val="both"/>
        <w:rPr>
          <w:rFonts w:ascii="Verdana" w:hAnsi="Verdana"/>
        </w:rPr>
      </w:pPr>
      <w:r w:rsidRPr="005B5CB6">
        <w:rPr>
          <w:rFonts w:ascii="Verdana" w:eastAsia="Verdana" w:hAnsi="Verdana" w:cs="Verdana"/>
        </w:rPr>
        <w:t xml:space="preserve">Not my area of expertise. </w:t>
      </w:r>
    </w:p>
    <w:p w:rsidR="00FB0B24" w:rsidRPr="005B5CB6" w:rsidP="00575F14">
      <w:pPr>
        <w:numPr>
          <w:ilvl w:val="0"/>
          <w:numId w:val="98"/>
        </w:numPr>
        <w:spacing w:after="113" w:line="249" w:lineRule="auto"/>
        <w:ind w:hanging="10"/>
        <w:jc w:val="both"/>
        <w:rPr>
          <w:rFonts w:ascii="Verdana" w:hAnsi="Verdana"/>
        </w:rPr>
      </w:pPr>
      <w:r w:rsidRPr="005B5CB6">
        <w:rPr>
          <w:rFonts w:ascii="Verdana" w:eastAsia="Verdana" w:hAnsi="Verdana" w:cs="Verdana"/>
          <w:b/>
        </w:rPr>
        <w:t xml:space="preserve">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575F14">
      <w:pPr>
        <w:numPr>
          <w:ilvl w:val="1"/>
          <w:numId w:val="98"/>
        </w:numPr>
        <w:spacing w:after="105" w:line="250" w:lineRule="auto"/>
        <w:ind w:right="11" w:hanging="600"/>
        <w:jc w:val="both"/>
        <w:rPr>
          <w:rFonts w:ascii="Verdana" w:hAnsi="Verdana"/>
        </w:rPr>
      </w:pPr>
      <w:r w:rsidRPr="005B5CB6">
        <w:rPr>
          <w:rFonts w:ascii="Verdana" w:eastAsia="Verdana" w:hAnsi="Verdana" w:cs="Verdana"/>
        </w:rPr>
        <w:t xml:space="preserve">Not my area of expertise. </w:t>
      </w:r>
    </w:p>
    <w:p w:rsidR="00FB0B24" w:rsidRPr="005B5CB6" w:rsidP="00575F14">
      <w:pPr>
        <w:numPr>
          <w:ilvl w:val="0"/>
          <w:numId w:val="98"/>
        </w:numPr>
        <w:spacing w:after="109" w:line="250" w:lineRule="auto"/>
        <w:ind w:hanging="10"/>
        <w:jc w:val="both"/>
        <w:rPr>
          <w:rFonts w:ascii="Verdana" w:hAnsi="Verdana"/>
        </w:rPr>
      </w:pPr>
      <w:r w:rsidRPr="005B5CB6">
        <w:rPr>
          <w:rFonts w:ascii="Verdana" w:eastAsia="Verdana" w:hAnsi="Verdana" w:cs="Verdana"/>
          <w:b/>
        </w:rPr>
        <w:t xml:space="preserve">What positive examples are there of technology being used to enhance democracy? </w:t>
      </w:r>
    </w:p>
    <w:p w:rsidR="00FB0B24" w:rsidRPr="005B5CB6" w:rsidP="00575F14">
      <w:pPr>
        <w:numPr>
          <w:ilvl w:val="1"/>
          <w:numId w:val="98"/>
        </w:numPr>
        <w:spacing w:after="5" w:line="346" w:lineRule="auto"/>
        <w:ind w:right="11" w:hanging="600"/>
        <w:jc w:val="both"/>
        <w:rPr>
          <w:rFonts w:ascii="Verdana" w:hAnsi="Verdana"/>
        </w:rPr>
      </w:pPr>
      <w:r w:rsidRPr="005B5CB6">
        <w:rPr>
          <w:rFonts w:ascii="Verdana" w:eastAsia="Verdana" w:hAnsi="Verdana" w:cs="Verdana"/>
        </w:rPr>
        <w:t xml:space="preserve">The government’s online petitions site is especially excellent. </w:t>
      </w:r>
      <w:r w:rsidRPr="005B5CB6">
        <w:rPr>
          <w:rFonts w:ascii="Verdana" w:eastAsia="Verdana" w:hAnsi="Verdana" w:cs="Verdana"/>
          <w:b/>
        </w:rPr>
        <w:t xml:space="preserve">Conclusion </w:t>
      </w:r>
    </w:p>
    <w:p w:rsidR="00FB0B24" w:rsidRPr="005B5CB6" w:rsidP="00575F14">
      <w:pPr>
        <w:numPr>
          <w:ilvl w:val="1"/>
          <w:numId w:val="98"/>
        </w:numPr>
        <w:spacing w:after="112" w:line="250" w:lineRule="auto"/>
        <w:ind w:right="11" w:hanging="600"/>
        <w:jc w:val="both"/>
        <w:rPr>
          <w:rFonts w:ascii="Verdana" w:hAnsi="Verdana"/>
        </w:rPr>
      </w:pPr>
      <w:r w:rsidRPr="005B5CB6">
        <w:rPr>
          <w:rFonts w:ascii="Verdana" w:eastAsia="Verdana" w:hAnsi="Verdana" w:cs="Verdana"/>
        </w:rPr>
        <w:t xml:space="preserve">The full potential of the internet is yet to be realised. If we are to fully enjoy the benefits, and reduce misinformation and abusive behaviour, my belief is that we must approach these issues comprehensively and holistically. I hope the above may offer some ways in which to achieve this. </w:t>
      </w:r>
    </w:p>
    <w:p w:rsidR="00FB0B24" w:rsidRPr="005B5CB6" w:rsidP="001512F6">
      <w:pPr>
        <w:spacing w:after="0"/>
        <w:ind w:left="1080"/>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D804C9">
          <w:headerReference w:type="even" r:id="rId177"/>
          <w:headerReference w:type="default" r:id="rId178"/>
          <w:footerReference w:type="even" r:id="rId179"/>
          <w:footerReference w:type="default" r:id="rId180"/>
          <w:headerReference w:type="first" r:id="rId181"/>
          <w:footerReference w:type="first" r:id="rId182"/>
          <w:pgSz w:w="11906" w:h="16838"/>
          <w:pgMar w:top="1492" w:right="1436" w:bottom="1523" w:left="1440" w:header="720" w:footer="827" w:gutter="0"/>
          <w:cols w:space="720"/>
        </w:sectPr>
      </w:pPr>
    </w:p>
    <w:p w:rsidR="00FB0B24" w:rsidRPr="005B5CB6" w:rsidP="00A1624B">
      <w:pPr>
        <w:pStyle w:val="Heading1"/>
        <w:rPr>
          <w:sz w:val="22"/>
        </w:rPr>
      </w:pPr>
      <w:bookmarkStart w:id="31" w:name="_Toc44517719"/>
      <w:r w:rsidRPr="005B5CB6">
        <w:rPr>
          <w:sz w:val="22"/>
        </w:rPr>
        <w:t>University of Strathclyde – written evidence (DAD0036)</w:t>
      </w:r>
      <w:bookmarkEnd w:id="31"/>
      <w:r w:rsidRPr="005B5CB6">
        <w:rPr>
          <w:sz w:val="22"/>
        </w:rPr>
        <w:t xml:space="preserve"> </w:t>
      </w:r>
    </w:p>
    <w:p w:rsidR="00FB0B24" w:rsidRPr="005B5CB6" w:rsidP="001512F6">
      <w:pPr>
        <w:spacing w:after="159"/>
        <w:jc w:val="both"/>
        <w:rPr>
          <w:rFonts w:ascii="Verdana" w:hAnsi="Verdana"/>
        </w:rPr>
      </w:pPr>
      <w:r w:rsidRPr="005B5CB6">
        <w:rPr>
          <w:rFonts w:ascii="Verdana" w:eastAsia="Verdana" w:hAnsi="Verdana" w:cs="Verdana"/>
          <w:b/>
        </w:rPr>
        <w:t xml:space="preserve"> </w:t>
      </w:r>
    </w:p>
    <w:p w:rsidR="00FB0B24" w:rsidRPr="005B5CB6" w:rsidP="001512F6">
      <w:pPr>
        <w:spacing w:after="165" w:line="250" w:lineRule="auto"/>
        <w:ind w:left="11" w:hanging="10"/>
        <w:jc w:val="both"/>
        <w:rPr>
          <w:rFonts w:ascii="Verdana" w:hAnsi="Verdana"/>
        </w:rPr>
      </w:pPr>
      <w:r w:rsidRPr="005B5CB6">
        <w:rPr>
          <w:rFonts w:ascii="Verdana" w:eastAsia="Verdana" w:hAnsi="Verdana" w:cs="Verdana"/>
          <w:b/>
        </w:rPr>
        <w:t xml:space="preserve">Title of our Research: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An Experimental Exploration of Network Dynamics on Social Media: Accounting for Who Spots Fake News and Who Shares It </w:t>
      </w:r>
    </w:p>
    <w:p w:rsidR="00FB0B24" w:rsidRPr="005B5CB6" w:rsidP="001512F6">
      <w:pPr>
        <w:spacing w:after="167" w:line="250" w:lineRule="auto"/>
        <w:ind w:left="11" w:hanging="10"/>
        <w:jc w:val="both"/>
        <w:rPr>
          <w:rFonts w:ascii="Verdana" w:hAnsi="Verdana"/>
        </w:rPr>
      </w:pPr>
      <w:r w:rsidRPr="005B5CB6">
        <w:rPr>
          <w:rFonts w:ascii="Verdana" w:eastAsia="Verdana" w:hAnsi="Verdana" w:cs="Verdana"/>
          <w:b/>
        </w:rPr>
        <w:t xml:space="preserve">Research Team: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Dr. Narisong Huhe (Government and Public Policy, University of Strathclyde)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Dr. Mark Shephard (Government and Public Policy, University of Strathclyde)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Dr. Anthony Anderson (Psychology, University of Strathclyde)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Dr. David Robertson (Psychology, University of Strathclyde) </w:t>
      </w:r>
    </w:p>
    <w:p w:rsidR="00FB0B24" w:rsidRPr="005B5CB6" w:rsidP="001512F6">
      <w:pPr>
        <w:spacing w:after="168" w:line="249" w:lineRule="auto"/>
        <w:ind w:left="-5" w:hanging="10"/>
        <w:jc w:val="both"/>
        <w:rPr>
          <w:rFonts w:ascii="Verdana" w:hAnsi="Verdana"/>
        </w:rPr>
      </w:pPr>
      <w:r w:rsidRPr="005B5CB6">
        <w:rPr>
          <w:rFonts w:ascii="Verdana" w:eastAsia="Verdana" w:hAnsi="Verdana" w:cs="Verdana"/>
        </w:rPr>
        <w:t xml:space="preserve">Contact: </w:t>
      </w:r>
      <w:r w:rsidRPr="005B5CB6">
        <w:rPr>
          <w:rFonts w:ascii="Verdana" w:eastAsia="Verdana" w:hAnsi="Verdana" w:cs="Verdana"/>
          <w:color w:val="0563C1"/>
          <w:u w:val="single" w:color="0563C1"/>
        </w:rPr>
        <w:t>mark.shephard@strath.ac.uk</w:t>
      </w:r>
      <w:r w:rsidRPr="005B5CB6">
        <w:rPr>
          <w:rFonts w:ascii="Verdana" w:eastAsia="Verdana" w:hAnsi="Verdana" w:cs="Verdana"/>
        </w:rPr>
        <w:t xml:space="preserve"> 0141 548 2213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Our research is of interest concerning the points below: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1512F6">
      <w:pPr>
        <w:spacing w:after="165" w:line="250" w:lineRule="auto"/>
        <w:ind w:left="11" w:hanging="10"/>
        <w:jc w:val="both"/>
        <w:rPr>
          <w:rFonts w:ascii="Verdana" w:hAnsi="Verdana"/>
        </w:rPr>
      </w:pPr>
      <w:r w:rsidRPr="005B5CB6">
        <w:rPr>
          <w:rFonts w:ascii="Verdana" w:eastAsia="Verdana" w:hAnsi="Verdana" w:cs="Verdana"/>
          <w:b/>
        </w:rPr>
        <w:t xml:space="preserve">Democratic debate </w:t>
      </w:r>
    </w:p>
    <w:p w:rsidR="00FB0B24" w:rsidRPr="005B5CB6" w:rsidP="00575F14">
      <w:pPr>
        <w:numPr>
          <w:ilvl w:val="0"/>
          <w:numId w:val="103"/>
        </w:numPr>
        <w:spacing w:after="165" w:line="250" w:lineRule="auto"/>
        <w:ind w:left="23" w:right="11" w:hanging="8"/>
        <w:jc w:val="both"/>
        <w:rPr>
          <w:rFonts w:ascii="Verdana" w:hAnsi="Verdana"/>
        </w:rPr>
      </w:pPr>
      <w:r w:rsidRPr="005B5CB6">
        <w:rPr>
          <w:rFonts w:ascii="Verdana" w:eastAsia="Verdana" w:hAnsi="Verdana" w:cs="Verdana"/>
        </w:rPr>
        <w:t xml:space="preserve">To what extent does social media negatively shape public debate, either through encouraging polarisation or through abuse deterring individuals from engaging in public life? </w:t>
      </w:r>
    </w:p>
    <w:p w:rsidR="00FB0B24" w:rsidRPr="005B5CB6" w:rsidP="00575F14">
      <w:pPr>
        <w:numPr>
          <w:ilvl w:val="0"/>
          <w:numId w:val="103"/>
        </w:numPr>
        <w:spacing w:after="168" w:line="250" w:lineRule="auto"/>
        <w:ind w:left="23" w:right="11" w:hanging="8"/>
        <w:jc w:val="both"/>
        <w:rPr>
          <w:rFonts w:ascii="Verdana" w:hAnsi="Verdana"/>
        </w:rPr>
      </w:pPr>
      <w:r w:rsidRPr="005B5CB6">
        <w:rPr>
          <w:rFonts w:ascii="Verdana" w:eastAsia="Verdana" w:hAnsi="Verdana" w:cs="Verdana"/>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1512F6">
      <w:pPr>
        <w:spacing w:after="165" w:line="250" w:lineRule="auto"/>
        <w:ind w:left="11" w:hanging="10"/>
        <w:jc w:val="both"/>
        <w:rPr>
          <w:rFonts w:ascii="Verdana" w:hAnsi="Verdana"/>
        </w:rPr>
      </w:pPr>
      <w:r w:rsidRPr="005B5CB6">
        <w:rPr>
          <w:rFonts w:ascii="Verdana" w:eastAsia="Verdana" w:hAnsi="Verdana" w:cs="Verdana"/>
          <w:b/>
        </w:rPr>
        <w:t xml:space="preserve">Misinformation </w:t>
      </w:r>
    </w:p>
    <w:p w:rsidR="00FB0B24" w:rsidRPr="005B5CB6" w:rsidP="00575F14">
      <w:pPr>
        <w:numPr>
          <w:ilvl w:val="0"/>
          <w:numId w:val="103"/>
        </w:numPr>
        <w:spacing w:after="168" w:line="250" w:lineRule="auto"/>
        <w:ind w:left="23" w:right="11" w:hanging="8"/>
        <w:jc w:val="both"/>
        <w:rPr>
          <w:rFonts w:ascii="Verdana" w:hAnsi="Verdana"/>
        </w:rPr>
      </w:pPr>
      <w:r w:rsidRPr="005B5CB6">
        <w:rPr>
          <w:rFonts w:ascii="Verdana" w:eastAsia="Verdana" w:hAnsi="Verdana" w:cs="Verdana"/>
        </w:rPr>
        <w:t xml:space="preserve">What might be the best ways of reducing the effects of misinformation on social media platforms? </w:t>
      </w:r>
    </w:p>
    <w:p w:rsidR="00FB0B24" w:rsidRPr="005B5CB6" w:rsidP="001512F6">
      <w:pPr>
        <w:spacing w:after="165" w:line="250" w:lineRule="auto"/>
        <w:ind w:left="11" w:hanging="10"/>
        <w:jc w:val="both"/>
        <w:rPr>
          <w:rFonts w:ascii="Verdana" w:hAnsi="Verdana"/>
        </w:rPr>
      </w:pPr>
      <w:r w:rsidRPr="005B5CB6">
        <w:rPr>
          <w:rFonts w:ascii="Verdana" w:eastAsia="Verdana" w:hAnsi="Verdana" w:cs="Verdana"/>
          <w:b/>
        </w:rPr>
        <w:t xml:space="preserve">Education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3. What role should every stage of education play in helping to create a healthy, active, digitally literate democracy?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1512F6">
      <w:pPr>
        <w:spacing w:after="165" w:line="250" w:lineRule="auto"/>
        <w:ind w:left="11" w:hanging="10"/>
        <w:jc w:val="both"/>
        <w:rPr>
          <w:rFonts w:ascii="Verdana" w:hAnsi="Verdana"/>
        </w:rPr>
      </w:pPr>
      <w:r w:rsidRPr="005B5CB6">
        <w:rPr>
          <w:rFonts w:ascii="Verdana" w:eastAsia="Verdana" w:hAnsi="Verdana" w:cs="Verdana"/>
          <w:b/>
        </w:rPr>
        <w:t xml:space="preserve">Our research: </w:t>
      </w:r>
    </w:p>
    <w:p w:rsidR="00FB0B24" w:rsidRPr="005B5CB6" w:rsidP="00575F14">
      <w:pPr>
        <w:numPr>
          <w:ilvl w:val="0"/>
          <w:numId w:val="104"/>
        </w:numPr>
        <w:spacing w:after="5" w:line="250" w:lineRule="auto"/>
        <w:ind w:right="11" w:hanging="360"/>
        <w:jc w:val="both"/>
        <w:rPr>
          <w:rFonts w:ascii="Verdana" w:hAnsi="Verdana"/>
        </w:rPr>
      </w:pPr>
      <w:r w:rsidRPr="005B5CB6">
        <w:rPr>
          <w:rFonts w:ascii="Verdana" w:eastAsia="Verdana" w:hAnsi="Verdana" w:cs="Verdana"/>
        </w:rPr>
        <w:t xml:space="preserve">We asked a cohort of 82 university politics students which news they would </w:t>
      </w:r>
      <w:r w:rsidRPr="005B5CB6">
        <w:rPr>
          <w:rFonts w:ascii="Verdana" w:eastAsia="Verdana" w:hAnsi="Verdana" w:cs="Verdana"/>
          <w:b/>
        </w:rPr>
        <w:t>share</w:t>
      </w:r>
      <w:r w:rsidRPr="005B5CB6">
        <w:rPr>
          <w:rFonts w:ascii="Verdana" w:eastAsia="Verdana" w:hAnsi="Verdana" w:cs="Verdana"/>
        </w:rPr>
        <w:t xml:space="preserve"> on Facebook, Twitter, Instagram, and Whatsapp. Our 72 news headlines (36 true and 36 fake) were taken from fact-checking sites </w:t>
      </w:r>
      <w:r>
        <w:fldChar w:fldCharType="begin"/>
      </w:r>
      <w:r>
        <w:instrText xml:space="preserve"> HYPERLINK "https://fullfact.org/" </w:instrText>
      </w:r>
      <w:r>
        <w:fldChar w:fldCharType="separate"/>
      </w:r>
      <w:r w:rsidRPr="005B5CB6">
        <w:rPr>
          <w:rFonts w:ascii="Verdana" w:eastAsia="Verdana" w:hAnsi="Verdana" w:cs="Verdana"/>
          <w:color w:val="0563C1"/>
          <w:u w:val="single" w:color="0563C1"/>
        </w:rPr>
        <w:t>https://fullfact.org/</w:t>
      </w:r>
      <w:r>
        <w:fldChar w:fldCharType="end"/>
      </w:r>
      <w:r>
        <w:fldChar w:fldCharType="begin"/>
      </w:r>
      <w:r>
        <w:instrText xml:space="preserve"> HYPERLINK "https://fullfact.org/"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and from government websites. After the sharing questions, we then asked them how true or fake the headlines were.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04"/>
        </w:numPr>
        <w:spacing w:after="5" w:line="250" w:lineRule="auto"/>
        <w:ind w:right="11" w:hanging="360"/>
        <w:jc w:val="both"/>
        <w:rPr>
          <w:rFonts w:ascii="Verdana" w:hAnsi="Verdana"/>
        </w:rPr>
      </w:pPr>
      <w:r w:rsidRPr="005B5CB6">
        <w:rPr>
          <w:rFonts w:ascii="Verdana" w:eastAsia="Verdana" w:hAnsi="Verdana" w:cs="Verdana"/>
        </w:rPr>
        <w:t xml:space="preserve">Some examples of the headlines: </w:t>
      </w:r>
    </w:p>
    <w:p w:rsidR="00FB0B24" w:rsidRPr="005B5CB6" w:rsidP="00575F14">
      <w:pPr>
        <w:numPr>
          <w:ilvl w:val="0"/>
          <w:numId w:val="109"/>
        </w:numPr>
        <w:spacing w:after="5" w:line="250" w:lineRule="auto"/>
        <w:ind w:left="720" w:right="11" w:hanging="360"/>
        <w:jc w:val="both"/>
        <w:rPr>
          <w:rFonts w:ascii="Verdana" w:hAnsi="Verdana"/>
        </w:rPr>
      </w:pPr>
      <w:r w:rsidRPr="005B5CB6">
        <w:rPr>
          <w:rFonts w:ascii="Verdana" w:eastAsia="Verdana" w:hAnsi="Verdana" w:cs="Verdana"/>
        </w:rPr>
        <w:t xml:space="preserve">One in four girls or women are in period poverty and are unable to afford sanitary products.  </w:t>
      </w:r>
    </w:p>
    <w:p w:rsidR="00FB0B24" w:rsidRPr="005B5CB6" w:rsidP="00575F14">
      <w:pPr>
        <w:numPr>
          <w:ilvl w:val="0"/>
          <w:numId w:val="109"/>
        </w:numPr>
        <w:spacing w:after="5" w:line="250" w:lineRule="auto"/>
        <w:ind w:left="720" w:right="11" w:hanging="360"/>
        <w:jc w:val="both"/>
        <w:rPr>
          <w:rFonts w:ascii="Verdana" w:hAnsi="Verdana"/>
        </w:rPr>
      </w:pPr>
      <w:r w:rsidRPr="005B5CB6">
        <w:rPr>
          <w:rFonts w:ascii="Verdana" w:eastAsia="Verdana" w:hAnsi="Verdana" w:cs="Verdana"/>
        </w:rPr>
        <w:t xml:space="preserve">Four square metres of rainforest are destroyed for each gram of cocaine produced.  </w:t>
      </w:r>
    </w:p>
    <w:p w:rsidR="00FB0B24" w:rsidRPr="005B5CB6" w:rsidP="00575F14">
      <w:pPr>
        <w:numPr>
          <w:ilvl w:val="0"/>
          <w:numId w:val="109"/>
        </w:numPr>
        <w:spacing w:after="5" w:line="250" w:lineRule="auto"/>
        <w:ind w:left="720" w:right="11" w:hanging="360"/>
        <w:jc w:val="both"/>
        <w:rPr>
          <w:rFonts w:ascii="Verdana" w:hAnsi="Verdana"/>
        </w:rPr>
      </w:pPr>
      <w:r w:rsidRPr="005B5CB6">
        <w:rPr>
          <w:rFonts w:ascii="Verdana" w:eastAsia="Verdana" w:hAnsi="Verdana" w:cs="Verdana"/>
        </w:rPr>
        <w:t xml:space="preserve">Student ‘loans’ don’t actually work like loans.  </w:t>
      </w:r>
    </w:p>
    <w:p w:rsidR="00FB0B24" w:rsidRPr="005B5CB6" w:rsidP="00575F14">
      <w:pPr>
        <w:numPr>
          <w:ilvl w:val="0"/>
          <w:numId w:val="109"/>
        </w:numPr>
        <w:spacing w:after="5" w:line="250" w:lineRule="auto"/>
        <w:ind w:left="720" w:right="11" w:hanging="360"/>
        <w:jc w:val="both"/>
        <w:rPr>
          <w:rFonts w:ascii="Verdana" w:hAnsi="Verdana"/>
        </w:rPr>
      </w:pPr>
      <w:r w:rsidRPr="005B5CB6">
        <w:rPr>
          <w:rFonts w:ascii="Verdana" w:eastAsia="Verdana" w:hAnsi="Verdana" w:cs="Verdana"/>
        </w:rPr>
        <w:t xml:space="preserve">1 million people marched for a People’s Vote on Brexit on Saturday 23rd March.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575F14">
      <w:pPr>
        <w:numPr>
          <w:ilvl w:val="0"/>
          <w:numId w:val="104"/>
        </w:numPr>
        <w:spacing w:after="5" w:line="250" w:lineRule="auto"/>
        <w:ind w:right="11" w:hanging="360"/>
        <w:jc w:val="both"/>
        <w:rPr>
          <w:rFonts w:ascii="Verdana" w:hAnsi="Verdana"/>
        </w:rPr>
      </w:pPr>
      <w:r w:rsidRPr="005B5CB6">
        <w:rPr>
          <w:rFonts w:ascii="Verdana" w:eastAsia="Verdana" w:hAnsi="Verdana" w:cs="Verdana"/>
        </w:rPr>
        <w:t xml:space="preserve">We set ourselves a tough test (politics students and news stories that were fairly pedestrian).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575F14">
      <w:pPr>
        <w:numPr>
          <w:ilvl w:val="0"/>
          <w:numId w:val="104"/>
        </w:numPr>
        <w:spacing w:after="5" w:line="250" w:lineRule="auto"/>
        <w:ind w:right="11" w:hanging="360"/>
        <w:jc w:val="both"/>
        <w:rPr>
          <w:rFonts w:ascii="Verdana" w:hAnsi="Verdana"/>
        </w:rPr>
      </w:pPr>
      <w:r w:rsidRPr="005B5CB6">
        <w:rPr>
          <w:rFonts w:ascii="Verdana" w:eastAsia="Verdana" w:hAnsi="Verdana" w:cs="Verdana"/>
        </w:rPr>
        <w:t xml:space="preserve">Results for </w:t>
      </w:r>
      <w:r w:rsidRPr="005B5CB6">
        <w:rPr>
          <w:rFonts w:ascii="Verdana" w:eastAsia="Verdana" w:hAnsi="Verdana" w:cs="Verdana"/>
          <w:b/>
        </w:rPr>
        <w:t>news</w:t>
      </w:r>
      <w:r w:rsidRPr="005B5CB6">
        <w:rPr>
          <w:rFonts w:ascii="Verdana" w:eastAsia="Verdana" w:hAnsi="Verdana" w:cs="Verdana"/>
        </w:rPr>
        <w:t xml:space="preserve"> </w:t>
      </w:r>
      <w:r w:rsidRPr="005B5CB6">
        <w:rPr>
          <w:rFonts w:ascii="Verdana" w:eastAsia="Verdana" w:hAnsi="Verdana" w:cs="Verdana"/>
          <w:b/>
        </w:rPr>
        <w:t>sharing</w:t>
      </w:r>
      <w:r w:rsidRPr="005B5CB6">
        <w:rPr>
          <w:rFonts w:ascii="Verdana" w:eastAsia="Verdana" w:hAnsi="Verdana" w:cs="Verdana"/>
        </w:rPr>
        <w:t xml:space="preserve">: </w:t>
      </w:r>
    </w:p>
    <w:p w:rsidR="00FB0B24" w:rsidRPr="005B5CB6" w:rsidP="00575F14">
      <w:pPr>
        <w:numPr>
          <w:ilvl w:val="2"/>
          <w:numId w:val="108"/>
        </w:numPr>
        <w:spacing w:after="5" w:line="250" w:lineRule="auto"/>
        <w:ind w:hanging="360"/>
        <w:jc w:val="both"/>
        <w:rPr>
          <w:rFonts w:ascii="Verdana" w:hAnsi="Verdana"/>
        </w:rPr>
      </w:pPr>
      <w:r w:rsidRPr="005B5CB6">
        <w:rPr>
          <w:rFonts w:ascii="Verdana" w:eastAsia="Verdana" w:hAnsi="Verdana" w:cs="Verdana"/>
          <w:b/>
          <w:u w:val="single" w:color="000000"/>
        </w:rPr>
        <w:t>everybody</w:t>
      </w:r>
      <w:r w:rsidRPr="005B5CB6">
        <w:rPr>
          <w:rFonts w:ascii="Verdana" w:eastAsia="Verdana" w:hAnsi="Verdana" w:cs="Verdana"/>
          <w:b/>
        </w:rPr>
        <w:t xml:space="preserve"> in our research shares fake news  </w:t>
      </w:r>
    </w:p>
    <w:p w:rsidR="00FB0B24" w:rsidRPr="005B5CB6" w:rsidP="00575F14">
      <w:pPr>
        <w:numPr>
          <w:ilvl w:val="2"/>
          <w:numId w:val="108"/>
        </w:numPr>
        <w:spacing w:after="5" w:line="250" w:lineRule="auto"/>
        <w:ind w:hanging="360"/>
        <w:jc w:val="both"/>
        <w:rPr>
          <w:rFonts w:ascii="Verdana" w:hAnsi="Verdana"/>
        </w:rPr>
      </w:pPr>
      <w:r w:rsidRPr="005B5CB6">
        <w:rPr>
          <w:rFonts w:ascii="Verdana" w:eastAsia="Verdana" w:hAnsi="Verdana" w:cs="Verdana"/>
          <w:b/>
        </w:rPr>
        <w:t>fake news is shared significantly more than true news</w:t>
      </w:r>
      <w:r w:rsidRPr="005B5CB6">
        <w:rPr>
          <w:rFonts w:ascii="Verdana" w:eastAsia="Verdana" w:hAnsi="Verdana" w:cs="Verdana"/>
        </w:rPr>
        <w:t xml:space="preserve"> </w:t>
      </w:r>
    </w:p>
    <w:p w:rsidR="00FB0B24" w:rsidRPr="005B5CB6" w:rsidP="00575F14">
      <w:pPr>
        <w:numPr>
          <w:ilvl w:val="2"/>
          <w:numId w:val="108"/>
        </w:numPr>
        <w:spacing w:after="5" w:line="250" w:lineRule="auto"/>
        <w:ind w:hanging="360"/>
        <w:jc w:val="both"/>
        <w:rPr>
          <w:rFonts w:ascii="Verdana" w:hAnsi="Verdana"/>
        </w:rPr>
      </w:pPr>
      <w:r w:rsidRPr="005B5CB6">
        <w:rPr>
          <w:rFonts w:ascii="Verdana" w:eastAsia="Verdana" w:hAnsi="Verdana" w:cs="Verdana"/>
          <w:b/>
        </w:rPr>
        <w:t>females share significantly more news than males</w:t>
      </w:r>
      <w:r w:rsidRPr="005B5CB6">
        <w:rPr>
          <w:rFonts w:ascii="Verdana" w:eastAsia="Verdana" w:hAnsi="Verdana" w:cs="Verdana"/>
        </w:rPr>
        <w:t xml:space="preserve"> </w:t>
      </w:r>
    </w:p>
    <w:p w:rsidR="00FB0B24" w:rsidRPr="005B5CB6" w:rsidP="00575F14">
      <w:pPr>
        <w:numPr>
          <w:ilvl w:val="2"/>
          <w:numId w:val="108"/>
        </w:numPr>
        <w:spacing w:after="5" w:line="250" w:lineRule="auto"/>
        <w:ind w:hanging="360"/>
        <w:jc w:val="both"/>
        <w:rPr>
          <w:rFonts w:ascii="Verdana" w:hAnsi="Verdana"/>
        </w:rPr>
      </w:pPr>
      <w:r w:rsidRPr="005B5CB6">
        <w:rPr>
          <w:rFonts w:ascii="Verdana" w:eastAsia="Verdana" w:hAnsi="Verdana" w:cs="Verdana"/>
          <w:b/>
        </w:rPr>
        <w:t>those who discuss politics share significantly more news</w:t>
      </w:r>
      <w:r w:rsidRPr="005B5CB6">
        <w:rPr>
          <w:rFonts w:ascii="Verdana" w:eastAsia="Verdana" w:hAnsi="Verdana" w:cs="Verdana"/>
        </w:rPr>
        <w:t xml:space="preserve"> </w:t>
      </w:r>
    </w:p>
    <w:p w:rsidR="00FB0B24" w:rsidRPr="005B5CB6" w:rsidP="00575F14">
      <w:pPr>
        <w:numPr>
          <w:ilvl w:val="2"/>
          <w:numId w:val="108"/>
        </w:numPr>
        <w:spacing w:after="5" w:line="250" w:lineRule="auto"/>
        <w:ind w:hanging="360"/>
        <w:jc w:val="both"/>
        <w:rPr>
          <w:rFonts w:ascii="Verdana" w:hAnsi="Verdana"/>
        </w:rPr>
      </w:pPr>
      <w:r w:rsidRPr="005B5CB6">
        <w:rPr>
          <w:rFonts w:ascii="Verdana" w:eastAsia="Verdana" w:hAnsi="Verdana" w:cs="Verdana"/>
          <w:b/>
        </w:rPr>
        <w:t>those with higher internet usage are significantly less likely to share news</w:t>
      </w:r>
      <w:r w:rsidRPr="005B5CB6">
        <w:rPr>
          <w:rFonts w:ascii="Verdana" w:eastAsia="Verdana" w:hAnsi="Verdana" w:cs="Verdana"/>
        </w:rPr>
        <w:t xml:space="preserve"> </w:t>
      </w:r>
    </w:p>
    <w:p w:rsidR="00FB0B24" w:rsidRPr="005B5CB6" w:rsidP="001512F6">
      <w:pPr>
        <w:spacing w:after="0"/>
        <w:ind w:left="1440"/>
        <w:jc w:val="both"/>
        <w:rPr>
          <w:rFonts w:ascii="Verdana" w:hAnsi="Verdana"/>
        </w:rPr>
      </w:pPr>
      <w:r w:rsidRPr="005B5CB6">
        <w:rPr>
          <w:rFonts w:ascii="Verdana" w:eastAsia="Verdana" w:hAnsi="Verdana" w:cs="Verdana"/>
        </w:rPr>
        <w:t xml:space="preserve"> </w:t>
      </w:r>
    </w:p>
    <w:p w:rsidR="00FB0B24" w:rsidRPr="005B5CB6" w:rsidP="00575F14">
      <w:pPr>
        <w:numPr>
          <w:ilvl w:val="0"/>
          <w:numId w:val="104"/>
        </w:numPr>
        <w:spacing w:after="5" w:line="250" w:lineRule="auto"/>
        <w:ind w:right="11" w:hanging="360"/>
        <w:jc w:val="both"/>
        <w:rPr>
          <w:rFonts w:ascii="Verdana" w:hAnsi="Verdana"/>
        </w:rPr>
      </w:pPr>
      <w:r w:rsidRPr="005B5CB6">
        <w:rPr>
          <w:rFonts w:ascii="Verdana" w:eastAsia="Verdana" w:hAnsi="Verdana" w:cs="Verdana"/>
        </w:rPr>
        <w:t xml:space="preserve">Results for </w:t>
      </w:r>
      <w:r w:rsidRPr="005B5CB6">
        <w:rPr>
          <w:rFonts w:ascii="Verdana" w:eastAsia="Verdana" w:hAnsi="Verdana" w:cs="Verdana"/>
          <w:b/>
        </w:rPr>
        <w:t>error explaining</w:t>
      </w:r>
      <w:r w:rsidRPr="005B5CB6">
        <w:rPr>
          <w:rFonts w:ascii="Verdana" w:eastAsia="Verdana" w:hAnsi="Verdana" w:cs="Verdana"/>
        </w:rPr>
        <w:t xml:space="preserve"> (predictors of how wrong people were in their judgements about how true or fake a news headline was): </w:t>
      </w:r>
    </w:p>
    <w:p w:rsidR="00FB0B24" w:rsidRPr="005B5CB6" w:rsidP="00575F14">
      <w:pPr>
        <w:numPr>
          <w:ilvl w:val="2"/>
          <w:numId w:val="105"/>
        </w:numPr>
        <w:spacing w:after="5" w:line="250" w:lineRule="auto"/>
        <w:ind w:left="1500" w:hanging="360"/>
        <w:jc w:val="both"/>
        <w:rPr>
          <w:rFonts w:ascii="Verdana" w:hAnsi="Verdana"/>
        </w:rPr>
      </w:pPr>
      <w:r w:rsidRPr="005B5CB6">
        <w:rPr>
          <w:rFonts w:ascii="Verdana" w:eastAsia="Verdana" w:hAnsi="Verdana" w:cs="Verdana"/>
          <w:b/>
        </w:rPr>
        <w:t xml:space="preserve">We make significantly more errors with fake news than true stories </w:t>
      </w:r>
    </w:p>
    <w:p w:rsidR="00FB0B24" w:rsidRPr="005B5CB6" w:rsidP="00575F14">
      <w:pPr>
        <w:numPr>
          <w:ilvl w:val="2"/>
          <w:numId w:val="105"/>
        </w:numPr>
        <w:spacing w:after="5" w:line="250" w:lineRule="auto"/>
        <w:ind w:left="1500" w:hanging="360"/>
        <w:jc w:val="both"/>
        <w:rPr>
          <w:rFonts w:ascii="Verdana" w:hAnsi="Verdana"/>
        </w:rPr>
      </w:pPr>
      <w:r w:rsidRPr="005B5CB6">
        <w:rPr>
          <w:rFonts w:ascii="Verdana" w:eastAsia="Verdana" w:hAnsi="Verdana" w:cs="Verdana"/>
          <w:b/>
        </w:rPr>
        <w:t xml:space="preserve">When we share we are significantly more likely to have got it wrong </w:t>
      </w:r>
    </w:p>
    <w:p w:rsidR="00FB0B24" w:rsidRPr="005B5CB6" w:rsidP="00575F14">
      <w:pPr>
        <w:numPr>
          <w:ilvl w:val="2"/>
          <w:numId w:val="105"/>
        </w:numPr>
        <w:spacing w:after="5" w:line="250" w:lineRule="auto"/>
        <w:ind w:left="1500" w:hanging="360"/>
        <w:jc w:val="both"/>
        <w:rPr>
          <w:rFonts w:ascii="Verdana" w:hAnsi="Verdana"/>
        </w:rPr>
      </w:pPr>
      <w:r w:rsidRPr="005B5CB6">
        <w:rPr>
          <w:rFonts w:ascii="Verdana" w:eastAsia="Verdana" w:hAnsi="Verdana" w:cs="Verdana"/>
          <w:b/>
        </w:rPr>
        <w:t>The less you discuss politics the significantly more likely you are to have got it wrong</w:t>
      </w:r>
      <w:r w:rsidRPr="005B5CB6">
        <w:rPr>
          <w:rFonts w:ascii="Verdana" w:eastAsia="Verdana" w:hAnsi="Verdana" w:cs="Verdana"/>
        </w:rPr>
        <w:t xml:space="preserve"> </w:t>
      </w:r>
    </w:p>
    <w:p w:rsidR="00FB0B24" w:rsidRPr="005B5CB6" w:rsidP="001512F6">
      <w:pPr>
        <w:spacing w:after="0"/>
        <w:ind w:left="1501"/>
        <w:jc w:val="both"/>
        <w:rPr>
          <w:rFonts w:ascii="Verdana" w:hAnsi="Verdana"/>
        </w:rPr>
      </w:pPr>
      <w:r w:rsidRPr="005B5CB6">
        <w:rPr>
          <w:rFonts w:ascii="Verdana" w:eastAsia="Verdana" w:hAnsi="Verdana" w:cs="Verdana"/>
        </w:rPr>
        <w:t xml:space="preserve"> </w:t>
      </w:r>
    </w:p>
    <w:p w:rsidR="00FB0B24" w:rsidRPr="005B5CB6" w:rsidP="00575F14">
      <w:pPr>
        <w:numPr>
          <w:ilvl w:val="0"/>
          <w:numId w:val="104"/>
        </w:numPr>
        <w:spacing w:after="5" w:line="250" w:lineRule="auto"/>
        <w:ind w:right="11" w:hanging="360"/>
        <w:jc w:val="both"/>
        <w:rPr>
          <w:rFonts w:ascii="Verdana" w:hAnsi="Verdana"/>
        </w:rPr>
      </w:pPr>
      <w:r w:rsidRPr="005B5CB6">
        <w:rPr>
          <w:rFonts w:ascii="Verdana" w:eastAsia="Verdana" w:hAnsi="Verdana" w:cs="Verdana"/>
        </w:rPr>
        <w:t xml:space="preserve">Results for </w:t>
      </w:r>
      <w:r w:rsidRPr="005B5CB6">
        <w:rPr>
          <w:rFonts w:ascii="Verdana" w:eastAsia="Verdana" w:hAnsi="Verdana" w:cs="Verdana"/>
          <w:b/>
        </w:rPr>
        <w:t xml:space="preserve">social networks </w:t>
      </w:r>
      <w:r w:rsidRPr="005B5CB6">
        <w:rPr>
          <w:rFonts w:ascii="Verdana" w:eastAsia="Verdana" w:hAnsi="Verdana" w:cs="Verdana"/>
        </w:rPr>
        <w:t xml:space="preserve">(how do people who are connected to each other on Facebook, Twitter, Instagram, and Whatsapp behave?): </w:t>
      </w:r>
    </w:p>
    <w:p w:rsidR="00FB0B24" w:rsidRPr="005B5CB6" w:rsidP="00575F14">
      <w:pPr>
        <w:numPr>
          <w:ilvl w:val="2"/>
          <w:numId w:val="107"/>
        </w:numPr>
        <w:spacing w:after="5" w:line="250" w:lineRule="auto"/>
        <w:ind w:hanging="360"/>
        <w:jc w:val="both"/>
        <w:rPr>
          <w:rFonts w:ascii="Verdana" w:hAnsi="Verdana"/>
        </w:rPr>
      </w:pPr>
      <w:r w:rsidRPr="005B5CB6">
        <w:rPr>
          <w:rFonts w:ascii="Verdana" w:eastAsia="Verdana" w:hAnsi="Verdana" w:cs="Verdana"/>
          <w:b/>
        </w:rPr>
        <w:t>Party proximity significantly explains news sharing similarity</w:t>
      </w:r>
      <w:r w:rsidRPr="005B5CB6">
        <w:rPr>
          <w:rFonts w:ascii="Verdana" w:eastAsia="Verdana" w:hAnsi="Verdana" w:cs="Verdana"/>
        </w:rPr>
        <w:t xml:space="preserve"> (the closer you are to another person in the study in terms of party support/proximity across all party dimensions the more likely you are to share stories with them) </w:t>
      </w:r>
    </w:p>
    <w:p w:rsidR="00FB0B24" w:rsidRPr="005B5CB6" w:rsidP="00575F14">
      <w:pPr>
        <w:numPr>
          <w:ilvl w:val="2"/>
          <w:numId w:val="107"/>
        </w:numPr>
        <w:spacing w:after="5" w:line="250" w:lineRule="auto"/>
        <w:ind w:hanging="360"/>
        <w:jc w:val="both"/>
        <w:rPr>
          <w:rFonts w:ascii="Verdana" w:hAnsi="Verdana"/>
        </w:rPr>
      </w:pPr>
      <w:r w:rsidRPr="005B5CB6">
        <w:rPr>
          <w:rFonts w:ascii="Verdana" w:eastAsia="Verdana" w:hAnsi="Verdana" w:cs="Verdana"/>
          <w:b/>
        </w:rPr>
        <w:t xml:space="preserve">Female pairs are significantly less likely to share the same stories than male-female pairs  </w:t>
      </w:r>
    </w:p>
    <w:p w:rsidR="00FB0B24" w:rsidRPr="005B5CB6" w:rsidP="00575F14">
      <w:pPr>
        <w:numPr>
          <w:ilvl w:val="2"/>
          <w:numId w:val="107"/>
        </w:numPr>
        <w:spacing w:after="5" w:line="250" w:lineRule="auto"/>
        <w:ind w:hanging="360"/>
        <w:jc w:val="both"/>
        <w:rPr>
          <w:rFonts w:ascii="Verdana" w:hAnsi="Verdana"/>
        </w:rPr>
      </w:pPr>
      <w:r w:rsidRPr="005B5CB6">
        <w:rPr>
          <w:rFonts w:ascii="Verdana" w:eastAsia="Verdana" w:hAnsi="Verdana" w:cs="Verdana"/>
          <w:b/>
        </w:rPr>
        <w:t xml:space="preserve">Being connected on Instagram is significantly more likely to explain sharing similarity. </w:t>
      </w:r>
    </w:p>
    <w:p w:rsidR="00FB0B24" w:rsidRPr="005B5CB6" w:rsidP="001512F6">
      <w:pPr>
        <w:spacing w:after="0"/>
        <w:ind w:left="1440"/>
        <w:jc w:val="both"/>
        <w:rPr>
          <w:rFonts w:ascii="Verdana" w:hAnsi="Verdana"/>
        </w:rPr>
      </w:pPr>
      <w:r w:rsidRPr="005B5CB6">
        <w:rPr>
          <w:rFonts w:ascii="Verdana" w:eastAsia="Verdana" w:hAnsi="Verdana" w:cs="Verdana"/>
          <w:b/>
        </w:rPr>
        <w:t xml:space="preserve"> </w:t>
      </w:r>
    </w:p>
    <w:p w:rsidR="00FB0B24" w:rsidRPr="005B5CB6" w:rsidP="001512F6">
      <w:pPr>
        <w:spacing w:after="0"/>
        <w:ind w:left="1440"/>
        <w:jc w:val="both"/>
        <w:rPr>
          <w:rFonts w:ascii="Verdana" w:hAnsi="Verdana"/>
        </w:rPr>
      </w:pPr>
      <w:r w:rsidRPr="005B5CB6">
        <w:rPr>
          <w:rFonts w:ascii="Verdana" w:eastAsia="Verdana" w:hAnsi="Verdana" w:cs="Verdana"/>
          <w:b/>
        </w:rPr>
        <w:t xml:space="preserve"> </w:t>
      </w:r>
    </w:p>
    <w:p w:rsidR="00FB0B24" w:rsidRPr="005B5CB6" w:rsidP="001512F6">
      <w:pPr>
        <w:spacing w:after="0"/>
        <w:ind w:left="1440"/>
        <w:jc w:val="both"/>
        <w:rPr>
          <w:rFonts w:ascii="Verdana" w:hAnsi="Verdana"/>
        </w:rPr>
      </w:pPr>
      <w:r w:rsidRPr="005B5CB6">
        <w:rPr>
          <w:rFonts w:ascii="Verdana" w:eastAsia="Verdana" w:hAnsi="Verdana" w:cs="Verdana"/>
          <w:b/>
        </w:rPr>
        <w:t xml:space="preserve"> </w:t>
      </w:r>
    </w:p>
    <w:p w:rsidR="00FB0B24" w:rsidRPr="005B5CB6" w:rsidP="00575F14">
      <w:pPr>
        <w:numPr>
          <w:ilvl w:val="0"/>
          <w:numId w:val="104"/>
        </w:numPr>
        <w:spacing w:after="5" w:line="250" w:lineRule="auto"/>
        <w:ind w:right="11" w:hanging="360"/>
        <w:jc w:val="both"/>
        <w:rPr>
          <w:rFonts w:ascii="Verdana" w:hAnsi="Verdana"/>
        </w:rPr>
      </w:pPr>
      <w:r w:rsidRPr="005B5CB6">
        <w:rPr>
          <w:rFonts w:ascii="Verdana" w:eastAsia="Verdana" w:hAnsi="Verdana" w:cs="Verdana"/>
          <w:b/>
        </w:rPr>
        <w:t>We are currently working on:</w:t>
      </w:r>
      <w:r w:rsidRPr="005B5CB6">
        <w:rPr>
          <w:rFonts w:ascii="Verdana" w:eastAsia="Verdana" w:hAnsi="Verdana" w:cs="Verdana"/>
        </w:rPr>
        <w:t xml:space="preserve"> </w:t>
      </w:r>
    </w:p>
    <w:p w:rsidR="00FB0B24" w:rsidRPr="005B5CB6" w:rsidP="00575F14">
      <w:pPr>
        <w:numPr>
          <w:ilvl w:val="0"/>
          <w:numId w:val="106"/>
        </w:numPr>
        <w:spacing w:after="5" w:line="250" w:lineRule="auto"/>
        <w:ind w:right="11" w:hanging="360"/>
        <w:jc w:val="both"/>
        <w:rPr>
          <w:rFonts w:ascii="Verdana" w:hAnsi="Verdana"/>
        </w:rPr>
      </w:pPr>
      <w:r w:rsidRPr="005B5CB6">
        <w:rPr>
          <w:rFonts w:ascii="Verdana" w:eastAsia="Verdana" w:hAnsi="Verdana" w:cs="Verdana"/>
        </w:rPr>
        <w:t xml:space="preserve">Differences between image and text  </w:t>
      </w:r>
    </w:p>
    <w:p w:rsidR="00FB0B24" w:rsidRPr="005B5CB6" w:rsidP="00575F14">
      <w:pPr>
        <w:numPr>
          <w:ilvl w:val="0"/>
          <w:numId w:val="106"/>
        </w:numPr>
        <w:spacing w:after="165" w:line="250" w:lineRule="auto"/>
        <w:ind w:right="11" w:hanging="360"/>
        <w:jc w:val="both"/>
        <w:rPr>
          <w:rFonts w:ascii="Verdana" w:hAnsi="Verdana"/>
        </w:rPr>
      </w:pPr>
      <w:r w:rsidRPr="005B5CB6">
        <w:rPr>
          <w:rFonts w:ascii="Verdana" w:eastAsia="Verdana" w:hAnsi="Verdana" w:cs="Verdana"/>
        </w:rPr>
        <w:t xml:space="preserve">Impact of education on sharing and fake news detection (experimental design incorporating and testing the usefulness of some of the educational resources listed in 8. below) </w:t>
      </w:r>
    </w:p>
    <w:p w:rsidR="00FB0B24" w:rsidRPr="005B5CB6" w:rsidP="001512F6">
      <w:pPr>
        <w:spacing w:after="156"/>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04"/>
        </w:numPr>
        <w:spacing w:after="5" w:line="249" w:lineRule="auto"/>
        <w:ind w:right="11" w:hanging="360"/>
        <w:jc w:val="both"/>
        <w:rPr>
          <w:rFonts w:ascii="Verdana" w:hAnsi="Verdana"/>
        </w:rPr>
      </w:pPr>
      <w:r w:rsidRPr="005B5CB6">
        <w:rPr>
          <w:rFonts w:ascii="Verdana" w:eastAsia="Verdana" w:hAnsi="Verdana" w:cs="Verdana"/>
        </w:rPr>
        <w:t xml:space="preserve">Dr. Mark Shephard has produced a series of publications and Tedx talks on social media issues designed to assist with citizenship education: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Segoe UI Symbol" w:hAnsi="Verdana" w:cs="Segoe UI Symbol"/>
        </w:rPr>
        <w:t>•</w:t>
      </w:r>
      <w:r w:rsidRPr="005B5CB6">
        <w:rPr>
          <w:rFonts w:ascii="Verdana" w:eastAsia="Arial" w:hAnsi="Verdana" w:cs="Arial"/>
        </w:rPr>
        <w:t xml:space="preserve"> </w:t>
      </w:r>
      <w:r w:rsidRPr="005B5CB6">
        <w:rPr>
          <w:rFonts w:ascii="Verdana" w:eastAsia="Verdana" w:hAnsi="Verdana" w:cs="Verdana"/>
        </w:rPr>
        <w:t xml:space="preserve">Mark Shephard, Stephen Quinlan, Stephen Tagg, and Lindsay Paterson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(2014) ‘Engaging the Brain as Well as the Heart: Political Literacy and Social Media Platforms’, in Andrew Mycock and Jonathan Tongue et al.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i/>
        </w:rPr>
        <w:t>Beyond the Youth Citizenship Commission Report</w:t>
      </w:r>
      <w:r w:rsidRPr="005B5CB6">
        <w:rPr>
          <w:rFonts w:ascii="Verdana" w:eastAsia="Verdana" w:hAnsi="Verdana" w:cs="Verdana"/>
        </w:rPr>
        <w:t>: Young People and Politics (Political Studies Association), 38-41,</w:t>
      </w:r>
      <w:r w:rsidRPr="005B5CB6">
        <w:rPr>
          <w:rFonts w:ascii="Verdana" w:eastAsia="Verdana" w:hAnsi="Verdana" w:cs="Verdana"/>
          <w:color w:val="37404E"/>
        </w:rPr>
        <w:t xml:space="preserve"> </w:t>
      </w:r>
    </w:p>
    <w:p w:rsidR="00FB0B24" w:rsidRPr="005B5CB6" w:rsidP="001512F6">
      <w:pPr>
        <w:spacing w:after="5" w:line="249" w:lineRule="auto"/>
        <w:ind w:left="730" w:hanging="10"/>
        <w:jc w:val="both"/>
        <w:rPr>
          <w:rFonts w:ascii="Verdana" w:hAnsi="Verdana"/>
        </w:rPr>
      </w:pPr>
      <w:r>
        <w:fldChar w:fldCharType="begin"/>
      </w:r>
      <w:r>
        <w:instrText xml:space="preserve"> HYPERLINK "http://www.psa.ac.uk/sites/default/files/PSA%20Beyond%20the%20YCC%20FINAL_0.pdf" </w:instrText>
      </w:r>
      <w:r>
        <w:fldChar w:fldCharType="separate"/>
      </w:r>
      <w:r w:rsidRPr="005B5CB6" w:rsidR="00A72806">
        <w:rPr>
          <w:rFonts w:ascii="Verdana" w:eastAsia="Verdana" w:hAnsi="Verdana" w:cs="Verdana"/>
          <w:color w:val="0563C1"/>
          <w:u w:val="single" w:color="0563C1"/>
        </w:rPr>
        <w:t>http://www.psa.ac.uk/sites/default/files/PSA%20Beyond%20the%20YCC</w:t>
      </w:r>
      <w:r>
        <w:fldChar w:fldCharType="end"/>
      </w:r>
    </w:p>
    <w:p w:rsidR="00FB0B24" w:rsidRPr="005B5CB6" w:rsidP="001512F6">
      <w:pPr>
        <w:spacing w:after="5" w:line="250" w:lineRule="auto"/>
        <w:ind w:left="728" w:right="11" w:hanging="8"/>
        <w:jc w:val="both"/>
        <w:rPr>
          <w:rFonts w:ascii="Verdana" w:hAnsi="Verdana"/>
        </w:rPr>
      </w:pPr>
      <w:r>
        <w:fldChar w:fldCharType="begin"/>
      </w:r>
      <w:r>
        <w:instrText xml:space="preserve"> HYPERLINK "http://www.psa.ac.uk/sites/default/files/PSA%20Beyond%20the%20YCC%20FINAL_0.pdf" </w:instrText>
      </w:r>
      <w:r>
        <w:fldChar w:fldCharType="separate"/>
      </w:r>
      <w:r w:rsidRPr="005B5CB6" w:rsidR="00A72806">
        <w:rPr>
          <w:rFonts w:ascii="Verdana" w:eastAsia="Verdana" w:hAnsi="Verdana" w:cs="Verdana"/>
          <w:color w:val="0563C1"/>
          <w:u w:val="single" w:color="0563C1"/>
        </w:rPr>
        <w:t>%20FINAL_0.pdf</w:t>
      </w:r>
      <w:r>
        <w:fldChar w:fldCharType="end"/>
      </w:r>
      <w:r>
        <w:fldChar w:fldCharType="begin"/>
      </w:r>
      <w:r>
        <w:instrText xml:space="preserve"> HYPERLINK "http://www.psa.ac.uk/sites/default/files/PSA%20Beyond%20the%20YCC%20FINAL_0.pdf"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(date accessed: 20 September 2019)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10"/>
        </w:numPr>
        <w:spacing w:after="5" w:line="250" w:lineRule="auto"/>
        <w:ind w:right="11" w:hanging="360"/>
        <w:jc w:val="both"/>
        <w:rPr>
          <w:rFonts w:ascii="Verdana" w:hAnsi="Verdana"/>
        </w:rPr>
      </w:pPr>
      <w:r w:rsidRPr="005B5CB6">
        <w:rPr>
          <w:rFonts w:ascii="Verdana" w:eastAsia="Verdana" w:hAnsi="Verdana" w:cs="Verdana"/>
        </w:rPr>
        <w:t xml:space="preserve">TedX talk 1 (2014) (5 F’s to avoid online)  </w:t>
      </w:r>
      <w:r>
        <w:fldChar w:fldCharType="begin"/>
      </w:r>
      <w:r>
        <w:instrText xml:space="preserve"> HYPERLINK "https://www.youtube.com/watch?v=I-YUVP7G524" </w:instrText>
      </w:r>
      <w:r>
        <w:fldChar w:fldCharType="separate"/>
      </w:r>
      <w:r w:rsidRPr="005B5CB6">
        <w:rPr>
          <w:rFonts w:ascii="Verdana" w:eastAsia="Verdana" w:hAnsi="Verdana" w:cs="Verdana"/>
          <w:color w:val="0563C1"/>
          <w:u w:val="single" w:color="0563C1"/>
        </w:rPr>
        <w:t>https://www.youtube.com/watch?v=I-YUVP7G524</w:t>
      </w:r>
      <w:r>
        <w:fldChar w:fldCharType="end"/>
      </w:r>
      <w:r>
        <w:fldChar w:fldCharType="begin"/>
      </w:r>
      <w:r>
        <w:instrText xml:space="preserve"> HYPERLINK "https://www.youtube.com/watch?v=I-YUVP7G524"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(date accessed: 20 September 2019) which was turned into an Education Scotland classroom learning resource by employee Athole McLauchlan for responsible online communication via: </w:t>
      </w:r>
      <w:r>
        <w:fldChar w:fldCharType="begin"/>
      </w:r>
      <w:r>
        <w:instrText xml:space="preserve"> HYPERLINK "http://ed.ted.com/on/EMKPkQQ1" </w:instrText>
      </w:r>
      <w:r>
        <w:fldChar w:fldCharType="separate"/>
      </w:r>
      <w:r w:rsidRPr="005B5CB6">
        <w:rPr>
          <w:rFonts w:ascii="Verdana" w:eastAsia="Verdana" w:hAnsi="Verdana" w:cs="Verdana"/>
          <w:color w:val="0563C1"/>
          <w:u w:val="single" w:color="0563C1"/>
        </w:rPr>
        <w:t>http://ed.ted.com/on/EMKPkQQ1</w:t>
      </w:r>
      <w:r>
        <w:fldChar w:fldCharType="end"/>
      </w:r>
      <w:r>
        <w:fldChar w:fldCharType="begin"/>
      </w:r>
      <w:r>
        <w:instrText xml:space="preserve"> HYPERLINK "http://ed.ted.com/on/EMKPkQQ1"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(date accessed: 20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September 2019)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10"/>
        </w:numPr>
        <w:spacing w:after="5" w:line="250" w:lineRule="auto"/>
        <w:ind w:right="11" w:hanging="360"/>
        <w:jc w:val="both"/>
        <w:rPr>
          <w:rFonts w:ascii="Verdana" w:hAnsi="Verdana"/>
        </w:rPr>
      </w:pPr>
      <w:r w:rsidRPr="005B5CB6">
        <w:rPr>
          <w:rFonts w:ascii="Verdana" w:eastAsia="Verdana" w:hAnsi="Verdana" w:cs="Verdana"/>
        </w:rPr>
        <w:t xml:space="preserve">Mark Shephard (2016) ‘Improving Online Political Literacy for Effective </w:t>
      </w:r>
    </w:p>
    <w:p w:rsidR="00FB0B24" w:rsidRPr="005B5CB6" w:rsidP="001512F6">
      <w:pPr>
        <w:spacing w:after="168" w:line="249" w:lineRule="auto"/>
        <w:ind w:left="729" w:right="12" w:hanging="9"/>
        <w:jc w:val="both"/>
        <w:rPr>
          <w:rFonts w:ascii="Verdana" w:hAnsi="Verdana"/>
        </w:rPr>
      </w:pPr>
      <w:r w:rsidRPr="005B5CB6">
        <w:rPr>
          <w:rFonts w:ascii="Verdana" w:eastAsia="Verdana" w:hAnsi="Verdana" w:cs="Verdana"/>
        </w:rPr>
        <w:t xml:space="preserve">Public Engagement’, University of Strathclyde, International Public Policy Institute, November 2015, </w:t>
      </w:r>
      <w:r>
        <w:fldChar w:fldCharType="begin"/>
      </w:r>
      <w:r>
        <w:instrText xml:space="preserve"> HYPERLINK "https://strathprints.strath.ac.uk/55652/1/Shephard_IPPI_2016_improving_online_political_literacy_for_effective_public_engagement.pdf" </w:instrText>
      </w:r>
      <w:r>
        <w:fldChar w:fldCharType="separate"/>
      </w:r>
      <w:r w:rsidRPr="005B5CB6">
        <w:rPr>
          <w:rFonts w:ascii="Verdana" w:eastAsia="Verdana" w:hAnsi="Verdana" w:cs="Verdana"/>
          <w:color w:val="0563C1"/>
          <w:u w:val="single" w:color="0563C1"/>
        </w:rPr>
        <w:t xml:space="preserve">https://strathprints.strath.ac.uk/55652/1/Shephard_IPPI_2016_improving </w:t>
      </w:r>
      <w:r>
        <w:fldChar w:fldCharType="end"/>
      </w:r>
      <w:r>
        <w:fldChar w:fldCharType="begin"/>
      </w:r>
      <w:r>
        <w:instrText xml:space="preserve"> HYPERLINK "https://strathprints.strath.ac.uk/55652/1/Shephard_IPPI_2016_improving_online_political_literacy_for_effective_public_engagement.pdf" </w:instrText>
      </w:r>
      <w:r>
        <w:fldChar w:fldCharType="separate"/>
      </w:r>
      <w:r w:rsidRPr="005B5CB6">
        <w:rPr>
          <w:rFonts w:ascii="Verdana" w:eastAsia="Verdana" w:hAnsi="Verdana" w:cs="Verdana"/>
          <w:color w:val="0563C1"/>
          <w:u w:val="single" w:color="0563C1"/>
        </w:rPr>
        <w:t>_online_political_literacy_for_effective_public_engagement.pdf</w:t>
      </w:r>
      <w:r>
        <w:fldChar w:fldCharType="end"/>
      </w:r>
      <w:r>
        <w:fldChar w:fldCharType="begin"/>
      </w:r>
      <w:r>
        <w:instrText xml:space="preserve"> HYPERLINK "https://strathprints.strath.ac.uk/55652/1/Shephard_IPPI_2016_improving_online_political_literacy_for_effective_public_engagement.pdf"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(date accessed: 20 September 2019) </w:t>
      </w:r>
    </w:p>
    <w:p w:rsidR="00FB0B24" w:rsidRPr="005B5CB6" w:rsidP="001512F6">
      <w:pPr>
        <w:spacing w:after="157"/>
        <w:jc w:val="both"/>
        <w:rPr>
          <w:rFonts w:ascii="Verdana" w:hAnsi="Verdana"/>
        </w:rPr>
      </w:pPr>
      <w:r w:rsidRPr="005B5CB6">
        <w:rPr>
          <w:rFonts w:ascii="Verdana" w:eastAsia="Verdana" w:hAnsi="Verdana" w:cs="Verdana"/>
        </w:rPr>
        <w:t xml:space="preserve"> </w:t>
      </w:r>
    </w:p>
    <w:p w:rsidR="00FB0B24" w:rsidRPr="005B5CB6" w:rsidP="00575F14">
      <w:pPr>
        <w:numPr>
          <w:ilvl w:val="0"/>
          <w:numId w:val="110"/>
        </w:numPr>
        <w:spacing w:after="5" w:line="250" w:lineRule="auto"/>
        <w:ind w:right="11" w:hanging="360"/>
        <w:jc w:val="both"/>
        <w:rPr>
          <w:rFonts w:ascii="Verdana" w:hAnsi="Verdana"/>
        </w:rPr>
      </w:pPr>
      <w:r w:rsidRPr="005B5CB6">
        <w:rPr>
          <w:rFonts w:ascii="Verdana" w:eastAsia="Verdana" w:hAnsi="Verdana" w:cs="Verdana"/>
        </w:rPr>
        <w:t xml:space="preserve">TedXtalk 2 (2017) ‘Social Media Savvy’ – builds on the first Ted talk (5 F’s to avoid online and 5 F’s to look out for) </w:t>
      </w:r>
    </w:p>
    <w:p w:rsidR="00FB0B24" w:rsidRPr="005B5CB6" w:rsidP="001512F6">
      <w:pPr>
        <w:spacing w:after="168" w:line="249" w:lineRule="auto"/>
        <w:ind w:left="730" w:hanging="10"/>
        <w:jc w:val="both"/>
        <w:rPr>
          <w:rFonts w:ascii="Verdana" w:hAnsi="Verdana"/>
        </w:rPr>
      </w:pPr>
      <w:r>
        <w:fldChar w:fldCharType="begin"/>
      </w:r>
      <w:r>
        <w:instrText xml:space="preserve"> HYPERLINK "https://www.youtube.com/watch?v=ric_sKxoqxg" </w:instrText>
      </w:r>
      <w:r>
        <w:fldChar w:fldCharType="separate"/>
      </w:r>
      <w:r w:rsidRPr="005B5CB6" w:rsidR="00A72806">
        <w:rPr>
          <w:rFonts w:ascii="Verdana" w:eastAsia="Verdana" w:hAnsi="Verdana" w:cs="Verdana"/>
          <w:color w:val="0563C1"/>
          <w:u w:val="single" w:color="0563C1"/>
        </w:rPr>
        <w:t>https://www.youtube.com/watch?v=ric_sKxoqxg</w:t>
      </w:r>
      <w:r>
        <w:fldChar w:fldCharType="end"/>
      </w:r>
      <w:r>
        <w:fldChar w:fldCharType="begin"/>
      </w:r>
      <w:r>
        <w:instrText xml:space="preserve"> HYPERLINK "https://www.youtube.com/watch?v=ric_sKxoqxg"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 (date accessed: 20 September 2019) </w:t>
      </w:r>
    </w:p>
    <w:p w:rsidR="00FB0B24" w:rsidRPr="005B5CB6" w:rsidP="001512F6">
      <w:pPr>
        <w:spacing w:after="157"/>
        <w:jc w:val="both"/>
        <w:rPr>
          <w:rFonts w:ascii="Verdana" w:hAnsi="Verdana"/>
        </w:rPr>
      </w:pPr>
      <w:r w:rsidRPr="005B5CB6">
        <w:rPr>
          <w:rFonts w:ascii="Verdana" w:eastAsia="Verdana" w:hAnsi="Verdana" w:cs="Verdana"/>
        </w:rPr>
        <w:t xml:space="preserve"> </w:t>
      </w:r>
    </w:p>
    <w:p w:rsidR="00FB0B24" w:rsidRPr="005B5CB6" w:rsidP="00575F14">
      <w:pPr>
        <w:numPr>
          <w:ilvl w:val="0"/>
          <w:numId w:val="110"/>
        </w:numPr>
        <w:spacing w:after="5" w:line="250" w:lineRule="auto"/>
        <w:ind w:right="11" w:hanging="360"/>
        <w:jc w:val="both"/>
        <w:rPr>
          <w:rFonts w:ascii="Verdana" w:hAnsi="Verdana"/>
        </w:rPr>
      </w:pPr>
      <w:r w:rsidRPr="005B5CB6">
        <w:rPr>
          <w:rFonts w:ascii="Verdana" w:eastAsia="Verdana" w:hAnsi="Verdana" w:cs="Verdana"/>
        </w:rPr>
        <w:t xml:space="preserve">A version of Tedx 2 that I did for an Applied Quantitative Methods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Network (January 2018) academic business outreach event ‘Big Social Science and the New Industrial Revolution’ in Edinburgh is available here: </w:t>
      </w:r>
      <w:r>
        <w:fldChar w:fldCharType="begin"/>
      </w:r>
      <w:r>
        <w:instrText xml:space="preserve"> HYPERLINK "https://www.youtube.com/watch?v=09APkft2E5w" </w:instrText>
      </w:r>
      <w:r>
        <w:fldChar w:fldCharType="separate"/>
      </w:r>
      <w:r w:rsidRPr="005B5CB6">
        <w:rPr>
          <w:rFonts w:ascii="Verdana" w:eastAsia="Verdana" w:hAnsi="Verdana" w:cs="Verdana"/>
          <w:color w:val="0563C1"/>
          <w:u w:val="single" w:color="0563C1"/>
        </w:rPr>
        <w:t>https://www.youtube.com/watch?v=09APkft2E5w</w:t>
      </w:r>
      <w:r>
        <w:fldChar w:fldCharType="end"/>
      </w:r>
      <w:r>
        <w:fldChar w:fldCharType="begin"/>
      </w:r>
      <w:r>
        <w:instrText xml:space="preserve"> HYPERLINK "https://www.youtube.com/watch?v=09APkft2E5w"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(date accessed: 20 September 2019) </w:t>
      </w:r>
    </w:p>
    <w:p w:rsidR="00FB0B24" w:rsidRPr="005B5CB6" w:rsidP="001512F6">
      <w:pPr>
        <w:spacing w:after="159"/>
        <w:ind w:right="8232"/>
        <w:jc w:val="both"/>
        <w:rPr>
          <w:rFonts w:ascii="Verdana" w:hAnsi="Verdana"/>
        </w:rPr>
      </w:pPr>
      <w:r w:rsidRPr="005B5CB6">
        <w:rPr>
          <w:rFonts w:ascii="Verdana" w:eastAsia="Verdana" w:hAnsi="Verdana" w:cs="Verdana"/>
        </w:rPr>
        <w:t xml:space="preserve"> </w:t>
      </w:r>
    </w:p>
    <w:p w:rsidR="003941B2" w:rsidRPr="005B5CB6" w:rsidP="001512F6">
      <w:pPr>
        <w:spacing w:after="159"/>
        <w:jc w:val="both"/>
        <w:rPr>
          <w:rFonts w:ascii="Verdana" w:eastAsia="Verdana" w:hAnsi="Verdana" w:cs="Verdana"/>
        </w:rPr>
      </w:pPr>
      <w:r w:rsidRPr="005B5CB6">
        <w:rPr>
          <w:rFonts w:ascii="Verdana" w:eastAsia="Verdana" w:hAnsi="Verdana" w:cs="Verdana"/>
        </w:rPr>
        <w:t xml:space="preserve"> </w:t>
      </w:r>
    </w:p>
    <w:p w:rsidR="003941B2" w:rsidRPr="005B5CB6" w:rsidP="001512F6">
      <w:pPr>
        <w:rPr>
          <w:rFonts w:ascii="Verdana" w:eastAsia="Verdana" w:hAnsi="Verdana" w:cs="Verdana"/>
        </w:rPr>
      </w:pPr>
      <w:r w:rsidRPr="005B5CB6">
        <w:rPr>
          <w:rFonts w:ascii="Verdana" w:eastAsia="Verdana" w:hAnsi="Verdana" w:cs="Verdana"/>
        </w:rPr>
        <w:br w:type="page"/>
      </w:r>
    </w:p>
    <w:p w:rsidR="00FB0B24" w:rsidRPr="005B5CB6" w:rsidP="001512F6">
      <w:pPr>
        <w:spacing w:after="0"/>
        <w:jc w:val="both"/>
        <w:rPr>
          <w:rFonts w:ascii="Verdana" w:hAnsi="Verdana"/>
        </w:rPr>
      </w:pPr>
    </w:p>
    <w:p w:rsidR="00FB0B24" w:rsidRPr="005B5CB6" w:rsidP="00A1624B">
      <w:pPr>
        <w:pStyle w:val="Heading1"/>
        <w:rPr>
          <w:sz w:val="22"/>
        </w:rPr>
      </w:pPr>
      <w:bookmarkStart w:id="32" w:name="_Toc44517720"/>
      <w:r w:rsidRPr="005B5CB6">
        <w:rPr>
          <w:sz w:val="22"/>
        </w:rPr>
        <w:t>Doteveryone – written evidence (DAD0037)</w:t>
      </w:r>
      <w:bookmarkEnd w:id="32"/>
      <w:r w:rsidRPr="005B5CB6">
        <w:rPr>
          <w:sz w:val="22"/>
        </w:rPr>
        <w:t xml:space="preserve"> </w:t>
      </w:r>
    </w:p>
    <w:p w:rsidR="00FB0B24" w:rsidRPr="005B5CB6" w:rsidP="001512F6">
      <w:pPr>
        <w:spacing w:after="10"/>
        <w:ind w:left="1"/>
        <w:jc w:val="both"/>
        <w:rPr>
          <w:rFonts w:ascii="Verdana" w:hAnsi="Verdana"/>
        </w:rPr>
      </w:pPr>
      <w:r w:rsidRPr="005B5CB6">
        <w:rPr>
          <w:rFonts w:ascii="Verdana" w:eastAsia="Verdana" w:hAnsi="Verdana" w:cs="Verdana"/>
        </w:rPr>
        <w:t xml:space="preserve"> </w:t>
      </w:r>
    </w:p>
    <w:p w:rsidR="00FB0B24" w:rsidRPr="005B5CB6" w:rsidP="001512F6">
      <w:pPr>
        <w:spacing w:after="30" w:line="250" w:lineRule="auto"/>
        <w:ind w:left="23" w:right="11" w:hanging="8"/>
        <w:jc w:val="both"/>
        <w:rPr>
          <w:rFonts w:ascii="Verdana" w:hAnsi="Verdana"/>
        </w:rPr>
      </w:pPr>
      <w:r w:rsidRPr="005B5CB6">
        <w:rPr>
          <w:rFonts w:ascii="Verdana" w:eastAsia="Verdana" w:hAnsi="Verdana" w:cs="Verdana"/>
        </w:rPr>
        <w:t>Doteveryone</w:t>
      </w:r>
      <w:r w:rsidRPr="005B5CB6">
        <w:rPr>
          <w:rFonts w:ascii="Verdana" w:eastAsia="Verdana" w:hAnsi="Verdana" w:cs="Verdana"/>
          <w:vertAlign w:val="superscript"/>
        </w:rPr>
        <w:t>1</w:t>
      </w:r>
      <w:r w:rsidRPr="005B5CB6">
        <w:rPr>
          <w:rFonts w:ascii="Verdana" w:eastAsia="Verdana" w:hAnsi="Verdana" w:cs="Verdana"/>
        </w:rPr>
        <w:t xml:space="preserve"> is a think tank that champions responsible technology for the good of everyone in society. Our work explores how technology is changing society, shows what technology that considers its social impact can look like, and builds communities and networks to improve the way technology shapes our world. </w:t>
      </w:r>
    </w:p>
    <w:p w:rsidR="00FB0B24" w:rsidRPr="005B5CB6" w:rsidP="001512F6">
      <w:pPr>
        <w:spacing w:after="17"/>
        <w:ind w:left="1"/>
        <w:jc w:val="both"/>
        <w:rPr>
          <w:rFonts w:ascii="Verdana" w:hAnsi="Verdana"/>
        </w:rPr>
      </w:pPr>
      <w:r w:rsidRPr="005B5CB6">
        <w:rPr>
          <w:rFonts w:ascii="Verdana" w:eastAsia="Verdana" w:hAnsi="Verdana" w:cs="Verdana"/>
          <w:b/>
        </w:rPr>
        <w:t xml:space="preserve"> </w:t>
      </w:r>
    </w:p>
    <w:p w:rsidR="00FB0B24" w:rsidRPr="005B5CB6" w:rsidP="00575F14">
      <w:pPr>
        <w:numPr>
          <w:ilvl w:val="0"/>
          <w:numId w:val="111"/>
        </w:numPr>
        <w:spacing w:after="23" w:line="249" w:lineRule="auto"/>
        <w:ind w:hanging="10"/>
        <w:jc w:val="both"/>
        <w:rPr>
          <w:rFonts w:ascii="Verdana" w:hAnsi="Verdana"/>
        </w:rPr>
      </w:pPr>
      <w:r w:rsidRPr="005B5CB6">
        <w:rPr>
          <w:rFonts w:ascii="Verdana" w:eastAsia="Verdana" w:hAnsi="Verdana" w:cs="Verdana"/>
          <w:b/>
          <w:i/>
        </w:rPr>
        <w:t xml:space="preserve">How has digital technology changed the way that democracy works in the UK and has this been a net positive or negative effect? </w:t>
      </w:r>
    </w:p>
    <w:p w:rsidR="00FB0B24" w:rsidRPr="005B5CB6" w:rsidP="001512F6">
      <w:pPr>
        <w:spacing w:after="19"/>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111"/>
        </w:numPr>
        <w:spacing w:after="28" w:line="250" w:lineRule="auto"/>
        <w:ind w:right="11" w:hanging="360"/>
        <w:jc w:val="both"/>
        <w:rPr>
          <w:rFonts w:ascii="Verdana" w:hAnsi="Verdana"/>
        </w:rPr>
      </w:pPr>
      <w:r w:rsidRPr="005B5CB6">
        <w:rPr>
          <w:rFonts w:ascii="Verdana" w:eastAsia="Verdana" w:hAnsi="Verdana" w:cs="Verdana"/>
        </w:rPr>
        <w:t>Digital technology is accelerating the dynamics of democracy. Research shows that the life-span of data is getter shorter online, with content receiving less collective attention and debate.</w:t>
      </w:r>
      <w:r w:rsidRPr="005B5CB6">
        <w:rPr>
          <w:rFonts w:ascii="Verdana" w:eastAsia="Verdana" w:hAnsi="Verdana" w:cs="Verdana"/>
          <w:vertAlign w:val="superscript"/>
        </w:rPr>
        <w:t>2</w:t>
      </w:r>
      <w:r w:rsidRPr="005B5CB6">
        <w:rPr>
          <w:rFonts w:ascii="Verdana" w:eastAsia="Verdana" w:hAnsi="Verdana" w:cs="Verdana"/>
        </w:rPr>
        <w:t xml:space="preserve"> Issues are becoming popular more rapidly, and interest fades away at a similarly increasing rate.  </w:t>
      </w:r>
    </w:p>
    <w:p w:rsidR="00FB0B24" w:rsidRPr="005B5CB6" w:rsidP="00575F14">
      <w:pPr>
        <w:numPr>
          <w:ilvl w:val="1"/>
          <w:numId w:val="111"/>
        </w:numPr>
        <w:spacing w:after="57" w:line="250" w:lineRule="auto"/>
        <w:ind w:right="11" w:hanging="360"/>
        <w:jc w:val="both"/>
        <w:rPr>
          <w:rFonts w:ascii="Verdana" w:hAnsi="Verdana"/>
        </w:rPr>
      </w:pPr>
      <w:r w:rsidRPr="005B5CB6">
        <w:rPr>
          <w:rFonts w:ascii="Verdana" w:eastAsia="Verdana" w:hAnsi="Verdana" w:cs="Verdana"/>
        </w:rPr>
        <w:t>24-hour social media has shattered the traditional news cycle and lowered the barriers to entry for anyone who wants to create and participate in political debates. Fierce competition to set the news agenda has led to an attention arms-race, where increasingly sensationalised and disposable content wins out.</w:t>
      </w:r>
      <w:r w:rsidRPr="005B5CB6">
        <w:rPr>
          <w:rFonts w:ascii="Verdana" w:eastAsia="Verdana" w:hAnsi="Verdana" w:cs="Verdana"/>
          <w:vertAlign w:val="superscript"/>
        </w:rPr>
        <w:t>3</w:t>
      </w:r>
      <w:r w:rsidRPr="005B5CB6">
        <w:rPr>
          <w:rFonts w:ascii="Verdana" w:eastAsia="Verdana" w:hAnsi="Verdana" w:cs="Verdana"/>
        </w:rPr>
        <w:t xml:space="preserve"> </w:t>
      </w:r>
    </w:p>
    <w:p w:rsidR="00FB0B24" w:rsidRPr="005B5CB6" w:rsidP="00575F14">
      <w:pPr>
        <w:numPr>
          <w:ilvl w:val="1"/>
          <w:numId w:val="111"/>
        </w:numPr>
        <w:spacing w:after="52" w:line="250" w:lineRule="auto"/>
        <w:ind w:right="11" w:hanging="360"/>
        <w:jc w:val="both"/>
        <w:rPr>
          <w:rFonts w:ascii="Verdana" w:hAnsi="Verdana"/>
        </w:rPr>
      </w:pPr>
      <w:r w:rsidRPr="005B5CB6">
        <w:rPr>
          <w:rFonts w:ascii="Verdana" w:eastAsia="Verdana" w:hAnsi="Verdana" w:cs="Verdana"/>
        </w:rPr>
        <w:t>Technology has enabled campaigners to tailor different messages to different audiences based on sophisticated data analytics and behavioural profiling has fragmented what was once a single party line into thousands of microtargeted manifestos. Scrutinising political arguments and claims is made exponentially harder by their sheer volume and the opacity of campaigns to those outside of targeted groups.</w:t>
      </w:r>
      <w:r w:rsidRPr="005B5CB6">
        <w:rPr>
          <w:rFonts w:ascii="Verdana" w:eastAsia="Verdana" w:hAnsi="Verdana" w:cs="Verdana"/>
          <w:vertAlign w:val="superscript"/>
        </w:rPr>
        <w:t>5</w:t>
      </w:r>
      <w:r w:rsidRPr="005B5CB6">
        <w:rPr>
          <w:rFonts w:ascii="Verdana" w:eastAsia="Verdana" w:hAnsi="Verdana" w:cs="Verdana"/>
        </w:rPr>
        <w:t xml:space="preserve">  </w:t>
      </w:r>
    </w:p>
    <w:p w:rsidR="00FB0B24" w:rsidRPr="005B5CB6" w:rsidP="00575F14">
      <w:pPr>
        <w:numPr>
          <w:ilvl w:val="1"/>
          <w:numId w:val="111"/>
        </w:numPr>
        <w:spacing w:after="26" w:line="250" w:lineRule="auto"/>
        <w:ind w:right="11" w:hanging="360"/>
        <w:jc w:val="both"/>
        <w:rPr>
          <w:rFonts w:ascii="Verdana" w:hAnsi="Verdana"/>
        </w:rPr>
      </w:pPr>
      <w:r w:rsidRPr="005B5CB6">
        <w:rPr>
          <w:rFonts w:ascii="Verdana" w:eastAsia="Verdana" w:hAnsi="Verdana" w:cs="Verdana"/>
        </w:rPr>
        <w:t>Important political Issues requiring deep and nuanced public debate are drowned out amidst this pace, noise and fragmentation. This flux has pushed many past their breaking point: 61% of Brits that the need to read and keep track of information from too many sources is a major concern in their daily lives,</w:t>
      </w:r>
      <w:r w:rsidRPr="005B5CB6">
        <w:rPr>
          <w:rFonts w:ascii="Verdana" w:eastAsia="Verdana" w:hAnsi="Verdana" w:cs="Verdana"/>
          <w:vertAlign w:val="superscript"/>
        </w:rPr>
        <w:t>6</w:t>
      </w:r>
      <w:r w:rsidRPr="005B5CB6">
        <w:rPr>
          <w:rFonts w:ascii="Verdana" w:eastAsia="Verdana" w:hAnsi="Verdana" w:cs="Verdana"/>
        </w:rPr>
        <w:t xml:space="preserve"> 35% are actively avoiding the news.</w:t>
      </w:r>
      <w:r w:rsidRPr="005B5CB6">
        <w:rPr>
          <w:rFonts w:ascii="Verdana" w:eastAsia="Verdana" w:hAnsi="Verdana" w:cs="Verdana"/>
          <w:vertAlign w:val="superscript"/>
        </w:rPr>
        <w:t>7</w:t>
      </w:r>
      <w:r w:rsidRPr="005B5CB6">
        <w:rPr>
          <w:rFonts w:ascii="Verdana" w:eastAsia="Verdana" w:hAnsi="Verdana" w:cs="Verdana"/>
        </w:rPr>
        <w:t xml:space="preserve"> The online ecosystem is designed to treat people as consumers of fast-news, not active participants in civic debate.  </w:t>
      </w:r>
    </w:p>
    <w:p w:rsidR="00FB0B24" w:rsidRPr="005B5CB6" w:rsidP="00575F14">
      <w:pPr>
        <w:numPr>
          <w:ilvl w:val="1"/>
          <w:numId w:val="111"/>
        </w:numPr>
        <w:spacing w:after="26" w:line="250" w:lineRule="auto"/>
        <w:ind w:right="11" w:hanging="360"/>
        <w:jc w:val="both"/>
        <w:rPr>
          <w:rFonts w:ascii="Verdana" w:hAnsi="Verdana"/>
        </w:rPr>
      </w:pPr>
      <w:r w:rsidRPr="005B5CB6">
        <w:rPr>
          <w:rFonts w:ascii="Verdana" w:eastAsia="Verdana" w:hAnsi="Verdana" w:cs="Verdana"/>
        </w:rPr>
        <w:t>A review by the Committee for Standards in Public Life also finds that</w:t>
      </w:r>
      <w:r w:rsidRPr="005B5CB6">
        <w:rPr>
          <w:rFonts w:ascii="Verdana" w:eastAsia="Verdana" w:hAnsi="Verdana" w:cs="Verdana"/>
          <w:i/>
        </w:rPr>
        <w:t xml:space="preserve"> “social media has been the most significant factor accelerating and enabling intimidatory behaviour in recent years”</w:t>
      </w:r>
      <w:r w:rsidRPr="005B5CB6">
        <w:rPr>
          <w:rFonts w:ascii="Verdana" w:eastAsia="Verdana" w:hAnsi="Verdana" w:cs="Verdana"/>
        </w:rPr>
        <w:t>.</w:t>
      </w:r>
      <w:r w:rsidRPr="005B5CB6">
        <w:rPr>
          <w:rFonts w:ascii="Verdana" w:eastAsia="Verdana" w:hAnsi="Verdana" w:cs="Verdana"/>
          <w:vertAlign w:val="superscript"/>
        </w:rPr>
        <w:t>8</w:t>
      </w:r>
      <w:r w:rsidRPr="005B5CB6">
        <w:rPr>
          <w:rFonts w:ascii="Verdana" w:eastAsia="Verdana" w:hAnsi="Verdana" w:cs="Verdana"/>
        </w:rPr>
        <w:t xml:space="preserve"> The structure of these platforms - where private arguments now take place in the digital public eye, with an audience of millions of onlookers - lends itself to a culture of hostile takedowns that fosters political instability.  </w:t>
      </w:r>
    </w:p>
    <w:p w:rsidR="00FB0B24" w:rsidRPr="005B5CB6" w:rsidP="00575F14">
      <w:pPr>
        <w:numPr>
          <w:ilvl w:val="1"/>
          <w:numId w:val="111"/>
        </w:numPr>
        <w:spacing w:after="5" w:line="250" w:lineRule="auto"/>
        <w:ind w:right="11" w:hanging="360"/>
        <w:jc w:val="both"/>
        <w:rPr>
          <w:rFonts w:ascii="Verdana" w:hAnsi="Verdana"/>
        </w:rPr>
      </w:pPr>
      <w:r w:rsidRPr="005B5CB6">
        <w:rPr>
          <w:rFonts w:ascii="Verdana" w:eastAsia="Verdana" w:hAnsi="Verdana" w:cs="Verdana"/>
        </w:rPr>
        <w:t xml:space="preserve">But rather than intervening against these damaging dynamics of online democracy, the UK’s political institutions have instead invested significantly </w:t>
      </w:r>
    </w:p>
    <w:p w:rsidR="00FB0B24" w:rsidRPr="005B5CB6" w:rsidP="001512F6">
      <w:pPr>
        <w:spacing w:after="5" w:line="250" w:lineRule="auto"/>
        <w:ind w:left="729" w:right="11" w:hanging="8"/>
        <w:jc w:val="both"/>
        <w:rPr>
          <w:rFonts w:ascii="Verdana" w:hAnsi="Verdana"/>
        </w:rPr>
      </w:pPr>
      <w:r w:rsidRPr="005B5CB6">
        <w:rPr>
          <w:rFonts w:ascii="Verdana" w:eastAsia="Verdana" w:hAnsi="Verdana" w:cs="Verdana"/>
        </w:rPr>
        <w:t xml:space="preserve">in building up expertise in digital campaigning, predictive modelling and data science.  </w:t>
      </w:r>
    </w:p>
    <w:p w:rsidR="00FB0B24" w:rsidRPr="005B5CB6" w:rsidP="00575F14">
      <w:pPr>
        <w:numPr>
          <w:ilvl w:val="1"/>
          <w:numId w:val="111"/>
        </w:numPr>
        <w:spacing w:after="29" w:line="250" w:lineRule="auto"/>
        <w:ind w:right="11" w:hanging="360"/>
        <w:jc w:val="both"/>
        <w:rPr>
          <w:rFonts w:ascii="Verdana" w:hAnsi="Verdana"/>
        </w:rPr>
      </w:pPr>
      <w:r w:rsidRPr="005B5CB6">
        <w:rPr>
          <w:rFonts w:ascii="Verdana" w:eastAsia="Verdana" w:hAnsi="Verdana" w:cs="Verdana"/>
        </w:rPr>
        <w:t xml:space="preserve">During the 2017 election an estimated £3.16 million was spent on Facebook alone (this figure is an estimate in the absence of regulations requiring parties </w:t>
      </w:r>
      <w:r w:rsidRPr="005B5CB6">
        <w:rPr>
          <w:rFonts w:ascii="Verdana" w:eastAsia="Verdana" w:hAnsi="Verdana" w:cs="Verdana"/>
        </w:rPr>
        <w:t>to report digital spend).</w:t>
      </w:r>
      <w:r w:rsidRPr="005B5CB6">
        <w:rPr>
          <w:rFonts w:ascii="Verdana" w:eastAsia="Verdana" w:hAnsi="Verdana" w:cs="Verdana"/>
          <w:vertAlign w:val="superscript"/>
        </w:rPr>
        <w:t>9</w:t>
      </w:r>
      <w:r w:rsidRPr="005B5CB6">
        <w:rPr>
          <w:rFonts w:ascii="Verdana" w:eastAsia="Verdana" w:hAnsi="Verdana" w:cs="Verdana"/>
        </w:rPr>
        <w:t xml:space="preserve">  The recruitment of Nick Clegg by the platform is emblematic of a wider recent trend of British politicians and political advisors moving to work in big tech firms,</w:t>
      </w:r>
      <w:r w:rsidRPr="005B5CB6">
        <w:rPr>
          <w:rFonts w:ascii="Verdana" w:eastAsia="Verdana" w:hAnsi="Verdana" w:cs="Verdana"/>
          <w:vertAlign w:val="superscript"/>
        </w:rPr>
        <w:t>10</w:t>
      </w:r>
      <w:r w:rsidRPr="005B5CB6">
        <w:rPr>
          <w:rFonts w:ascii="Verdana" w:eastAsia="Verdana" w:hAnsi="Verdana" w:cs="Verdana"/>
        </w:rPr>
        <w:t xml:space="preserve"> showing how valuable knowledge of the British political market is to the tech sector.    </w:t>
      </w:r>
    </w:p>
    <w:p w:rsidR="00FB0B24" w:rsidRPr="005B5CB6" w:rsidP="00575F14">
      <w:pPr>
        <w:numPr>
          <w:ilvl w:val="1"/>
          <w:numId w:val="111"/>
        </w:numPr>
        <w:spacing w:after="50" w:line="250" w:lineRule="auto"/>
        <w:ind w:right="11" w:hanging="360"/>
        <w:jc w:val="both"/>
        <w:rPr>
          <w:rFonts w:ascii="Verdana" w:hAnsi="Verdana"/>
        </w:rPr>
      </w:pPr>
      <w:r w:rsidRPr="005B5CB6">
        <w:rPr>
          <w:rFonts w:ascii="Verdana" w:eastAsia="Verdana" w:hAnsi="Verdana" w:cs="Verdana"/>
        </w:rPr>
        <w:t xml:space="preserve">In the race to control the digital media agenda some political institutions routinely disregard the law. The November 2018 Information Commissioner’s Office (ICO) investigation into the use of data analytics in political campaigns uncovered </w:t>
      </w:r>
      <w:r w:rsidRPr="005B5CB6">
        <w:rPr>
          <w:rFonts w:ascii="Verdana" w:eastAsia="Verdana" w:hAnsi="Verdana" w:cs="Verdana"/>
          <w:i/>
        </w:rPr>
        <w:t>“a disturbing disregard for voters’ personal privacy...and significant issues, negligence and contraventions of the law</w:t>
      </w:r>
      <w:r w:rsidRPr="005B5CB6">
        <w:rPr>
          <w:rFonts w:ascii="Verdana" w:eastAsia="Verdana" w:hAnsi="Verdana" w:cs="Verdana"/>
        </w:rPr>
        <w:t>”.</w:t>
      </w:r>
      <w:r w:rsidRPr="005B5CB6">
        <w:rPr>
          <w:rFonts w:ascii="Verdana" w:eastAsia="Verdana" w:hAnsi="Verdana" w:cs="Verdana"/>
          <w:vertAlign w:val="superscript"/>
        </w:rPr>
        <w:t xml:space="preserve">11 </w:t>
      </w:r>
      <w:r w:rsidRPr="005B5CB6">
        <w:rPr>
          <w:rFonts w:ascii="Verdana" w:eastAsia="Verdana" w:hAnsi="Verdana" w:cs="Verdana"/>
        </w:rPr>
        <w:t>The Committee for Digital, Culture, Media and Sport has raised doubts that behavioural manipulation through microtargeting of campaigns is lawful.</w:t>
      </w:r>
      <w:r w:rsidRPr="005B5CB6">
        <w:rPr>
          <w:rFonts w:ascii="Verdana" w:eastAsia="Verdana" w:hAnsi="Verdana" w:cs="Verdana"/>
          <w:vertAlign w:val="superscript"/>
        </w:rPr>
        <w:t>4</w:t>
      </w:r>
      <w:r w:rsidRPr="005B5CB6">
        <w:rPr>
          <w:rFonts w:ascii="Verdana" w:eastAsia="Verdana" w:hAnsi="Verdana" w:cs="Verdana"/>
        </w:rPr>
        <w:t xml:space="preserve">  </w:t>
      </w:r>
    </w:p>
    <w:p w:rsidR="00FB0B24" w:rsidRPr="005B5CB6" w:rsidP="00575F14">
      <w:pPr>
        <w:numPr>
          <w:ilvl w:val="1"/>
          <w:numId w:val="111"/>
        </w:numPr>
        <w:spacing w:after="5" w:line="250" w:lineRule="auto"/>
        <w:ind w:right="11" w:hanging="360"/>
        <w:jc w:val="both"/>
        <w:rPr>
          <w:rFonts w:ascii="Verdana" w:hAnsi="Verdana"/>
        </w:rPr>
      </w:pPr>
      <w:r w:rsidRPr="005B5CB6">
        <w:rPr>
          <w:rFonts w:ascii="Verdana" w:eastAsia="Verdana" w:hAnsi="Verdana" w:cs="Verdana"/>
        </w:rPr>
        <w:t xml:space="preserve">Parliament and democratic institutions must realise and reaffirm their responsibility to push back on the aspects of digital technology that inhibit reasoned democratic debate online, and to hold each other accountable to higher standards of conduct when engaging in these debates that go beyond mere compliance with the law.  </w:t>
      </w:r>
    </w:p>
    <w:p w:rsidR="00FB0B24" w:rsidRPr="005B5CB6" w:rsidP="001512F6">
      <w:pPr>
        <w:spacing w:after="5" w:line="249" w:lineRule="auto"/>
        <w:ind w:left="721" w:right="125" w:hanging="360"/>
        <w:jc w:val="both"/>
        <w:rPr>
          <w:rFonts w:ascii="Verdana" w:hAnsi="Verdana"/>
        </w:rPr>
      </w:pPr>
      <w:r w:rsidRPr="005B5CB6">
        <w:rPr>
          <w:rFonts w:ascii="Verdana" w:eastAsia="Verdana" w:hAnsi="Verdana" w:cs="Verdana"/>
        </w:rPr>
        <w:t xml:space="preserve">10.Much of this change can only realistically be achieved through regulatory reforms, which we outline in our response to consultation questions four and five.  </w:t>
      </w:r>
    </w:p>
    <w:p w:rsidR="00FB0B24" w:rsidRPr="005B5CB6" w:rsidP="001512F6">
      <w:pPr>
        <w:spacing w:after="28" w:line="250" w:lineRule="auto"/>
        <w:ind w:left="721" w:right="11" w:hanging="360"/>
        <w:jc w:val="both"/>
        <w:rPr>
          <w:rFonts w:ascii="Verdana" w:hAnsi="Verdana"/>
        </w:rPr>
      </w:pPr>
      <w:r w:rsidRPr="005B5CB6">
        <w:rPr>
          <w:rFonts w:ascii="Verdana" w:eastAsia="Verdana" w:hAnsi="Verdana" w:cs="Verdana"/>
        </w:rPr>
        <w:t>11.We recommend a review of the Standards for Public Life</w:t>
      </w:r>
      <w:r w:rsidRPr="005B5CB6">
        <w:rPr>
          <w:rFonts w:ascii="Verdana" w:eastAsia="Verdana" w:hAnsi="Verdana" w:cs="Verdana"/>
          <w:vertAlign w:val="superscript"/>
        </w:rPr>
        <w:t>12</w:t>
      </w:r>
      <w:r w:rsidRPr="005B5CB6">
        <w:rPr>
          <w:rFonts w:ascii="Verdana" w:eastAsia="Verdana" w:hAnsi="Verdana" w:cs="Verdana"/>
        </w:rPr>
        <w:t xml:space="preserve"> and parliamentary Code of Conduct</w:t>
      </w:r>
      <w:r w:rsidRPr="005B5CB6">
        <w:rPr>
          <w:rFonts w:ascii="Verdana" w:eastAsia="Verdana" w:hAnsi="Verdana" w:cs="Verdana"/>
          <w:vertAlign w:val="superscript"/>
        </w:rPr>
        <w:t>13</w:t>
      </w:r>
      <w:r w:rsidRPr="005B5CB6">
        <w:rPr>
          <w:rFonts w:ascii="Verdana" w:eastAsia="Verdana" w:hAnsi="Verdana" w:cs="Verdana"/>
        </w:rPr>
        <w:t xml:space="preserve"> to clarify how they translate online, focusing on areas including the gathering and processing of data, social media conduct and the creation and dissemination of content. This review must also look at strengthening accountability mechanisms, to ensure the Parliamentary Commissioner for Standards, Committee on Standards and Committee for Standards in Public Life have the resources and digital capabilities needed to uphold these standards.  </w:t>
      </w:r>
    </w:p>
    <w:p w:rsidR="00FB0B24" w:rsidRPr="005B5CB6" w:rsidP="001512F6">
      <w:pPr>
        <w:spacing w:after="17"/>
        <w:ind w:left="1"/>
        <w:jc w:val="both"/>
        <w:rPr>
          <w:rFonts w:ascii="Verdana" w:hAnsi="Verdana"/>
        </w:rPr>
      </w:pPr>
      <w:r w:rsidRPr="005B5CB6">
        <w:rPr>
          <w:rFonts w:ascii="Verdana" w:eastAsia="Verdana" w:hAnsi="Verdana" w:cs="Verdana"/>
        </w:rPr>
        <w:t xml:space="preserve"> </w:t>
      </w:r>
    </w:p>
    <w:p w:rsidR="00FB0B24" w:rsidRPr="005B5CB6" w:rsidP="001512F6">
      <w:pPr>
        <w:spacing w:after="17"/>
        <w:ind w:left="1"/>
        <w:jc w:val="both"/>
        <w:rPr>
          <w:rFonts w:ascii="Verdana" w:hAnsi="Verdana"/>
        </w:rPr>
      </w:pPr>
      <w:r w:rsidRPr="005B5CB6">
        <w:rPr>
          <w:rFonts w:ascii="Verdana" w:eastAsia="Verdana" w:hAnsi="Verdana" w:cs="Verdana"/>
          <w:b/>
        </w:rPr>
        <w:t xml:space="preserve"> </w:t>
      </w:r>
    </w:p>
    <w:p w:rsidR="00FB0B24" w:rsidRPr="005B5CB6" w:rsidP="00575F14">
      <w:pPr>
        <w:numPr>
          <w:ilvl w:val="0"/>
          <w:numId w:val="111"/>
        </w:numPr>
        <w:spacing w:after="23" w:line="249" w:lineRule="auto"/>
        <w:ind w:hanging="10"/>
        <w:jc w:val="both"/>
        <w:rPr>
          <w:rFonts w:ascii="Verdana" w:hAnsi="Verdana"/>
        </w:rPr>
      </w:pPr>
      <w:r w:rsidRPr="005B5CB6">
        <w:rPr>
          <w:rFonts w:ascii="Verdana" w:eastAsia="Verdana" w:hAnsi="Verdana" w:cs="Verdana"/>
          <w:b/>
          <w:i/>
        </w:rPr>
        <w:t xml:space="preserve">How have the design of algorithms used by social media platforms shaped democratic debate? To what extent should there be greater accountability for the design of these Algorithms? </w:t>
      </w:r>
    </w:p>
    <w:p w:rsidR="00FB0B24" w:rsidRPr="005B5CB6" w:rsidP="001512F6">
      <w:pPr>
        <w:spacing w:after="17"/>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12.The issues of algorithm-driven misinformation and information manipulation take up much of the oxygen in policy debates around the impact of technology on democracy.  </w:t>
      </w:r>
    </w:p>
    <w:p w:rsidR="00FB0B24" w:rsidRPr="005B5CB6" w:rsidP="001512F6">
      <w:pPr>
        <w:spacing w:after="5" w:line="250" w:lineRule="auto"/>
        <w:ind w:left="369" w:right="11" w:hanging="8"/>
        <w:jc w:val="both"/>
        <w:rPr>
          <w:rFonts w:ascii="Verdana" w:hAnsi="Verdana"/>
        </w:rPr>
      </w:pPr>
      <w:r w:rsidRPr="005B5CB6">
        <w:rPr>
          <w:rFonts w:ascii="Verdana" w:eastAsia="Verdana" w:hAnsi="Verdana" w:cs="Verdana"/>
        </w:rPr>
        <w:t xml:space="preserve">13.The European Commission has identified this issue as a priority through their </w:t>
      </w:r>
    </w:p>
    <w:p w:rsidR="00FB0B24" w:rsidRPr="005B5CB6" w:rsidP="001512F6">
      <w:pPr>
        <w:spacing w:after="5" w:line="250" w:lineRule="auto"/>
        <w:ind w:left="729" w:right="11" w:hanging="8"/>
        <w:jc w:val="both"/>
        <w:rPr>
          <w:rFonts w:ascii="Verdana" w:hAnsi="Verdana"/>
        </w:rPr>
      </w:pPr>
      <w:r w:rsidRPr="005B5CB6">
        <w:rPr>
          <w:rFonts w:ascii="Verdana" w:eastAsia="Verdana" w:hAnsi="Verdana" w:cs="Verdana"/>
        </w:rPr>
        <w:t>Action Plan on Disinformation.</w:t>
      </w:r>
      <w:r w:rsidRPr="005B5CB6">
        <w:rPr>
          <w:rFonts w:ascii="Verdana" w:eastAsia="Verdana" w:hAnsi="Verdana" w:cs="Verdana"/>
          <w:vertAlign w:val="superscript"/>
        </w:rPr>
        <w:t>14</w:t>
      </w:r>
      <w:r w:rsidRPr="005B5CB6">
        <w:rPr>
          <w:rFonts w:ascii="Verdana" w:eastAsia="Verdana" w:hAnsi="Verdana" w:cs="Verdana"/>
        </w:rPr>
        <w:t xml:space="preserve">The Department for Digital, Culture, Media </w:t>
      </w:r>
    </w:p>
    <w:p w:rsidR="00FB0B24" w:rsidRPr="005B5CB6" w:rsidP="001512F6">
      <w:pPr>
        <w:spacing w:after="54" w:line="249" w:lineRule="auto"/>
        <w:ind w:left="731" w:hanging="10"/>
        <w:jc w:val="both"/>
        <w:rPr>
          <w:rFonts w:ascii="Verdana" w:hAnsi="Verdana"/>
        </w:rPr>
      </w:pPr>
      <w:r w:rsidRPr="005B5CB6">
        <w:rPr>
          <w:rFonts w:ascii="Verdana" w:eastAsia="Verdana" w:hAnsi="Verdana" w:cs="Verdana"/>
        </w:rPr>
        <w:t xml:space="preserve">and Sport Select Committee has said that </w:t>
      </w:r>
      <w:r w:rsidRPr="005B5CB6">
        <w:rPr>
          <w:rFonts w:ascii="Verdana" w:eastAsia="Verdana" w:hAnsi="Verdana" w:cs="Verdana"/>
          <w:i/>
        </w:rPr>
        <w:t>“[the internet] carries the insidious ability to distort, to mislead and to produce hatred and instability...when these factors are brought to bear directly in election campaigns then the very fabric of our democracy is threatened.”</w:t>
      </w:r>
      <w:r w:rsidRPr="005B5CB6">
        <w:rPr>
          <w:rFonts w:ascii="Verdana" w:eastAsia="Verdana" w:hAnsi="Verdana" w:cs="Verdana"/>
          <w:i/>
          <w:vertAlign w:val="superscript"/>
        </w:rPr>
        <w:t>15</w:t>
      </w:r>
      <w:r w:rsidRPr="005B5CB6">
        <w:rPr>
          <w:rFonts w:ascii="Verdana" w:eastAsia="Verdana" w:hAnsi="Verdana" w:cs="Verdana"/>
        </w:rPr>
        <w:t xml:space="preserve">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14.Despite the urgency of the political rhetoric, research into the effect of misinformation on real-world behaviour and voting intentions suggests its impact is relatively marginal.  </w:t>
      </w:r>
    </w:p>
    <w:p w:rsidR="00FB0B24" w:rsidRPr="005B5CB6" w:rsidP="001512F6">
      <w:pPr>
        <w:spacing w:after="58" w:line="250" w:lineRule="auto"/>
        <w:ind w:left="721" w:right="11" w:hanging="360"/>
        <w:jc w:val="both"/>
        <w:rPr>
          <w:rFonts w:ascii="Verdana" w:hAnsi="Verdana"/>
        </w:rPr>
      </w:pPr>
      <w:r w:rsidRPr="005B5CB6">
        <w:rPr>
          <w:rFonts w:ascii="Verdana" w:eastAsia="Verdana" w:hAnsi="Verdana" w:cs="Verdana"/>
        </w:rPr>
        <w:t>15.Research into American Twitter users found that the spread of misinformation was highly concentrated and relatively uncommon – 0.1% of users accounted for more than 80% of shares of false content, and the proportion of articles on the average user’s feed identified as misinformation was just over 1%.</w:t>
      </w:r>
      <w:r w:rsidRPr="005B5CB6">
        <w:rPr>
          <w:rFonts w:ascii="Verdana" w:eastAsia="Verdana" w:hAnsi="Verdana" w:cs="Verdana"/>
          <w:vertAlign w:val="superscript"/>
        </w:rPr>
        <w:t>16</w:t>
      </w:r>
      <w:r w:rsidRPr="005B5CB6">
        <w:rPr>
          <w:rFonts w:ascii="Verdana" w:eastAsia="Verdana" w:hAnsi="Verdana" w:cs="Verdana"/>
        </w:rPr>
        <w:t xml:space="preserve">  </w:t>
      </w:r>
    </w:p>
    <w:p w:rsidR="00FB0B24" w:rsidRPr="005B5CB6" w:rsidP="001512F6">
      <w:pPr>
        <w:spacing w:after="52" w:line="249" w:lineRule="auto"/>
        <w:ind w:left="721" w:hanging="360"/>
        <w:jc w:val="both"/>
        <w:rPr>
          <w:rFonts w:ascii="Verdana" w:hAnsi="Verdana"/>
        </w:rPr>
      </w:pPr>
      <w:r w:rsidRPr="005B5CB6">
        <w:rPr>
          <w:rFonts w:ascii="Verdana" w:eastAsia="Verdana" w:hAnsi="Verdana" w:cs="Verdana"/>
        </w:rPr>
        <w:t xml:space="preserve">16.And a study into misinformation during the Brexit referendum found that </w:t>
      </w:r>
      <w:r w:rsidRPr="005B5CB6">
        <w:rPr>
          <w:rFonts w:ascii="Verdana" w:eastAsia="Verdana" w:hAnsi="Verdana" w:cs="Verdana"/>
          <w:i/>
        </w:rPr>
        <w:t>“ just two of the many misleading claims made by politicians during the referendum were found to be cited in 4.6 times more tweets than the 7,103 tweets related to Russia Today and Sputnik and in 10.2 times more tweets than the 3,200 Brexit-related tweets by the Russian troll accounts”.</w:t>
      </w:r>
      <w:r w:rsidRPr="005B5CB6">
        <w:rPr>
          <w:rFonts w:ascii="Verdana" w:eastAsia="Verdana" w:hAnsi="Verdana" w:cs="Verdana"/>
          <w:i/>
          <w:vertAlign w:val="superscript"/>
        </w:rPr>
        <w:t>17</w:t>
      </w:r>
      <w:r w:rsidRPr="005B5CB6">
        <w:rPr>
          <w:rFonts w:ascii="Verdana" w:eastAsia="Verdana" w:hAnsi="Verdana" w:cs="Verdana"/>
        </w:rPr>
        <w:t xml:space="preserve">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17.What is clear however is that the explosion of debate around the impact of digital misinformation on democracy has coincided with a dramatic decline in trust across all institutions implicated in the debate.  </w:t>
      </w:r>
    </w:p>
    <w:p w:rsidR="00FB0B24" w:rsidRPr="005B5CB6" w:rsidP="001512F6">
      <w:pPr>
        <w:spacing w:after="54" w:line="250" w:lineRule="auto"/>
        <w:ind w:left="720" w:right="11" w:hanging="360"/>
        <w:jc w:val="both"/>
        <w:rPr>
          <w:rFonts w:ascii="Verdana" w:hAnsi="Verdana"/>
        </w:rPr>
      </w:pPr>
      <w:r w:rsidRPr="005B5CB6">
        <w:rPr>
          <w:rFonts w:ascii="Verdana" w:eastAsia="Verdana" w:hAnsi="Verdana" w:cs="Verdana"/>
        </w:rPr>
        <w:t xml:space="preserve">18.Our </w:t>
      </w:r>
      <w:r w:rsidRPr="005B5CB6">
        <w:rPr>
          <w:rFonts w:ascii="Verdana" w:eastAsia="Verdana" w:hAnsi="Verdana" w:cs="Verdana"/>
          <w:i/>
        </w:rPr>
        <w:t>People, Power and Technology</w:t>
      </w:r>
      <w:r w:rsidRPr="005B5CB6">
        <w:rPr>
          <w:rFonts w:ascii="Verdana" w:eastAsia="Verdana" w:hAnsi="Verdana" w:cs="Verdana"/>
        </w:rPr>
        <w:t xml:space="preserve"> research has shown the public demand for greater accountability from technology companies. Two thirds say government should be helping ensure companies treat their customers, staff and society fairly.</w:t>
      </w:r>
      <w:r w:rsidRPr="005B5CB6">
        <w:rPr>
          <w:rFonts w:ascii="Verdana" w:eastAsia="Verdana" w:hAnsi="Verdana" w:cs="Verdana"/>
          <w:vertAlign w:val="superscript"/>
        </w:rPr>
        <w:t>18</w:t>
      </w:r>
      <w:r w:rsidRPr="005B5CB6">
        <w:rPr>
          <w:rFonts w:ascii="Verdana" w:eastAsia="Verdana" w:hAnsi="Verdana" w:cs="Verdana"/>
        </w:rPr>
        <w:t xml:space="preserve"> Edelman’s Trust Barometer finds only 36% of the UK public trusts search engines and platforms and government, with this figure falling to 32% for journalists.</w:t>
      </w:r>
      <w:r w:rsidRPr="005B5CB6">
        <w:rPr>
          <w:rFonts w:ascii="Verdana" w:eastAsia="Verdana" w:hAnsi="Verdana" w:cs="Verdana"/>
          <w:vertAlign w:val="superscript"/>
        </w:rPr>
        <w:t>19</w:t>
      </w:r>
      <w:r w:rsidRPr="005B5CB6">
        <w:rPr>
          <w:rFonts w:ascii="Verdana" w:eastAsia="Verdana" w:hAnsi="Verdana" w:cs="Verdana"/>
        </w:rPr>
        <w:t xml:space="preserve">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19.Technocratic fixes for bots sharing misinformation do little to address the broader issue of growing hyper-scepticism and mistrust. We recommend that accountability for technology companies should be seen holistically,  focusing on more than technical design of algorithms. Where algorithms are a focus, action should focus on the bigger picture issues we outline in our response to consultation question 1.   </w:t>
      </w:r>
    </w:p>
    <w:p w:rsidR="00FB0B24" w:rsidRPr="005B5CB6" w:rsidP="001512F6">
      <w:pPr>
        <w:spacing w:after="5" w:line="250" w:lineRule="auto"/>
        <w:ind w:left="720" w:right="11" w:hanging="360"/>
        <w:jc w:val="both"/>
        <w:rPr>
          <w:rFonts w:ascii="Verdana" w:hAnsi="Verdana"/>
        </w:rPr>
      </w:pPr>
      <w:r w:rsidRPr="005B5CB6">
        <w:rPr>
          <w:rFonts w:ascii="Verdana" w:eastAsia="Verdana" w:hAnsi="Verdana" w:cs="Verdana"/>
        </w:rPr>
        <w:t xml:space="preserve">20.Instead, we should encourage extensive transparency from platforms, set out broad obligations to act responsibly through regulation, and create mechanisms for the public to assert their values upstream in the design of digital technologies and assert their rights when they have been breached. Our responses to consultation questions 3,4,5 and 11 outline our recommendations for bringing about these changes.  </w:t>
      </w:r>
    </w:p>
    <w:p w:rsidR="00FB0B24" w:rsidRPr="005B5CB6" w:rsidP="001512F6">
      <w:pPr>
        <w:spacing w:after="19"/>
        <w:jc w:val="both"/>
        <w:rPr>
          <w:rFonts w:ascii="Verdana" w:hAnsi="Verdana"/>
        </w:rPr>
      </w:pP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3" w:line="249" w:lineRule="auto"/>
        <w:ind w:left="9" w:hanging="10"/>
        <w:jc w:val="both"/>
        <w:rPr>
          <w:rFonts w:ascii="Verdana" w:hAnsi="Verdana"/>
        </w:rPr>
      </w:pPr>
      <w:r w:rsidRPr="005B5CB6">
        <w:rPr>
          <w:rFonts w:ascii="Verdana" w:eastAsia="Verdana" w:hAnsi="Verdana" w:cs="Verdana"/>
          <w:b/>
          <w:i/>
        </w:rPr>
        <w:t xml:space="preserve">3. What role should every stage of education play in helping to create a healthy, active, digitally literate democracy? </w:t>
      </w:r>
    </w:p>
    <w:p w:rsidR="00FB0B24" w:rsidRPr="005B5CB6" w:rsidP="001512F6">
      <w:pPr>
        <w:spacing w:after="17"/>
        <w:ind w:left="1"/>
        <w:jc w:val="both"/>
        <w:rPr>
          <w:rFonts w:ascii="Verdana" w:hAnsi="Verdana"/>
        </w:rPr>
      </w:pPr>
      <w:r w:rsidRPr="005B5CB6">
        <w:rPr>
          <w:rFonts w:ascii="Verdana" w:eastAsia="Verdana" w:hAnsi="Verdana" w:cs="Verdana"/>
          <w:b/>
        </w:rPr>
        <w:t xml:space="preserve"> </w:t>
      </w:r>
    </w:p>
    <w:p w:rsidR="00FB0B24" w:rsidRPr="005B5CB6" w:rsidP="001512F6">
      <w:pPr>
        <w:spacing w:after="28" w:line="250" w:lineRule="auto"/>
        <w:ind w:left="721" w:right="11" w:hanging="360"/>
        <w:jc w:val="both"/>
        <w:rPr>
          <w:rFonts w:ascii="Verdana" w:hAnsi="Verdana"/>
        </w:rPr>
      </w:pPr>
      <w:r w:rsidRPr="005B5CB6">
        <w:rPr>
          <w:rFonts w:ascii="Verdana" w:eastAsia="Verdana" w:hAnsi="Verdana" w:cs="Verdana"/>
        </w:rPr>
        <w:t xml:space="preserve">21.Understanding the relationship between digital platforms, information and political institutions is fundamental to participating in modern democracy. But our </w:t>
      </w:r>
      <w:r w:rsidRPr="005B5CB6">
        <w:rPr>
          <w:rFonts w:ascii="Verdana" w:eastAsia="Verdana" w:hAnsi="Verdana" w:cs="Verdana"/>
          <w:i/>
        </w:rPr>
        <w:t>People, Power and Technology</w:t>
      </w:r>
      <w:r w:rsidRPr="005B5CB6">
        <w:rPr>
          <w:rFonts w:ascii="Verdana" w:eastAsia="Verdana" w:hAnsi="Verdana" w:cs="Verdana"/>
        </w:rPr>
        <w:t xml:space="preserve"> research</w:t>
      </w:r>
      <w:r w:rsidRPr="005B5CB6">
        <w:rPr>
          <w:rFonts w:ascii="Verdana" w:eastAsia="Verdana" w:hAnsi="Verdana" w:cs="Verdana"/>
          <w:vertAlign w:val="superscript"/>
        </w:rPr>
        <w:t>20</w:t>
      </w:r>
      <w:r w:rsidRPr="005B5CB6">
        <w:rPr>
          <w:rFonts w:ascii="Verdana" w:eastAsia="Verdana" w:hAnsi="Verdana" w:cs="Verdana"/>
        </w:rPr>
        <w:t xml:space="preserve"> shows common blindspots in digital understanding.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22.45% dont understand that adverts are targeted based on social media data, and 62% don’t realise the news they see online is influenced by this information. 41% say some news websites and apps can’t be fully trusted but read them anyway, while only 30% say they make an effort to view websites with differing political standpoints.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23.These findings clearly show that lack of digital understanding is a universal concern; not only an issue for young people and schools.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24.Our </w:t>
      </w:r>
      <w:r w:rsidRPr="005B5CB6">
        <w:rPr>
          <w:rFonts w:ascii="Verdana" w:eastAsia="Verdana" w:hAnsi="Verdana" w:cs="Verdana"/>
          <w:i/>
        </w:rPr>
        <w:t xml:space="preserve">Engaging the Public with Responsible Technology </w:t>
      </w:r>
      <w:r w:rsidRPr="005B5CB6">
        <w:rPr>
          <w:rFonts w:ascii="Verdana" w:eastAsia="Verdana" w:hAnsi="Verdana" w:cs="Verdana"/>
        </w:rPr>
        <w:t xml:space="preserve">programme explores ways to empower the public to navigate and scrutinise the online world. We will be publishing our initial findings in October 2019 and we would welcome the opportunity to discuss our findings further with the Committee upon its publication.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25.This research - which encompassed a literature review, an expert roundtable, and an online diary and qualitative research with members of the public - has found building digital understanding through rote learning and one-size-fitsall media literacy campaigns is challenging.  </w:t>
      </w:r>
    </w:p>
    <w:p w:rsidR="00FB0B24" w:rsidRPr="005B5CB6" w:rsidP="001512F6">
      <w:pPr>
        <w:spacing w:after="27" w:line="250" w:lineRule="auto"/>
        <w:ind w:left="721" w:right="11" w:hanging="360"/>
        <w:jc w:val="both"/>
        <w:rPr>
          <w:rFonts w:ascii="Verdana" w:hAnsi="Verdana"/>
        </w:rPr>
      </w:pPr>
      <w:r w:rsidRPr="005B5CB6">
        <w:rPr>
          <w:rFonts w:ascii="Verdana" w:eastAsia="Verdana" w:hAnsi="Verdana" w:cs="Verdana"/>
        </w:rPr>
        <w:t>26.Many people are overwhelmed by the opacity and complexity of online services, and struggle to keep up with the pace of digital change. With the next generation of misinformation techniques including “deep-fakes”</w:t>
      </w:r>
      <w:r w:rsidRPr="005B5CB6">
        <w:rPr>
          <w:rFonts w:ascii="Verdana" w:eastAsia="Verdana" w:hAnsi="Verdana" w:cs="Verdana"/>
          <w:vertAlign w:val="superscript"/>
        </w:rPr>
        <w:t>21</w:t>
      </w:r>
      <w:r w:rsidRPr="005B5CB6">
        <w:rPr>
          <w:rFonts w:ascii="Verdana" w:eastAsia="Verdana" w:hAnsi="Verdana" w:cs="Verdana"/>
        </w:rPr>
        <w:t xml:space="preserve"> and speech synthesis evolving rapidly, the gap between technology and the public is only set to widen.   </w:t>
      </w:r>
    </w:p>
    <w:p w:rsidR="00FB0B24" w:rsidRPr="005B5CB6" w:rsidP="001512F6">
      <w:pPr>
        <w:spacing w:after="55" w:line="250" w:lineRule="auto"/>
        <w:ind w:left="721" w:right="11" w:hanging="360"/>
        <w:jc w:val="both"/>
        <w:rPr>
          <w:rFonts w:ascii="Verdana" w:hAnsi="Verdana"/>
        </w:rPr>
      </w:pPr>
      <w:r w:rsidRPr="005B5CB6">
        <w:rPr>
          <w:rFonts w:ascii="Verdana" w:eastAsia="Verdana" w:hAnsi="Verdana" w:cs="Verdana"/>
        </w:rPr>
        <w:t>27.More broadly, awareness campaigns suffer from a crisis of evaluation, with only 1% of public health campaigns evaluated by looking at behavioural, rather than attitudinal, change.</w:t>
      </w:r>
      <w:r w:rsidRPr="005B5CB6">
        <w:rPr>
          <w:rFonts w:ascii="Verdana" w:eastAsia="Verdana" w:hAnsi="Verdana" w:cs="Verdana"/>
          <w:vertAlign w:val="superscript"/>
        </w:rPr>
        <w:t>22</w:t>
      </w:r>
      <w:r w:rsidRPr="005B5CB6">
        <w:rPr>
          <w:rFonts w:ascii="Verdana" w:eastAsia="Verdana" w:hAnsi="Verdana" w:cs="Verdana"/>
        </w:rPr>
        <w:t xml:space="preserve">  </w:t>
      </w:r>
    </w:p>
    <w:p w:rsidR="00FB0B24" w:rsidRPr="005B5CB6" w:rsidP="001512F6">
      <w:pPr>
        <w:spacing w:after="47" w:line="250" w:lineRule="auto"/>
        <w:ind w:left="721" w:right="11" w:hanging="360"/>
        <w:jc w:val="both"/>
        <w:rPr>
          <w:rFonts w:ascii="Verdana" w:hAnsi="Verdana"/>
        </w:rPr>
      </w:pPr>
      <w:r w:rsidRPr="005B5CB6">
        <w:rPr>
          <w:rFonts w:ascii="Verdana" w:eastAsia="Verdana" w:hAnsi="Verdana" w:cs="Verdana"/>
        </w:rPr>
        <w:t>28.Other leading voices in the sector have also expressed concerns around digital literacy. Data and Society founder danah boyd has questioned whether media literacy is, in fact, undermining democratic debate by encouraging individuals to find their own truths at the expense of reason, saying “</w:t>
      </w:r>
      <w:r w:rsidRPr="005B5CB6">
        <w:rPr>
          <w:rFonts w:ascii="Verdana" w:eastAsia="Verdana" w:hAnsi="Verdana" w:cs="Verdana"/>
          <w:i/>
        </w:rPr>
        <w:t>[Media literacy] is a form of critical thinking that asks people to doubt what they see. And that makes me very nervous</w:t>
      </w:r>
      <w:r w:rsidRPr="005B5CB6">
        <w:rPr>
          <w:rFonts w:ascii="Verdana" w:eastAsia="Verdana" w:hAnsi="Verdana" w:cs="Verdana"/>
        </w:rPr>
        <w:t>”</w:t>
      </w:r>
      <w:r w:rsidRPr="005B5CB6">
        <w:rPr>
          <w:rFonts w:ascii="Verdana" w:eastAsia="Verdana" w:hAnsi="Verdana" w:cs="Verdana"/>
          <w:vertAlign w:val="superscript"/>
        </w:rPr>
        <w:t>23</w:t>
      </w:r>
      <w:r w:rsidRPr="005B5CB6">
        <w:rPr>
          <w:rFonts w:ascii="Verdana" w:eastAsia="Verdana" w:hAnsi="Verdana" w:cs="Verdana"/>
        </w:rPr>
        <w:t xml:space="preserve"> </w:t>
      </w:r>
    </w:p>
    <w:p w:rsidR="00FB0B24" w:rsidRPr="005B5CB6" w:rsidP="001512F6">
      <w:pPr>
        <w:spacing w:after="5" w:line="249" w:lineRule="auto"/>
        <w:ind w:left="721" w:hanging="360"/>
        <w:jc w:val="both"/>
        <w:rPr>
          <w:rFonts w:ascii="Verdana" w:hAnsi="Verdana"/>
        </w:rPr>
      </w:pPr>
      <w:r w:rsidRPr="005B5CB6">
        <w:rPr>
          <w:rFonts w:ascii="Verdana" w:eastAsia="Verdana" w:hAnsi="Verdana" w:cs="Verdana"/>
        </w:rPr>
        <w:t xml:space="preserve">29.Professor Sonia Livingstone has called media literacy the ‘policy of last resort’ stating </w:t>
      </w:r>
      <w:r w:rsidRPr="005B5CB6">
        <w:rPr>
          <w:rFonts w:ascii="Verdana" w:eastAsia="Verdana" w:hAnsi="Verdana" w:cs="Verdana"/>
          <w:i/>
        </w:rPr>
        <w:t>“we cannot teach what is unlearnable, and people cannot learn to be literate in what is illegible...we cannot teach people data literacy without transparency, or what to trust without authoritative markers of authenticity and expertise. So people’s media literacy depends on how their digital environment has been designed and regulated.”</w:t>
      </w:r>
      <w:r w:rsidRPr="005B5CB6">
        <w:rPr>
          <w:rFonts w:ascii="Verdana" w:eastAsia="Verdana" w:hAnsi="Verdana" w:cs="Verdana"/>
          <w:i/>
          <w:vertAlign w:val="superscript"/>
        </w:rPr>
        <w:t>24</w:t>
      </w:r>
      <w:r w:rsidRPr="005B5CB6">
        <w:rPr>
          <w:rFonts w:ascii="Verdana" w:eastAsia="Verdana" w:hAnsi="Verdana" w:cs="Verdana"/>
        </w:rPr>
        <w:t xml:space="preserve">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30.We therefore caution against placing too much responsibility on individuals to improve and maintain their digital understanding and literacy, however wellintentioned.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31.Action within government and the tech sector must instead be focused on supply-side changes to make digital services more legible and transparent. These actions could include smarter engagement to give people information at point of need (explaining trade-offs between personal data sharing and benefits of using a service at the point of consent, for example), creating feedback loops that explain consequences of online choices to users and creating accessible avenues for people to raise questions about their online experience - which could be answered by platforms or fellow users.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32.Government must also proactively foster the ecosystem of trusted news providers and civil society organisations that can support people to understand their digital rights and seek redress where they have been breached.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575F14">
      <w:pPr>
        <w:numPr>
          <w:ilvl w:val="0"/>
          <w:numId w:val="112"/>
        </w:numPr>
        <w:spacing w:after="23" w:line="249" w:lineRule="auto"/>
        <w:ind w:hanging="10"/>
        <w:jc w:val="both"/>
        <w:rPr>
          <w:rFonts w:ascii="Verdana" w:hAnsi="Verdana"/>
        </w:rPr>
      </w:pPr>
      <w:r w:rsidRPr="005B5CB6">
        <w:rPr>
          <w:rFonts w:ascii="Verdana" w:eastAsia="Verdana" w:hAnsi="Verdana" w:cs="Verdana"/>
          <w:b/>
          <w:i/>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575F14">
      <w:pPr>
        <w:numPr>
          <w:ilvl w:val="0"/>
          <w:numId w:val="112"/>
        </w:numPr>
        <w:spacing w:after="24" w:line="249" w:lineRule="auto"/>
        <w:ind w:hanging="10"/>
        <w:jc w:val="both"/>
        <w:rPr>
          <w:rFonts w:ascii="Verdana" w:hAnsi="Verdana"/>
        </w:rPr>
      </w:pPr>
      <w:r w:rsidRPr="005B5CB6">
        <w:rPr>
          <w:rFonts w:ascii="Verdana" w:eastAsia="Verdana" w:hAnsi="Verdana" w:cs="Verdana"/>
          <w:b/>
          <w:i/>
        </w:rPr>
        <w:t xml:space="preserve">What effect does online targeted advertising have on the political process, and what effects could it have in the future? Should there be additional regulation of political Advertising? </w:t>
      </w:r>
    </w:p>
    <w:p w:rsidR="00FB0B24" w:rsidRPr="005B5CB6" w:rsidP="001512F6">
      <w:pPr>
        <w:spacing w:after="17"/>
        <w:jc w:val="both"/>
        <w:rPr>
          <w:rFonts w:ascii="Verdana" w:hAnsi="Verdana"/>
        </w:rPr>
      </w:pPr>
      <w:r w:rsidRPr="005B5CB6">
        <w:rPr>
          <w:rFonts w:ascii="Verdana" w:eastAsia="Verdana" w:hAnsi="Verdana" w:cs="Verdana"/>
          <w:b/>
          <w:i/>
        </w:rPr>
        <w:t xml:space="preserve"> </w:t>
      </w:r>
    </w:p>
    <w:p w:rsidR="00FB0B24" w:rsidRPr="005B5CB6" w:rsidP="001512F6">
      <w:pPr>
        <w:spacing w:after="41" w:line="250" w:lineRule="auto"/>
        <w:ind w:left="720" w:right="11" w:hanging="360"/>
        <w:jc w:val="both"/>
        <w:rPr>
          <w:rFonts w:ascii="Verdana" w:hAnsi="Verdana"/>
        </w:rPr>
      </w:pPr>
      <w:r w:rsidRPr="005B5CB6">
        <w:rPr>
          <w:rFonts w:ascii="Verdana" w:eastAsia="Verdana" w:hAnsi="Verdana" w:cs="Verdana"/>
        </w:rPr>
        <w:t xml:space="preserve">33.Our contribution to the Electoral Reform Society’s </w:t>
      </w:r>
      <w:r w:rsidRPr="005B5CB6">
        <w:rPr>
          <w:rFonts w:ascii="Verdana" w:eastAsia="Verdana" w:hAnsi="Verdana" w:cs="Verdana"/>
          <w:i/>
        </w:rPr>
        <w:t xml:space="preserve">Reining in the Political ‘Wild West’: Campaign Rules for the 21st Century </w:t>
      </w:r>
      <w:r w:rsidRPr="005B5CB6">
        <w:rPr>
          <w:rFonts w:ascii="Verdana" w:eastAsia="Verdana" w:hAnsi="Verdana" w:cs="Verdana"/>
        </w:rPr>
        <w:t>report sets out our recommendations for reforming the regulation of digital political campaigning.</w:t>
      </w:r>
      <w:r w:rsidRPr="005B5CB6">
        <w:rPr>
          <w:rFonts w:ascii="Verdana" w:eastAsia="Verdana" w:hAnsi="Verdana" w:cs="Verdana"/>
          <w:vertAlign w:val="superscript"/>
        </w:rPr>
        <w:t>25</w:t>
      </w:r>
      <w:r w:rsidRPr="005B5CB6">
        <w:rPr>
          <w:rFonts w:ascii="Verdana" w:eastAsia="Verdana" w:hAnsi="Verdana" w:cs="Verdana"/>
        </w:rPr>
        <w:t xml:space="preserve"> We have, alongside Full Fact, also called for reforms in this area ahead of the European elections in April 2019.</w:t>
      </w:r>
      <w:r w:rsidRPr="005B5CB6">
        <w:rPr>
          <w:rFonts w:ascii="Verdana" w:eastAsia="Verdana" w:hAnsi="Verdana" w:cs="Verdana"/>
          <w:vertAlign w:val="superscript"/>
        </w:rPr>
        <w:t>26</w:t>
      </w:r>
      <w:r w:rsidRPr="005B5CB6">
        <w:rPr>
          <w:rFonts w:ascii="Verdana" w:eastAsia="Verdana" w:hAnsi="Verdana" w:cs="Verdana"/>
        </w:rPr>
        <w:t xml:space="preserve">  </w:t>
      </w:r>
      <w:r w:rsidRPr="005B5CB6">
        <w:rPr>
          <w:rFonts w:ascii="Verdana" w:eastAsia="Verdana" w:hAnsi="Verdana" w:cs="Verdana"/>
          <w:i/>
        </w:rPr>
        <w:t xml:space="preserve"> </w:t>
      </w:r>
      <w:r w:rsidRPr="005B5CB6">
        <w:rPr>
          <w:rFonts w:ascii="Verdana" w:eastAsia="Verdana" w:hAnsi="Verdana" w:cs="Verdana"/>
        </w:rPr>
        <w:t xml:space="preserve">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34.This regulation is in urgent need of reform. The Electoral Commission is hamstrung by an outdated remit and limited resources, whilst other aspects of digital campaigning fall in the gaps between the Information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Commissioner’s Office, Advertising Standards Agency and Independent Press Standards Organisation.  </w:t>
      </w:r>
    </w:p>
    <w:p w:rsidR="00FB0B24" w:rsidRPr="005B5CB6" w:rsidP="001512F6">
      <w:pPr>
        <w:spacing w:after="28" w:line="250" w:lineRule="auto"/>
        <w:ind w:left="721" w:right="11" w:hanging="360"/>
        <w:jc w:val="both"/>
        <w:rPr>
          <w:rFonts w:ascii="Verdana" w:hAnsi="Verdana"/>
        </w:rPr>
      </w:pPr>
      <w:r w:rsidRPr="005B5CB6">
        <w:rPr>
          <w:rFonts w:ascii="Verdana" w:eastAsia="Verdana" w:hAnsi="Verdana" w:cs="Verdana"/>
        </w:rPr>
        <w:t>35.The Department for Culture, Media and Sport (DCMS) select committee, Cabinet Office,</w:t>
      </w:r>
      <w:r w:rsidRPr="005B5CB6">
        <w:rPr>
          <w:rFonts w:ascii="Verdana" w:eastAsia="Verdana" w:hAnsi="Verdana" w:cs="Verdana"/>
          <w:vertAlign w:val="superscript"/>
        </w:rPr>
        <w:t>27</w:t>
      </w:r>
      <w:r w:rsidRPr="005B5CB6">
        <w:rPr>
          <w:rFonts w:ascii="Verdana" w:eastAsia="Verdana" w:hAnsi="Verdana" w:cs="Verdana"/>
        </w:rPr>
        <w:t xml:space="preserve"> the Electoral Commission,</w:t>
      </w:r>
      <w:r w:rsidRPr="005B5CB6">
        <w:rPr>
          <w:rFonts w:ascii="Verdana" w:eastAsia="Verdana" w:hAnsi="Verdana" w:cs="Verdana"/>
          <w:vertAlign w:val="superscript"/>
        </w:rPr>
        <w:t>28</w:t>
      </w:r>
      <w:r w:rsidRPr="005B5CB6">
        <w:rPr>
          <w:rFonts w:ascii="Verdana" w:eastAsia="Verdana" w:hAnsi="Verdana" w:cs="Verdana"/>
        </w:rPr>
        <w:t xml:space="preserve"> internet companies and the Institute of Practitioners in Advertising (IPA) are amongst other notable organisations that have also called for reform in this area.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36.The Political Parties and Elections Act 2000 must be amended to give the Electoral Commission the flexibility to apply its offline powers online by: </w:t>
      </w:r>
    </w:p>
    <w:p w:rsidR="00FB0B24" w:rsidRPr="005B5CB6" w:rsidP="00575F14">
      <w:pPr>
        <w:numPr>
          <w:ilvl w:val="0"/>
          <w:numId w:val="113"/>
        </w:numPr>
        <w:spacing w:after="44" w:line="250" w:lineRule="auto"/>
        <w:ind w:right="11" w:hanging="360"/>
        <w:jc w:val="both"/>
        <w:rPr>
          <w:rFonts w:ascii="Verdana" w:hAnsi="Verdana"/>
        </w:rPr>
      </w:pPr>
      <w:r w:rsidRPr="005B5CB6">
        <w:rPr>
          <w:rFonts w:ascii="Verdana" w:eastAsia="Verdana" w:hAnsi="Verdana" w:cs="Verdana"/>
        </w:rPr>
        <w:t>Ensuring the government delivers on its promise</w:t>
      </w:r>
      <w:r w:rsidRPr="005B5CB6">
        <w:rPr>
          <w:rFonts w:ascii="Verdana" w:eastAsia="Verdana" w:hAnsi="Verdana" w:cs="Verdana"/>
          <w:vertAlign w:val="superscript"/>
        </w:rPr>
        <w:t>29</w:t>
      </w:r>
      <w:r w:rsidRPr="005B5CB6">
        <w:rPr>
          <w:rFonts w:ascii="Verdana" w:eastAsia="Verdana" w:hAnsi="Verdana" w:cs="Verdana"/>
        </w:rPr>
        <w:t xml:space="preserve"> to extend the </w:t>
      </w:r>
    </w:p>
    <w:p w:rsidR="00FB0B24" w:rsidRPr="005B5CB6" w:rsidP="001512F6">
      <w:pPr>
        <w:spacing w:after="5" w:line="250" w:lineRule="auto"/>
        <w:ind w:left="1449" w:right="11" w:hanging="8"/>
        <w:jc w:val="both"/>
        <w:rPr>
          <w:rFonts w:ascii="Verdana" w:hAnsi="Verdana"/>
        </w:rPr>
      </w:pPr>
      <w:r w:rsidRPr="005B5CB6">
        <w:rPr>
          <w:rFonts w:ascii="Verdana" w:eastAsia="Verdana" w:hAnsi="Verdana" w:cs="Verdana"/>
        </w:rPr>
        <w:t xml:space="preserve">‘imprint law’ for offline campaign material to cover digital political </w:t>
      </w:r>
    </w:p>
    <w:p w:rsidR="00FB0B24" w:rsidRPr="005B5CB6" w:rsidP="001512F6">
      <w:pPr>
        <w:spacing w:after="5" w:line="250" w:lineRule="auto"/>
        <w:ind w:left="1449" w:right="11" w:hanging="8"/>
        <w:jc w:val="both"/>
        <w:rPr>
          <w:rFonts w:ascii="Verdana" w:hAnsi="Verdana"/>
        </w:rPr>
      </w:pPr>
      <w:r w:rsidRPr="005B5CB6">
        <w:rPr>
          <w:rFonts w:ascii="Verdana" w:eastAsia="Verdana" w:hAnsi="Verdana" w:cs="Verdana"/>
        </w:rPr>
        <w:t xml:space="preserve">campaign material. Imprint should explain clearly that an ad is political in nature, and identify both the author and funders.  </w:t>
      </w:r>
    </w:p>
    <w:p w:rsidR="00FB0B24" w:rsidRPr="005B5CB6" w:rsidP="00575F14">
      <w:pPr>
        <w:numPr>
          <w:ilvl w:val="0"/>
          <w:numId w:val="113"/>
        </w:numPr>
        <w:spacing w:after="25" w:line="250" w:lineRule="auto"/>
        <w:ind w:right="11" w:hanging="360"/>
        <w:jc w:val="both"/>
        <w:rPr>
          <w:rFonts w:ascii="Verdana" w:hAnsi="Verdana"/>
        </w:rPr>
      </w:pPr>
      <w:r w:rsidRPr="005B5CB6">
        <w:rPr>
          <w:rFonts w:ascii="Verdana" w:eastAsia="Verdana" w:hAnsi="Verdana" w:cs="Verdana"/>
        </w:rPr>
        <w:t xml:space="preserve">Establishing a public register of online political ads, provided in real time, in machine readable format and with full information on content, targeting, reach and spend to guarantee transparency. </w:t>
      </w:r>
    </w:p>
    <w:p w:rsidR="00FB0B24" w:rsidRPr="005B5CB6" w:rsidP="001512F6">
      <w:pPr>
        <w:spacing w:after="26" w:line="250" w:lineRule="auto"/>
        <w:ind w:left="369" w:right="11" w:hanging="8"/>
        <w:jc w:val="both"/>
        <w:rPr>
          <w:rFonts w:ascii="Verdana" w:hAnsi="Verdana"/>
        </w:rPr>
      </w:pPr>
      <w:r w:rsidRPr="005B5CB6">
        <w:rPr>
          <w:rFonts w:ascii="Verdana" w:eastAsia="Verdana" w:hAnsi="Verdana" w:cs="Verdana"/>
        </w:rPr>
        <w:t xml:space="preserve">37.New data regulations are also needed to: </w:t>
      </w:r>
    </w:p>
    <w:p w:rsidR="00FB0B24" w:rsidRPr="005B5CB6" w:rsidP="00575F14">
      <w:pPr>
        <w:numPr>
          <w:ilvl w:val="0"/>
          <w:numId w:val="114"/>
        </w:numPr>
        <w:spacing w:after="5" w:line="250" w:lineRule="auto"/>
        <w:ind w:left="1440" w:right="11" w:hanging="360"/>
        <w:jc w:val="both"/>
        <w:rPr>
          <w:rFonts w:ascii="Verdana" w:hAnsi="Verdana"/>
        </w:rPr>
      </w:pPr>
      <w:r w:rsidRPr="005B5CB6">
        <w:rPr>
          <w:rFonts w:ascii="Verdana" w:eastAsia="Verdana" w:hAnsi="Verdana" w:cs="Verdana"/>
        </w:rPr>
        <w:t xml:space="preserve">Introduce minimum allowable group sizes for online targeted advertising, to be decided through public consultation. Microtargeting ads to an audience of one fatally undermines external scrutiny and fact-checking that are cornerstones of democratic debate.  </w:t>
      </w:r>
    </w:p>
    <w:p w:rsidR="00FB0B24" w:rsidRPr="005B5CB6" w:rsidP="00575F14">
      <w:pPr>
        <w:numPr>
          <w:ilvl w:val="0"/>
          <w:numId w:val="114"/>
        </w:numPr>
        <w:spacing w:after="25" w:line="250" w:lineRule="auto"/>
        <w:ind w:left="1440" w:right="11" w:hanging="360"/>
        <w:jc w:val="both"/>
        <w:rPr>
          <w:rFonts w:ascii="Verdana" w:hAnsi="Verdana"/>
        </w:rPr>
      </w:pPr>
      <w:r w:rsidRPr="005B5CB6">
        <w:rPr>
          <w:rFonts w:ascii="Verdana" w:eastAsia="Verdana" w:hAnsi="Verdana" w:cs="Verdana"/>
        </w:rPr>
        <w:t xml:space="preserve">Enforce a “right to an explanation” for political adverts, giving individuals the right to request information on why they have been targeted and on the basis of what characteristics.  </w:t>
      </w:r>
    </w:p>
    <w:p w:rsidR="00FB0B24" w:rsidRPr="005B5CB6" w:rsidP="001512F6">
      <w:pPr>
        <w:spacing w:after="5" w:line="250" w:lineRule="auto"/>
        <w:ind w:left="720" w:right="11" w:hanging="360"/>
        <w:jc w:val="both"/>
        <w:rPr>
          <w:rFonts w:ascii="Verdana" w:hAnsi="Verdana"/>
        </w:rPr>
      </w:pPr>
      <w:r w:rsidRPr="005B5CB6">
        <w:rPr>
          <w:rFonts w:ascii="Verdana" w:eastAsia="Verdana" w:hAnsi="Verdana" w:cs="Verdana"/>
        </w:rPr>
        <w:t xml:space="preserve">38.For these reforms to be effective it is vital that the Electoral Commission builds the digital capabilities needed to anticipate and respond to future developments in digital campaigning. We recommend that the Electoral Commission work with organisations including the Centre for Data Ethics and Innovation and Better Regulation Executive to develop the horizon scanning </w:t>
      </w:r>
      <w:r w:rsidRPr="005B5CB6">
        <w:rPr>
          <w:rFonts w:ascii="Verdana" w:eastAsia="Verdana" w:hAnsi="Verdana" w:cs="Verdana"/>
        </w:rPr>
        <w:t xml:space="preserve">capacities need identify emerging challenges such as “deep-fakes” and the next generation of behavioural profiling practices.   </w:t>
      </w:r>
    </w:p>
    <w:p w:rsidR="00FB0B24" w:rsidRPr="005B5CB6" w:rsidP="001512F6">
      <w:pPr>
        <w:spacing w:after="5" w:line="250" w:lineRule="auto"/>
        <w:ind w:left="720" w:right="11" w:hanging="360"/>
        <w:jc w:val="both"/>
        <w:rPr>
          <w:rFonts w:ascii="Verdana" w:hAnsi="Verdana"/>
        </w:rPr>
      </w:pPr>
      <w:r w:rsidRPr="005B5CB6">
        <w:rPr>
          <w:rFonts w:ascii="Verdana" w:eastAsia="Verdana" w:hAnsi="Verdana" w:cs="Verdana"/>
        </w:rPr>
        <w:t xml:space="preserve">39.Parliament must also urgently review the level of resources needed by the Electoral Commission to successfully deliver these reforms and resource it accordingly.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23" w:line="249" w:lineRule="auto"/>
        <w:ind w:left="9" w:hanging="10"/>
        <w:jc w:val="both"/>
        <w:rPr>
          <w:rFonts w:ascii="Verdana" w:hAnsi="Verdana"/>
        </w:rPr>
      </w:pPr>
      <w:r w:rsidRPr="005B5CB6">
        <w:rPr>
          <w:rFonts w:ascii="Verdana" w:eastAsia="Verdana" w:hAnsi="Verdana" w:cs="Verdana"/>
          <w:b/>
          <w:i/>
        </w:rPr>
        <w:t xml:space="preserve">11. How could the moderation processes of large technology companies be improved to better tackle abuse and misinformation, as well as helping public debate flourish?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720" w:right="11" w:hanging="360"/>
        <w:jc w:val="both"/>
        <w:rPr>
          <w:rFonts w:ascii="Verdana" w:hAnsi="Verdana"/>
        </w:rPr>
      </w:pPr>
      <w:r w:rsidRPr="005B5CB6">
        <w:rPr>
          <w:rFonts w:ascii="Verdana" w:eastAsia="Verdana" w:hAnsi="Verdana" w:cs="Verdana"/>
        </w:rPr>
        <w:t xml:space="preserve">40.The imminent Online Harms regulatory framework presents an unprecedented opportunity for improving technology companies’ approach to content moderation.    </w:t>
      </w:r>
    </w:p>
    <w:p w:rsidR="00FB0B24" w:rsidRPr="005B5CB6" w:rsidP="001512F6">
      <w:pPr>
        <w:spacing w:after="5" w:line="303" w:lineRule="auto"/>
        <w:ind w:left="721" w:right="11" w:hanging="361"/>
        <w:jc w:val="both"/>
        <w:rPr>
          <w:rFonts w:ascii="Verdana" w:hAnsi="Verdana"/>
        </w:rPr>
      </w:pPr>
      <w:r w:rsidRPr="005B5CB6">
        <w:rPr>
          <w:rFonts w:ascii="Verdana" w:eastAsia="Verdana" w:hAnsi="Verdana" w:cs="Verdana"/>
        </w:rPr>
        <w:t>41.Our Digital Duty of Care briefing</w:t>
      </w:r>
      <w:r w:rsidRPr="005B5CB6">
        <w:rPr>
          <w:rFonts w:ascii="Verdana" w:eastAsia="Verdana" w:hAnsi="Verdana" w:cs="Verdana"/>
          <w:vertAlign w:val="superscript"/>
        </w:rPr>
        <w:t>30</w:t>
      </w:r>
      <w:r w:rsidRPr="005B5CB6">
        <w:rPr>
          <w:rFonts w:ascii="Verdana" w:eastAsia="Verdana" w:hAnsi="Verdana" w:cs="Verdana"/>
        </w:rPr>
        <w:t xml:space="preserve"> and Online Harms White Paper response</w:t>
      </w:r>
      <w:r w:rsidRPr="005B5CB6">
        <w:rPr>
          <w:rFonts w:ascii="Verdana" w:eastAsia="Verdana" w:hAnsi="Verdana" w:cs="Verdana"/>
          <w:vertAlign w:val="superscript"/>
        </w:rPr>
        <w:t>31</w:t>
      </w:r>
      <w:r w:rsidRPr="005B5CB6">
        <w:rPr>
          <w:rFonts w:ascii="Verdana" w:eastAsia="Verdana" w:hAnsi="Verdana" w:cs="Verdana"/>
        </w:rPr>
        <w:t xml:space="preserve"> set out our recommendations for improving these processes.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42.We recommend that the forthcoming online harms regulator set best practice for  content moderation. This should be enforced through powers to scrutinise online service’s internal processes - auditing the accuracy of technology designed to automatically identify and take-down extremist speech or spot-checking complaints handling procedures, for example. The quality and efficacy of these processes should then be publicly reported to improve accountability and encourage improvement where performance lags behind industry standards.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43.We also propose independent oversight of platform’s content moderation decisions. The scale of social media platforms pose a challenge to oversight of individual decisions, as it will likely be prohibitively expensive to establish a body that is able to hear all content-related complaints. It may however be feasible to develop an Ombudsman-style body to adjudicate on content takedown decisions if its scope is suitably narrow - for example only being able to mediate cases relating to abuse of a political figure, or pieces of content that have been broadcast to a minimum threshold of users.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44.In instances where content has affected large volumes of people we recommend the body be given powers to issue collective redress, with powers to compel platforms to proactively inform everyone that has been exposed to the relevant content about a takedown decision, explaining why that decision has been made and signposting them to any relevant sources of support.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45.Beyond improving the quality and oversight of moderation processes, there is also an urgent need to empower the public and civil society groups to shape the community standards of online services upstream.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46.The distribution of responsibilities for defining content standards is currently the subject of intense debate in the UK and internationally.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47.Our </w:t>
      </w:r>
      <w:r w:rsidRPr="005B5CB6">
        <w:rPr>
          <w:rFonts w:ascii="Verdana" w:eastAsia="Verdana" w:hAnsi="Verdana" w:cs="Verdana"/>
          <w:i/>
        </w:rPr>
        <w:t xml:space="preserve">People, Power and Technology </w:t>
      </w:r>
      <w:r w:rsidRPr="005B5CB6">
        <w:rPr>
          <w:rFonts w:ascii="Verdana" w:eastAsia="Verdana" w:hAnsi="Verdana" w:cs="Verdana"/>
        </w:rPr>
        <w:t xml:space="preserve">research shows the public feel they have little agency to influence community standards online or hold social media companies accountable for respecting them: 43% say they consent to online </w:t>
      </w:r>
      <w:r w:rsidRPr="005B5CB6">
        <w:rPr>
          <w:rFonts w:ascii="Verdana" w:eastAsia="Verdana" w:hAnsi="Verdana" w:cs="Verdana"/>
        </w:rPr>
        <w:t>services despite having concerns, because</w:t>
      </w:r>
      <w:r w:rsidRPr="005B5CB6">
        <w:rPr>
          <w:rFonts w:ascii="Verdana" w:eastAsia="Verdana" w:hAnsi="Verdana" w:cs="Verdana"/>
          <w:i/>
        </w:rPr>
        <w:t xml:space="preserve"> “tech companies will do what they want anyway”</w:t>
      </w:r>
      <w:r w:rsidRPr="005B5CB6">
        <w:rPr>
          <w:rFonts w:ascii="Verdana" w:eastAsia="Verdana" w:hAnsi="Verdana" w:cs="Verdana"/>
        </w:rPr>
        <w:t xml:space="preserve">.  </w:t>
      </w:r>
    </w:p>
    <w:p w:rsidR="00FB0B24" w:rsidRPr="005B5CB6" w:rsidP="001512F6">
      <w:pPr>
        <w:spacing w:after="33" w:line="250" w:lineRule="auto"/>
        <w:ind w:left="721" w:right="11" w:hanging="360"/>
        <w:jc w:val="both"/>
        <w:rPr>
          <w:rFonts w:ascii="Verdana" w:hAnsi="Verdana"/>
        </w:rPr>
      </w:pPr>
      <w:r w:rsidRPr="005B5CB6">
        <w:rPr>
          <w:rFonts w:ascii="Verdana" w:eastAsia="Verdana" w:hAnsi="Verdana" w:cs="Verdana"/>
        </w:rPr>
        <w:t>48.Large platforms - with an extensive track-record of unethical practice</w:t>
      </w:r>
      <w:r w:rsidRPr="005B5CB6">
        <w:rPr>
          <w:rFonts w:ascii="Verdana" w:eastAsia="Verdana" w:hAnsi="Verdana" w:cs="Verdana"/>
          <w:vertAlign w:val="superscript"/>
        </w:rPr>
        <w:t>32</w:t>
      </w:r>
      <w:r w:rsidRPr="005B5CB6">
        <w:rPr>
          <w:rFonts w:ascii="Verdana" w:eastAsia="Verdana" w:hAnsi="Verdana" w:cs="Verdana"/>
        </w:rPr>
        <w:t xml:space="preserve"> and deficit of public trust - must not be responsible for defining what constitutes acceptable content and arbitrating on freedom of speech.  </w:t>
      </w:r>
    </w:p>
    <w:p w:rsidR="00FB0B24" w:rsidRPr="005B5CB6" w:rsidP="001512F6">
      <w:pPr>
        <w:spacing w:after="30" w:line="250" w:lineRule="auto"/>
        <w:ind w:left="721" w:right="11" w:hanging="360"/>
        <w:jc w:val="both"/>
        <w:rPr>
          <w:rFonts w:ascii="Verdana" w:hAnsi="Verdana"/>
        </w:rPr>
      </w:pPr>
      <w:r w:rsidRPr="005B5CB6">
        <w:rPr>
          <w:rFonts w:ascii="Verdana" w:eastAsia="Verdana" w:hAnsi="Verdana" w:cs="Verdana"/>
        </w:rPr>
        <w:t>49.Facebook have recently proposed establishing an “Independent Governance and Oversight Board” to set their content policies.</w:t>
      </w:r>
      <w:r w:rsidRPr="005B5CB6">
        <w:rPr>
          <w:rFonts w:ascii="Verdana" w:eastAsia="Verdana" w:hAnsi="Verdana" w:cs="Verdana"/>
          <w:vertAlign w:val="superscript"/>
        </w:rPr>
        <w:t>33</w:t>
      </w:r>
      <w:r w:rsidRPr="005B5CB6">
        <w:rPr>
          <w:rFonts w:ascii="Verdana" w:eastAsia="Verdana" w:hAnsi="Verdana" w:cs="Verdana"/>
        </w:rPr>
        <w:t xml:space="preserve"> Article 19 and the UN Special Rapporteur for freedom of speech David Kaye, propose the establishment of “Social Media Councils”</w:t>
      </w:r>
      <w:r w:rsidRPr="005B5CB6">
        <w:rPr>
          <w:rFonts w:ascii="Verdana" w:eastAsia="Verdana" w:hAnsi="Verdana" w:cs="Verdana"/>
          <w:vertAlign w:val="superscript"/>
        </w:rPr>
        <w:t>34</w:t>
      </w:r>
      <w:r w:rsidRPr="005B5CB6">
        <w:rPr>
          <w:rFonts w:ascii="Verdana" w:eastAsia="Verdana" w:hAnsi="Verdana" w:cs="Verdana"/>
        </w:rPr>
        <w:t xml:space="preserve"> to act as a multi-stakeholder forum for setting content moderation standards. A network of civil society organisations have proposed the Santa Clara Principles on Transparency and Accountability in Content Moderation</w:t>
      </w:r>
      <w:r w:rsidRPr="005B5CB6">
        <w:rPr>
          <w:rFonts w:ascii="Verdana" w:eastAsia="Verdana" w:hAnsi="Verdana" w:cs="Verdana"/>
          <w:vertAlign w:val="superscript"/>
        </w:rPr>
        <w:t>35</w:t>
      </w:r>
      <w:r w:rsidRPr="005B5CB6">
        <w:rPr>
          <w:rFonts w:ascii="Verdana" w:eastAsia="Verdana" w:hAnsi="Verdana" w:cs="Verdana"/>
        </w:rPr>
        <w:t xml:space="preserve"> as a starting point for a global standard on moderation processes.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50.However, we believe that content standards must ultimately be defined according to the public’s values, which must be asserted by parliament via legislation founded on rigorous democratic debate.  </w:t>
      </w:r>
    </w:p>
    <w:p w:rsidR="00FB0B24" w:rsidRPr="005B5CB6" w:rsidP="001512F6">
      <w:pPr>
        <w:spacing w:after="64" w:line="250" w:lineRule="auto"/>
        <w:ind w:left="721" w:right="11" w:hanging="360"/>
        <w:jc w:val="both"/>
        <w:rPr>
          <w:rFonts w:ascii="Verdana" w:hAnsi="Verdana"/>
        </w:rPr>
      </w:pPr>
      <w:r w:rsidRPr="005B5CB6">
        <w:rPr>
          <w:rFonts w:ascii="Verdana" w:eastAsia="Verdana" w:hAnsi="Verdana" w:cs="Verdana"/>
        </w:rPr>
        <w:t>51.We acknowledge that this approach is not without risks. Government must not be given powers to regulate free speech arbitrarily, and civil rights groups have raised legitimate concerns that creating such powers will embolden authoritarian regimes in other nations to use similar legislation as a means of cracking down on dissent.</w:t>
      </w:r>
      <w:r w:rsidRPr="005B5CB6">
        <w:rPr>
          <w:rFonts w:ascii="Verdana" w:eastAsia="Verdana" w:hAnsi="Verdana" w:cs="Verdana"/>
          <w:vertAlign w:val="superscript"/>
        </w:rPr>
        <w:t>36</w:t>
      </w:r>
      <w:r w:rsidRPr="005B5CB6">
        <w:rPr>
          <w:rFonts w:ascii="Verdana" w:eastAsia="Verdana" w:hAnsi="Verdana" w:cs="Verdana"/>
        </w:rPr>
        <w:t xml:space="preserve">  </w:t>
      </w:r>
    </w:p>
    <w:p w:rsidR="00FB0B24" w:rsidRPr="005B5CB6" w:rsidP="001512F6">
      <w:pPr>
        <w:spacing w:after="5" w:line="250" w:lineRule="auto"/>
        <w:ind w:left="721" w:right="11" w:hanging="360"/>
        <w:jc w:val="both"/>
        <w:rPr>
          <w:rFonts w:ascii="Verdana" w:hAnsi="Verdana"/>
        </w:rPr>
      </w:pPr>
      <w:r w:rsidRPr="005B5CB6">
        <w:rPr>
          <w:rFonts w:ascii="Verdana" w:eastAsia="Verdana" w:hAnsi="Verdana" w:cs="Verdana"/>
        </w:rPr>
        <w:t xml:space="preserve">52.To safeguard against these risks we recommend that content standards legislation is grounded in the United Nations human rights principles, and that formal structures are put in place for members of the public to raise complaints around unfair moderation decisions and defend their rights to freedom of speech. Existing oversight bodies and laws for rights in the UK including the Human Rights Act, Equality and Human Rights Commission, Joint Committee on Human Rights and international human rights courts will be able to provide checks and balances against problematic applications of content laws.  </w:t>
      </w:r>
    </w:p>
    <w:p w:rsidR="00FB0B24" w:rsidRPr="005B5CB6" w:rsidP="001512F6">
      <w:pPr>
        <w:spacing w:after="17"/>
        <w:ind w:left="1"/>
        <w:jc w:val="both"/>
        <w:rPr>
          <w:rFonts w:ascii="Verdana" w:hAnsi="Verdana"/>
        </w:rPr>
      </w:pPr>
      <w:r w:rsidRPr="005B5CB6">
        <w:rPr>
          <w:rFonts w:ascii="Verdana" w:eastAsia="Verdana" w:hAnsi="Verdana" w:cs="Verdana"/>
        </w:rPr>
        <w:t xml:space="preserve"> </w:t>
      </w:r>
    </w:p>
    <w:p w:rsidR="00FB0B24" w:rsidRPr="005B5CB6" w:rsidP="001512F6">
      <w:pPr>
        <w:spacing w:after="28" w:line="250" w:lineRule="auto"/>
        <w:ind w:left="11" w:hanging="10"/>
        <w:jc w:val="both"/>
        <w:rPr>
          <w:rFonts w:ascii="Verdana" w:hAnsi="Verdana"/>
        </w:rPr>
      </w:pPr>
      <w:r w:rsidRPr="005B5CB6">
        <w:rPr>
          <w:rFonts w:ascii="Verdana" w:eastAsia="Verdana" w:hAnsi="Verdana" w:cs="Verdana"/>
          <w:b/>
        </w:rPr>
        <w:t xml:space="preserve">Unanswered questions:  </w:t>
      </w:r>
    </w:p>
    <w:p w:rsidR="00FB0B24" w:rsidRPr="005B5CB6" w:rsidP="001512F6">
      <w:pPr>
        <w:spacing w:after="17"/>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15"/>
        </w:numPr>
        <w:spacing w:after="5" w:line="250" w:lineRule="auto"/>
        <w:ind w:left="23" w:right="11" w:hanging="8"/>
        <w:jc w:val="both"/>
        <w:rPr>
          <w:rFonts w:ascii="Verdana" w:hAnsi="Verdana"/>
        </w:rPr>
      </w:pPr>
      <w:r w:rsidRPr="005B5CB6">
        <w:rPr>
          <w:rFonts w:ascii="Verdana" w:eastAsia="Verdana" w:hAnsi="Verdana" w:cs="Verdana"/>
        </w:rPr>
        <w:t xml:space="preserve">To what extent does increasing use of encrypted messaging and private groups present a challenge to the democratic process? </w:t>
      </w:r>
    </w:p>
    <w:p w:rsidR="00FB0B24" w:rsidRPr="005B5CB6" w:rsidP="00575F14">
      <w:pPr>
        <w:numPr>
          <w:ilvl w:val="0"/>
          <w:numId w:val="115"/>
        </w:numPr>
        <w:spacing w:after="5" w:line="250" w:lineRule="auto"/>
        <w:ind w:left="23" w:right="11" w:hanging="8"/>
        <w:jc w:val="both"/>
        <w:rPr>
          <w:rFonts w:ascii="Verdana" w:hAnsi="Verdana"/>
        </w:rPr>
      </w:pPr>
      <w:r w:rsidRPr="005B5CB6">
        <w:rPr>
          <w:rFonts w:ascii="Verdana" w:eastAsia="Verdana" w:hAnsi="Verdana" w:cs="Verdana"/>
        </w:rPr>
        <w:t xml:space="preserve">What are the positive or negative effects of anonymity on online democratic Discourse? </w:t>
      </w:r>
    </w:p>
    <w:p w:rsidR="00FB0B24" w:rsidRPr="005B5CB6" w:rsidP="00575F14">
      <w:pPr>
        <w:numPr>
          <w:ilvl w:val="0"/>
          <w:numId w:val="115"/>
        </w:numPr>
        <w:spacing w:after="25" w:line="250" w:lineRule="auto"/>
        <w:ind w:left="23" w:right="11" w:hanging="8"/>
        <w:jc w:val="both"/>
        <w:rPr>
          <w:rFonts w:ascii="Verdana" w:hAnsi="Verdana"/>
        </w:rPr>
      </w:pPr>
      <w:r w:rsidRPr="005B5CB6">
        <w:rPr>
          <w:rFonts w:ascii="Verdana" w:eastAsia="Verdana" w:hAnsi="Verdana" w:cs="Verdana"/>
        </w:rPr>
        <w:t xml:space="preserve">To what extent does social media negatively shape public debate, either through encouraging polarisation or through abuse deterring individuals from engaging in public life? </w:t>
      </w:r>
    </w:p>
    <w:p w:rsidR="00FB0B24" w:rsidRPr="005B5CB6" w:rsidP="00575F14">
      <w:pPr>
        <w:numPr>
          <w:ilvl w:val="0"/>
          <w:numId w:val="115"/>
        </w:numPr>
        <w:spacing w:after="5" w:line="250" w:lineRule="auto"/>
        <w:ind w:left="23" w:right="11" w:hanging="8"/>
        <w:jc w:val="both"/>
        <w:rPr>
          <w:rFonts w:ascii="Verdana" w:hAnsi="Verdana"/>
        </w:rPr>
      </w:pPr>
      <w:r w:rsidRPr="005B5CB6">
        <w:rPr>
          <w:rFonts w:ascii="Verdana" w:eastAsia="Verdana" w:hAnsi="Verdana" w:cs="Verdana"/>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575F14">
      <w:pPr>
        <w:numPr>
          <w:ilvl w:val="0"/>
          <w:numId w:val="115"/>
        </w:numPr>
        <w:spacing w:after="5" w:line="250" w:lineRule="auto"/>
        <w:ind w:left="23" w:right="11" w:hanging="8"/>
        <w:jc w:val="both"/>
        <w:rPr>
          <w:rFonts w:ascii="Verdana" w:hAnsi="Verdana"/>
        </w:rPr>
      </w:pPr>
      <w:r w:rsidRPr="005B5CB6">
        <w:rPr>
          <w:rFonts w:ascii="Verdana" w:eastAsia="Verdana" w:hAnsi="Verdana" w:cs="Verdana"/>
        </w:rPr>
        <w:t xml:space="preserve">What might be the best ways of reducing the effects of misinformation on social media platforms?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12. How could the Government better support the positive work of civil society organisations using technology to facilitate engagement with democratic processes? 13. How can elected representatives use technology to engage with the public in local and national decision making? What can Parliament and Government do to better use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technology to support democratic engagement and ensure the efficacy of the democratic process?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14. What positive examples are there of technology being used to enhance democracy?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105" w:line="250" w:lineRule="auto"/>
        <w:ind w:left="23" w:right="11" w:hanging="8"/>
        <w:jc w:val="both"/>
        <w:rPr>
          <w:rFonts w:ascii="Verdana" w:hAnsi="Verdana"/>
        </w:rPr>
      </w:pPr>
      <w:r w:rsidRPr="005B5CB6">
        <w:rPr>
          <w:rFonts w:ascii="Verdana" w:eastAsia="Verdana" w:hAnsi="Verdana" w:cs="Verdana"/>
        </w:rPr>
        <w:t xml:space="preserve">References </w:t>
      </w:r>
    </w:p>
    <w:p w:rsidR="00FB0B24" w:rsidRPr="005B5CB6" w:rsidP="00575F14">
      <w:pPr>
        <w:numPr>
          <w:ilvl w:val="0"/>
          <w:numId w:val="116"/>
        </w:numPr>
        <w:spacing w:after="5" w:line="249" w:lineRule="auto"/>
        <w:ind w:hanging="377"/>
        <w:jc w:val="both"/>
        <w:rPr>
          <w:rFonts w:ascii="Verdana" w:hAnsi="Verdana"/>
        </w:rPr>
      </w:pPr>
      <w:r>
        <w:fldChar w:fldCharType="begin"/>
      </w:r>
      <w:r>
        <w:instrText xml:space="preserve"> HYPERLINK "https://doteveryone.org.uk/" </w:instrText>
      </w:r>
      <w:r>
        <w:fldChar w:fldCharType="separate"/>
      </w:r>
      <w:r w:rsidRPr="005B5CB6" w:rsidR="00A72806">
        <w:rPr>
          <w:rFonts w:ascii="Verdana" w:eastAsia="Verdana" w:hAnsi="Verdana" w:cs="Verdana"/>
          <w:color w:val="1155CC"/>
          <w:u w:val="single" w:color="1155CC"/>
        </w:rPr>
        <w:t>https://doteveryone.org.uk/</w:t>
      </w:r>
      <w:r>
        <w:fldChar w:fldCharType="end"/>
      </w:r>
      <w:r>
        <w:fldChar w:fldCharType="begin"/>
      </w:r>
      <w:r>
        <w:instrText xml:space="preserve"> HYPERLINK "https://doteveryone.org.uk/" </w:instrText>
      </w:r>
      <w:r>
        <w:fldChar w:fldCharType="separate"/>
      </w:r>
      <w:r w:rsidRPr="005B5CB6" w:rsidR="00A72806">
        <w:rPr>
          <w:rFonts w:ascii="Verdana" w:eastAsia="Verdana" w:hAnsi="Verdana" w:cs="Verdana"/>
        </w:rPr>
        <w:t xml:space="preserve"> </w:t>
      </w:r>
      <w:r>
        <w:fldChar w:fldCharType="end"/>
      </w:r>
    </w:p>
    <w:p w:rsidR="00FB0B24" w:rsidRPr="005B5CB6" w:rsidP="00575F14">
      <w:pPr>
        <w:numPr>
          <w:ilvl w:val="0"/>
          <w:numId w:val="116"/>
        </w:numPr>
        <w:spacing w:after="5" w:line="249" w:lineRule="auto"/>
        <w:ind w:hanging="377"/>
        <w:jc w:val="both"/>
        <w:rPr>
          <w:rFonts w:ascii="Verdana" w:hAnsi="Verdana"/>
        </w:rPr>
      </w:pPr>
      <w:r>
        <w:fldChar w:fldCharType="begin"/>
      </w:r>
      <w:r>
        <w:instrText xml:space="preserve"> HYPERLINK "https://www.nature.com/articles/s41467-019-09311-w" \l "auth-1" </w:instrText>
      </w:r>
      <w:r>
        <w:fldChar w:fldCharType="separate"/>
      </w:r>
      <w:r w:rsidRPr="005B5CB6" w:rsidR="00A72806">
        <w:rPr>
          <w:rFonts w:ascii="Verdana" w:eastAsia="Verdana" w:hAnsi="Verdana" w:cs="Verdana"/>
          <w:color w:val="1155CC"/>
          <w:u w:val="single" w:color="1155CC"/>
        </w:rPr>
        <w:t>https://www.nature.com/articles/s41467-019-09311-w#auth-1</w:t>
      </w:r>
      <w:r>
        <w:fldChar w:fldCharType="end"/>
      </w:r>
      <w:r>
        <w:fldChar w:fldCharType="begin"/>
      </w:r>
      <w:r>
        <w:instrText xml:space="preserve"> HYPERLINK "https://www.nature.com/articles/s41467-019-09311-w" \l "auth-1" </w:instrText>
      </w:r>
      <w:r>
        <w:fldChar w:fldCharType="separate"/>
      </w:r>
      <w:r w:rsidRPr="005B5CB6" w:rsidR="00A7280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3.</w:t>
      </w:r>
      <w:r>
        <w:fldChar w:fldCharType="begin"/>
      </w:r>
      <w:r>
        <w:instrText xml:space="preserve"> HYPERLINK "https://reutersinstitute.politics.ox.ac.uk/sites/default/files/2018-10/Cornia_Private_Sector_News_FINAL.pdf" </w:instrText>
      </w:r>
      <w:r>
        <w:fldChar w:fldCharType="separate"/>
      </w:r>
      <w:r w:rsidRPr="005B5CB6">
        <w:rPr>
          <w:rFonts w:ascii="Verdana" w:eastAsia="Verdana" w:hAnsi="Verdana" w:cs="Verdana"/>
          <w:color w:val="1155CC"/>
          <w:u w:val="single" w:color="1155CC"/>
        </w:rPr>
        <w:t>https://reutersinstitute.politics.ox.ac.uk/sites/default/files/2018</w:t>
      </w:r>
      <w:r>
        <w:fldChar w:fldCharType="end"/>
      </w:r>
      <w:r>
        <w:fldChar w:fldCharType="begin"/>
      </w:r>
      <w:r>
        <w:instrText xml:space="preserve"> HYPERLINK "https://reutersinstitute.politics.ox.ac.uk/sites/default/files/2018-10/Cornia_Private_Sector_News_FINAL.pdf" </w:instrText>
      </w:r>
      <w:r>
        <w:fldChar w:fldCharType="separate"/>
      </w:r>
      <w:r w:rsidRPr="005B5CB6">
        <w:rPr>
          <w:rFonts w:ascii="Verdana" w:eastAsia="Verdana" w:hAnsi="Verdana" w:cs="Verdana"/>
          <w:color w:val="1155CC"/>
          <w:u w:val="single" w:color="1155CC"/>
        </w:rPr>
        <w:t>10/Cornia_Private_Sector_News_FINAL.pdf</w:t>
      </w:r>
      <w:r>
        <w:fldChar w:fldCharType="end"/>
      </w:r>
      <w:r>
        <w:fldChar w:fldCharType="begin"/>
      </w:r>
      <w:r>
        <w:instrText xml:space="preserve"> HYPERLINK "https://reutersinstitute.politics.ox.ac.uk/sites/default/files/2018-10/Cornia_Private_Sector_News_FINAL.pdf"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4.</w:t>
      </w:r>
      <w:r>
        <w:fldChar w:fldCharType="begin"/>
      </w:r>
      <w:r>
        <w:instrText xml:space="preserve"> HYPERLINK "https://www.parliament.uk/business/committees/committees-a-z/commons-select/digital-culture-media-and-sport-committee/news/fake-news-report-published-17-19/" </w:instrText>
      </w:r>
      <w:r>
        <w:fldChar w:fldCharType="separate"/>
      </w:r>
      <w:r w:rsidRPr="005B5CB6">
        <w:rPr>
          <w:rFonts w:ascii="Verdana" w:eastAsia="Verdana" w:hAnsi="Verdana" w:cs="Verdana"/>
          <w:color w:val="1155CC"/>
          <w:u w:val="single" w:color="1155CC"/>
        </w:rPr>
        <w:t>https://www.parliament.uk/business/committees/committees-a-z/commons</w:t>
      </w:r>
      <w:r>
        <w:fldChar w:fldCharType="end"/>
      </w:r>
      <w:r>
        <w:fldChar w:fldCharType="begin"/>
      </w:r>
      <w:r>
        <w:instrText xml:space="preserve"> HYPERLINK "https://www.parliament.uk/business/committees/committees-a-z/commons-select/digital-culture-media-and-sport-committee/news/fake-news-report-published-17-19/" </w:instrText>
      </w:r>
      <w:r>
        <w:fldChar w:fldCharType="separate"/>
      </w:r>
      <w:r w:rsidRPr="005B5CB6">
        <w:rPr>
          <w:rFonts w:ascii="Verdana" w:eastAsia="Verdana" w:hAnsi="Verdana" w:cs="Verdana"/>
          <w:color w:val="1155CC"/>
          <w:u w:val="single" w:color="1155CC"/>
        </w:rPr>
        <w:t>select/digital-culture-media-and-sport-committee/news/fake-news-report</w:t>
      </w:r>
      <w:r>
        <w:fldChar w:fldCharType="end"/>
      </w:r>
      <w:r>
        <w:fldChar w:fldCharType="begin"/>
      </w:r>
      <w:r>
        <w:instrText xml:space="preserve"> HYPERLINK "https://www.parliament.uk/business/committees/committees-a-z/commons-select/digital-culture-media-and-sport-committee/news/fake-news-report-published-17-19/" </w:instrText>
      </w:r>
      <w:r>
        <w:fldChar w:fldCharType="separate"/>
      </w:r>
      <w:r w:rsidRPr="005B5CB6">
        <w:rPr>
          <w:rFonts w:ascii="Verdana" w:eastAsia="Verdana" w:hAnsi="Verdana" w:cs="Verdana"/>
          <w:color w:val="1155CC"/>
          <w:u w:val="single" w:color="1155CC"/>
        </w:rPr>
        <w:t>published-17-19/</w:t>
      </w:r>
      <w:r>
        <w:fldChar w:fldCharType="end"/>
      </w:r>
      <w:r>
        <w:fldChar w:fldCharType="begin"/>
      </w:r>
      <w:r>
        <w:instrText xml:space="preserve"> HYPERLINK "https://www.parliament.uk/business/committees/committees-a-z/commons-select/digital-culture-media-and-sport-committee/news/fake-news-report-published-17-19/" </w:instrText>
      </w:r>
      <w:r>
        <w:fldChar w:fldCharType="separate"/>
      </w:r>
      <w:r w:rsidRPr="005B5CB6">
        <w:rPr>
          <w:rFonts w:ascii="Verdana" w:eastAsia="Verdana" w:hAnsi="Verdana" w:cs="Verdana"/>
        </w:rPr>
        <w:t xml:space="preserve"> </w:t>
      </w:r>
      <w:r>
        <w:fldChar w:fldCharType="end"/>
      </w:r>
    </w:p>
    <w:p w:rsidR="00FB0B24" w:rsidRPr="005B5CB6" w:rsidP="00575F14">
      <w:pPr>
        <w:numPr>
          <w:ilvl w:val="0"/>
          <w:numId w:val="117"/>
        </w:numPr>
        <w:spacing w:after="5" w:line="249" w:lineRule="auto"/>
        <w:ind w:hanging="377"/>
        <w:jc w:val="both"/>
        <w:rPr>
          <w:rFonts w:ascii="Verdana" w:hAnsi="Verdana"/>
        </w:rPr>
      </w:pPr>
      <w:r>
        <w:fldChar w:fldCharType="begin"/>
      </w:r>
      <w:r>
        <w:instrText xml:space="preserve"> HYPERLINK "https://www.ivir.nl/publicaties/download/UtrechtLawReview.pdf" </w:instrText>
      </w:r>
      <w:r>
        <w:fldChar w:fldCharType="separate"/>
      </w:r>
      <w:r w:rsidRPr="005B5CB6" w:rsidR="00A72806">
        <w:rPr>
          <w:rFonts w:ascii="Verdana" w:eastAsia="Verdana" w:hAnsi="Verdana" w:cs="Verdana"/>
          <w:color w:val="1155CC"/>
          <w:u w:val="single" w:color="1155CC"/>
        </w:rPr>
        <w:t>https://www.ivir.nl/publicaties/download/UtrechtLawReview.pdf</w:t>
      </w:r>
      <w:r>
        <w:fldChar w:fldCharType="end"/>
      </w:r>
      <w:r>
        <w:fldChar w:fldCharType="begin"/>
      </w:r>
      <w:r>
        <w:instrText xml:space="preserve"> HYPERLINK "https://www.ivir.nl/publicaties/download/UtrechtLawReview.pdf" </w:instrText>
      </w:r>
      <w:r>
        <w:fldChar w:fldCharType="separate"/>
      </w:r>
      <w:r w:rsidRPr="005B5CB6" w:rsidR="00A72806">
        <w:rPr>
          <w:rFonts w:ascii="Verdana" w:eastAsia="Verdana" w:hAnsi="Verdana" w:cs="Verdana"/>
        </w:rPr>
        <w:t xml:space="preserve"> </w:t>
      </w:r>
      <w:r>
        <w:fldChar w:fldCharType="end"/>
      </w:r>
    </w:p>
    <w:p w:rsidR="00FB0B24" w:rsidRPr="005B5CB6" w:rsidP="00575F14">
      <w:pPr>
        <w:numPr>
          <w:ilvl w:val="0"/>
          <w:numId w:val="117"/>
        </w:numPr>
        <w:spacing w:after="5" w:line="249" w:lineRule="auto"/>
        <w:ind w:hanging="377"/>
        <w:jc w:val="both"/>
        <w:rPr>
          <w:rFonts w:ascii="Verdana" w:hAnsi="Verdana"/>
        </w:rPr>
      </w:pPr>
      <w:r>
        <w:fldChar w:fldCharType="begin"/>
      </w:r>
      <w:r>
        <w:instrText xml:space="preserve"> HYPERLINK "https://www.esriuk.com/news/press-releases/24-stress-map" </w:instrText>
      </w:r>
      <w:r>
        <w:fldChar w:fldCharType="separate"/>
      </w:r>
      <w:r w:rsidRPr="005B5CB6" w:rsidR="00A72806">
        <w:rPr>
          <w:rFonts w:ascii="Verdana" w:eastAsia="Verdana" w:hAnsi="Verdana" w:cs="Verdana"/>
          <w:color w:val="1155CC"/>
          <w:u w:val="single" w:color="1155CC"/>
        </w:rPr>
        <w:t>https://www.esriuk.com/news/press-releases/24-stress-map</w:t>
      </w:r>
      <w:r>
        <w:fldChar w:fldCharType="end"/>
      </w:r>
      <w:r>
        <w:fldChar w:fldCharType="begin"/>
      </w:r>
      <w:r>
        <w:instrText xml:space="preserve"> HYPERLINK "https://www.esriuk.com/news/press-releases/24-stress-map" </w:instrText>
      </w:r>
      <w:r>
        <w:fldChar w:fldCharType="separate"/>
      </w:r>
      <w:r w:rsidRPr="005B5CB6" w:rsidR="00A7280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7.</w:t>
      </w:r>
      <w:r>
        <w:fldChar w:fldCharType="begin"/>
      </w:r>
      <w:r>
        <w:instrText xml:space="preserve"> HYPERLINK "https://reutersinstitute.politics.ox.ac.uk/sites/default/files/2019-06/DNR_2019_FINAL_1.pdf" </w:instrText>
      </w:r>
      <w:r>
        <w:fldChar w:fldCharType="separate"/>
      </w:r>
      <w:r w:rsidRPr="005B5CB6">
        <w:rPr>
          <w:rFonts w:ascii="Verdana" w:eastAsia="Verdana" w:hAnsi="Verdana" w:cs="Verdana"/>
          <w:color w:val="1155CC"/>
          <w:u w:val="single" w:color="1155CC"/>
        </w:rPr>
        <w:t>https://reutersinstitute.politics.ox.ac.uk/sites/default/files/2019</w:t>
      </w:r>
      <w:r>
        <w:fldChar w:fldCharType="end"/>
      </w:r>
      <w:r>
        <w:fldChar w:fldCharType="begin"/>
      </w:r>
      <w:r>
        <w:instrText xml:space="preserve"> HYPERLINK "https://reutersinstitute.politics.ox.ac.uk/sites/default/files/2019-06/DNR_2019_FINAL_1.pdf" </w:instrText>
      </w:r>
      <w:r>
        <w:fldChar w:fldCharType="separate"/>
      </w:r>
      <w:r w:rsidRPr="005B5CB6">
        <w:rPr>
          <w:rFonts w:ascii="Verdana" w:eastAsia="Verdana" w:hAnsi="Verdana" w:cs="Verdana"/>
          <w:color w:val="1155CC"/>
          <w:u w:val="single" w:color="1155CC"/>
        </w:rPr>
        <w:t>06/DNR_2019_FINAL_1.pdf</w:t>
      </w:r>
      <w:r>
        <w:fldChar w:fldCharType="end"/>
      </w:r>
      <w:r>
        <w:fldChar w:fldCharType="begin"/>
      </w:r>
      <w:r>
        <w:instrText xml:space="preserve"> HYPERLINK "https://reutersinstitute.politics.ox.ac.uk/sites/default/files/2019-06/DNR_2019_FINAL_1.pdf"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8.</w:t>
      </w:r>
      <w:r>
        <w:fldChar w:fldCharType="begin"/>
      </w:r>
      <w:r>
        <w:instrText xml:space="preserve"> HYPERLINK "https://assets.publishing.service.gov.uk/government/uploads/system/uploads/attachment_data/file/666927/6.3637_CO_v6_061217_Web3.1__2_.pdf" </w:instrText>
      </w:r>
      <w:r>
        <w:fldChar w:fldCharType="separate"/>
      </w:r>
      <w:r w:rsidRPr="005B5CB6">
        <w:rPr>
          <w:rFonts w:ascii="Verdana" w:eastAsia="Verdana" w:hAnsi="Verdana" w:cs="Verdana"/>
          <w:color w:val="1155CC"/>
          <w:u w:val="single" w:color="1155CC"/>
        </w:rPr>
        <w:t xml:space="preserve">https://assets.publishing.service.gov.uk/government/uploads/system/uploads/att </w:t>
      </w:r>
      <w:r>
        <w:fldChar w:fldCharType="end"/>
      </w:r>
      <w:r>
        <w:fldChar w:fldCharType="begin"/>
      </w:r>
      <w:r>
        <w:instrText xml:space="preserve"> HYPERLINK "https://assets.publishing.service.gov.uk/government/uploads/system/uploads/attachment_data/file/666927/6.3637_CO_v6_061217_Web3.1__2_.pdf" </w:instrText>
      </w:r>
      <w:r>
        <w:fldChar w:fldCharType="separate"/>
      </w:r>
      <w:r w:rsidRPr="005B5CB6">
        <w:rPr>
          <w:rFonts w:ascii="Verdana" w:eastAsia="Verdana" w:hAnsi="Verdana" w:cs="Verdana"/>
          <w:color w:val="1155CC"/>
          <w:u w:val="single" w:color="1155CC"/>
        </w:rPr>
        <w:t>achment_data/file/666927/6.3637_CO_v6_061217_Web3.1__2_.pdf</w:t>
      </w:r>
      <w:r>
        <w:fldChar w:fldCharType="end"/>
      </w:r>
      <w:r>
        <w:fldChar w:fldCharType="begin"/>
      </w:r>
      <w:r>
        <w:instrText xml:space="preserve"> HYPERLINK "https://assets.publishing.service.gov.uk/government/uploads/system/uploads/attachment_data/file/666927/6.3637_CO_v6_061217_Web3.1__2_.pdf"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9.</w:t>
      </w:r>
      <w:r>
        <w:fldChar w:fldCharType="begin"/>
      </w:r>
      <w:r>
        <w:instrText xml:space="preserve"> HYPERLINK "https://onlinelibrary.wiley.com/doi/10.1111/1467-923X.12687" \l "poqu12687-sec-0003-title" </w:instrText>
      </w:r>
      <w:r>
        <w:fldChar w:fldCharType="separate"/>
      </w:r>
      <w:r w:rsidRPr="005B5CB6">
        <w:rPr>
          <w:rFonts w:ascii="Verdana" w:eastAsia="Verdana" w:hAnsi="Verdana" w:cs="Verdana"/>
          <w:color w:val="1155CC"/>
          <w:u w:val="single" w:color="1155CC"/>
        </w:rPr>
        <w:t>https://onlinelibrary.wiley.com/doi/10.1111/1467-923X.12687#poqu12687-sec</w:t>
      </w:r>
      <w:r>
        <w:fldChar w:fldCharType="end"/>
      </w:r>
      <w:r>
        <w:fldChar w:fldCharType="begin"/>
      </w:r>
      <w:r>
        <w:instrText xml:space="preserve"> HYPERLINK "https://onlinelibrary.wiley.com/doi/10.1111/1467-923X.12687" \l "poqu12687-sec-0003-title" </w:instrText>
      </w:r>
      <w:r>
        <w:fldChar w:fldCharType="separate"/>
      </w:r>
      <w:r w:rsidRPr="005B5CB6">
        <w:rPr>
          <w:rFonts w:ascii="Verdana" w:eastAsia="Verdana" w:hAnsi="Verdana" w:cs="Verdana"/>
          <w:color w:val="1155CC"/>
          <w:u w:val="single" w:color="1155CC"/>
        </w:rPr>
        <w:t>0003-title</w:t>
      </w:r>
      <w:r>
        <w:fldChar w:fldCharType="end"/>
      </w:r>
      <w:r>
        <w:fldChar w:fldCharType="begin"/>
      </w:r>
      <w:r>
        <w:instrText xml:space="preserve"> HYPERLINK "https://onlinelibrary.wiley.com/doi/10.1111/1467-923X.12687" \l "poqu12687-sec-0003-title"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10.</w:t>
      </w:r>
      <w:r>
        <w:fldChar w:fldCharType="begin"/>
      </w:r>
      <w:r>
        <w:instrText xml:space="preserve"> HYPERLINK "https://www.huffingtonpost.co.uk/entry/big-tech-politics-crossover_uk_5bd9aa4ce4b01abe6a19f175" </w:instrText>
      </w:r>
      <w:r>
        <w:fldChar w:fldCharType="separate"/>
      </w:r>
      <w:r w:rsidRPr="005B5CB6">
        <w:rPr>
          <w:rFonts w:ascii="Verdana" w:eastAsia="Verdana" w:hAnsi="Verdana" w:cs="Verdana"/>
          <w:color w:val="1155CC"/>
          <w:u w:val="single" w:color="1155CC"/>
        </w:rPr>
        <w:t>https://www.huffingtonpost.co.uk/entry/big-tech-politics</w:t>
      </w:r>
      <w:r>
        <w:fldChar w:fldCharType="end"/>
      </w:r>
      <w:r>
        <w:fldChar w:fldCharType="begin"/>
      </w:r>
      <w:r>
        <w:instrText xml:space="preserve"> HYPERLINK "https://www.huffingtonpost.co.uk/entry/big-tech-politics-crossover_uk_5bd9aa4ce4b01abe6a19f175" </w:instrText>
      </w:r>
      <w:r>
        <w:fldChar w:fldCharType="separate"/>
      </w:r>
      <w:r w:rsidRPr="005B5CB6">
        <w:rPr>
          <w:rFonts w:ascii="Verdana" w:eastAsia="Verdana" w:hAnsi="Verdana" w:cs="Verdana"/>
          <w:color w:val="1155CC"/>
          <w:u w:val="single" w:color="1155CC"/>
        </w:rPr>
        <w:t>crossover_uk_5bd9aa4ce4b01abe6a19f175</w:t>
      </w:r>
      <w:r>
        <w:fldChar w:fldCharType="end"/>
      </w:r>
      <w:r>
        <w:fldChar w:fldCharType="begin"/>
      </w:r>
      <w:r>
        <w:instrText xml:space="preserve"> HYPERLINK "https://www.huffingtonpost.co.uk/entry/big-tech-politics-crossover_uk_5bd9aa4ce4b01abe6a19f175"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11.</w:t>
      </w:r>
      <w:r>
        <w:fldChar w:fldCharType="begin"/>
      </w:r>
      <w:r>
        <w:instrText xml:space="preserve"> HYPERLINK "https://ico.org.uk/media/action-weve-taken/2260271/investigation-into-the-use-of-data-analytics-in-political-campaigns-final-20181105.pdf" </w:instrText>
      </w:r>
      <w:r>
        <w:fldChar w:fldCharType="separate"/>
      </w:r>
      <w:r w:rsidRPr="005B5CB6">
        <w:rPr>
          <w:rFonts w:ascii="Verdana" w:eastAsia="Verdana" w:hAnsi="Verdana" w:cs="Verdana"/>
          <w:color w:val="1155CC"/>
          <w:u w:val="single" w:color="1155CC"/>
        </w:rPr>
        <w:t>https://ico.org.uk/media/action-weve-taken/2260271/investigation-into-the</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5B5CB6">
        <w:rPr>
          <w:rFonts w:ascii="Verdana" w:eastAsia="Verdana" w:hAnsi="Verdana" w:cs="Verdana"/>
          <w:color w:val="1155CC"/>
          <w:u w:val="single" w:color="1155CC"/>
        </w:rPr>
        <w:t>use-of-data-analytics-in-political-campaigns-final-20181105.pdf</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 xml:space="preserve">12.  </w:t>
      </w:r>
      <w:r>
        <w:fldChar w:fldCharType="begin"/>
      </w:r>
      <w:r>
        <w:instrText xml:space="preserve"> HYPERLINK "https://www.gov.uk/government/publications/the-7-principles-of-public-life" </w:instrText>
      </w:r>
      <w:r>
        <w:fldChar w:fldCharType="separate"/>
      </w:r>
      <w:r w:rsidRPr="005B5CB6">
        <w:rPr>
          <w:rFonts w:ascii="Verdana" w:eastAsia="Verdana" w:hAnsi="Verdana" w:cs="Verdana"/>
          <w:color w:val="1155CC"/>
          <w:u w:val="single" w:color="1155CC"/>
        </w:rPr>
        <w:t>https://www.gov.uk/government/publications/the-7-principles-of-public-life</w:t>
      </w:r>
      <w:r>
        <w:fldChar w:fldCharType="end"/>
      </w:r>
      <w:r>
        <w:fldChar w:fldCharType="begin"/>
      </w:r>
      <w:r>
        <w:instrText xml:space="preserve"> HYPERLINK "https://www.gov.uk/government/publications/the-7-principles-of-public-life"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13.</w:t>
      </w:r>
      <w:r>
        <w:fldChar w:fldCharType="begin"/>
      </w:r>
      <w:r>
        <w:instrText xml:space="preserve"> HYPERLINK "https://www.parliament.uk/mps-lords-and-offices/standards-and-financial-interests/parliamentary-commissioner-for-standards/code-of-conduct-and-rules-of-the-house/" </w:instrText>
      </w:r>
      <w:r>
        <w:fldChar w:fldCharType="separate"/>
      </w:r>
      <w:r w:rsidRPr="005B5CB6">
        <w:rPr>
          <w:rFonts w:ascii="Verdana" w:eastAsia="Verdana" w:hAnsi="Verdana" w:cs="Verdana"/>
          <w:color w:val="1155CC"/>
          <w:u w:val="single" w:color="1155CC"/>
        </w:rPr>
        <w:t>https://www.parliament.uk/mps-lords-and-offices/standards-and-financial</w:t>
      </w:r>
      <w:r>
        <w:fldChar w:fldCharType="end"/>
      </w:r>
      <w:r>
        <w:fldChar w:fldCharType="begin"/>
      </w:r>
      <w:r>
        <w:instrText xml:space="preserve"> HYPERLINK "https://www.parliament.uk/mps-lords-and-offices/standards-and-financial-interests/parliamentary-commissioner-for-standards/code-of-conduct-and-rules-of-the-house/" </w:instrText>
      </w:r>
      <w:r>
        <w:fldChar w:fldCharType="separate"/>
      </w:r>
      <w:r w:rsidRPr="005B5CB6">
        <w:rPr>
          <w:rFonts w:ascii="Verdana" w:eastAsia="Verdana" w:hAnsi="Verdana" w:cs="Verdana"/>
          <w:color w:val="1155CC"/>
          <w:u w:val="single" w:color="1155CC"/>
        </w:rPr>
        <w:t>interests/parliamentary-commissioner-for-standards/code-of-conduct-and-rules-of</w:t>
      </w:r>
      <w:r>
        <w:fldChar w:fldCharType="end"/>
      </w:r>
      <w:r>
        <w:fldChar w:fldCharType="begin"/>
      </w:r>
      <w:r>
        <w:instrText xml:space="preserve"> HYPERLINK "https://www.parliament.uk/mps-lords-and-offices/standards-and-financial-interests/parliamentary-commissioner-for-standards/code-of-conduct-and-rules-of-the-house/" </w:instrText>
      </w:r>
      <w:r>
        <w:fldChar w:fldCharType="separate"/>
      </w:r>
      <w:r w:rsidRPr="005B5CB6">
        <w:rPr>
          <w:rFonts w:ascii="Verdana" w:eastAsia="Verdana" w:hAnsi="Verdana" w:cs="Verdana"/>
          <w:color w:val="1155CC"/>
          <w:u w:val="single" w:color="1155CC"/>
        </w:rPr>
        <w:t>the-house/</w:t>
      </w:r>
      <w:r>
        <w:fldChar w:fldCharType="end"/>
      </w:r>
      <w:r>
        <w:fldChar w:fldCharType="begin"/>
      </w:r>
      <w:r>
        <w:instrText xml:space="preserve"> HYPERLINK "https://www.parliament.uk/mps-lords-and-offices/standards-and-financial-interests/parliamentary-commissioner-for-standards/code-of-conduct-and-rules-of-the-house/"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 xml:space="preserve">14.  </w:t>
      </w:r>
      <w:r>
        <w:fldChar w:fldCharType="begin"/>
      </w:r>
      <w:r>
        <w:instrText xml:space="preserve"> HYPERLINK "https://ec.europa.eu/commission/presscorner/detail/en/ip_19_2914" </w:instrText>
      </w:r>
      <w:r>
        <w:fldChar w:fldCharType="separate"/>
      </w:r>
      <w:r w:rsidRPr="005B5CB6">
        <w:rPr>
          <w:rFonts w:ascii="Verdana" w:eastAsia="Verdana" w:hAnsi="Verdana" w:cs="Verdana"/>
          <w:color w:val="1155CC"/>
          <w:u w:val="single" w:color="1155CC"/>
        </w:rPr>
        <w:t>https://ec.europa.eu/commission/presscorner/detail/en/ip_19_2914</w:t>
      </w:r>
      <w:r>
        <w:fldChar w:fldCharType="end"/>
      </w:r>
      <w:r>
        <w:fldChar w:fldCharType="begin"/>
      </w:r>
      <w:r>
        <w:instrText xml:space="preserve"> HYPERLINK "https://ec.europa.eu/commission/presscorner/detail/en/ip_19_2914"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15.</w:t>
      </w:r>
      <w:r>
        <w:fldChar w:fldCharType="begin"/>
      </w:r>
      <w:r>
        <w:instrText xml:space="preserve"> HYPERLINK "https://publications.parliament.uk/pa/cm201719/cmselect/cmcumeds/1791/179103.htm" \l "_idTextAnchor000" </w:instrText>
      </w:r>
      <w:r>
        <w:fldChar w:fldCharType="separate"/>
      </w:r>
      <w:r w:rsidRPr="005B5CB6">
        <w:rPr>
          <w:rFonts w:ascii="Verdana" w:eastAsia="Verdana" w:hAnsi="Verdana" w:cs="Verdana"/>
          <w:color w:val="1155CC"/>
          <w:u w:val="single" w:color="1155CC"/>
        </w:rPr>
        <w:t>https://publications.parliament.uk/pa/cm201719/cmselect/cmcumeds/1791/179</w:t>
      </w:r>
      <w:r>
        <w:fldChar w:fldCharType="end"/>
      </w:r>
    </w:p>
    <w:p w:rsidR="00FB0B24" w:rsidRPr="005B5CB6" w:rsidP="001512F6">
      <w:pPr>
        <w:spacing w:after="5" w:line="249" w:lineRule="auto"/>
        <w:ind w:left="-4" w:hanging="10"/>
        <w:jc w:val="both"/>
        <w:rPr>
          <w:rFonts w:ascii="Verdana" w:hAnsi="Verdana"/>
        </w:rPr>
      </w:pPr>
      <w:r>
        <w:fldChar w:fldCharType="begin"/>
      </w:r>
      <w:r>
        <w:instrText xml:space="preserve"> HYPERLINK "https://publications.parliament.uk/pa/cm201719/cmselect/cmcumeds/1791/179103.htm" \l "_idTextAnchor000" </w:instrText>
      </w:r>
      <w:r>
        <w:fldChar w:fldCharType="separate"/>
      </w:r>
      <w:r w:rsidRPr="005B5CB6" w:rsidR="00A72806">
        <w:rPr>
          <w:rFonts w:ascii="Verdana" w:eastAsia="Verdana" w:hAnsi="Verdana" w:cs="Verdana"/>
          <w:color w:val="1155CC"/>
          <w:u w:val="single" w:color="1155CC"/>
        </w:rPr>
        <w:t>103.htm#_idTextAnchor000</w:t>
      </w:r>
      <w:r>
        <w:fldChar w:fldCharType="end"/>
      </w:r>
      <w:r>
        <w:fldChar w:fldCharType="begin"/>
      </w:r>
      <w:r>
        <w:instrText xml:space="preserve"> HYPERLINK "https://publications.parliament.uk/pa/cm201719/cmselect/cmcumeds/1791/179103.htm" \l "_idTextAnchor000" </w:instrText>
      </w:r>
      <w:r>
        <w:fldChar w:fldCharType="separate"/>
      </w:r>
      <w:r w:rsidRPr="005B5CB6" w:rsidR="00A72806">
        <w:rPr>
          <w:rFonts w:ascii="Verdana" w:eastAsia="Verdana" w:hAnsi="Verdana" w:cs="Verdana"/>
        </w:rPr>
        <w:t xml:space="preserve"> </w:t>
      </w:r>
      <w:r>
        <w:fldChar w:fldCharType="end"/>
      </w:r>
    </w:p>
    <w:p w:rsidR="00FB0B24" w:rsidRPr="005B5CB6" w:rsidP="00575F14">
      <w:pPr>
        <w:numPr>
          <w:ilvl w:val="0"/>
          <w:numId w:val="118"/>
        </w:numPr>
        <w:spacing w:after="5" w:line="249" w:lineRule="auto"/>
        <w:ind w:hanging="516"/>
        <w:jc w:val="both"/>
        <w:rPr>
          <w:rFonts w:ascii="Verdana" w:hAnsi="Verdana"/>
        </w:rPr>
      </w:pPr>
      <w:r>
        <w:fldChar w:fldCharType="begin"/>
      </w:r>
      <w:r>
        <w:instrText xml:space="preserve"> HYPERLINK "https://science.sciencemag.org/content/363/6425/374" </w:instrText>
      </w:r>
      <w:r>
        <w:fldChar w:fldCharType="separate"/>
      </w:r>
      <w:r w:rsidRPr="005B5CB6" w:rsidR="00A72806">
        <w:rPr>
          <w:rFonts w:ascii="Verdana" w:eastAsia="Verdana" w:hAnsi="Verdana" w:cs="Verdana"/>
          <w:color w:val="1155CC"/>
          <w:u w:val="single" w:color="1155CC"/>
        </w:rPr>
        <w:t>https://science.sciencemag.org/content/363/6425/374</w:t>
      </w:r>
      <w:r>
        <w:fldChar w:fldCharType="end"/>
      </w:r>
      <w:r>
        <w:fldChar w:fldCharType="begin"/>
      </w:r>
      <w:r>
        <w:instrText xml:space="preserve"> HYPERLINK "https://science.sciencemag.org/content/363/6425/374" </w:instrText>
      </w:r>
      <w:r>
        <w:fldChar w:fldCharType="separate"/>
      </w:r>
      <w:r w:rsidRPr="005B5CB6" w:rsidR="00A72806">
        <w:rPr>
          <w:rFonts w:ascii="Verdana" w:eastAsia="Verdana" w:hAnsi="Verdana" w:cs="Verdana"/>
        </w:rPr>
        <w:t xml:space="preserve"> </w:t>
      </w:r>
      <w:r>
        <w:fldChar w:fldCharType="end"/>
      </w:r>
    </w:p>
    <w:p w:rsidR="00FB0B24" w:rsidRPr="005B5CB6" w:rsidP="00575F14">
      <w:pPr>
        <w:numPr>
          <w:ilvl w:val="0"/>
          <w:numId w:val="118"/>
        </w:numPr>
        <w:spacing w:after="5" w:line="249" w:lineRule="auto"/>
        <w:ind w:hanging="516"/>
        <w:jc w:val="both"/>
        <w:rPr>
          <w:rFonts w:ascii="Verdana" w:hAnsi="Verdana"/>
        </w:rPr>
      </w:pPr>
      <w:r>
        <w:fldChar w:fldCharType="begin"/>
      </w:r>
      <w:r>
        <w:instrText xml:space="preserve"> HYPERLINK "https://arxiv.org/abs/1902.01752" </w:instrText>
      </w:r>
      <w:r>
        <w:fldChar w:fldCharType="separate"/>
      </w:r>
      <w:r w:rsidRPr="005B5CB6" w:rsidR="00A72806">
        <w:rPr>
          <w:rFonts w:ascii="Verdana" w:eastAsia="Verdana" w:hAnsi="Verdana" w:cs="Verdana"/>
          <w:color w:val="1155CC"/>
          <w:u w:val="single" w:color="1155CC"/>
        </w:rPr>
        <w:t>https://arxiv.org/abs/1902.01752</w:t>
      </w:r>
      <w:r>
        <w:fldChar w:fldCharType="end"/>
      </w:r>
      <w:r>
        <w:fldChar w:fldCharType="begin"/>
      </w:r>
      <w:r>
        <w:instrText xml:space="preserve"> HYPERLINK "https://arxiv.org/abs/1902.01752" </w:instrText>
      </w:r>
      <w:r>
        <w:fldChar w:fldCharType="separate"/>
      </w:r>
      <w:r w:rsidRPr="005B5CB6" w:rsidR="00A72806">
        <w:rPr>
          <w:rFonts w:ascii="Verdana" w:eastAsia="Verdana" w:hAnsi="Verdana" w:cs="Verdana"/>
        </w:rPr>
        <w:t xml:space="preserve"> </w:t>
      </w:r>
      <w:r>
        <w:fldChar w:fldCharType="end"/>
      </w:r>
    </w:p>
    <w:p w:rsidR="00FB0B24" w:rsidRPr="005B5CB6" w:rsidP="00575F14">
      <w:pPr>
        <w:numPr>
          <w:ilvl w:val="0"/>
          <w:numId w:val="118"/>
        </w:numPr>
        <w:spacing w:after="5" w:line="249" w:lineRule="auto"/>
        <w:ind w:hanging="516"/>
        <w:jc w:val="both"/>
        <w:rPr>
          <w:rFonts w:ascii="Verdana" w:hAnsi="Verdana"/>
        </w:rPr>
      </w:pPr>
      <w:r>
        <w:fldChar w:fldCharType="begin"/>
      </w:r>
      <w:r>
        <w:instrText xml:space="preserve"> HYPERLINK "https://doteveryone.org.uk/report/digital-attitudes/" </w:instrText>
      </w:r>
      <w:r>
        <w:fldChar w:fldCharType="separate"/>
      </w:r>
      <w:r w:rsidRPr="005B5CB6" w:rsidR="00A72806">
        <w:rPr>
          <w:rFonts w:ascii="Verdana" w:eastAsia="Verdana" w:hAnsi="Verdana" w:cs="Verdana"/>
          <w:color w:val="1155CC"/>
          <w:u w:val="single" w:color="1155CC"/>
        </w:rPr>
        <w:t>https://doteveryone.org.uk/report/digital-attitudes/</w:t>
      </w:r>
      <w:r>
        <w:fldChar w:fldCharType="end"/>
      </w:r>
      <w:r>
        <w:fldChar w:fldCharType="begin"/>
      </w:r>
      <w:r>
        <w:instrText xml:space="preserve"> HYPERLINK "https://doteveryone.org.uk/report/digital-attitudes/" </w:instrText>
      </w:r>
      <w:r>
        <w:fldChar w:fldCharType="separate"/>
      </w:r>
      <w:r w:rsidRPr="005B5CB6" w:rsidR="00A72806">
        <w:rPr>
          <w:rFonts w:ascii="Verdana" w:eastAsia="Verdana" w:hAnsi="Verdana" w:cs="Verdana"/>
        </w:rPr>
        <w:t xml:space="preserve"> </w:t>
      </w:r>
      <w:r>
        <w:fldChar w:fldCharType="end"/>
      </w:r>
    </w:p>
    <w:p w:rsidR="00FB0B24" w:rsidRPr="005B5CB6" w:rsidP="00575F14">
      <w:pPr>
        <w:numPr>
          <w:ilvl w:val="0"/>
          <w:numId w:val="118"/>
        </w:numPr>
        <w:spacing w:after="5" w:line="249" w:lineRule="auto"/>
        <w:ind w:hanging="516"/>
        <w:jc w:val="both"/>
        <w:rPr>
          <w:rFonts w:ascii="Verdana" w:hAnsi="Verdana"/>
        </w:rPr>
      </w:pPr>
      <w:r>
        <w:fldChar w:fldCharType="begin"/>
      </w:r>
      <w:r>
        <w:instrText xml:space="preserve"> HYPERLINK "https://www.edelman.co.uk/research/edelman-trust-barometer-2018-uk-findings" </w:instrText>
      </w:r>
      <w:r>
        <w:fldChar w:fldCharType="separate"/>
      </w:r>
      <w:r w:rsidRPr="005B5CB6" w:rsidR="00A72806">
        <w:rPr>
          <w:rFonts w:ascii="Verdana" w:eastAsia="Verdana" w:hAnsi="Verdana" w:cs="Verdana"/>
          <w:color w:val="1155CC"/>
          <w:u w:val="single" w:color="1155CC"/>
        </w:rPr>
        <w:t>https://www.edelman.co.uk/research/edelman-trust-barometer-2018-uk</w:t>
      </w:r>
      <w:r>
        <w:fldChar w:fldCharType="end"/>
      </w:r>
      <w:r>
        <w:fldChar w:fldCharType="begin"/>
      </w:r>
      <w:r>
        <w:instrText xml:space="preserve"> HYPERLINK "https://www.edelman.co.uk/research/edelman-trust-barometer-2018-uk-findings" </w:instrText>
      </w:r>
      <w:r>
        <w:fldChar w:fldCharType="separate"/>
      </w:r>
      <w:r w:rsidRPr="005B5CB6" w:rsidR="00A72806">
        <w:rPr>
          <w:rFonts w:ascii="Verdana" w:eastAsia="Verdana" w:hAnsi="Verdana" w:cs="Verdana"/>
          <w:color w:val="1155CC"/>
          <w:u w:val="single" w:color="1155CC"/>
        </w:rPr>
        <w:t>findings</w:t>
      </w:r>
      <w:r>
        <w:fldChar w:fldCharType="end"/>
      </w:r>
      <w:r>
        <w:fldChar w:fldCharType="begin"/>
      </w:r>
      <w:r>
        <w:instrText xml:space="preserve"> HYPERLINK "https://www.edelman.co.uk/research/edelman-trust-barometer-2018-uk-findings" </w:instrText>
      </w:r>
      <w:r>
        <w:fldChar w:fldCharType="separate"/>
      </w:r>
      <w:r w:rsidRPr="005B5CB6" w:rsidR="00A72806">
        <w:rPr>
          <w:rFonts w:ascii="Verdana" w:eastAsia="Verdana" w:hAnsi="Verdana" w:cs="Verdana"/>
        </w:rPr>
        <w:t xml:space="preserve"> </w:t>
      </w:r>
      <w:r>
        <w:fldChar w:fldCharType="end"/>
      </w:r>
    </w:p>
    <w:p w:rsidR="00FB0B24" w:rsidRPr="005B5CB6" w:rsidP="00575F14">
      <w:pPr>
        <w:numPr>
          <w:ilvl w:val="0"/>
          <w:numId w:val="118"/>
        </w:numPr>
        <w:spacing w:after="5" w:line="249" w:lineRule="auto"/>
        <w:ind w:hanging="516"/>
        <w:jc w:val="both"/>
        <w:rPr>
          <w:rFonts w:ascii="Verdana" w:hAnsi="Verdana"/>
        </w:rPr>
      </w:pPr>
      <w:r>
        <w:fldChar w:fldCharType="begin"/>
      </w:r>
      <w:r>
        <w:instrText xml:space="preserve"> HYPERLINK "https://doteveryone.org.uk/report/digital-understanding/" </w:instrText>
      </w:r>
      <w:r>
        <w:fldChar w:fldCharType="separate"/>
      </w:r>
      <w:r w:rsidRPr="005B5CB6" w:rsidR="00A72806">
        <w:rPr>
          <w:rFonts w:ascii="Verdana" w:eastAsia="Verdana" w:hAnsi="Verdana" w:cs="Verdana"/>
          <w:color w:val="1155CC"/>
          <w:u w:val="single" w:color="1155CC"/>
        </w:rPr>
        <w:t>https://doteveryone.org.uk/report/digital-understanding/</w:t>
      </w:r>
      <w:r>
        <w:fldChar w:fldCharType="end"/>
      </w:r>
      <w:r>
        <w:fldChar w:fldCharType="begin"/>
      </w:r>
      <w:r>
        <w:instrText xml:space="preserve"> HYPERLINK "https://doteveryone.org.uk/report/digital-understanding/" </w:instrText>
      </w:r>
      <w:r>
        <w:fldChar w:fldCharType="separate"/>
      </w:r>
      <w:r w:rsidRPr="005B5CB6" w:rsidR="00A7280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21.</w:t>
      </w:r>
      <w:r>
        <w:fldChar w:fldCharType="begin"/>
      </w:r>
      <w:r>
        <w:instrText xml:space="preserve"> HYPERLINK "https://www.gov.uk/government/publications/cdei-publishes-its-first-series-of-three-snapshot-papers-ethical-issues-in-ai/snapshot-paper-deepfakes-and-audiovisual-disinformation" </w:instrText>
      </w:r>
      <w:r>
        <w:fldChar w:fldCharType="separate"/>
      </w:r>
      <w:r w:rsidRPr="005B5CB6">
        <w:rPr>
          <w:rFonts w:ascii="Verdana" w:eastAsia="Verdana" w:hAnsi="Verdana" w:cs="Verdana"/>
          <w:color w:val="1155CC"/>
          <w:u w:val="single" w:color="1155CC"/>
        </w:rPr>
        <w:t>https://www.gov.uk/government/publications/cdei-publishes-its-first-series-of</w:t>
      </w:r>
      <w:r>
        <w:fldChar w:fldCharType="end"/>
      </w:r>
      <w:r>
        <w:fldChar w:fldCharType="begin"/>
      </w:r>
      <w:r>
        <w:instrText xml:space="preserve"> HYPERLINK "https://www.gov.uk/government/publications/cdei-publishes-its-first-series-of-three-snapshot-papers-ethical-issues-in-ai/snapshot-paper-deepfakes-and-audiovisual-disinformation" </w:instrText>
      </w:r>
      <w:r>
        <w:fldChar w:fldCharType="separate"/>
      </w:r>
      <w:r w:rsidRPr="005B5CB6">
        <w:rPr>
          <w:rFonts w:ascii="Verdana" w:eastAsia="Verdana" w:hAnsi="Verdana" w:cs="Verdana"/>
          <w:color w:val="1155CC"/>
          <w:u w:val="single" w:color="1155CC"/>
        </w:rPr>
        <w:t>three-snapshot-papers-ethical-issues-in-ai/snapshot-paper-deepfakes-and</w:t>
      </w:r>
      <w:r>
        <w:fldChar w:fldCharType="end"/>
      </w:r>
      <w:r>
        <w:fldChar w:fldCharType="begin"/>
      </w:r>
      <w:r>
        <w:instrText xml:space="preserve"> HYPERLINK "https://www.gov.uk/government/publications/cdei-publishes-its-first-series-of-three-snapshot-papers-ethical-issues-in-ai/snapshot-paper-deepfakes-and-audiovisual-disinformation" </w:instrText>
      </w:r>
      <w:r>
        <w:fldChar w:fldCharType="separate"/>
      </w:r>
      <w:r w:rsidRPr="005B5CB6">
        <w:rPr>
          <w:rFonts w:ascii="Verdana" w:eastAsia="Verdana" w:hAnsi="Verdana" w:cs="Verdana"/>
          <w:color w:val="1155CC"/>
          <w:u w:val="single" w:color="1155CC"/>
        </w:rPr>
        <w:t>audiovisual-disinformation</w:t>
      </w:r>
      <w:r>
        <w:fldChar w:fldCharType="end"/>
      </w:r>
      <w:r>
        <w:fldChar w:fldCharType="begin"/>
      </w:r>
      <w:r>
        <w:instrText xml:space="preserve"> HYPERLINK "https://www.gov.uk/government/publications/cdei-publishes-its-first-series-of-three-snapshot-papers-ethical-issues-in-ai/snapshot-paper-deepfakes-and-audiovisual-disinformation"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 xml:space="preserve">22.  </w:t>
      </w:r>
      <w:r>
        <w:fldChar w:fldCharType="begin"/>
      </w:r>
      <w:r>
        <w:instrText xml:space="preserve"> HYPERLINK "https://www.bmj.com/content/350/bmj.h514.full" </w:instrText>
      </w:r>
      <w:r>
        <w:fldChar w:fldCharType="separate"/>
      </w:r>
      <w:r w:rsidRPr="005B5CB6">
        <w:rPr>
          <w:rFonts w:ascii="Verdana" w:eastAsia="Verdana" w:hAnsi="Verdana" w:cs="Verdana"/>
          <w:color w:val="1155CC"/>
          <w:u w:val="single" w:color="1155CC"/>
        </w:rPr>
        <w:t>https://www.bmj.com/content/350/bmj.h514.full</w:t>
      </w:r>
      <w:r>
        <w:fldChar w:fldCharType="end"/>
      </w:r>
      <w:r>
        <w:fldChar w:fldCharType="begin"/>
      </w:r>
      <w:r>
        <w:instrText xml:space="preserve"> HYPERLINK "https://www.bmj.com/content/350/bmj.h514.full"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23.</w:t>
      </w:r>
      <w:r>
        <w:fldChar w:fldCharType="begin"/>
      </w:r>
      <w:r>
        <w:instrText xml:space="preserve"> HYPERLINK "https://points.datasociety.net/you-think-you-want-media-literacy-do-you-7cad6af18ec2?gi=5171553921b2" </w:instrText>
      </w:r>
      <w:r>
        <w:fldChar w:fldCharType="separate"/>
      </w:r>
      <w:r w:rsidRPr="005B5CB6">
        <w:rPr>
          <w:rFonts w:ascii="Verdana" w:eastAsia="Verdana" w:hAnsi="Verdana" w:cs="Verdana"/>
          <w:color w:val="1155CC"/>
          <w:u w:val="single" w:color="1155CC"/>
        </w:rPr>
        <w:t>https://points.datasociety.net/you-think-you-want-media-literacy-do-you-</w:t>
      </w:r>
      <w:r>
        <w:fldChar w:fldCharType="end"/>
      </w:r>
    </w:p>
    <w:p w:rsidR="00FB0B24" w:rsidRPr="005B5CB6" w:rsidP="001512F6">
      <w:pPr>
        <w:spacing w:after="5" w:line="249" w:lineRule="auto"/>
        <w:ind w:left="-4" w:hanging="10"/>
        <w:jc w:val="both"/>
        <w:rPr>
          <w:rFonts w:ascii="Verdana" w:hAnsi="Verdana"/>
        </w:rPr>
      </w:pPr>
      <w:r>
        <w:fldChar w:fldCharType="begin"/>
      </w:r>
      <w:r>
        <w:instrText xml:space="preserve"> HYPERLINK "https://points.datasociety.net/you-think-you-want-media-literacy-do-you-7cad6af18ec2?gi=5171553921b2" </w:instrText>
      </w:r>
      <w:r>
        <w:fldChar w:fldCharType="separate"/>
      </w:r>
      <w:r w:rsidRPr="005B5CB6" w:rsidR="00A72806">
        <w:rPr>
          <w:rFonts w:ascii="Verdana" w:eastAsia="Verdana" w:hAnsi="Verdana" w:cs="Verdana"/>
          <w:color w:val="1155CC"/>
          <w:u w:val="single" w:color="1155CC"/>
        </w:rPr>
        <w:t>7cad6af18ec2?gi=5171553921b2</w:t>
      </w:r>
      <w:r>
        <w:fldChar w:fldCharType="end"/>
      </w:r>
      <w:r>
        <w:fldChar w:fldCharType="begin"/>
      </w:r>
      <w:r>
        <w:instrText xml:space="preserve"> HYPERLINK "https://points.datasociety.net/you-think-you-want-media-literacy-do-you-7cad6af18ec2?gi=5171553921b2" </w:instrText>
      </w:r>
      <w:r>
        <w:fldChar w:fldCharType="separate"/>
      </w:r>
      <w:r w:rsidRPr="005B5CB6" w:rsidR="00A7280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24.</w:t>
      </w:r>
      <w:r>
        <w:fldChar w:fldCharType="begin"/>
      </w:r>
      <w:r>
        <w:instrText xml:space="preserve"> HYPERLINK "https://blogs.lse.ac.uk/mediapolicyproject/2018/05/08/media-literacy-everyones-favourite-solution-to-the-problems-of-regulation/" </w:instrText>
      </w:r>
      <w:r>
        <w:fldChar w:fldCharType="separate"/>
      </w:r>
      <w:r w:rsidRPr="005B5CB6">
        <w:rPr>
          <w:rFonts w:ascii="Verdana" w:eastAsia="Verdana" w:hAnsi="Verdana" w:cs="Verdana"/>
          <w:color w:val="1155CC"/>
          <w:u w:val="single" w:color="1155CC"/>
        </w:rPr>
        <w:t>https://blogs.lse.ac.uk/mediapolicyproject/2018/05/08/media-literacy</w:t>
      </w:r>
      <w:r>
        <w:fldChar w:fldCharType="end"/>
      </w:r>
      <w:r>
        <w:fldChar w:fldCharType="begin"/>
      </w:r>
      <w:r>
        <w:instrText xml:space="preserve"> HYPERLINK "https://blogs.lse.ac.uk/mediapolicyproject/2018/05/08/media-literacy-everyones-favourite-solution-to-the-problems-of-regulation/" </w:instrText>
      </w:r>
      <w:r>
        <w:fldChar w:fldCharType="separate"/>
      </w:r>
      <w:r w:rsidRPr="005B5CB6">
        <w:rPr>
          <w:rFonts w:ascii="Verdana" w:eastAsia="Verdana" w:hAnsi="Verdana" w:cs="Verdana"/>
          <w:color w:val="1155CC"/>
          <w:u w:val="single" w:color="1155CC"/>
        </w:rPr>
        <w:t>everyones-favourite-solution-to-the-problems-of-regulation/</w:t>
      </w:r>
      <w:r>
        <w:fldChar w:fldCharType="end"/>
      </w:r>
      <w:r>
        <w:fldChar w:fldCharType="begin"/>
      </w:r>
      <w:r>
        <w:instrText xml:space="preserve"> HYPERLINK "https://blogs.lse.ac.uk/mediapolicyproject/2018/05/08/media-literacy-everyones-favourite-solution-to-the-problems-of-regulation/"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 xml:space="preserve">25.  </w:t>
      </w:r>
      <w:r>
        <w:fldChar w:fldCharType="begin"/>
      </w:r>
      <w:r>
        <w:instrText xml:space="preserve"> HYPERLINK "https://www.electoral-reform.org.uk/a-new-office-for-responsible-technology/" </w:instrText>
      </w:r>
      <w:r>
        <w:fldChar w:fldCharType="separate"/>
      </w:r>
      <w:r w:rsidRPr="005B5CB6">
        <w:rPr>
          <w:rFonts w:ascii="Verdana" w:eastAsia="Verdana" w:hAnsi="Verdana" w:cs="Verdana"/>
          <w:color w:val="1155CC"/>
          <w:u w:val="single" w:color="1155CC"/>
        </w:rPr>
        <w:t>https://www.electoral-reform.org.uk/a-new-office-for-responsible-technology/</w:t>
      </w:r>
      <w:r>
        <w:fldChar w:fldCharType="end"/>
      </w:r>
      <w:r>
        <w:fldChar w:fldCharType="begin"/>
      </w:r>
      <w:r>
        <w:instrText xml:space="preserve"> HYPERLINK "https://www.electoral-reform.org.uk/a-new-office-for-responsible-technology/"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26.</w:t>
      </w:r>
      <w:r>
        <w:fldChar w:fldCharType="begin"/>
      </w:r>
      <w:r>
        <w:instrText xml:space="preserve"> HYPERLINK "https://fullfact.org/blog/2019/apr/eu-elections-are-approaching-government-needs-act-now-protect-them-abuse/" </w:instrText>
      </w:r>
      <w:r>
        <w:fldChar w:fldCharType="separate"/>
      </w:r>
      <w:r w:rsidRPr="005B5CB6">
        <w:rPr>
          <w:rFonts w:ascii="Verdana" w:eastAsia="Verdana" w:hAnsi="Verdana" w:cs="Verdana"/>
          <w:color w:val="1155CC"/>
          <w:u w:val="single" w:color="1155CC"/>
        </w:rPr>
        <w:t>https://fullfact.org/blog/2019/apr/eu-elections-are-approaching-government</w:t>
      </w:r>
      <w:r>
        <w:fldChar w:fldCharType="end"/>
      </w:r>
      <w:r>
        <w:fldChar w:fldCharType="begin"/>
      </w:r>
      <w:r>
        <w:instrText xml:space="preserve"> HYPERLINK "https://fullfact.org/blog/2019/apr/eu-elections-are-approaching-government-needs-act-now-protect-them-abuse/" </w:instrText>
      </w:r>
      <w:r>
        <w:fldChar w:fldCharType="separate"/>
      </w:r>
      <w:r w:rsidRPr="005B5CB6">
        <w:rPr>
          <w:rFonts w:ascii="Verdana" w:eastAsia="Verdana" w:hAnsi="Verdana" w:cs="Verdana"/>
          <w:color w:val="1155CC"/>
          <w:u w:val="single" w:color="1155CC"/>
        </w:rPr>
        <w:t>needs-act-now-protect-them-abuse/</w:t>
      </w:r>
      <w:r>
        <w:fldChar w:fldCharType="end"/>
      </w:r>
      <w:r>
        <w:fldChar w:fldCharType="begin"/>
      </w:r>
      <w:r>
        <w:instrText xml:space="preserve"> HYPERLINK "https://fullfact.org/blog/2019/apr/eu-elections-are-approaching-government-needs-act-now-protect-them-abuse/"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 xml:space="preserve">27.  </w:t>
      </w:r>
      <w:r>
        <w:fldChar w:fldCharType="begin"/>
      </w:r>
      <w:r>
        <w:instrText xml:space="preserve"> HYPERLINK "https://www.gov.uk/government/news/government-safeguards-uk-elections" </w:instrText>
      </w:r>
      <w:r>
        <w:fldChar w:fldCharType="separate"/>
      </w:r>
      <w:r w:rsidRPr="005B5CB6">
        <w:rPr>
          <w:rFonts w:ascii="Verdana" w:eastAsia="Verdana" w:hAnsi="Verdana" w:cs="Verdana"/>
          <w:color w:val="1155CC"/>
          <w:u w:val="single" w:color="1155CC"/>
        </w:rPr>
        <w:t>https://www.gov.uk/government/news/government-safeguards-uk-elections</w:t>
      </w:r>
      <w:r>
        <w:fldChar w:fldCharType="end"/>
      </w:r>
      <w:r>
        <w:fldChar w:fldCharType="begin"/>
      </w:r>
      <w:r>
        <w:instrText xml:space="preserve"> HYPERLINK "https://www.gov.uk/government/news/government-safeguards-uk-elections"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28.</w:t>
      </w:r>
      <w:r>
        <w:fldChar w:fldCharType="begin"/>
      </w:r>
      <w:r>
        <w:instrText xml:space="preserve"> HYPERLINK "https://www.electoralcommission.org.uk/sites/default/files/pdf_file/Digital-campaigning-improving-transparency-for-voters.pdf" </w:instrText>
      </w:r>
      <w:r>
        <w:fldChar w:fldCharType="separate"/>
      </w:r>
      <w:r w:rsidRPr="005B5CB6">
        <w:rPr>
          <w:rFonts w:ascii="Verdana" w:eastAsia="Verdana" w:hAnsi="Verdana" w:cs="Verdana"/>
          <w:color w:val="1155CC"/>
          <w:u w:val="single" w:color="1155CC"/>
        </w:rPr>
        <w:t>https://www.electoralcommission.org.uk/sites/default/files/pdf_file/Digital</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5B5CB6">
        <w:rPr>
          <w:rFonts w:ascii="Verdana" w:eastAsia="Verdana" w:hAnsi="Verdana" w:cs="Verdana"/>
          <w:color w:val="1155CC"/>
          <w:u w:val="single" w:color="1155CC"/>
        </w:rPr>
        <w:t>campaigning-improving-transparency-for-voters.pdf</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 xml:space="preserve">29.  </w:t>
      </w:r>
      <w:r>
        <w:fldChar w:fldCharType="begin"/>
      </w:r>
      <w:r>
        <w:instrText xml:space="preserve"> HYPERLINK "https://www.gov.uk/government/news/government-safeguards-uk-elections" </w:instrText>
      </w:r>
      <w:r>
        <w:fldChar w:fldCharType="separate"/>
      </w:r>
      <w:r w:rsidRPr="005B5CB6">
        <w:rPr>
          <w:rFonts w:ascii="Verdana" w:eastAsia="Verdana" w:hAnsi="Verdana" w:cs="Verdana"/>
          <w:color w:val="1155CC"/>
          <w:u w:val="single" w:color="1155CC"/>
        </w:rPr>
        <w:t>https://www.gov.uk/government/news/government-safeguards-uk-elections</w:t>
      </w:r>
      <w:r>
        <w:fldChar w:fldCharType="end"/>
      </w:r>
      <w:r>
        <w:fldChar w:fldCharType="begin"/>
      </w:r>
      <w:r>
        <w:instrText xml:space="preserve"> HYPERLINK "https://www.gov.uk/government/news/government-safeguards-uk-elections"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30.</w:t>
      </w:r>
      <w:r>
        <w:fldChar w:fldCharType="begin"/>
      </w:r>
      <w:r>
        <w:instrText xml:space="preserve"> HYPERLINK "https://doteveryone.org.uk/wp-content/uploads/2019/02/Doteveryone-briefing-a-digital-duty-of-care.pdf" </w:instrText>
      </w:r>
      <w:r>
        <w:fldChar w:fldCharType="separate"/>
      </w:r>
      <w:r w:rsidRPr="005B5CB6">
        <w:rPr>
          <w:rFonts w:ascii="Verdana" w:eastAsia="Verdana" w:hAnsi="Verdana" w:cs="Verdana"/>
          <w:color w:val="1155CC"/>
          <w:u w:val="single" w:color="1155CC"/>
        </w:rPr>
        <w:t>https://doteveryone.org.uk/wp-content/uploads/2019/02/Doteveryone-briefing</w:t>
      </w:r>
      <w:r>
        <w:fldChar w:fldCharType="end"/>
      </w:r>
      <w:r>
        <w:fldChar w:fldCharType="begin"/>
      </w:r>
      <w:r>
        <w:instrText xml:space="preserve"> HYPERLINK "https://doteveryone.org.uk/wp-content/uploads/2019/02/Doteveryone-briefing-a-digital-duty-of-care.pdf" </w:instrText>
      </w:r>
      <w:r>
        <w:fldChar w:fldCharType="separate"/>
      </w:r>
      <w:r w:rsidRPr="005B5CB6">
        <w:rPr>
          <w:rFonts w:ascii="Verdana" w:eastAsia="Verdana" w:hAnsi="Verdana" w:cs="Verdana"/>
          <w:color w:val="1155CC"/>
          <w:u w:val="single" w:color="1155CC"/>
        </w:rPr>
        <w:t>a-digital-duty-of-care.pdf</w:t>
      </w:r>
      <w:r>
        <w:fldChar w:fldCharType="end"/>
      </w:r>
      <w:r>
        <w:fldChar w:fldCharType="begin"/>
      </w:r>
      <w:r>
        <w:instrText xml:space="preserve"> HYPERLINK "https://doteveryone.org.uk/wp-content/uploads/2019/02/Doteveryone-briefing-a-digital-duty-of-care.pdf"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31.</w:t>
      </w:r>
      <w:r>
        <w:fldChar w:fldCharType="begin"/>
      </w:r>
      <w:r>
        <w:instrText xml:space="preserve"> HYPERLINK "https://doteveryone.org.uk/wp-content/uploads/2019/07/ONLINE-HARMS-WHITE-PAPER-Doteveryone-response_July2019.pdf" </w:instrText>
      </w:r>
      <w:r>
        <w:fldChar w:fldCharType="separate"/>
      </w:r>
      <w:r w:rsidRPr="005B5CB6">
        <w:rPr>
          <w:rFonts w:ascii="Verdana" w:eastAsia="Verdana" w:hAnsi="Verdana" w:cs="Verdana"/>
          <w:color w:val="1155CC"/>
          <w:u w:val="single" w:color="1155CC"/>
        </w:rPr>
        <w:t>https://doteveryone.org.uk/wp-content/uploads/2019/07/ONLINE-HARMS-</w:t>
      </w:r>
      <w:r>
        <w:fldChar w:fldCharType="end"/>
      </w:r>
    </w:p>
    <w:p w:rsidR="00FB0B24" w:rsidRPr="005B5CB6" w:rsidP="001512F6">
      <w:pPr>
        <w:spacing w:after="5" w:line="249" w:lineRule="auto"/>
        <w:ind w:left="-4" w:hanging="10"/>
        <w:jc w:val="both"/>
        <w:rPr>
          <w:rFonts w:ascii="Verdana" w:hAnsi="Verdana"/>
        </w:rPr>
      </w:pPr>
      <w:r>
        <w:fldChar w:fldCharType="begin"/>
      </w:r>
      <w:r>
        <w:instrText xml:space="preserve"> HYPERLINK "https://doteveryone.org.uk/wp-content/uploads/2019/07/ONLINE-HARMS-WHITE-PAPER-Doteveryone-response_July2019.pdf" </w:instrText>
      </w:r>
      <w:r>
        <w:fldChar w:fldCharType="separate"/>
      </w:r>
      <w:r w:rsidRPr="005B5CB6" w:rsidR="00A72806">
        <w:rPr>
          <w:rFonts w:ascii="Verdana" w:eastAsia="Verdana" w:hAnsi="Verdana" w:cs="Verdana"/>
          <w:color w:val="1155CC"/>
          <w:u w:val="single" w:color="1155CC"/>
        </w:rPr>
        <w:t>WHITE-PAPER-Doteveryone-response_July2019.pdf</w:t>
      </w:r>
      <w:r>
        <w:fldChar w:fldCharType="end"/>
      </w:r>
      <w:r>
        <w:fldChar w:fldCharType="begin"/>
      </w:r>
      <w:r>
        <w:instrText xml:space="preserve"> HYPERLINK "https://doteveryone.org.uk/wp-content/uploads/2019/07/ONLINE-HARMS-WHITE-PAPER-Doteveryone-response_July2019.pdf" </w:instrText>
      </w:r>
      <w:r>
        <w:fldChar w:fldCharType="separate"/>
      </w:r>
      <w:r w:rsidRPr="005B5CB6" w:rsidR="00A72806">
        <w:rPr>
          <w:rFonts w:ascii="Verdana" w:eastAsia="Verdana" w:hAnsi="Verdana" w:cs="Verdana"/>
        </w:rPr>
        <w:t xml:space="preserve"> </w:t>
      </w:r>
      <w:r>
        <w:fldChar w:fldCharType="end"/>
      </w:r>
    </w:p>
    <w:p w:rsidR="00FB0B24" w:rsidRPr="005B5CB6" w:rsidP="00575F14">
      <w:pPr>
        <w:numPr>
          <w:ilvl w:val="0"/>
          <w:numId w:val="119"/>
        </w:numPr>
        <w:spacing w:after="5" w:line="249" w:lineRule="auto"/>
        <w:ind w:hanging="516"/>
        <w:jc w:val="both"/>
        <w:rPr>
          <w:rFonts w:ascii="Verdana" w:hAnsi="Verdana"/>
        </w:rPr>
      </w:pPr>
      <w:r>
        <w:fldChar w:fldCharType="begin"/>
      </w:r>
      <w:r>
        <w:instrText xml:space="preserve"> HYPERLINK "https://medium.com/@AINowInstitute/ai-in-2018-a-year-in-review-8b161ead2b4e" </w:instrText>
      </w:r>
      <w:r>
        <w:fldChar w:fldCharType="separate"/>
      </w:r>
      <w:r w:rsidRPr="005B5CB6" w:rsidR="00A72806">
        <w:rPr>
          <w:rFonts w:ascii="Verdana" w:eastAsia="Verdana" w:hAnsi="Verdana" w:cs="Verdana"/>
          <w:color w:val="1155CC"/>
          <w:u w:val="single" w:color="1155CC"/>
        </w:rPr>
        <w:t>https://medium.com/@AINowInstitute/ai-in-2018-a-year-in-review-</w:t>
      </w:r>
      <w:r>
        <w:fldChar w:fldCharType="end"/>
      </w:r>
    </w:p>
    <w:p w:rsidR="00FB0B24" w:rsidRPr="005B5CB6" w:rsidP="001512F6">
      <w:pPr>
        <w:spacing w:after="5" w:line="249" w:lineRule="auto"/>
        <w:ind w:left="-4" w:hanging="10"/>
        <w:jc w:val="both"/>
        <w:rPr>
          <w:rFonts w:ascii="Verdana" w:hAnsi="Verdana"/>
        </w:rPr>
      </w:pPr>
      <w:r>
        <w:fldChar w:fldCharType="begin"/>
      </w:r>
      <w:r>
        <w:instrText xml:space="preserve"> HYPERLINK "https://medium.com/@AINowInstitute/ai-in-2018-a-year-in-review-8b161ead2b4e" </w:instrText>
      </w:r>
      <w:r>
        <w:fldChar w:fldCharType="separate"/>
      </w:r>
      <w:r w:rsidRPr="005B5CB6" w:rsidR="00A72806">
        <w:rPr>
          <w:rFonts w:ascii="Verdana" w:eastAsia="Verdana" w:hAnsi="Verdana" w:cs="Verdana"/>
          <w:color w:val="1155CC"/>
          <w:u w:val="single" w:color="1155CC"/>
        </w:rPr>
        <w:t>8b161ead2b4e</w:t>
      </w:r>
      <w:r>
        <w:fldChar w:fldCharType="end"/>
      </w:r>
      <w:r>
        <w:fldChar w:fldCharType="begin"/>
      </w:r>
      <w:r>
        <w:instrText xml:space="preserve"> HYPERLINK "https://medium.com/@AINowInstitute/ai-in-2018-a-year-in-review-8b161ead2b4e"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 </w:t>
      </w:r>
    </w:p>
    <w:p w:rsidR="00FB0B24" w:rsidRPr="005B5CB6" w:rsidP="00575F14">
      <w:pPr>
        <w:numPr>
          <w:ilvl w:val="0"/>
          <w:numId w:val="119"/>
        </w:numPr>
        <w:spacing w:after="5" w:line="249" w:lineRule="auto"/>
        <w:ind w:hanging="516"/>
        <w:jc w:val="both"/>
        <w:rPr>
          <w:rFonts w:ascii="Verdana" w:hAnsi="Verdana"/>
        </w:rPr>
      </w:pPr>
      <w:r>
        <w:fldChar w:fldCharType="begin"/>
      </w:r>
      <w:r>
        <w:instrText xml:space="preserve"> HYPERLINK "https://newsroom.fb.com/news/2019/09/oversight-board-structure/" </w:instrText>
      </w:r>
      <w:r>
        <w:fldChar w:fldCharType="separate"/>
      </w:r>
      <w:r w:rsidRPr="005B5CB6" w:rsidR="00A72806">
        <w:rPr>
          <w:rFonts w:ascii="Verdana" w:eastAsia="Verdana" w:hAnsi="Verdana" w:cs="Verdana"/>
          <w:color w:val="1155CC"/>
          <w:u w:val="single" w:color="1155CC"/>
        </w:rPr>
        <w:t>https://newsroom.fb.com/news/2019/09/oversight-board-structure/</w:t>
      </w:r>
      <w:r>
        <w:fldChar w:fldCharType="end"/>
      </w:r>
      <w:r>
        <w:fldChar w:fldCharType="begin"/>
      </w:r>
      <w:r>
        <w:instrText xml:space="preserve"> HYPERLINK "https://newsroom.fb.com/news/2019/09/oversight-board-structure/" </w:instrText>
      </w:r>
      <w:r>
        <w:fldChar w:fldCharType="separate"/>
      </w:r>
      <w:r w:rsidRPr="005B5CB6" w:rsidR="00A7280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34.</w:t>
      </w:r>
      <w:r>
        <w:fldChar w:fldCharType="begin"/>
      </w:r>
      <w:r>
        <w:instrText xml:space="preserve"> HYPERLINK "https://www.article19.org/wp-content/uploads/2019/06/A19-SMC-Consultation-paper-2019-v05.pdf" </w:instrText>
      </w:r>
      <w:r>
        <w:fldChar w:fldCharType="separate"/>
      </w:r>
      <w:r w:rsidRPr="005B5CB6">
        <w:rPr>
          <w:rFonts w:ascii="Verdana" w:eastAsia="Verdana" w:hAnsi="Verdana" w:cs="Verdana"/>
          <w:color w:val="1155CC"/>
          <w:u w:val="single" w:color="1155CC"/>
        </w:rPr>
        <w:t>https://www.article19.org/wp-content/uploads/2019/06/A19-SMC-Consultation</w:t>
      </w:r>
      <w:r>
        <w:fldChar w:fldCharType="end"/>
      </w:r>
      <w:r>
        <w:fldChar w:fldCharType="begin"/>
      </w:r>
      <w:r>
        <w:instrText xml:space="preserve"> HYPERLINK "https://www.article19.org/wp-content/uploads/2019/06/A19-SMC-Consultation-paper-2019-v05.pdf" </w:instrText>
      </w:r>
      <w:r>
        <w:fldChar w:fldCharType="separate"/>
      </w:r>
      <w:r w:rsidRPr="005B5CB6">
        <w:rPr>
          <w:rFonts w:ascii="Verdana" w:eastAsia="Verdana" w:hAnsi="Verdana" w:cs="Verdana"/>
          <w:color w:val="1155CC"/>
          <w:u w:val="single" w:color="1155CC"/>
        </w:rPr>
        <w:t>paper-2019-v05.pdf</w:t>
      </w:r>
      <w:r>
        <w:fldChar w:fldCharType="end"/>
      </w:r>
      <w:r>
        <w:fldChar w:fldCharType="begin"/>
      </w:r>
      <w:r>
        <w:instrText xml:space="preserve"> HYPERLINK "https://www.article19.org/wp-content/uploads/2019/06/A19-SMC-Consultation-paper-2019-v05.pdf"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 xml:space="preserve">35.  </w:t>
      </w:r>
      <w:r>
        <w:fldChar w:fldCharType="begin"/>
      </w:r>
      <w:r>
        <w:instrText xml:space="preserve"> HYPERLINK "https://santaclaraprinciples.org/" </w:instrText>
      </w:r>
      <w:r>
        <w:fldChar w:fldCharType="separate"/>
      </w:r>
      <w:r w:rsidRPr="005B5CB6">
        <w:rPr>
          <w:rFonts w:ascii="Verdana" w:eastAsia="Verdana" w:hAnsi="Verdana" w:cs="Verdana"/>
          <w:color w:val="1155CC"/>
          <w:u w:val="single" w:color="1155CC"/>
        </w:rPr>
        <w:t>https://santaclaraprinciples.org/</w:t>
      </w:r>
      <w:r>
        <w:fldChar w:fldCharType="end"/>
      </w:r>
      <w:r>
        <w:fldChar w:fldCharType="begin"/>
      </w:r>
      <w:r>
        <w:instrText xml:space="preserve"> HYPERLINK "https://santaclaraprinciples.org/" </w:instrText>
      </w:r>
      <w:r>
        <w:fldChar w:fldCharType="separate"/>
      </w:r>
      <w:r w:rsidRPr="005B5CB6">
        <w:rPr>
          <w:rFonts w:ascii="Verdana" w:eastAsia="Verdana" w:hAnsi="Verdana" w:cs="Verdana"/>
        </w:rPr>
        <w:t xml:space="preserve"> </w:t>
      </w:r>
      <w:r>
        <w:fldChar w:fldCharType="end"/>
      </w:r>
    </w:p>
    <w:p w:rsidR="00FB0B24" w:rsidRPr="005B5CB6" w:rsidP="001512F6">
      <w:pPr>
        <w:spacing w:after="5" w:line="249" w:lineRule="auto"/>
        <w:ind w:left="-4" w:hanging="10"/>
        <w:jc w:val="both"/>
        <w:rPr>
          <w:rFonts w:ascii="Verdana" w:hAnsi="Verdana"/>
        </w:rPr>
      </w:pPr>
      <w:r w:rsidRPr="005B5CB6">
        <w:rPr>
          <w:rFonts w:ascii="Verdana" w:eastAsia="Verdana" w:hAnsi="Verdana" w:cs="Verdana"/>
        </w:rPr>
        <w:t>36.</w:t>
      </w:r>
      <w:r>
        <w:fldChar w:fldCharType="begin"/>
      </w:r>
      <w:r>
        <w:instrText xml:space="preserve"> HYPERLINK "https://www.theguardian.com/technology/2019/apr/08/online-laws-threaten-freedom-of-speech-of-millions-of-britons" </w:instrText>
      </w:r>
      <w:r>
        <w:fldChar w:fldCharType="separate"/>
      </w:r>
      <w:r w:rsidRPr="005B5CB6">
        <w:rPr>
          <w:rFonts w:ascii="Verdana" w:eastAsia="Verdana" w:hAnsi="Verdana" w:cs="Verdana"/>
          <w:color w:val="1155CC"/>
          <w:u w:val="single" w:color="1155CC"/>
        </w:rPr>
        <w:t>https://www.theguardian.com/technology/2019/apr/08/online-laws-threaten</w:t>
      </w:r>
      <w:r>
        <w:fldChar w:fldCharType="end"/>
      </w:r>
      <w:r>
        <w:fldChar w:fldCharType="begin"/>
      </w:r>
      <w:r>
        <w:instrText xml:space="preserve"> HYPERLINK "https://www.theguardian.com/technology/2019/apr/08/online-laws-threaten-freedom-of-speech-of-millions-of-britons" </w:instrText>
      </w:r>
      <w:r>
        <w:fldChar w:fldCharType="separate"/>
      </w:r>
      <w:r w:rsidRPr="005B5CB6">
        <w:rPr>
          <w:rFonts w:ascii="Verdana" w:eastAsia="Verdana" w:hAnsi="Verdana" w:cs="Verdana"/>
          <w:color w:val="1155CC"/>
          <w:u w:val="single" w:color="1155CC"/>
        </w:rPr>
        <w:t>freedom-of-speech-of-millions-of-britons</w:t>
      </w:r>
      <w:r>
        <w:fldChar w:fldCharType="end"/>
      </w:r>
      <w:r>
        <w:fldChar w:fldCharType="begin"/>
      </w:r>
      <w:r>
        <w:instrText xml:space="preserve"> HYPERLINK "https://www.theguardian.com/technology/2019/apr/08/online-laws-threaten-freedom-of-speech-of-millions-of-britons" </w:instrText>
      </w:r>
      <w:r>
        <w:fldChar w:fldCharType="separate"/>
      </w:r>
      <w:r w:rsidRPr="005B5CB6">
        <w:rPr>
          <w:rFonts w:ascii="Verdana" w:eastAsia="Verdana" w:hAnsi="Verdana" w:cs="Verdana"/>
        </w:rPr>
        <w:t xml:space="preserve"> </w:t>
      </w:r>
      <w:r>
        <w:fldChar w:fldCharType="end"/>
      </w:r>
    </w:p>
    <w:p w:rsidR="00FB0B24" w:rsidRPr="005B5CB6" w:rsidP="001512F6">
      <w:pPr>
        <w:jc w:val="both"/>
        <w:rPr>
          <w:rFonts w:ascii="Verdana" w:hAnsi="Verdana"/>
        </w:rPr>
        <w:sectPr w:rsidSect="00D804C9">
          <w:headerReference w:type="even" r:id="rId183"/>
          <w:headerReference w:type="default" r:id="rId184"/>
          <w:footerReference w:type="even" r:id="rId185"/>
          <w:footerReference w:type="default" r:id="rId186"/>
          <w:headerReference w:type="first" r:id="rId187"/>
          <w:footerReference w:type="first" r:id="rId188"/>
          <w:pgSz w:w="12240" w:h="15840"/>
          <w:pgMar w:top="1492" w:right="1439" w:bottom="1446" w:left="1439" w:header="720" w:footer="757" w:gutter="0"/>
          <w:cols w:space="720"/>
        </w:sectPr>
      </w:pPr>
    </w:p>
    <w:p w:rsidR="00FB0B24" w:rsidRPr="005B5CB6" w:rsidP="00A1624B">
      <w:pPr>
        <w:pStyle w:val="Heading1"/>
        <w:rPr>
          <w:sz w:val="22"/>
        </w:rPr>
      </w:pPr>
      <w:bookmarkStart w:id="33" w:name="_Toc44517721"/>
      <w:r w:rsidRPr="005B5CB6">
        <w:rPr>
          <w:sz w:val="22"/>
        </w:rPr>
        <w:t>Dr Argyro Karanasiou – written evidence (DAD0038)</w:t>
      </w:r>
      <w:bookmarkEnd w:id="33"/>
      <w:r w:rsidRPr="005B5CB6">
        <w:rPr>
          <w:sz w:val="22"/>
        </w:rPr>
        <w:t xml:space="preserv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Dr Argyro P Karanasiou, Senior Lecturer in Law, LETS (Law, Emerging Tech &amp; Science) Lab, School of Law &amp; Criminology, University of Greenwich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1512F6">
      <w:pPr>
        <w:spacing w:after="168" w:line="250" w:lineRule="auto"/>
        <w:ind w:left="370" w:hanging="10"/>
        <w:jc w:val="both"/>
        <w:rPr>
          <w:rFonts w:ascii="Verdana" w:hAnsi="Verdana"/>
        </w:rPr>
      </w:pPr>
      <w:r w:rsidRPr="005B5CB6">
        <w:rPr>
          <w:rFonts w:ascii="Verdana" w:eastAsia="Verdana" w:hAnsi="Verdana" w:cs="Verdana"/>
          <w:b/>
        </w:rPr>
        <w:t>A.</w:t>
      </w:r>
      <w:r w:rsidRPr="005B5CB6">
        <w:rPr>
          <w:rFonts w:ascii="Verdana" w:eastAsia="Arial" w:hAnsi="Verdana" w:cs="Arial"/>
          <w:b/>
        </w:rPr>
        <w:t xml:space="preserve"> </w:t>
      </w:r>
      <w:r w:rsidRPr="005B5CB6">
        <w:rPr>
          <w:rFonts w:ascii="Verdana" w:eastAsia="Verdana" w:hAnsi="Verdana" w:cs="Verdana"/>
          <w:b/>
        </w:rPr>
        <w:t xml:space="preserve">The rise and fall of participatory democracy </w:t>
      </w:r>
    </w:p>
    <w:p w:rsidR="00FB0B24" w:rsidRPr="005B5CB6" w:rsidP="001512F6">
      <w:pPr>
        <w:spacing w:after="154"/>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0"/>
        </w:numPr>
        <w:spacing w:after="168" w:line="249" w:lineRule="auto"/>
        <w:ind w:right="12" w:hanging="9"/>
        <w:jc w:val="both"/>
        <w:rPr>
          <w:rFonts w:ascii="Verdana" w:hAnsi="Verdana"/>
        </w:rPr>
      </w:pPr>
      <w:r w:rsidRPr="005B5CB6">
        <w:rPr>
          <w:rFonts w:ascii="Verdana" w:eastAsia="Verdana" w:hAnsi="Verdana" w:cs="Verdana"/>
        </w:rPr>
        <w:t xml:space="preserve">Two decades ago, the revolutionary developments in ICT, facilitated new forms of participatory democracy (Blumler and Coleman, 2001) and carried the promise of direct and deliberative forms of governance (OECD 2003). The tremendous impact of internet on civic life and the subsequent emergence of a transnational online public sphere (Cammaerts and von Audenhove, 2005), gave rise to new concepts of governance models (Carter et al, 2005; Welch et al, 2004) that were premised on web-mediated citizen-state interaction and encouraged an active citizenry (Parent, 2005).  At the same time the emergence of new intermediaries, namely ICT corporations acting as gatekeepers enforcing public polices, gave rise to a new wave of techno-determinism (Langdon, 1977) that reshaped the political ecosystem: the “invisible handshake” (Birnhack and Elkin-Koren, 2003) between the state and the tech industry served well the interests of both, maintaining thereby political power and market dominance respectively. What once was the promise of an enabler for active citizenry, soon morphed into an opportunity to profit from a rapid datafication of the citizens paired with additional surveillance mechanisms (Hintz and Brown, 2017). The Snowden revelations in 2013 and the Cambridge Analytica scandal in 2018 are indicative cases of severe blows to public life: their aftermath was a continuing sentiment of mistrust towards the state (Tavani et al, 2014; Cadwallard, 2017) that discouraged citizens from any active involvement with the commons. </w:t>
      </w:r>
    </w:p>
    <w:p w:rsidR="00FB0B24" w:rsidRPr="005B5CB6" w:rsidP="001512F6">
      <w:pPr>
        <w:spacing w:after="159"/>
        <w:jc w:val="both"/>
        <w:rPr>
          <w:rFonts w:ascii="Verdana" w:hAnsi="Verdana"/>
        </w:rPr>
      </w:pPr>
      <w:r w:rsidRPr="005B5CB6">
        <w:rPr>
          <w:rFonts w:ascii="Verdana" w:eastAsia="Verdana" w:hAnsi="Verdana" w:cs="Verdana"/>
          <w:b/>
        </w:rPr>
        <w:t xml:space="preserve"> </w:t>
      </w:r>
    </w:p>
    <w:p w:rsidR="00FB0B24" w:rsidRPr="005B5CB6" w:rsidP="00575F14">
      <w:pPr>
        <w:numPr>
          <w:ilvl w:val="1"/>
          <w:numId w:val="120"/>
        </w:numPr>
        <w:spacing w:after="168" w:line="250" w:lineRule="auto"/>
        <w:ind w:left="720" w:hanging="360"/>
        <w:jc w:val="both"/>
        <w:rPr>
          <w:rFonts w:ascii="Verdana" w:hAnsi="Verdana"/>
        </w:rPr>
      </w:pPr>
      <w:r w:rsidRPr="005B5CB6">
        <w:rPr>
          <w:rFonts w:ascii="Verdana" w:eastAsia="Verdana" w:hAnsi="Verdana" w:cs="Verdana"/>
          <w:b/>
        </w:rPr>
        <w:t xml:space="preserve">Technology as a building block for demagogic populism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575F14">
      <w:pPr>
        <w:numPr>
          <w:ilvl w:val="0"/>
          <w:numId w:val="120"/>
        </w:numPr>
        <w:spacing w:after="270" w:line="249" w:lineRule="auto"/>
        <w:ind w:right="12" w:hanging="9"/>
        <w:jc w:val="both"/>
        <w:rPr>
          <w:rFonts w:ascii="Verdana" w:hAnsi="Verdana"/>
        </w:rPr>
      </w:pPr>
      <w:r w:rsidRPr="005B5CB6">
        <w:rPr>
          <w:rFonts w:ascii="Verdana" w:eastAsia="Verdana" w:hAnsi="Verdana" w:cs="Verdana"/>
        </w:rPr>
        <w:t>We are currently witnessing an era of great disillusionment with democracy and civic life: the Democracy Perception Index 2018 survey</w:t>
      </w:r>
      <w:r>
        <w:rPr>
          <w:rFonts w:ascii="Verdana" w:eastAsia="Verdana" w:hAnsi="Verdana" w:cs="Verdana"/>
          <w:vertAlign w:val="superscript"/>
        </w:rPr>
        <w:footnoteReference w:id="147"/>
      </w:r>
      <w:r w:rsidRPr="005B5CB6">
        <w:rPr>
          <w:rFonts w:ascii="Verdana" w:eastAsia="Verdana" w:hAnsi="Verdana" w:cs="Verdana"/>
        </w:rPr>
        <w:t xml:space="preserve"> reports that 54% of citizens in modern democracies do not feel that their voice has an impact. The highest levels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44424" name="Group 54442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5843" name="Shape 63584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77" style="height:0.6pt;mso-position-horizontal-relative:char;mso-position-vertical-relative:line;width:2in" coordsize="18288,76">
                <v:shape id="_x0000_s1178"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1512F6">
      <w:pPr>
        <w:spacing w:after="168" w:line="249" w:lineRule="auto"/>
        <w:ind w:left="10" w:right="12" w:hanging="9"/>
        <w:jc w:val="both"/>
        <w:rPr>
          <w:rFonts w:ascii="Verdana" w:hAnsi="Verdana"/>
        </w:rPr>
      </w:pPr>
      <w:r w:rsidRPr="005B5CB6">
        <w:rPr>
          <w:rFonts w:ascii="Verdana" w:eastAsia="Verdana" w:hAnsi="Verdana" w:cs="Verdana"/>
        </w:rPr>
        <w:t xml:space="preserve">of dissatisfaction have been reported in Europe, which does not come as a surprise given the unstable political climate and several failed attempts to let the public decide on delicate (and legally disputable) political matters, carrying thereby all </w:t>
      </w:r>
      <w:r w:rsidRPr="005B5CB6">
        <w:rPr>
          <w:rFonts w:ascii="Verdana" w:eastAsia="Verdana" w:hAnsi="Verdana" w:cs="Verdana"/>
        </w:rPr>
        <w:t>responsibility. In the last five years alone, European citizens were asked to vote on referenda, yet the results were not materialised: the Catalan independence referendum in 2017 was declared illegal, the UK Brexit referendum in 2016 led to major political turbulence and a series of deliberations currently ongoing, and the Greek Bail Out referendum in 2015 was bluntly disregarded by the government 3 days after the results were in</w:t>
      </w:r>
      <w:r>
        <w:rPr>
          <w:rFonts w:ascii="Verdana" w:eastAsia="Verdana" w:hAnsi="Verdana" w:cs="Verdana"/>
          <w:vertAlign w:val="superscript"/>
        </w:rPr>
        <w:footnoteReference w:id="148"/>
      </w:r>
      <w:r w:rsidRPr="005B5CB6">
        <w:rPr>
          <w:rFonts w:ascii="Verdana" w:eastAsia="Verdana" w:hAnsi="Verdana" w:cs="Verdana"/>
        </w:rPr>
        <w:t xml:space="preserve">. Added to this is the sharp increase of immigration, which is further credited as a key factor for the rise of the far-right parties in Europe (Halla et al. (2017) for Austria; Dustmann et al. (2016) for Denmark; Sekeris and Vasilakis (2016) for Greece; Brunner and Kuhn (2014) for Switzerland; Becker and Fetzer (2016) for the UK).  </w:t>
      </w:r>
    </w:p>
    <w:p w:rsidR="00FB0B24" w:rsidRPr="005B5CB6" w:rsidP="001512F6">
      <w:pPr>
        <w:spacing w:after="154"/>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20"/>
        </w:numPr>
        <w:spacing w:after="168" w:line="249" w:lineRule="auto"/>
        <w:ind w:right="12" w:hanging="9"/>
        <w:jc w:val="both"/>
        <w:rPr>
          <w:rFonts w:ascii="Verdana" w:hAnsi="Verdana"/>
        </w:rPr>
      </w:pPr>
      <w:r w:rsidRPr="005B5CB6">
        <w:rPr>
          <w:rFonts w:ascii="Verdana" w:eastAsia="Verdana" w:hAnsi="Verdana" w:cs="Verdana"/>
        </w:rPr>
        <w:t xml:space="preserve">The political sphere in Europe has massively transformed over the past decade and technology has a key role in this. The de-legitimisation of old governance intermediaries has provided fertile soil for techno-populism ideologies, namely bottom-up governance models that further de-politicisation (De Blasio et al, 2018). This is not posing a threat to democracy </w:t>
      </w:r>
      <w:r w:rsidRPr="005B5CB6">
        <w:rPr>
          <w:rFonts w:ascii="Verdana" w:eastAsia="Verdana" w:hAnsi="Verdana" w:cs="Verdana"/>
          <w:i/>
        </w:rPr>
        <w:t>per se,</w:t>
      </w:r>
      <w:r w:rsidRPr="005B5CB6">
        <w:rPr>
          <w:rFonts w:ascii="Verdana" w:eastAsia="Verdana" w:hAnsi="Verdana" w:cs="Verdana"/>
        </w:rPr>
        <w:t xml:space="preserve"> but it certainly has the potential to set new paradigms in a disruptive manner (Bloom et al, 2019). Historically however, demagogy has thrived on populism (Stanley, 2008) and techno-populism is not an exception. In this climate of growing scepticism and disappointment over representation, technology is now being used to appeal to the citizens’ emotional responses and to reveal their vulnerabilities to demagogues. No doubt technology still bears an undeniable potential to support participatory democracy and enhance good governance; yet recent instances of AI serving as a means of mass manipulation and micro-targeting (noted below) make this a missed opportunity: </w:t>
      </w:r>
    </w:p>
    <w:p w:rsidR="00FB0B24" w:rsidRPr="005B5CB6" w:rsidP="001512F6">
      <w:pPr>
        <w:spacing w:after="159"/>
        <w:ind w:left="361"/>
        <w:jc w:val="both"/>
        <w:rPr>
          <w:rFonts w:ascii="Verdana" w:hAnsi="Verdana"/>
        </w:rPr>
      </w:pPr>
      <w:r w:rsidRPr="005B5CB6">
        <w:rPr>
          <w:rFonts w:ascii="Verdana" w:eastAsia="Verdana" w:hAnsi="Verdana" w:cs="Verdana"/>
        </w:rPr>
        <w:t xml:space="preserve"> </w:t>
      </w:r>
    </w:p>
    <w:p w:rsidR="00FB0B24" w:rsidRPr="005B5CB6" w:rsidP="001512F6">
      <w:pPr>
        <w:spacing w:after="159"/>
        <w:ind w:left="361"/>
        <w:jc w:val="both"/>
        <w:rPr>
          <w:rFonts w:ascii="Verdana" w:hAnsi="Verdana"/>
        </w:rPr>
      </w:pPr>
      <w:r w:rsidRPr="005B5CB6">
        <w:rPr>
          <w:rFonts w:ascii="Verdana" w:eastAsia="Verdana" w:hAnsi="Verdana" w:cs="Verdana"/>
        </w:rPr>
        <w:t xml:space="preserve"> </w:t>
      </w:r>
    </w:p>
    <w:p w:rsidR="00FB0B24" w:rsidRPr="005B5CB6" w:rsidP="001512F6">
      <w:pPr>
        <w:spacing w:after="159"/>
        <w:ind w:left="361"/>
        <w:jc w:val="both"/>
        <w:rPr>
          <w:rFonts w:ascii="Verdana" w:hAnsi="Verdana"/>
        </w:rPr>
      </w:pPr>
      <w:r w:rsidRPr="005B5CB6">
        <w:rPr>
          <w:rFonts w:ascii="Verdana" w:eastAsia="Verdana" w:hAnsi="Verdana" w:cs="Verdana"/>
        </w:rPr>
        <w:t xml:space="preserve"> </w:t>
      </w:r>
    </w:p>
    <w:p w:rsidR="00FB0B24" w:rsidRPr="005B5CB6" w:rsidP="001512F6">
      <w:pPr>
        <w:spacing w:after="156"/>
        <w:ind w:left="361"/>
        <w:jc w:val="both"/>
        <w:rPr>
          <w:rFonts w:ascii="Verdana" w:hAnsi="Verdana"/>
        </w:rPr>
      </w:pPr>
      <w:r w:rsidRPr="005B5CB6">
        <w:rPr>
          <w:rFonts w:ascii="Verdana" w:eastAsia="Verdana" w:hAnsi="Verdana" w:cs="Verdana"/>
        </w:rPr>
        <w:t xml:space="preserve"> </w:t>
      </w:r>
    </w:p>
    <w:p w:rsidR="00FB0B24" w:rsidRPr="005B5CB6" w:rsidP="00575F14">
      <w:pPr>
        <w:numPr>
          <w:ilvl w:val="1"/>
          <w:numId w:val="120"/>
        </w:numPr>
        <w:spacing w:after="167" w:line="250" w:lineRule="auto"/>
        <w:ind w:left="720" w:hanging="360"/>
        <w:jc w:val="both"/>
        <w:rPr>
          <w:rFonts w:ascii="Verdana" w:hAnsi="Verdana"/>
        </w:rPr>
      </w:pPr>
      <w:r w:rsidRPr="005B5CB6">
        <w:rPr>
          <w:rFonts w:ascii="Verdana" w:eastAsia="Verdana" w:hAnsi="Verdana" w:cs="Verdana"/>
          <w:b/>
        </w:rPr>
        <w:t xml:space="preserve">Computational propaganda: Disinformation and manipulation of public life </w:t>
      </w:r>
    </w:p>
    <w:p w:rsidR="00FB0B24" w:rsidRPr="005B5CB6" w:rsidP="001512F6">
      <w:pPr>
        <w:spacing w:after="156"/>
        <w:ind w:left="361"/>
        <w:jc w:val="both"/>
        <w:rPr>
          <w:rFonts w:ascii="Verdana" w:hAnsi="Verdana"/>
        </w:rPr>
      </w:pPr>
      <w:r w:rsidRPr="005B5CB6">
        <w:rPr>
          <w:rFonts w:ascii="Verdana" w:eastAsia="Verdana" w:hAnsi="Verdana" w:cs="Verdana"/>
        </w:rPr>
        <w:t xml:space="preserve"> </w:t>
      </w:r>
    </w:p>
    <w:p w:rsidR="00FB0B24" w:rsidRPr="005B5CB6" w:rsidP="00575F14">
      <w:pPr>
        <w:numPr>
          <w:ilvl w:val="0"/>
          <w:numId w:val="120"/>
        </w:numPr>
        <w:spacing w:after="82" w:line="250" w:lineRule="auto"/>
        <w:ind w:right="12" w:hanging="9"/>
        <w:jc w:val="both"/>
        <w:rPr>
          <w:rFonts w:ascii="Verdana" w:hAnsi="Verdana"/>
        </w:rPr>
      </w:pPr>
      <w:r w:rsidRPr="005B5CB6">
        <w:rPr>
          <w:rFonts w:ascii="Verdana" w:eastAsia="Verdana" w:hAnsi="Verdana" w:cs="Verdana"/>
        </w:rPr>
        <w:t xml:space="preserve">The Cambridge Analytica revelations highlighted a well-known reality: the promotional industries of advertising, professional lobbying and marketing have long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44729" name="Group 54472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845" name="Shape 63584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79" style="height:0.6pt;mso-position-horizontal-relative:char;mso-position-vertical-relative:line;width:2in" coordsize="18288,76">
                <v:shape id="_x0000_s1180"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had an interest in reaching out to the public via “media-buying”, namely purchasing space/time on media outlets. Further to this though, it is an indicative case of </w:t>
      </w:r>
      <w:r w:rsidRPr="005B5CB6">
        <w:rPr>
          <w:rFonts w:ascii="Verdana" w:eastAsia="Verdana" w:hAnsi="Verdana" w:cs="Verdana"/>
        </w:rPr>
        <w:t xml:space="preserve">technology used as a means of political manipulation. Instead of traditionally reaching out to the public, political actors and promotional industries join forces technology: this has led to the phenomenon of computational propaganda (Howard and Wooley 2016). In a manifestly data-driven environment, the electorate is being treated as a commercial audience, ready to passively consume content carefully tailored to each one of the citizens serving thereby political purposes. The commercial logic permeating modern politics paired with dominant market players in the digital world using sophisticated and social profiling practices (Turow 2012) are a serious threat to democracy.  </w:t>
      </w:r>
    </w:p>
    <w:p w:rsidR="00FB0B24" w:rsidRPr="005B5CB6" w:rsidP="001512F6">
      <w:pPr>
        <w:spacing w:after="156"/>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20"/>
        </w:numPr>
        <w:spacing w:after="166" w:line="249" w:lineRule="auto"/>
        <w:ind w:right="12" w:hanging="9"/>
        <w:jc w:val="both"/>
        <w:rPr>
          <w:rFonts w:ascii="Verdana" w:hAnsi="Verdana"/>
        </w:rPr>
      </w:pPr>
      <w:r w:rsidRPr="005B5CB6">
        <w:rPr>
          <w:rFonts w:ascii="Verdana" w:eastAsia="Verdana" w:hAnsi="Verdana" w:cs="Verdana"/>
        </w:rPr>
        <w:t xml:space="preserve">Automation has furthered these practises as AI has already been used on various occasions to manipulate public opinion. Take for example political bots, namely AI enabled accounts that are programmed to mimic human accounts and can perform various manipulative actions online, such as:  </w:t>
      </w:r>
    </w:p>
    <w:p w:rsidR="00FB0B24" w:rsidRPr="005B5CB6" w:rsidP="00575F14">
      <w:pPr>
        <w:numPr>
          <w:ilvl w:val="1"/>
          <w:numId w:val="121"/>
        </w:numPr>
        <w:spacing w:after="166" w:line="249" w:lineRule="auto"/>
        <w:ind w:right="12" w:hanging="9"/>
        <w:jc w:val="both"/>
        <w:rPr>
          <w:rFonts w:ascii="Verdana" w:hAnsi="Verdana"/>
        </w:rPr>
      </w:pPr>
      <w:r w:rsidRPr="005B5CB6">
        <w:rPr>
          <w:rFonts w:ascii="Verdana" w:eastAsia="Verdana" w:hAnsi="Verdana" w:cs="Verdana"/>
        </w:rPr>
        <w:t xml:space="preserve">astroturfing, namely bots creating a false perception of popularity by liking and sharing particular content on social media (Wooley 2016). The US Presidential Election in 2016 is a good example of political bots employed to silence genuine political discourse (Howard at al 2018)  </w:t>
      </w:r>
    </w:p>
    <w:p w:rsidR="00FB0B24" w:rsidRPr="005B5CB6" w:rsidP="00575F14">
      <w:pPr>
        <w:numPr>
          <w:ilvl w:val="1"/>
          <w:numId w:val="121"/>
        </w:numPr>
        <w:spacing w:after="166" w:line="249" w:lineRule="auto"/>
        <w:ind w:right="12" w:hanging="9"/>
        <w:jc w:val="both"/>
        <w:rPr>
          <w:rFonts w:ascii="Verdana" w:hAnsi="Verdana"/>
        </w:rPr>
      </w:pPr>
      <w:r w:rsidRPr="005B5CB6">
        <w:rPr>
          <w:rFonts w:ascii="Verdana" w:eastAsia="Verdana" w:hAnsi="Verdana" w:cs="Verdana"/>
        </w:rPr>
        <w:t xml:space="preserve">disinformation, by spreading fake news in an attempt to shape public discourse and distort political sentiment. The trending Twitter hashtag “#MacronLeaks” in the 2017 French Presidential Election, involved a swarm of fake bot accounts that spread fake information about Emmanuel Macron and dominated social feeds to cause public sensation  </w:t>
      </w:r>
    </w:p>
    <w:p w:rsidR="00FB0B24" w:rsidRPr="005B5CB6" w:rsidP="00575F14">
      <w:pPr>
        <w:numPr>
          <w:ilvl w:val="1"/>
          <w:numId w:val="121"/>
        </w:numPr>
        <w:spacing w:after="166" w:line="249" w:lineRule="auto"/>
        <w:ind w:right="12" w:hanging="9"/>
        <w:jc w:val="both"/>
        <w:rPr>
          <w:rFonts w:ascii="Verdana" w:hAnsi="Verdana"/>
        </w:rPr>
      </w:pPr>
      <w:r w:rsidRPr="005B5CB6">
        <w:rPr>
          <w:rFonts w:ascii="Verdana" w:eastAsia="Verdana" w:hAnsi="Verdana" w:cs="Verdana"/>
        </w:rPr>
        <w:t xml:space="preserve">trolling, namely bots attacking opposition to a ruling regime, investigative journalists and political dissidents online, often using hate speech, so that they discourage such voices from partaking to public discourse. This is a disruptive tactic used as a tool of social control mainly by authoritarian regimes (Aro 2016).  </w:t>
      </w:r>
    </w:p>
    <w:p w:rsidR="00FB0B24" w:rsidRPr="005B5CB6" w:rsidP="001512F6">
      <w:pPr>
        <w:spacing w:after="198" w:line="250" w:lineRule="auto"/>
        <w:ind w:left="23" w:right="11" w:hanging="8"/>
        <w:jc w:val="both"/>
        <w:rPr>
          <w:rFonts w:ascii="Verdana" w:hAnsi="Verdana"/>
        </w:rPr>
      </w:pPr>
      <w:r w:rsidRPr="005B5CB6">
        <w:rPr>
          <w:rFonts w:ascii="Verdana" w:eastAsia="Verdana" w:hAnsi="Verdana" w:cs="Verdana"/>
        </w:rPr>
        <w:t>The above suggest a non-exhaustive list of several instance of computational propaganda, namely AI enabled manipulative tactics of public discourse</w:t>
      </w:r>
      <w:r>
        <w:rPr>
          <w:rFonts w:ascii="Verdana" w:eastAsia="Verdana" w:hAnsi="Verdana" w:cs="Verdana"/>
          <w:vertAlign w:val="superscript"/>
        </w:rPr>
        <w:footnoteReference w:id="149"/>
      </w:r>
      <w:r w:rsidRPr="005B5CB6">
        <w:rPr>
          <w:rFonts w:ascii="Verdana" w:eastAsia="Verdana" w:hAnsi="Verdana" w:cs="Verdana"/>
        </w:rPr>
        <w:t xml:space="preserve">.  </w:t>
      </w:r>
    </w:p>
    <w:p w:rsidR="00FB0B24" w:rsidRPr="005B5CB6" w:rsidP="001512F6">
      <w:pPr>
        <w:spacing w:after="159"/>
        <w:ind w:left="1"/>
        <w:jc w:val="both"/>
        <w:rPr>
          <w:rFonts w:ascii="Verdana" w:hAnsi="Verdana"/>
        </w:rPr>
      </w:pPr>
      <w:r w:rsidRPr="005B5CB6">
        <w:rPr>
          <w:rFonts w:ascii="Verdana" w:eastAsia="Verdana" w:hAnsi="Verdana" w:cs="Verdana"/>
          <w:b/>
        </w:rPr>
        <w:t xml:space="preserve"> </w:t>
      </w:r>
    </w:p>
    <w:p w:rsidR="00FB0B24" w:rsidRPr="005B5CB6" w:rsidP="001512F6">
      <w:pPr>
        <w:spacing w:after="159"/>
        <w:ind w:left="1"/>
        <w:jc w:val="both"/>
        <w:rPr>
          <w:rFonts w:ascii="Verdana" w:hAnsi="Verdana"/>
        </w:rPr>
      </w:pPr>
      <w:r w:rsidRPr="005B5CB6">
        <w:rPr>
          <w:rFonts w:ascii="Verdana" w:eastAsia="Verdana" w:hAnsi="Verdana" w:cs="Verdana"/>
          <w:b/>
        </w:rPr>
        <w:t xml:space="preserve"> </w:t>
      </w:r>
    </w:p>
    <w:p w:rsidR="00FB0B24" w:rsidRPr="005B5CB6" w:rsidP="00575F14">
      <w:pPr>
        <w:numPr>
          <w:ilvl w:val="1"/>
          <w:numId w:val="120"/>
        </w:numPr>
        <w:spacing w:after="168" w:line="250" w:lineRule="auto"/>
        <w:ind w:left="720" w:hanging="360"/>
        <w:jc w:val="both"/>
        <w:rPr>
          <w:rFonts w:ascii="Verdana" w:hAnsi="Verdana"/>
        </w:rPr>
      </w:pPr>
      <w:r w:rsidRPr="005B5CB6">
        <w:rPr>
          <w:rFonts w:ascii="Verdana" w:eastAsia="Verdana" w:hAnsi="Verdana" w:cs="Verdana"/>
          <w:b/>
        </w:rPr>
        <w:t xml:space="preserve">Datafication and micro-targeting </w:t>
      </w:r>
    </w:p>
    <w:p w:rsidR="00FB0B24" w:rsidRPr="005B5CB6" w:rsidP="001512F6">
      <w:pPr>
        <w:spacing w:after="357"/>
        <w:ind w:left="1"/>
        <w:jc w:val="both"/>
        <w:rPr>
          <w:rFonts w:ascii="Verdana" w:hAnsi="Verdana"/>
        </w:rPr>
      </w:pPr>
      <w:r w:rsidRPr="005B5CB6">
        <w:rPr>
          <w:rFonts w:ascii="Verdana" w:eastAsia="Verdana" w:hAnsi="Verdana" w:cs="Verdana"/>
        </w:rPr>
        <w:t xml:space="preserve">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44034" name="Group 54403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847" name="Shape 63584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81" style="height:0.6pt;mso-position-horizontal-relative:char;mso-position-vertical-relative:line;width:2in" coordsize="18288,76">
                <v:shape id="_x0000_s1182"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575F14">
      <w:pPr>
        <w:numPr>
          <w:ilvl w:val="0"/>
          <w:numId w:val="120"/>
        </w:numPr>
        <w:spacing w:after="168" w:line="249" w:lineRule="auto"/>
        <w:ind w:right="12" w:hanging="9"/>
        <w:jc w:val="both"/>
        <w:rPr>
          <w:rFonts w:ascii="Verdana" w:hAnsi="Verdana"/>
        </w:rPr>
      </w:pPr>
      <w:r w:rsidRPr="005B5CB6">
        <w:rPr>
          <w:rFonts w:ascii="Verdana" w:eastAsia="Verdana" w:hAnsi="Verdana" w:cs="Verdana"/>
        </w:rPr>
        <w:t xml:space="preserve">The growing competition among marketeers towards the development of sophisticated micro-targeting techniques purporting to reach interested audiences as well as to identify potentially interested ones (Alva et al, 2017) has found new applications in the political sphere. The ICO commissioned report “The Future of political campaigning” (Bartlett et al 2018) offers some valuable insights in this respect and identifies several key trends of data analytics serving political purposes:  </w:t>
      </w:r>
    </w:p>
    <w:p w:rsidR="00FB0B24" w:rsidRPr="005B5CB6" w:rsidP="001512F6">
      <w:pPr>
        <w:spacing w:after="159"/>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22"/>
        </w:numPr>
        <w:spacing w:after="166" w:line="249" w:lineRule="auto"/>
        <w:ind w:hanging="442"/>
        <w:jc w:val="both"/>
        <w:rPr>
          <w:rFonts w:ascii="Verdana" w:hAnsi="Verdana"/>
        </w:rPr>
      </w:pPr>
      <w:r w:rsidRPr="005B5CB6">
        <w:rPr>
          <w:rFonts w:ascii="Verdana" w:eastAsia="Verdana" w:hAnsi="Verdana" w:cs="Verdana"/>
          <w:i/>
        </w:rPr>
        <w:t xml:space="preserve">Audience segmentation and granular information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This provides marketeers with accurate and narrow identification of individuals based on analysing data from demographics, behaviour and attitudes.   </w:t>
      </w:r>
    </w:p>
    <w:p w:rsidR="00FB0B24" w:rsidRPr="005B5CB6" w:rsidP="001512F6">
      <w:pPr>
        <w:spacing w:after="159"/>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22"/>
        </w:numPr>
        <w:spacing w:after="166" w:line="249" w:lineRule="auto"/>
        <w:ind w:hanging="442"/>
        <w:jc w:val="both"/>
        <w:rPr>
          <w:rFonts w:ascii="Verdana" w:hAnsi="Verdana"/>
        </w:rPr>
      </w:pPr>
      <w:r w:rsidRPr="005B5CB6">
        <w:rPr>
          <w:rFonts w:ascii="Verdana" w:eastAsia="Verdana" w:hAnsi="Verdana" w:cs="Verdana"/>
          <w:i/>
        </w:rPr>
        <w:t xml:space="preserve">Cross-device targeting </w:t>
      </w:r>
    </w:p>
    <w:p w:rsidR="00FB0B24" w:rsidRPr="005B5CB6" w:rsidP="001512F6">
      <w:pPr>
        <w:spacing w:after="168" w:line="249" w:lineRule="auto"/>
        <w:ind w:left="10" w:right="12" w:hanging="9"/>
        <w:jc w:val="both"/>
        <w:rPr>
          <w:rFonts w:ascii="Verdana" w:hAnsi="Verdana"/>
        </w:rPr>
      </w:pPr>
      <w:r w:rsidRPr="005B5CB6">
        <w:rPr>
          <w:rFonts w:ascii="Verdana" w:eastAsia="Verdana" w:hAnsi="Verdana" w:cs="Verdana"/>
        </w:rPr>
        <w:t xml:space="preserve">This allows for reaching individuals with messages at a time and place when they are mostly receptive to it. By being able to track people, rather than devices, political campaigners gain further insights of a voter’s multi-dimensional personality, making profiling far more sophisticated than ever before (Moore and Tambini, 2018). When this is reviewed in the light of IoT, namely all interconnected sensory devices used in each household ranging from Virtual Private Assistants, such as Amazon’s Alexa. </w:t>
      </w:r>
    </w:p>
    <w:p w:rsidR="00FB0B24" w:rsidRPr="005B5CB6" w:rsidP="001512F6">
      <w:pPr>
        <w:spacing w:after="159"/>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22"/>
        </w:numPr>
        <w:spacing w:after="166" w:line="249" w:lineRule="auto"/>
        <w:ind w:hanging="442"/>
        <w:jc w:val="both"/>
        <w:rPr>
          <w:rFonts w:ascii="Verdana" w:hAnsi="Verdana"/>
        </w:rPr>
      </w:pPr>
      <w:r w:rsidRPr="005B5CB6">
        <w:rPr>
          <w:rFonts w:ascii="Verdana" w:eastAsia="Verdana" w:hAnsi="Verdana" w:cs="Verdana"/>
          <w:i/>
        </w:rPr>
        <w:t xml:space="preserve">Sentiment analysis and phychographics    </w:t>
      </w:r>
    </w:p>
    <w:p w:rsidR="00FB0B24" w:rsidRPr="005B5CB6" w:rsidP="001512F6">
      <w:pPr>
        <w:spacing w:after="166" w:line="249" w:lineRule="auto"/>
        <w:ind w:left="10" w:right="12" w:hanging="9"/>
        <w:jc w:val="both"/>
        <w:rPr>
          <w:rFonts w:ascii="Verdana" w:hAnsi="Verdana"/>
        </w:rPr>
      </w:pPr>
      <w:r w:rsidRPr="005B5CB6">
        <w:rPr>
          <w:rFonts w:ascii="Verdana" w:eastAsia="Verdana" w:hAnsi="Verdana" w:cs="Verdana"/>
        </w:rPr>
        <w:t>Sentiment analysis has been predominantly used in data science for analysis of customer feedbacks on products and reviews. They are used to understand user ratings on different kinds of products, hospitality services like travel, hotel bookings. It has also become popular to analyse user tweets</w:t>
      </w:r>
      <w:r w:rsidRPr="005B5CB6">
        <w:rPr>
          <w:rFonts w:ascii="Arial" w:eastAsia="Arial" w:hAnsi="Arial" w:cs="Arial"/>
        </w:rPr>
        <w:t> </w:t>
      </w:r>
      <w:r w:rsidRPr="005B5CB6">
        <w:rPr>
          <w:rFonts w:ascii="Verdana" w:eastAsia="Verdana" w:hAnsi="Verdana" w:cs="Verdana"/>
        </w:rPr>
        <w:t>—</w:t>
      </w:r>
      <w:r w:rsidRPr="005B5CB6">
        <w:rPr>
          <w:rFonts w:ascii="Arial" w:eastAsia="Arial" w:hAnsi="Arial" w:cs="Arial"/>
        </w:rPr>
        <w:t> </w:t>
      </w:r>
      <w:r w:rsidRPr="005B5CB6">
        <w:rPr>
          <w:rFonts w:ascii="Verdana" w:eastAsia="Verdana" w:hAnsi="Verdana" w:cs="Verdana"/>
        </w:rPr>
        <w:t xml:space="preserve">positive, negative or neutral by crawling twitter through APIs. </w:t>
      </w:r>
    </w:p>
    <w:p w:rsidR="00FB0B24" w:rsidRPr="005B5CB6" w:rsidP="001512F6">
      <w:pPr>
        <w:spacing w:after="156"/>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23"/>
        </w:numPr>
        <w:spacing w:after="168" w:line="249" w:lineRule="auto"/>
        <w:ind w:right="12" w:hanging="9"/>
        <w:jc w:val="both"/>
        <w:rPr>
          <w:rFonts w:ascii="Verdana" w:hAnsi="Verdana"/>
        </w:rPr>
      </w:pPr>
      <w:r w:rsidRPr="005B5CB6">
        <w:rPr>
          <w:rFonts w:ascii="Verdana" w:eastAsia="Verdana" w:hAnsi="Verdana" w:cs="Verdana"/>
        </w:rPr>
        <w:t xml:space="preserve">At the same time, AI has proven to be an excellent tool for gaining insights on voting behaviour and behavioral patterns; a good example of this is Mavenoid’s AI test (htpps://ai-valet.se) that allows for real time analysis of a few sample questions before offering tailored ones to participants. This is a step further from the original focus of traditional questionnaires, namely to survey voting intention and promises precision as participants cannot game the system with their answers.  </w:t>
      </w:r>
    </w:p>
    <w:p w:rsidR="00FB0B24" w:rsidRPr="005B5CB6" w:rsidP="001512F6">
      <w:pPr>
        <w:spacing w:after="156"/>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23"/>
        </w:numPr>
        <w:spacing w:after="168" w:line="249" w:lineRule="auto"/>
        <w:ind w:right="12" w:hanging="9"/>
        <w:jc w:val="both"/>
        <w:rPr>
          <w:rFonts w:ascii="Verdana" w:hAnsi="Verdana"/>
        </w:rPr>
      </w:pPr>
      <w:r w:rsidRPr="005B5CB6">
        <w:rPr>
          <w:rFonts w:ascii="Verdana" w:eastAsia="Verdana" w:hAnsi="Verdana" w:cs="Verdana"/>
        </w:rPr>
        <w:t xml:space="preserve">Besides the obvious concerns over the grave privacy intrusions of such practices, there also additional implications for the individual’s autonomy, free will, and uninfluenced decision making, which are far more subtle and thus hardly measurable. Most importantly, the involvement of tech firms in data mining, behavioral analytics and micro-targeting with a view to facilitate governmental </w:t>
      </w:r>
      <w:r w:rsidRPr="005B5CB6">
        <w:rPr>
          <w:rFonts w:ascii="Verdana" w:eastAsia="Verdana" w:hAnsi="Verdana" w:cs="Verdana"/>
        </w:rPr>
        <w:t xml:space="preserve">ambitions for control in exchange for market dominance is a trade-off that establishes an oligopoly of data market players whilst undermining the core essence of democracy: pluralism. </w:t>
      </w:r>
    </w:p>
    <w:p w:rsidR="00FB0B24" w:rsidRPr="005B5CB6" w:rsidP="001512F6">
      <w:pPr>
        <w:spacing w:after="159"/>
        <w:ind w:left="721"/>
        <w:jc w:val="both"/>
        <w:rPr>
          <w:rFonts w:ascii="Verdana" w:hAnsi="Verdana"/>
        </w:rPr>
      </w:pPr>
      <w:r w:rsidRPr="005B5CB6">
        <w:rPr>
          <w:rFonts w:ascii="Verdana" w:eastAsia="Verdana" w:hAnsi="Verdana" w:cs="Verdana"/>
        </w:rPr>
        <w:t xml:space="preserve"> </w:t>
      </w:r>
    </w:p>
    <w:p w:rsidR="00FB0B24" w:rsidRPr="005B5CB6" w:rsidP="001512F6">
      <w:pPr>
        <w:spacing w:after="159"/>
        <w:ind w:left="1"/>
        <w:jc w:val="both"/>
        <w:rPr>
          <w:rFonts w:ascii="Verdana" w:hAnsi="Verdana"/>
        </w:rPr>
      </w:pPr>
      <w:r w:rsidRPr="005B5CB6">
        <w:rPr>
          <w:rFonts w:ascii="Verdana" w:eastAsia="Verdana" w:hAnsi="Verdana" w:cs="Verdana"/>
        </w:rPr>
        <w:t xml:space="preserve"> </w:t>
      </w:r>
    </w:p>
    <w:p w:rsidR="00FB0B24" w:rsidRPr="005B5CB6" w:rsidP="001512F6">
      <w:pPr>
        <w:spacing w:after="165" w:line="250" w:lineRule="auto"/>
        <w:ind w:left="371" w:hanging="10"/>
        <w:jc w:val="both"/>
        <w:rPr>
          <w:rFonts w:ascii="Verdana" w:hAnsi="Verdana"/>
        </w:rPr>
      </w:pPr>
      <w:r w:rsidRPr="005B5CB6">
        <w:rPr>
          <w:rFonts w:ascii="Verdana" w:eastAsia="Verdana" w:hAnsi="Verdana" w:cs="Verdana"/>
          <w:b/>
        </w:rPr>
        <w:t>E.</w:t>
      </w:r>
      <w:r w:rsidRPr="005B5CB6">
        <w:rPr>
          <w:rFonts w:ascii="Verdana" w:eastAsia="Arial" w:hAnsi="Verdana" w:cs="Arial"/>
          <w:b/>
        </w:rPr>
        <w:t xml:space="preserve"> </w:t>
      </w:r>
      <w:r w:rsidRPr="005B5CB6">
        <w:rPr>
          <w:rFonts w:ascii="Verdana" w:eastAsia="Verdana" w:hAnsi="Verdana" w:cs="Verdana"/>
          <w:b/>
        </w:rPr>
        <w:t xml:space="preserve">Outsourcing governance and accountability:  </w:t>
      </w:r>
    </w:p>
    <w:p w:rsidR="00FB0B24" w:rsidRPr="005B5CB6" w:rsidP="001512F6">
      <w:pPr>
        <w:spacing w:after="167" w:line="250" w:lineRule="auto"/>
        <w:ind w:left="371" w:hanging="10"/>
        <w:jc w:val="both"/>
        <w:rPr>
          <w:rFonts w:ascii="Verdana" w:hAnsi="Verdana"/>
        </w:rPr>
      </w:pPr>
      <w:r w:rsidRPr="005B5CB6">
        <w:rPr>
          <w:rFonts w:ascii="Verdana" w:eastAsia="Verdana" w:hAnsi="Verdana" w:cs="Verdana"/>
          <w:b/>
        </w:rPr>
        <w:t xml:space="preserve">AI as a means of addressing the trust deficit in modern politics and governance. </w:t>
      </w:r>
    </w:p>
    <w:p w:rsidR="00FB0B24" w:rsidRPr="005B5CB6" w:rsidP="001512F6">
      <w:pPr>
        <w:spacing w:after="156"/>
        <w:ind w:left="1"/>
        <w:jc w:val="both"/>
        <w:rPr>
          <w:rFonts w:ascii="Verdana" w:hAnsi="Verdana"/>
        </w:rPr>
      </w:pPr>
      <w:r w:rsidRPr="005B5CB6">
        <w:rPr>
          <w:rFonts w:ascii="Verdana" w:eastAsia="Verdana" w:hAnsi="Verdana" w:cs="Verdana"/>
          <w:b/>
        </w:rPr>
        <w:t xml:space="preserve"> </w:t>
      </w:r>
    </w:p>
    <w:p w:rsidR="00FB0B24" w:rsidRPr="005B5CB6" w:rsidP="00575F14">
      <w:pPr>
        <w:numPr>
          <w:ilvl w:val="0"/>
          <w:numId w:val="123"/>
        </w:numPr>
        <w:spacing w:after="5" w:line="249" w:lineRule="auto"/>
        <w:ind w:right="12" w:hanging="9"/>
        <w:jc w:val="both"/>
        <w:rPr>
          <w:rFonts w:ascii="Verdana" w:hAnsi="Verdana"/>
        </w:rPr>
      </w:pPr>
      <w:r w:rsidRPr="005B5CB6">
        <w:rPr>
          <w:rFonts w:ascii="Verdana" w:eastAsia="Verdana" w:hAnsi="Verdana" w:cs="Verdana"/>
        </w:rPr>
        <w:t>The digital era furnishes European democracies with an unprecedented opportunity for participatory democracy: a mostly tech-savvy interconnected community of citizens paired with a supporting legal infrastructure, as evidenced by the EU framework for the Digital Single Market. A 2017 Deloitte survey found that 85% of the UK population have access to a smartphone and this is poised to surpass 92% in the next 3 years</w:t>
      </w:r>
      <w:r>
        <w:rPr>
          <w:rFonts w:ascii="Verdana" w:eastAsia="Verdana" w:hAnsi="Verdana" w:cs="Verdana"/>
          <w:vertAlign w:val="superscript"/>
        </w:rPr>
        <w:footnoteReference w:id="150"/>
      </w:r>
      <w:r w:rsidRPr="005B5CB6">
        <w:rPr>
          <w:rFonts w:ascii="Verdana" w:eastAsia="Verdana" w:hAnsi="Verdana" w:cs="Verdana"/>
        </w:rPr>
        <w:t xml:space="preserve">. Yet at the same time, computational propaganda and the use of AI for micro-targeting and fake content generation and dissemination online have already impacted greatly political discourse. Democracy has become a commercial product in the digital era: marketed for mass consumption and managed by private commercial entities who share clientele with political parties for profit. This has resulted in a trust deficit towards the state, which in turn has de- legitimised traditional governance models. An interesting outcome of this is the paradox of citizens trusting AI driven governance, even if this means limited accountability and transparency. In a 2019 survey by the Centre for Governance of Change at IE University, a quarter of the participants expressed a preference for policy decisions to be made by AI instead of politicians. As noted in the report this highlights the following paradox: “while the public is fearful of advancements in tech, particularly increased automation, one in four Europeans would prefer artificial intelligence to make important to decisions about the running of their country. In nations such as the Netherlands, Germany, and the United Kingdom, the percentage is even higher – one in every three. Amid the vagaries of Brexit and current questions around the European model of representative democracy, the results tellingly reflect significant levels of disillusion towards politicians.”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575F14">
      <w:pPr>
        <w:numPr>
          <w:ilvl w:val="0"/>
          <w:numId w:val="123"/>
        </w:numPr>
        <w:spacing w:after="244" w:line="249" w:lineRule="auto"/>
        <w:ind w:right="12" w:hanging="9"/>
        <w:jc w:val="both"/>
        <w:rPr>
          <w:rFonts w:ascii="Verdana" w:hAnsi="Verdana"/>
        </w:rPr>
      </w:pPr>
      <w:r w:rsidRPr="005B5CB6">
        <w:rPr>
          <w:rFonts w:ascii="Verdana" w:eastAsia="Verdana" w:hAnsi="Verdana" w:cs="Verdana"/>
        </w:rPr>
        <w:t xml:space="preserve">At a first glance this is an alarming prospect, given the inherent bias (Binns 2017; Diakopoulos 2014), opacity (Pasquale 2015), and accountability diffusion (Karanasiou et al 2017) in automated decision making. It should however be viewed as a natural result of a data driven reality that has led to the amalgamation of consumers and voters in a hybrid of e-citizenry: in the same manner, the traditional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45296" name="Group 54529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849" name="Shape 63584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83" style="height:0.6pt;mso-position-horizontal-relative:char;mso-position-vertical-relative:line;width:2in" coordsize="18288,76">
                <v:shape id="_x0000_s1184"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1512F6">
      <w:pPr>
        <w:spacing w:after="168" w:line="249" w:lineRule="auto"/>
        <w:ind w:left="10" w:right="12" w:hanging="9"/>
        <w:jc w:val="both"/>
        <w:rPr>
          <w:rFonts w:ascii="Verdana" w:hAnsi="Verdana"/>
        </w:rPr>
      </w:pPr>
      <w:r w:rsidRPr="005B5CB6">
        <w:rPr>
          <w:rFonts w:ascii="Verdana" w:eastAsia="Verdana" w:hAnsi="Verdana" w:cs="Verdana"/>
        </w:rPr>
        <w:t xml:space="preserve">forms of governance have given way to GovTech, which guarantees direct governance modelled on business principles and fuelled by big data. Businesses have long been relying on algorithms to reach strategic decisions (e.g. in the hiring process), following practices that have been criticised on grounds of privacy intrusion and discrimination (Williams et al 2018) but undeniably hold great potential as well to maximise productivity and innovation (Makridakis 2017). In a similar vein, many European countries welcome the involvement of start-ups in AI enabled governance: take for example Fluicity, the French start-up running a citizen participation crossregional platform, or Familio, the company behind the Danish messaging system between parents and nurseries.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575F14">
      <w:pPr>
        <w:numPr>
          <w:ilvl w:val="0"/>
          <w:numId w:val="123"/>
        </w:numPr>
        <w:spacing w:after="168" w:line="249" w:lineRule="auto"/>
        <w:ind w:right="12" w:hanging="9"/>
        <w:jc w:val="both"/>
        <w:rPr>
          <w:rFonts w:ascii="Verdana" w:hAnsi="Verdana"/>
        </w:rPr>
      </w:pPr>
      <w:r w:rsidRPr="005B5CB6">
        <w:rPr>
          <w:rFonts w:ascii="Verdana" w:eastAsia="Verdana" w:hAnsi="Verdana" w:cs="Verdana"/>
        </w:rPr>
        <w:t>Nonetheless, whereas the main goal of a business entity is profit-making, the public sector has a different bet to win when embracing new technologies: to provide good governance that sustains democracy through (i) accountability and (ii) transparency. The widespread use of algorithmically enabled decision making in social settings has given rise to serious concerns as to potential discrimination and bias encoded inadvertently in the decision. Moreover, the use of machine learning in fields with high levels of accountability -and thus transparency-, such as public administration or law enforcement, highlights the need for a clear interpretability of outputs. The fact that a human operator might be out of the loop in automated decision making, does not preclude that human bias will not part of the result yielded by the machine. The absence of due process and human reasoning exacerbate the already limited accountability and add to the challenge, as often algorithmically driven processes are so complex that their outcomes cannot be explained or foreseen, even by their engineering designers: this is often referred to as the “</w:t>
      </w:r>
      <w:r w:rsidRPr="005B5CB6">
        <w:rPr>
          <w:rFonts w:ascii="Verdana" w:eastAsia="Verdana" w:hAnsi="Verdana" w:cs="Verdana"/>
          <w:i/>
        </w:rPr>
        <w:t>black box</w:t>
      </w:r>
      <w:r w:rsidRPr="005B5CB6">
        <w:rPr>
          <w:rFonts w:ascii="Verdana" w:eastAsia="Verdana" w:hAnsi="Verdana" w:cs="Verdana"/>
        </w:rPr>
        <w:t xml:space="preserve">” in AI.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575F14">
      <w:pPr>
        <w:numPr>
          <w:ilvl w:val="0"/>
          <w:numId w:val="123"/>
        </w:numPr>
        <w:spacing w:after="168" w:line="249" w:lineRule="auto"/>
        <w:ind w:right="12" w:hanging="9"/>
        <w:jc w:val="both"/>
        <w:rPr>
          <w:rFonts w:ascii="Verdana" w:hAnsi="Verdana"/>
        </w:rPr>
      </w:pPr>
      <w:r w:rsidRPr="005B5CB6">
        <w:rPr>
          <w:rFonts w:ascii="Verdana" w:eastAsia="Verdana" w:hAnsi="Verdana" w:cs="Verdana"/>
        </w:rPr>
        <w:t xml:space="preserve">To this end, the EU General Data Protection Regulation (GDPR) includes a series of provisions, often referred to as a “right to explanation”. These are art 22 GDPR, which addresses automated individual decision making and articles 13, 14, and 15 GDPR, which focus on transparency rights around automated decision-making and profiling. Article 22 GDPR reserves a “right not to be subject to a decision based solely on automated processing”, when this decision produces “legal effects” or “similarly significant” effects on the individual. Articles 13-15 GDPR involve a series of notification rights when information is collected from the individual (art 13) or from third parties (art 14) and the right to access this information at any moment in time (art 15), providing thereby “meaningful information about the logic involved”. Further to this, Recital 71 reserves for the data subject the right “to obtain an explanation of the decision reached after such assessment and to challenge the decision”, where an automated decision has been met that produces legal effects or similarly significantly affecting the individual. Although Recital 71 is not legally binding, it does however provide guidance as to how relevant articles in the GDPR should be interpreted.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23"/>
        </w:numPr>
        <w:spacing w:after="168" w:line="249" w:lineRule="auto"/>
        <w:ind w:right="12" w:hanging="9"/>
        <w:jc w:val="both"/>
        <w:rPr>
          <w:rFonts w:ascii="Verdana" w:hAnsi="Verdana"/>
        </w:rPr>
      </w:pPr>
      <w:r w:rsidRPr="005B5CB6">
        <w:rPr>
          <w:rFonts w:ascii="Verdana" w:eastAsia="Verdana" w:hAnsi="Verdana" w:cs="Verdana"/>
        </w:rPr>
        <w:t xml:space="preserve">There is growing criticism as to whether a mathematically interpretable model would suffice to account for an automated decision and guarantee transparency in automated decision making. Alternative approaches include </w:t>
      </w:r>
      <w:r w:rsidRPr="005B5CB6">
        <w:rPr>
          <w:rFonts w:ascii="Verdana" w:eastAsia="Verdana" w:hAnsi="Verdana" w:cs="Verdana"/>
          <w:i/>
        </w:rPr>
        <w:t>ex</w:t>
      </w:r>
      <w:r w:rsidRPr="005B5CB6">
        <w:rPr>
          <w:rFonts w:ascii="Verdana" w:eastAsia="Verdana" w:hAnsi="Verdana" w:cs="Verdana"/>
        </w:rPr>
        <w:t xml:space="preserve"> </w:t>
      </w:r>
      <w:r w:rsidRPr="005B5CB6">
        <w:rPr>
          <w:rFonts w:ascii="Verdana" w:eastAsia="Verdana" w:hAnsi="Verdana" w:cs="Verdana"/>
          <w:i/>
        </w:rPr>
        <w:t>post</w:t>
      </w:r>
      <w:r w:rsidRPr="005B5CB6">
        <w:rPr>
          <w:rFonts w:ascii="Verdana" w:eastAsia="Verdana" w:hAnsi="Verdana" w:cs="Verdana"/>
        </w:rPr>
        <w:t xml:space="preserve"> auditing and focus on the processes around Machine Learning models rather than examining the models themselves, which can be inscrutable and non-intuitive (Selbst &amp; Barocas, 2018). </w:t>
      </w:r>
    </w:p>
    <w:p w:rsidR="00FB0B24" w:rsidRPr="005B5CB6" w:rsidP="001512F6">
      <w:pPr>
        <w:spacing w:after="156"/>
        <w:ind w:left="721"/>
        <w:jc w:val="both"/>
        <w:rPr>
          <w:rFonts w:ascii="Verdana" w:hAnsi="Verdana"/>
        </w:rPr>
      </w:pPr>
      <w:r w:rsidRPr="005B5CB6">
        <w:rPr>
          <w:rFonts w:ascii="Verdana" w:eastAsia="Verdana" w:hAnsi="Verdana" w:cs="Verdana"/>
        </w:rPr>
        <w:t xml:space="preserve"> </w:t>
      </w:r>
    </w:p>
    <w:p w:rsidR="00FB0B24" w:rsidRPr="005B5CB6" w:rsidP="00575F14">
      <w:pPr>
        <w:numPr>
          <w:ilvl w:val="0"/>
          <w:numId w:val="123"/>
        </w:numPr>
        <w:spacing w:after="168" w:line="249" w:lineRule="auto"/>
        <w:ind w:right="12" w:hanging="9"/>
        <w:jc w:val="both"/>
        <w:rPr>
          <w:rFonts w:ascii="Verdana" w:hAnsi="Verdana"/>
        </w:rPr>
      </w:pPr>
      <w:r w:rsidRPr="005B5CB6">
        <w:rPr>
          <w:rFonts w:ascii="Verdana" w:eastAsia="Verdana" w:hAnsi="Verdana" w:cs="Verdana"/>
        </w:rPr>
        <w:t>As such, the reliance of public administration on machine learning and automated decision-making would not lead to a Kafkaesque dystopia, provided that legal mechanisms guaranteeing due process (Coglianese et al 2016) and intelligibility are in place. In this vein, the GDPR’s provisions for a right to an explanation (art 22) and information (art 15) on automated decision making provide some scrutiny tools, yet these are not sufficient (Wachter et al 2017) and need better and clearer legal grounding; a good example in this direction is the French Digital Republique Act (</w:t>
      </w:r>
      <w:r w:rsidRPr="005B5CB6">
        <w:rPr>
          <w:rFonts w:ascii="Verdana" w:eastAsia="Verdana" w:hAnsi="Verdana" w:cs="Verdana"/>
          <w:i/>
        </w:rPr>
        <w:t>loi pour une Republique numerique  no. 2016-1321</w:t>
      </w:r>
      <w:r w:rsidRPr="005B5CB6">
        <w:rPr>
          <w:rFonts w:ascii="Verdana" w:eastAsia="Verdana" w:hAnsi="Verdana" w:cs="Verdana"/>
        </w:rPr>
        <w:t xml:space="preserve">), which paired with FOIAs allows for transparent AI enabled public administration (Edwards et al 2018). </w:t>
      </w:r>
    </w:p>
    <w:p w:rsidR="00FB0B24" w:rsidRPr="005B5CB6" w:rsidP="001512F6">
      <w:pPr>
        <w:spacing w:after="156"/>
        <w:ind w:left="1"/>
        <w:jc w:val="both"/>
        <w:rPr>
          <w:rFonts w:ascii="Verdana" w:hAnsi="Verdana"/>
        </w:rPr>
      </w:pPr>
      <w:r w:rsidRPr="005B5CB6">
        <w:rPr>
          <w:rFonts w:ascii="Verdana" w:eastAsia="Verdana" w:hAnsi="Verdana" w:cs="Verdana"/>
        </w:rPr>
        <w:t xml:space="preserve"> </w:t>
      </w:r>
    </w:p>
    <w:p w:rsidR="00FB0B24" w:rsidRPr="005B5CB6" w:rsidP="001512F6">
      <w:pPr>
        <w:spacing w:after="159"/>
        <w:ind w:left="1"/>
        <w:jc w:val="both"/>
        <w:rPr>
          <w:rFonts w:ascii="Verdana" w:hAnsi="Verdana"/>
        </w:rPr>
      </w:pPr>
      <w:r w:rsidRPr="005B5CB6">
        <w:rPr>
          <w:rFonts w:ascii="Verdana" w:eastAsia="Verdana" w:hAnsi="Verdana" w:cs="Verdana"/>
        </w:rPr>
        <w:t xml:space="preserve"> </w:t>
      </w:r>
    </w:p>
    <w:p w:rsidR="00FB0B24" w:rsidRPr="005B5CB6" w:rsidP="001512F6">
      <w:pPr>
        <w:spacing w:after="165" w:line="250" w:lineRule="auto"/>
        <w:ind w:left="11" w:hanging="10"/>
        <w:jc w:val="both"/>
        <w:rPr>
          <w:rFonts w:ascii="Verdana" w:hAnsi="Verdana"/>
        </w:rPr>
      </w:pPr>
      <w:r w:rsidRPr="005B5CB6">
        <w:rPr>
          <w:rFonts w:ascii="Verdana" w:eastAsia="Verdana" w:hAnsi="Verdana" w:cs="Verdana"/>
          <w:b/>
        </w:rPr>
        <w:t xml:space="preserve">Bibliography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Alva, A et al (2017), “Cross-Device Tracking: Measurement and Disclosures”, </w:t>
      </w:r>
    </w:p>
    <w:p w:rsidR="00FB0B24" w:rsidRPr="005B5CB6" w:rsidP="001512F6">
      <w:pPr>
        <w:spacing w:after="163" w:line="250" w:lineRule="auto"/>
        <w:ind w:left="23" w:right="11" w:hanging="8"/>
        <w:jc w:val="both"/>
        <w:rPr>
          <w:rFonts w:ascii="Verdana" w:hAnsi="Verdana"/>
        </w:rPr>
      </w:pPr>
      <w:r w:rsidRPr="005B5CB6">
        <w:rPr>
          <w:rFonts w:ascii="Verdana" w:eastAsia="Verdana" w:hAnsi="Verdana" w:cs="Verdana"/>
        </w:rPr>
        <w:t xml:space="preserve">Proceedings on Privacy Enhancing Technologies, Volume 2017, Issue 2 </w:t>
      </w:r>
    </w:p>
    <w:p w:rsidR="00FB0B24" w:rsidRPr="005B5CB6" w:rsidP="001512F6">
      <w:pPr>
        <w:spacing w:after="165" w:line="250" w:lineRule="auto"/>
        <w:ind w:left="23" w:right="496" w:hanging="8"/>
        <w:jc w:val="both"/>
        <w:rPr>
          <w:rFonts w:ascii="Verdana" w:hAnsi="Verdana"/>
        </w:rPr>
      </w:pPr>
      <w:r w:rsidRPr="005B5CB6">
        <w:rPr>
          <w:rFonts w:ascii="Verdana" w:eastAsia="Verdana" w:hAnsi="Verdana" w:cs="Verdana"/>
        </w:rPr>
        <w:t xml:space="preserve">Aro, J. (2016), “The cyberspace war: propaganda and trolling as warfare tools”, European View, </w:t>
      </w:r>
      <w:r w:rsidRPr="005B5CB6">
        <w:rPr>
          <w:rFonts w:ascii="Verdana" w:eastAsia="Verdana" w:hAnsi="Verdana" w:cs="Verdana"/>
          <w:i/>
        </w:rPr>
        <w:t>15</w:t>
      </w:r>
      <w:r w:rsidRPr="005B5CB6">
        <w:rPr>
          <w:rFonts w:ascii="Verdana" w:eastAsia="Verdana" w:hAnsi="Verdana" w:cs="Verdana"/>
        </w:rPr>
        <w:t xml:space="preserve">(1), 121-132. </w:t>
      </w:r>
    </w:p>
    <w:p w:rsidR="00FB0B24" w:rsidRPr="005B5CB6" w:rsidP="001512F6">
      <w:pPr>
        <w:spacing w:after="165" w:line="250" w:lineRule="auto"/>
        <w:ind w:left="23" w:right="727" w:hanging="8"/>
        <w:jc w:val="both"/>
        <w:rPr>
          <w:rFonts w:ascii="Verdana" w:hAnsi="Verdana"/>
        </w:rPr>
      </w:pPr>
      <w:r w:rsidRPr="005B5CB6">
        <w:rPr>
          <w:rFonts w:ascii="Verdana" w:eastAsia="Verdana" w:hAnsi="Verdana" w:cs="Verdana"/>
        </w:rPr>
        <w:t xml:space="preserve">Bartlett, J., Smith, J., &amp; Acton, R. (2018). The future of political campaigning. Demos. Available at www. demos. co. uk/project/the-futureofpolitical-campaigning/, &lt;accessed 10/06/2019&gt;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Becker, S. O. and Fetzer, T. (2016), “Does Migration Cause Extreme Voting?”, Warwick Working Paper Series 306.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Binns, R. (2017) “Algorithmic Accountability and Public Reason”, Philosophy &amp; Technology 1, 4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Birnhack, M. D., &amp; Elkin-Koren, N. (2003) “The invisible handshake: The reemergence of the state in the digital environment” </w:t>
      </w:r>
      <w:r w:rsidRPr="005B5CB6">
        <w:rPr>
          <w:rFonts w:ascii="Verdana" w:eastAsia="Verdana" w:hAnsi="Verdana" w:cs="Verdana"/>
          <w:i/>
        </w:rPr>
        <w:t>Va. JL &amp; Tech.</w:t>
      </w:r>
      <w:r w:rsidRPr="005B5CB6">
        <w:rPr>
          <w:rFonts w:ascii="Verdana" w:eastAsia="Verdana" w:hAnsi="Verdana" w:cs="Verdana"/>
        </w:rPr>
        <w:t xml:space="preserve">, </w:t>
      </w:r>
      <w:r w:rsidRPr="005B5CB6">
        <w:rPr>
          <w:rFonts w:ascii="Verdana" w:eastAsia="Verdana" w:hAnsi="Verdana" w:cs="Verdana"/>
          <w:i/>
        </w:rPr>
        <w:t>8</w:t>
      </w:r>
      <w:r w:rsidRPr="005B5CB6">
        <w:rPr>
          <w:rFonts w:ascii="Verdana" w:eastAsia="Verdana" w:hAnsi="Verdana" w:cs="Verdana"/>
        </w:rPr>
        <w:t xml:space="preserve">, 1. </w:t>
      </w:r>
    </w:p>
    <w:p w:rsidR="00FB0B24" w:rsidRPr="005B5CB6" w:rsidP="001512F6">
      <w:pPr>
        <w:spacing w:after="165" w:line="249" w:lineRule="auto"/>
        <w:ind w:left="10" w:hanging="10"/>
        <w:jc w:val="both"/>
        <w:rPr>
          <w:rFonts w:ascii="Verdana" w:hAnsi="Verdana"/>
        </w:rPr>
      </w:pPr>
      <w:r w:rsidRPr="005B5CB6">
        <w:rPr>
          <w:rFonts w:ascii="Verdana" w:eastAsia="Verdana" w:hAnsi="Verdana" w:cs="Verdana"/>
        </w:rPr>
        <w:t xml:space="preserve">Bloom, P., &amp; Sancino, A. (2019) </w:t>
      </w:r>
      <w:r w:rsidRPr="005B5CB6">
        <w:rPr>
          <w:rFonts w:ascii="Verdana" w:eastAsia="Verdana" w:hAnsi="Verdana" w:cs="Verdana"/>
          <w:i/>
        </w:rPr>
        <w:t>Disruptive Democracy: The Clash Between TechnoPopulism and Techno-Democracy</w:t>
      </w:r>
      <w:r w:rsidRPr="005B5CB6">
        <w:rPr>
          <w:rFonts w:ascii="Verdana" w:eastAsia="Verdana" w:hAnsi="Verdana" w:cs="Verdana"/>
        </w:rPr>
        <w:t xml:space="preserve">. SAGE Publications Limited.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Blumler, J. G., &amp; Coleman, S. (2001). </w:t>
      </w:r>
      <w:r w:rsidRPr="005B5CB6">
        <w:rPr>
          <w:rFonts w:ascii="Verdana" w:eastAsia="Verdana" w:hAnsi="Verdana" w:cs="Verdana"/>
          <w:i/>
        </w:rPr>
        <w:t>Realising democracy online: A civic commons in cyberspace</w:t>
      </w:r>
      <w:r w:rsidRPr="005B5CB6">
        <w:rPr>
          <w:rFonts w:ascii="Verdana" w:eastAsia="Verdana" w:hAnsi="Verdana" w:cs="Verdana"/>
        </w:rPr>
        <w:t xml:space="preserve"> (Vol. 2). London: IPPR.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Brunner, B. and A. Kuhn (2014), “Immigration, Cultural Distance and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Natives`Attitudes Towards Immigration: Evidence from Swiss Voting Results”, IZA Discussion Papers 8409 , https://papers.ssrn.com/sol3/ papers.cfm?abstract_id=2492436. &lt;accessed 10/06/2019&gt;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Cadwalladr, C. (2017). The great British Brexit robbery: how our democracy was hijacked. The Guardian, 7, available at </w:t>
      </w:r>
    </w:p>
    <w:p w:rsidR="00FB0B24" w:rsidRPr="005B5CB6" w:rsidP="001512F6">
      <w:pPr>
        <w:spacing w:after="166" w:line="249" w:lineRule="auto"/>
        <w:ind w:left="-4" w:hanging="10"/>
        <w:jc w:val="both"/>
        <w:rPr>
          <w:rFonts w:ascii="Verdana" w:hAnsi="Verdana"/>
        </w:rPr>
      </w:pPr>
      <w:r>
        <w:fldChar w:fldCharType="begin"/>
      </w:r>
      <w:r>
        <w:instrText xml:space="preserve"> HYPERLINK "https://www.theguardian.com/technology/2017/may/07/the-great-british-brexit-robbery-hijacked-democracy," </w:instrText>
      </w:r>
      <w:r>
        <w:fldChar w:fldCharType="separate"/>
      </w:r>
      <w:r w:rsidRPr="005B5CB6" w:rsidR="00A72806">
        <w:rPr>
          <w:rFonts w:ascii="Verdana" w:eastAsia="Verdana" w:hAnsi="Verdana" w:cs="Verdana"/>
          <w:u w:val="single" w:color="000000"/>
        </w:rPr>
        <w:t>https://www.theguardian.com/technology/2017/may/07/the-great-british-brexit</w:t>
      </w:r>
      <w:r>
        <w:fldChar w:fldCharType="end"/>
      </w:r>
      <w:r>
        <w:fldChar w:fldCharType="begin"/>
      </w:r>
      <w:r>
        <w:instrText xml:space="preserve"> HYPERLINK "https://www.theguardian.com/technology/2017/may/07/the-great-british-brexit-robbery-hijacked-democracy," </w:instrText>
      </w:r>
      <w:r>
        <w:fldChar w:fldCharType="separate"/>
      </w:r>
      <w:r w:rsidRPr="005B5CB6" w:rsidR="00A72806">
        <w:rPr>
          <w:rFonts w:ascii="Verdana" w:eastAsia="Verdana" w:hAnsi="Verdana" w:cs="Verdana"/>
          <w:u w:val="single" w:color="000000"/>
        </w:rPr>
        <w:t>robbery-hijacked-democracy,</w:t>
      </w:r>
      <w:r>
        <w:fldChar w:fldCharType="end"/>
      </w:r>
      <w:r>
        <w:fldChar w:fldCharType="begin"/>
      </w:r>
      <w:r>
        <w:instrText xml:space="preserve"> HYPERLINK "https://www.theguardian.com/technology/2017/may/07/the-great-british-brexit-robbery-hijacked-democracy,"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&lt;accessed 10/06/2019&gt; </w:t>
      </w:r>
    </w:p>
    <w:p w:rsidR="00FB0B24" w:rsidRPr="005B5CB6" w:rsidP="001512F6">
      <w:pPr>
        <w:spacing w:after="166" w:line="250" w:lineRule="auto"/>
        <w:ind w:left="23" w:right="11" w:hanging="8"/>
        <w:jc w:val="both"/>
        <w:rPr>
          <w:rFonts w:ascii="Verdana" w:hAnsi="Verdana"/>
        </w:rPr>
      </w:pPr>
      <w:r w:rsidRPr="005B5CB6">
        <w:rPr>
          <w:rFonts w:ascii="Verdana" w:eastAsia="Verdana" w:hAnsi="Verdana" w:cs="Verdana"/>
        </w:rPr>
        <w:t xml:space="preserve">Cammaerts, B., &amp; Audenhove, L. V. (2005) “Online political debate, unbounded citizenship, and the problematic nature of a transnational public sphere.” Political communication, </w:t>
      </w:r>
      <w:r w:rsidRPr="005B5CB6">
        <w:rPr>
          <w:rFonts w:ascii="Verdana" w:eastAsia="Verdana" w:hAnsi="Verdana" w:cs="Verdana"/>
          <w:i/>
        </w:rPr>
        <w:t>22</w:t>
      </w:r>
      <w:r w:rsidRPr="005B5CB6">
        <w:rPr>
          <w:rFonts w:ascii="Verdana" w:eastAsia="Verdana" w:hAnsi="Verdana" w:cs="Verdana"/>
        </w:rPr>
        <w:t xml:space="preserve">(2), 179-196.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Carter, L., &amp; Bélanger, F. (2005) “The utilization of e</w:t>
      </w:r>
      <w:r w:rsidRPr="005B5CB6">
        <w:rPr>
          <w:rFonts w:ascii="Cambria Math" w:eastAsia="Cambria Math" w:hAnsi="Cambria Math" w:cs="Cambria Math"/>
        </w:rPr>
        <w:t>‐</w:t>
      </w:r>
      <w:r w:rsidRPr="005B5CB6">
        <w:rPr>
          <w:rFonts w:ascii="Verdana" w:eastAsia="Verdana" w:hAnsi="Verdana" w:cs="Verdana"/>
        </w:rPr>
        <w:t xml:space="preserve">government services: citizen trust, innovation and acceptance factors.” Information systems journal, </w:t>
      </w:r>
      <w:r w:rsidRPr="005B5CB6">
        <w:rPr>
          <w:rFonts w:ascii="Verdana" w:eastAsia="Verdana" w:hAnsi="Verdana" w:cs="Verdana"/>
          <w:i/>
        </w:rPr>
        <w:t>15</w:t>
      </w:r>
      <w:r w:rsidRPr="005B5CB6">
        <w:rPr>
          <w:rFonts w:ascii="Verdana" w:eastAsia="Verdana" w:hAnsi="Verdana" w:cs="Verdana"/>
        </w:rPr>
        <w:t>(1), 5-</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25.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De Blasio, E., &amp; Sorice, M. (2018) “Populism between direct democracy and the technological myth.” Palgrave Communications, </w:t>
      </w:r>
      <w:r w:rsidRPr="005B5CB6">
        <w:rPr>
          <w:rFonts w:ascii="Verdana" w:eastAsia="Verdana" w:hAnsi="Verdana" w:cs="Verdana"/>
          <w:i/>
        </w:rPr>
        <w:t>4</w:t>
      </w:r>
      <w:r w:rsidRPr="005B5CB6">
        <w:rPr>
          <w:rFonts w:ascii="Verdana" w:eastAsia="Verdana" w:hAnsi="Verdana" w:cs="Verdana"/>
        </w:rPr>
        <w:t xml:space="preserve">(1), 15.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Diakopoulos, N, (2014) “Algorithmic Accountability Reporting: On the Investigation of Black Boxes” (Tow Center for Digital Journalism), Report available at </w:t>
      </w:r>
      <w:r>
        <w:fldChar w:fldCharType="begin"/>
      </w:r>
      <w:r>
        <w:instrText xml:space="preserve"> HYPERLINK "https://academiccommons.columbia.edu/doi/10.7916/D8ZK5TW2," </w:instrText>
      </w:r>
      <w:r>
        <w:fldChar w:fldCharType="separate"/>
      </w:r>
      <w:r w:rsidRPr="005B5CB6">
        <w:rPr>
          <w:rFonts w:ascii="Verdana" w:eastAsia="Verdana" w:hAnsi="Verdana" w:cs="Verdana"/>
          <w:u w:val="single" w:color="000000"/>
        </w:rPr>
        <w:t>https://academiccommons.columbia.edu/doi/10.7916/D8ZK5TW2,</w:t>
      </w:r>
      <w:r>
        <w:fldChar w:fldCharType="end"/>
      </w:r>
      <w:r>
        <w:fldChar w:fldCharType="begin"/>
      </w:r>
      <w:r>
        <w:instrText xml:space="preserve"> HYPERLINK "https://academiccommons.columbia.edu/doi/10.7916/D8ZK5TW2,"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&lt;accessed 10/06/2019&gt;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Dustmann, C., K. Vasiljeva and A. Piil (n.d.), “Refugee Migration and Electoral Outcomes”, CReAM Discussion Paper Series CPD 19/16, available online at </w:t>
      </w:r>
      <w:r>
        <w:fldChar w:fldCharType="begin"/>
      </w:r>
      <w:r>
        <w:instrText xml:space="preserve"> HYPERLINK "https://doi.org/10.1016/S1043-2760(97)84344-5" </w:instrText>
      </w:r>
      <w:r>
        <w:fldChar w:fldCharType="separate"/>
      </w:r>
      <w:r w:rsidRPr="005B5CB6">
        <w:rPr>
          <w:rFonts w:ascii="Verdana" w:eastAsia="Verdana" w:hAnsi="Verdana" w:cs="Verdana"/>
          <w:u w:val="single" w:color="000000"/>
        </w:rPr>
        <w:t>https://doi.org/10.1016/S1043-2760(97)84344-5</w:t>
      </w:r>
      <w:r>
        <w:fldChar w:fldCharType="end"/>
      </w:r>
      <w:r>
        <w:fldChar w:fldCharType="begin"/>
      </w:r>
      <w:r>
        <w:instrText xml:space="preserve"> HYPERLINK "https://doi.org/10.1016/S1043-2760(97)84344-5"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&lt;accessed 10/06/2019&gt;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Edwards, L., &amp; Veale, M. (2018) “Enslaving the Algorithm: From a “Right to an Explanation” to a “Right to Better Decisions”?” IEEE Security &amp; Privacy, 16(3), 46-</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54.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European Commission and Content and Technology Directorate-General for Communication Networks, A MultiDimensional Approach to Disinformation: Report of the Independent High-Level Group on Fake News and Online Disinformation. (2018) 12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Halla, M., A. F. Wagner and J. Zweimüller (2017), “Immigration and Voting for the Far Right”, Journal of the European Economic Association, </w:t>
      </w:r>
      <w:r>
        <w:fldChar w:fldCharType="begin"/>
      </w:r>
      <w:r>
        <w:instrText xml:space="preserve"> HYPERLINK "https://doi.org/http:/dx.doi.org/10.2139/ssrn.2103623" </w:instrText>
      </w:r>
      <w:r>
        <w:fldChar w:fldCharType="separate"/>
      </w:r>
      <w:r w:rsidRPr="005B5CB6">
        <w:rPr>
          <w:rFonts w:ascii="Verdana" w:eastAsia="Verdana" w:hAnsi="Verdana" w:cs="Verdana"/>
          <w:u w:val="single" w:color="000000"/>
        </w:rPr>
        <w:t>https://doi.org/http://dx.doi.org/10.2139/ssrn.2103623</w:t>
      </w:r>
      <w:r>
        <w:fldChar w:fldCharType="end"/>
      </w:r>
      <w:r>
        <w:fldChar w:fldCharType="begin"/>
      </w:r>
      <w:r>
        <w:instrText xml:space="preserve"> HYPERLINK "https://doi.org/http:/dx.doi.org/10.2139/ssrn.2103623"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Hintz, A., &amp; Brown, I. (2017). “Digital Citizenship and Surveillance| Enabling Digital Citizenship? The Reshaping of Surveillance Policy After Snowden”, International Journal of Communication, 11, 20.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Howard, P., &amp; Wooley, S. (2016), “Political Communication, Computational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Propaganda, and Autonomous Agents”, International Journal of Communication 10, 20 </w:t>
      </w:r>
    </w:p>
    <w:p w:rsidR="00FB0B24" w:rsidRPr="005B5CB6" w:rsidP="001512F6">
      <w:pPr>
        <w:spacing w:after="165" w:line="250" w:lineRule="auto"/>
        <w:ind w:left="23" w:right="238" w:hanging="8"/>
        <w:jc w:val="both"/>
        <w:rPr>
          <w:rFonts w:ascii="Verdana" w:hAnsi="Verdana"/>
        </w:rPr>
      </w:pPr>
      <w:r w:rsidRPr="005B5CB6">
        <w:rPr>
          <w:rFonts w:ascii="Verdana" w:eastAsia="Verdana" w:hAnsi="Verdana" w:cs="Verdana"/>
        </w:rPr>
        <w:t xml:space="preserve">Karanasiou, A. P., &amp; Pinotsis, D. A. (2017), “A study into the layers of automated decision-making: emergent normative and legal aspects of deep learning.” International Review of Law, Computers &amp; Technology, </w:t>
      </w:r>
      <w:r w:rsidRPr="005B5CB6">
        <w:rPr>
          <w:rFonts w:ascii="Verdana" w:eastAsia="Verdana" w:hAnsi="Verdana" w:cs="Verdana"/>
          <w:i/>
        </w:rPr>
        <w:t>31</w:t>
      </w:r>
      <w:r w:rsidRPr="005B5CB6">
        <w:rPr>
          <w:rFonts w:ascii="Verdana" w:eastAsia="Verdana" w:hAnsi="Verdana" w:cs="Verdana"/>
        </w:rPr>
        <w:t xml:space="preserve">(2), 170-187.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Makridakis, S. (2017). “The forthcoming Artificial Intelligence (AI) revolution: Its impact on society and firms.” Futures, 90, 46-60.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Moore, M., &amp; Tambini, D. (Eds.). (2018). </w:t>
      </w:r>
      <w:r w:rsidRPr="005B5CB6">
        <w:rPr>
          <w:rFonts w:ascii="Verdana" w:eastAsia="Verdana" w:hAnsi="Verdana" w:cs="Verdana"/>
          <w:i/>
        </w:rPr>
        <w:t>Digital dominance: the power of Google, Amazon, Facebook, and Apple</w:t>
      </w:r>
      <w:r w:rsidRPr="005B5CB6">
        <w:rPr>
          <w:rFonts w:ascii="Verdana" w:eastAsia="Verdana" w:hAnsi="Verdana" w:cs="Verdana"/>
        </w:rPr>
        <w:t xml:space="preserve">. Oxford University Press.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OECD Report (2003) Promise and Problems of E-Democracy, available online at </w:t>
      </w:r>
      <w:r>
        <w:fldChar w:fldCharType="begin"/>
      </w:r>
      <w:r>
        <w:instrText xml:space="preserve"> HYPERLINK "http://www.oecd.org/gov/digital-government/35176328.pdf" </w:instrText>
      </w:r>
      <w:r>
        <w:fldChar w:fldCharType="separate"/>
      </w:r>
      <w:r w:rsidRPr="005B5CB6">
        <w:rPr>
          <w:rFonts w:ascii="Verdana" w:eastAsia="Verdana" w:hAnsi="Verdana" w:cs="Verdana"/>
          <w:u w:val="single" w:color="000000"/>
        </w:rPr>
        <w:t>http://www.oecd.org/gov/digital-government/35176328.pdf</w:t>
      </w:r>
      <w:r>
        <w:fldChar w:fldCharType="end"/>
      </w:r>
      <w:r>
        <w:fldChar w:fldCharType="begin"/>
      </w:r>
      <w:r>
        <w:instrText xml:space="preserve"> HYPERLINK "http://www.oecd.org/gov/digital-government/35176328.pdf"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&lt;accessed 10/06/2019&gt;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Parent, M., Vandebeek, C. A., &amp; Gemino, A. C. (2005). Building citizen trust through e-government. </w:t>
      </w:r>
      <w:r w:rsidRPr="005B5CB6">
        <w:rPr>
          <w:rFonts w:ascii="Verdana" w:eastAsia="Verdana" w:hAnsi="Verdana" w:cs="Verdana"/>
          <w:i/>
        </w:rPr>
        <w:t>Government Information Quarterly</w:t>
      </w:r>
      <w:r w:rsidRPr="005B5CB6">
        <w:rPr>
          <w:rFonts w:ascii="Verdana" w:eastAsia="Verdana" w:hAnsi="Verdana" w:cs="Verdana"/>
        </w:rPr>
        <w:t xml:space="preserve">, </w:t>
      </w:r>
      <w:r w:rsidRPr="005B5CB6">
        <w:rPr>
          <w:rFonts w:ascii="Verdana" w:eastAsia="Verdana" w:hAnsi="Verdana" w:cs="Verdana"/>
          <w:i/>
        </w:rPr>
        <w:t>22</w:t>
      </w:r>
      <w:r w:rsidRPr="005B5CB6">
        <w:rPr>
          <w:rFonts w:ascii="Verdana" w:eastAsia="Verdana" w:hAnsi="Verdana" w:cs="Verdana"/>
        </w:rPr>
        <w:t xml:space="preserve">(4), 720-736.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rPr>
        <w:t xml:space="preserve">Pasquale, F. (2015) </w:t>
      </w:r>
      <w:r w:rsidRPr="005B5CB6">
        <w:rPr>
          <w:rFonts w:ascii="Verdana" w:eastAsia="Verdana" w:hAnsi="Verdana" w:cs="Verdana"/>
          <w:i/>
        </w:rPr>
        <w:t xml:space="preserve">The Black Box Society: The Secret Algorithms That Control </w:t>
      </w:r>
    </w:p>
    <w:p w:rsidR="00FB0B24" w:rsidRPr="005B5CB6" w:rsidP="001512F6">
      <w:pPr>
        <w:spacing w:after="163" w:line="250" w:lineRule="auto"/>
        <w:ind w:left="23" w:right="11" w:hanging="8"/>
        <w:jc w:val="both"/>
        <w:rPr>
          <w:rFonts w:ascii="Verdana" w:hAnsi="Verdana"/>
        </w:rPr>
      </w:pPr>
      <w:r w:rsidRPr="005B5CB6">
        <w:rPr>
          <w:rFonts w:ascii="Verdana" w:eastAsia="Verdana" w:hAnsi="Verdana" w:cs="Verdana"/>
          <w:i/>
        </w:rPr>
        <w:t>Money and Information,</w:t>
      </w:r>
      <w:r w:rsidRPr="005B5CB6">
        <w:rPr>
          <w:rFonts w:ascii="Verdana" w:eastAsia="Verdana" w:hAnsi="Verdana" w:cs="Verdana"/>
        </w:rPr>
        <w:t xml:space="preserve"> Harvard University Press 2015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Philip N. H, Woolley S, and Calo, R. (2018)"Algorithms, bots, and political communication in the US 2016 election: The challenge of automated political communication for election law and administration." Journal of information technology &amp; politics15.2, 81-93.</w:t>
      </w:r>
      <w:r w:rsidRPr="005B5CB6">
        <w:rPr>
          <w:rFonts w:ascii="Verdana" w:eastAsia="Verdana" w:hAnsi="Verdana" w:cs="Verdana"/>
          <w:b/>
        </w:rPr>
        <w:t xml:space="preserve"> </w:t>
      </w:r>
    </w:p>
    <w:p w:rsidR="00FB0B24" w:rsidRPr="005B5CB6" w:rsidP="001512F6">
      <w:pPr>
        <w:spacing w:after="163" w:line="250" w:lineRule="auto"/>
        <w:ind w:left="23" w:right="11" w:hanging="8"/>
        <w:jc w:val="both"/>
        <w:rPr>
          <w:rFonts w:ascii="Verdana" w:hAnsi="Verdana"/>
        </w:rPr>
      </w:pPr>
      <w:r w:rsidRPr="005B5CB6">
        <w:rPr>
          <w:rFonts w:ascii="Verdana" w:eastAsia="Verdana" w:hAnsi="Verdana" w:cs="Verdana"/>
        </w:rPr>
        <w:t xml:space="preserve">Sekeris, P. and C. Vasilakis (2016), “The Mediterranean Refugees Crisis and Extreme Right Parties: Evidence from Greece”, MPRA Paper 72222, 1–14. </w:t>
      </w:r>
      <w:r>
        <w:fldChar w:fldCharType="begin"/>
      </w:r>
      <w:r>
        <w:instrText xml:space="preserve"> HYPERLINK "https://mpra.ub.uni-muenchen.de/72222/1/MPRA_paper_72222.pdf" </w:instrText>
      </w:r>
      <w:r>
        <w:fldChar w:fldCharType="separate"/>
      </w:r>
      <w:r w:rsidRPr="005B5CB6">
        <w:rPr>
          <w:rFonts w:ascii="Verdana" w:eastAsia="Verdana" w:hAnsi="Verdana" w:cs="Verdana"/>
          <w:u w:val="single" w:color="000000"/>
        </w:rPr>
        <w:t>https://mpra.ub.uni-muenchen.de/72222/1/MPRA_paper_72222.pdf</w:t>
      </w:r>
      <w:r>
        <w:fldChar w:fldCharType="end"/>
      </w:r>
      <w:r>
        <w:fldChar w:fldCharType="begin"/>
      </w:r>
      <w:r>
        <w:instrText xml:space="preserve"> HYPERLINK "https://mpra.ub.uni-muenchen.de/72222/1/MPRA_paper_72222.pdf"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1512F6">
      <w:pPr>
        <w:spacing w:after="165" w:line="250" w:lineRule="auto"/>
        <w:ind w:left="23" w:right="317" w:hanging="8"/>
        <w:jc w:val="both"/>
        <w:rPr>
          <w:rFonts w:ascii="Verdana" w:hAnsi="Verdana"/>
        </w:rPr>
      </w:pPr>
      <w:r w:rsidRPr="005B5CB6">
        <w:rPr>
          <w:rFonts w:ascii="Verdana" w:eastAsia="Verdana" w:hAnsi="Verdana" w:cs="Verdana"/>
        </w:rPr>
        <w:t xml:space="preserve">Selbst, A. D., &amp; Barocas, S. (2018). The intuitive appeal of explainable machines. </w:t>
      </w:r>
      <w:r w:rsidRPr="005B5CB6">
        <w:rPr>
          <w:rFonts w:ascii="Verdana" w:eastAsia="Verdana" w:hAnsi="Verdana" w:cs="Verdana"/>
          <w:i/>
        </w:rPr>
        <w:t>Fordham L. Rev.</w:t>
      </w:r>
      <w:r w:rsidRPr="005B5CB6">
        <w:rPr>
          <w:rFonts w:ascii="Verdana" w:eastAsia="Verdana" w:hAnsi="Verdana" w:cs="Verdana"/>
        </w:rPr>
        <w:t xml:space="preserve">, </w:t>
      </w:r>
      <w:r w:rsidRPr="005B5CB6">
        <w:rPr>
          <w:rFonts w:ascii="Verdana" w:eastAsia="Verdana" w:hAnsi="Verdana" w:cs="Verdana"/>
          <w:i/>
        </w:rPr>
        <w:t>87</w:t>
      </w:r>
      <w:r w:rsidRPr="005B5CB6">
        <w:rPr>
          <w:rFonts w:ascii="Verdana" w:eastAsia="Verdana" w:hAnsi="Verdana" w:cs="Verdana"/>
        </w:rPr>
        <w:t xml:space="preserve">, 1085. </w:t>
      </w:r>
    </w:p>
    <w:p w:rsidR="00FB0B24" w:rsidRPr="005B5CB6" w:rsidP="001512F6">
      <w:pPr>
        <w:spacing w:after="165" w:line="250" w:lineRule="auto"/>
        <w:ind w:left="23" w:right="336" w:hanging="8"/>
        <w:jc w:val="both"/>
        <w:rPr>
          <w:rFonts w:ascii="Verdana" w:hAnsi="Verdana"/>
        </w:rPr>
      </w:pPr>
      <w:r w:rsidRPr="005B5CB6">
        <w:rPr>
          <w:rFonts w:ascii="Verdana" w:eastAsia="Verdana" w:hAnsi="Verdana" w:cs="Verdana"/>
        </w:rPr>
        <w:t xml:space="preserve">Stanley, B. (2008) “The thin ideology of populism.” Journal of political ideologies, </w:t>
      </w:r>
      <w:r w:rsidRPr="005B5CB6">
        <w:rPr>
          <w:rFonts w:ascii="Verdana" w:eastAsia="Verdana" w:hAnsi="Verdana" w:cs="Verdana"/>
          <w:i/>
        </w:rPr>
        <w:t>13</w:t>
      </w:r>
      <w:r w:rsidRPr="005B5CB6">
        <w:rPr>
          <w:rFonts w:ascii="Verdana" w:eastAsia="Verdana" w:hAnsi="Verdana" w:cs="Verdana"/>
        </w:rPr>
        <w:t xml:space="preserve">(1), 95-110. </w:t>
      </w:r>
    </w:p>
    <w:p w:rsidR="00FB0B24" w:rsidRPr="005B5CB6" w:rsidP="001512F6">
      <w:pPr>
        <w:spacing w:after="165" w:line="250" w:lineRule="auto"/>
        <w:ind w:left="23" w:right="400" w:hanging="8"/>
        <w:jc w:val="both"/>
        <w:rPr>
          <w:rFonts w:ascii="Verdana" w:hAnsi="Verdana"/>
        </w:rPr>
      </w:pPr>
      <w:r w:rsidRPr="005B5CB6">
        <w:rPr>
          <w:rFonts w:ascii="Verdana" w:eastAsia="Verdana" w:hAnsi="Verdana" w:cs="Verdana"/>
        </w:rPr>
        <w:t xml:space="preserve">Tavani, H. T., &amp; Grodzinsky, F. S. (2014). “Trust, betrayal, and whistle-blowing: Reflections on the Edward Snowden case”, ACM SIGCAS </w:t>
      </w:r>
      <w:r w:rsidRPr="005B5CB6">
        <w:rPr>
          <w:rFonts w:ascii="Verdana" w:eastAsia="Verdana" w:hAnsi="Verdana" w:cs="Verdana"/>
          <w:i/>
        </w:rPr>
        <w:t>Computers and Society</w:t>
      </w:r>
      <w:r w:rsidRPr="005B5CB6">
        <w:rPr>
          <w:rFonts w:ascii="Verdana" w:eastAsia="Verdana" w:hAnsi="Verdana" w:cs="Verdana"/>
        </w:rPr>
        <w:t xml:space="preserve">, </w:t>
      </w:r>
      <w:r w:rsidRPr="005B5CB6">
        <w:rPr>
          <w:rFonts w:ascii="Verdana" w:eastAsia="Verdana" w:hAnsi="Verdana" w:cs="Verdana"/>
          <w:i/>
        </w:rPr>
        <w:t>44</w:t>
      </w:r>
      <w:r w:rsidRPr="005B5CB6">
        <w:rPr>
          <w:rFonts w:ascii="Verdana" w:eastAsia="Verdana" w:hAnsi="Verdana" w:cs="Verdana"/>
        </w:rPr>
        <w:t xml:space="preserve">(3), 8-13. </w:t>
      </w:r>
    </w:p>
    <w:p w:rsidR="00FB0B24" w:rsidRPr="005B5CB6" w:rsidP="001512F6">
      <w:pPr>
        <w:spacing w:after="165" w:line="249" w:lineRule="auto"/>
        <w:ind w:left="10" w:hanging="10"/>
        <w:jc w:val="both"/>
        <w:rPr>
          <w:rFonts w:ascii="Verdana" w:hAnsi="Verdana"/>
        </w:rPr>
      </w:pPr>
      <w:r w:rsidRPr="005B5CB6">
        <w:rPr>
          <w:rFonts w:ascii="Verdana" w:eastAsia="Verdana" w:hAnsi="Verdana" w:cs="Verdana"/>
        </w:rPr>
        <w:t xml:space="preserve">Turow, J. (2012). </w:t>
      </w:r>
      <w:r w:rsidRPr="005B5CB6">
        <w:rPr>
          <w:rFonts w:ascii="Verdana" w:eastAsia="Verdana" w:hAnsi="Verdana" w:cs="Verdana"/>
          <w:i/>
        </w:rPr>
        <w:t>The daily you: How the new advertising industry is defining your identity and your worth</w:t>
      </w:r>
      <w:r w:rsidRPr="005B5CB6">
        <w:rPr>
          <w:rFonts w:ascii="Verdana" w:eastAsia="Verdana" w:hAnsi="Verdana" w:cs="Verdana"/>
        </w:rPr>
        <w:t xml:space="preserve">. Yale University Press.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Wachter, S., Mittelstadt, B., &amp; Floridi, L. (2017). “Why a right to explanation of automated decision-making does not exist in the general data protection regulation.” International Data Privacy Law, </w:t>
      </w:r>
      <w:r w:rsidRPr="005B5CB6">
        <w:rPr>
          <w:rFonts w:ascii="Verdana" w:eastAsia="Verdana" w:hAnsi="Verdana" w:cs="Verdana"/>
          <w:i/>
        </w:rPr>
        <w:t>7</w:t>
      </w:r>
      <w:r w:rsidRPr="005B5CB6">
        <w:rPr>
          <w:rFonts w:ascii="Verdana" w:eastAsia="Verdana" w:hAnsi="Verdana" w:cs="Verdana"/>
        </w:rPr>
        <w:t xml:space="preserve">(2), 76-99.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Welch, E. W., Hinnant, C. C., &amp; Moon, M. J. (2004) “Linking citizen satisfaction with e-government and trust in government”, Journal of public administration research and theory, </w:t>
      </w:r>
      <w:r w:rsidRPr="005B5CB6">
        <w:rPr>
          <w:rFonts w:ascii="Verdana" w:eastAsia="Verdana" w:hAnsi="Verdana" w:cs="Verdana"/>
          <w:i/>
        </w:rPr>
        <w:t>15</w:t>
      </w:r>
      <w:r w:rsidRPr="005B5CB6">
        <w:rPr>
          <w:rFonts w:ascii="Verdana" w:eastAsia="Verdana" w:hAnsi="Verdana" w:cs="Verdana"/>
        </w:rPr>
        <w:t xml:space="preserve">(3), 371-391.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Williams, B. A., Brooks, C. F., &amp; Shmargad, Y. (2018), “How algorithms discriminate based on data they lack: challenges, solutions, and policy implications”, </w:t>
      </w:r>
      <w:r w:rsidRPr="005B5CB6">
        <w:rPr>
          <w:rFonts w:ascii="Verdana" w:eastAsia="Verdana" w:hAnsi="Verdana" w:cs="Verdana"/>
          <w:i/>
        </w:rPr>
        <w:t>J</w:t>
      </w:r>
      <w:r w:rsidRPr="005B5CB6">
        <w:rPr>
          <w:rFonts w:ascii="Verdana" w:eastAsia="Verdana" w:hAnsi="Verdana" w:cs="Verdana"/>
        </w:rPr>
        <w:t xml:space="preserve">ournal of Information Policy, </w:t>
      </w:r>
      <w:r w:rsidRPr="005B5CB6">
        <w:rPr>
          <w:rFonts w:ascii="Verdana" w:eastAsia="Verdana" w:hAnsi="Verdana" w:cs="Verdana"/>
          <w:i/>
        </w:rPr>
        <w:t>8</w:t>
      </w:r>
      <w:r w:rsidRPr="005B5CB6">
        <w:rPr>
          <w:rFonts w:ascii="Verdana" w:eastAsia="Verdana" w:hAnsi="Verdana" w:cs="Verdana"/>
        </w:rPr>
        <w:t xml:space="preserve">, 78-115. </w:t>
      </w:r>
    </w:p>
    <w:p w:rsidR="00FB0B24" w:rsidRPr="005B5CB6" w:rsidP="001512F6">
      <w:pPr>
        <w:spacing w:after="168" w:line="249" w:lineRule="auto"/>
        <w:ind w:left="10" w:hanging="10"/>
        <w:jc w:val="both"/>
        <w:rPr>
          <w:rFonts w:ascii="Verdana" w:hAnsi="Verdana"/>
        </w:rPr>
      </w:pPr>
      <w:r w:rsidRPr="005B5CB6">
        <w:rPr>
          <w:rFonts w:ascii="Verdana" w:eastAsia="Verdana" w:hAnsi="Verdana" w:cs="Verdana"/>
        </w:rPr>
        <w:t xml:space="preserve">Winner, L. (1977). </w:t>
      </w:r>
      <w:r w:rsidRPr="005B5CB6">
        <w:rPr>
          <w:rFonts w:ascii="Verdana" w:eastAsia="Verdana" w:hAnsi="Verdana" w:cs="Verdana"/>
          <w:i/>
        </w:rPr>
        <w:t>Autonomous Technology: Technics-Out-of-Control as a Theme in Political Thought</w:t>
      </w:r>
      <w:r w:rsidRPr="005B5CB6">
        <w:rPr>
          <w:rFonts w:ascii="Verdana" w:eastAsia="Verdana" w:hAnsi="Verdana" w:cs="Verdana"/>
        </w:rPr>
        <w:t xml:space="preserve">. Cambridge: MIT Press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D804C9">
          <w:headerReference w:type="even" r:id="rId189"/>
          <w:headerReference w:type="default" r:id="rId190"/>
          <w:footerReference w:type="even" r:id="rId191"/>
          <w:footerReference w:type="default" r:id="rId192"/>
          <w:headerReference w:type="first" r:id="rId193"/>
          <w:footerReference w:type="first" r:id="rId194"/>
          <w:pgSz w:w="12240" w:h="15840"/>
          <w:pgMar w:top="1492" w:right="1435" w:bottom="1501" w:left="1439" w:header="720" w:footer="720" w:gutter="0"/>
          <w:cols w:space="720"/>
        </w:sectPr>
      </w:pPr>
    </w:p>
    <w:p w:rsidR="00FB0B24" w:rsidRPr="005B5CB6" w:rsidP="00A1624B">
      <w:pPr>
        <w:pStyle w:val="Heading1"/>
        <w:rPr>
          <w:sz w:val="22"/>
        </w:rPr>
      </w:pPr>
      <w:bookmarkStart w:id="34" w:name="_Toc44517722"/>
      <w:r w:rsidRPr="005B5CB6">
        <w:rPr>
          <w:sz w:val="22"/>
        </w:rPr>
        <w:t>Good Things Foundation – written evidence (DAD0039)</w:t>
      </w:r>
      <w:bookmarkEnd w:id="34"/>
      <w:r w:rsidRPr="005B5CB6">
        <w:rPr>
          <w:sz w:val="22"/>
        </w:rPr>
        <w:t xml:space="preserve"> </w:t>
      </w:r>
    </w:p>
    <w:p w:rsidR="00FB0B24" w:rsidRPr="005B5CB6" w:rsidP="001512F6">
      <w:pPr>
        <w:spacing w:after="19"/>
        <w:jc w:val="both"/>
        <w:rPr>
          <w:rFonts w:ascii="Verdana" w:hAnsi="Verdana"/>
        </w:rPr>
      </w:pPr>
      <w:r w:rsidRPr="005B5CB6">
        <w:rPr>
          <w:rFonts w:ascii="Verdana" w:eastAsia="Verdana" w:hAnsi="Verdana" w:cs="Verdana"/>
          <w:b/>
        </w:rPr>
        <w:t xml:space="preserve"> </w:t>
      </w:r>
    </w:p>
    <w:p w:rsidR="00FB0B24" w:rsidRPr="005B5CB6" w:rsidP="001512F6">
      <w:pPr>
        <w:pStyle w:val="Heading2"/>
        <w:rPr>
          <w:sz w:val="22"/>
        </w:rPr>
      </w:pPr>
      <w:r w:rsidRPr="005B5CB6">
        <w:rPr>
          <w:sz w:val="22"/>
          <w:u w:val="single" w:color="000000"/>
        </w:rPr>
        <w:t>Introduction</w:t>
      </w:r>
      <w:r w:rsidRPr="005B5CB6">
        <w:rPr>
          <w:sz w:val="22"/>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50" w:lineRule="auto"/>
        <w:ind w:left="23" w:right="11" w:hanging="8"/>
        <w:jc w:val="both"/>
        <w:rPr>
          <w:rFonts w:ascii="Verdana" w:hAnsi="Verdana"/>
        </w:rPr>
      </w:pPr>
      <w:r w:rsidRPr="005B5CB6">
        <w:rPr>
          <w:rFonts w:ascii="Verdana" w:eastAsia="Verdana" w:hAnsi="Verdana" w:cs="Verdana"/>
        </w:rPr>
        <w:t xml:space="preserve">We welcome this commission by the House of Lords into Digital Democracy.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Digital has the power to revolutionise our political system. It can provide access to information, offer a means of connecting constituents with their MPs, and help to give people a voice in our democracy. There is huge potential for digital to make politics more accessible, more transparent, more accountable and to increase public participation with Parliament and the democratic process.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Essential Digital Skills are now a free entitlement in English law - putting them on the same footing as literacy and numeracy - making digital literacy a basic need for all adults. However, we believe that digital inclusion is not just about skills as moving from exclusion to inclusion and becoming part of a digital society brings with it a new set of choices and new opportunities. Digital inclusion leads to digital equality, and people cannot engage truly in a 21st century democracy without being equal.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Good Things Foundation is the UK’s leading digital and social inclusion charity. Through the Online Centres Network, made up of more than 5,000 grassroots organisations, Good Things Foundation takes a community and digital blended approach to ensure that no one is left behind.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50" w:lineRule="auto"/>
        <w:ind w:left="23" w:right="11" w:hanging="8"/>
        <w:jc w:val="both"/>
        <w:rPr>
          <w:rFonts w:ascii="Verdana" w:hAnsi="Verdana"/>
        </w:rPr>
      </w:pPr>
      <w:r w:rsidRPr="005B5CB6">
        <w:rPr>
          <w:rFonts w:ascii="Verdana" w:eastAsia="Verdana" w:hAnsi="Verdana" w:cs="Verdana"/>
        </w:rPr>
        <w:t xml:space="preserve">We have responded to the questions that are most relevant to our work: </w:t>
      </w:r>
    </w:p>
    <w:p w:rsidR="00FB0B24" w:rsidRPr="005B5CB6" w:rsidP="001512F6">
      <w:pPr>
        <w:spacing w:after="19"/>
        <w:jc w:val="both"/>
        <w:rPr>
          <w:rFonts w:ascii="Verdana" w:hAnsi="Verdana"/>
        </w:rPr>
      </w:pPr>
      <w:r w:rsidRPr="005B5CB6">
        <w:rPr>
          <w:rFonts w:ascii="Verdana" w:eastAsia="Verdana" w:hAnsi="Verdana" w:cs="Verdana"/>
        </w:rPr>
        <w:t xml:space="preserve"> </w:t>
      </w:r>
    </w:p>
    <w:p w:rsidR="00FB0B24" w:rsidRPr="005B5CB6" w:rsidP="001512F6">
      <w:pPr>
        <w:spacing w:after="4" w:line="265" w:lineRule="auto"/>
        <w:ind w:left="-4" w:hanging="10"/>
        <w:jc w:val="both"/>
        <w:rPr>
          <w:rFonts w:ascii="Verdana" w:hAnsi="Verdana"/>
        </w:rPr>
      </w:pPr>
      <w:r w:rsidRPr="005B5CB6">
        <w:rPr>
          <w:rFonts w:ascii="Verdana" w:eastAsia="Verdana" w:hAnsi="Verdana" w:cs="Verdana"/>
          <w:b/>
          <w:u w:val="single" w:color="000000"/>
        </w:rPr>
        <w:t>3. What role should every stage of education play in helping to create a</w:t>
      </w:r>
      <w:r w:rsidRPr="005B5CB6">
        <w:rPr>
          <w:rFonts w:ascii="Verdana" w:eastAsia="Verdana" w:hAnsi="Verdana" w:cs="Verdana"/>
          <w:b/>
        </w:rPr>
        <w:t xml:space="preserve"> </w:t>
      </w:r>
      <w:r w:rsidRPr="005B5CB6">
        <w:rPr>
          <w:rFonts w:ascii="Verdana" w:eastAsia="Verdana" w:hAnsi="Verdana" w:cs="Verdana"/>
          <w:b/>
          <w:u w:val="single" w:color="000000"/>
        </w:rPr>
        <w:t>healthy, active, digitally literate democracy?</w:t>
      </w: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Creating a healthy, active, digitally literate democracy relies on reducing digital exclusion.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74" w:line="249" w:lineRule="auto"/>
        <w:ind w:left="10" w:right="12" w:hanging="9"/>
        <w:jc w:val="both"/>
        <w:rPr>
          <w:rFonts w:ascii="Verdana" w:hAnsi="Verdana"/>
        </w:rPr>
      </w:pPr>
      <w:r w:rsidRPr="005B5CB6">
        <w:rPr>
          <w:rFonts w:ascii="Verdana" w:eastAsia="Verdana" w:hAnsi="Verdana" w:cs="Verdana"/>
        </w:rPr>
        <w:t>There are 11.9 million people in the UK who do not have the Essential Digital Skills needed for everyday life in the UK - including the ability to engage in government services, find a job, and manage money online.</w:t>
      </w:r>
      <w:r>
        <w:rPr>
          <w:rFonts w:ascii="Verdana" w:eastAsia="Verdana" w:hAnsi="Verdana" w:cs="Verdana"/>
          <w:vertAlign w:val="superscript"/>
        </w:rPr>
        <w:footnoteReference w:id="151"/>
      </w:r>
      <w:r w:rsidRPr="005B5CB6">
        <w:rPr>
          <w:rFonts w:ascii="Verdana" w:eastAsia="Verdana" w:hAnsi="Verdana" w:cs="Verdana"/>
        </w:rPr>
        <w:t xml:space="preserve"> Nearly one in ten (8%) have zero digital skills.</w:t>
      </w:r>
      <w:r>
        <w:rPr>
          <w:rFonts w:ascii="Verdana" w:eastAsia="Verdana" w:hAnsi="Verdana" w:cs="Verdana"/>
          <w:vertAlign w:val="superscript"/>
        </w:rPr>
        <w:footnoteReference w:id="152"/>
      </w:r>
      <w:r w:rsidRPr="005B5CB6">
        <w:rPr>
          <w:rFonts w:ascii="Verdana" w:eastAsia="Verdana" w:hAnsi="Verdana" w:cs="Verdana"/>
        </w:rPr>
        <w:t xml:space="preserve"> Those who lack digital skills are the most likely to be socially excluded too - 23% of people in socioeconomic group DE do not use the internet, compared to 6% of people in groups AB.</w:t>
      </w:r>
      <w:r>
        <w:rPr>
          <w:rFonts w:ascii="Verdana" w:eastAsia="Verdana" w:hAnsi="Verdana" w:cs="Verdana"/>
          <w:vertAlign w:val="superscript"/>
        </w:rPr>
        <w:footnoteReference w:id="153"/>
      </w:r>
      <w:r w:rsidRPr="005B5CB6">
        <w:rPr>
          <w:rFonts w:ascii="Verdana" w:eastAsia="Verdana" w:hAnsi="Verdana" w:cs="Verdana"/>
        </w:rPr>
        <w:t xml:space="preserve"> Of the 4.1 million adults who have never been online, 71% have no more than a secondary level education and 47% are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46094" name="Group 54609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853" name="Shape 63585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85" style="height:0.6pt;mso-position-horizontal-relative:char;mso-position-vertical-relative:line;width:2in" coordsize="18288,76">
                <v:shape id="_x0000_s1186"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1512F6">
      <w:pPr>
        <w:spacing w:after="53" w:line="250" w:lineRule="auto"/>
        <w:ind w:left="23" w:right="11" w:hanging="8"/>
        <w:jc w:val="both"/>
        <w:rPr>
          <w:rFonts w:ascii="Verdana" w:hAnsi="Verdana"/>
        </w:rPr>
      </w:pPr>
      <w:r w:rsidRPr="005B5CB6">
        <w:rPr>
          <w:rFonts w:ascii="Verdana" w:eastAsia="Verdana" w:hAnsi="Verdana" w:cs="Verdana"/>
        </w:rPr>
        <w:t>from a low-income household. People with a disability are more than twice as likely to be offline as those without one.</w:t>
      </w:r>
      <w:r>
        <w:rPr>
          <w:rFonts w:ascii="Verdana" w:eastAsia="Verdana" w:hAnsi="Verdana" w:cs="Verdana"/>
          <w:vertAlign w:val="superscript"/>
        </w:rPr>
        <w:footnoteReference w:id="154"/>
      </w: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Digitally excluded people lack both a voice and visibility in the modern world as government services and democracy increasingly move online. Digital can only have a positive effect on public participation if these people are given the support to develop the skills and confidence they need to thrive in a digital world. This is not just the responsibility of government -  the public sector must work collaboratively with businesses and civil society organisations in supporting people to improve their digital skills.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Online Centres Network, managed by Good Things Foundation, is a 5,000 strong network of independent hyperlocal organisations who are engaging those who are often left behind with digital. Each year this network of local community partners supports over 250,000 people a year, helping them to be digitally able, active, and equal, and helping them to be more able to participate in our democracy.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4" w:line="249" w:lineRule="auto"/>
        <w:ind w:left="10" w:right="12" w:hanging="9"/>
        <w:jc w:val="both"/>
        <w:rPr>
          <w:rFonts w:ascii="Verdana" w:hAnsi="Verdana"/>
        </w:rPr>
      </w:pPr>
      <w:r w:rsidRPr="005B5CB6">
        <w:rPr>
          <w:rFonts w:ascii="Verdana" w:eastAsia="Verdana" w:hAnsi="Verdana" w:cs="Verdana"/>
        </w:rPr>
        <w:t>Helen Milner OBE, Chief Executive of Good Things Foundation, was appointed by John Bercow to the House of Commons Speaker's Commission for Digital Democracy in 2013 based on her significant experience of engaging with people who are both digitally and socially excluded. As a Commissioner, Helen spoke to many people who did not participate in politics. There were people who had never voted, people who did not know what an MP did, and one person who did not know how to vote. It was when people were asked what they wanted from Parliament that they became interested.</w:t>
      </w:r>
      <w:r>
        <w:rPr>
          <w:rFonts w:ascii="Verdana" w:eastAsia="Verdana" w:hAnsi="Verdana" w:cs="Verdana"/>
          <w:vertAlign w:val="superscript"/>
        </w:rPr>
        <w:footnoteReference w:id="155"/>
      </w: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Efforts need to be made to show the connection between individuals’ lives and politics. There is a lack of political education in schools which interactive digital tools could help to address. The education system - at all ages - must take a degree of responsibility in teaching people how they are represented, how Parliament works, how the decisions that politicians make impact their communities, as well as the basics of how to vote.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The House of Commons Speaker's Commission for Digital Democracy recommended that political education be embedded in the school curriculum. The Speaker wrote to the Secretary of State for Education to request she meet with Helen Milner to discuss the Commission’s recommendation, this request was ignored.  </w:t>
      </w:r>
    </w:p>
    <w:p w:rsidR="00FB0B24" w:rsidRPr="005B5CB6" w:rsidP="001512F6">
      <w:pPr>
        <w:spacing w:after="18"/>
        <w:jc w:val="both"/>
        <w:rPr>
          <w:rFonts w:ascii="Verdana" w:hAnsi="Verdana"/>
        </w:rPr>
      </w:pPr>
      <w:r w:rsidRPr="005B5CB6">
        <w:rPr>
          <w:rFonts w:ascii="Verdana" w:eastAsia="Verdana" w:hAnsi="Verdana" w:cs="Verdana"/>
        </w:rPr>
        <w:t xml:space="preserve"> </w:t>
      </w:r>
    </w:p>
    <w:p w:rsidR="00FB0B24" w:rsidRPr="005B5CB6" w:rsidP="001512F6">
      <w:pPr>
        <w:spacing w:after="85" w:line="265" w:lineRule="auto"/>
        <w:ind w:left="-4" w:hanging="10"/>
        <w:jc w:val="both"/>
        <w:rPr>
          <w:rFonts w:ascii="Verdana" w:hAnsi="Verdana"/>
        </w:rPr>
      </w:pPr>
      <w:r w:rsidRPr="005B5CB6">
        <w:rPr>
          <w:rFonts w:ascii="Verdana" w:eastAsia="Verdana" w:hAnsi="Verdana" w:cs="Verdana"/>
          <w:b/>
          <w:u w:val="single" w:color="000000"/>
        </w:rPr>
        <w:t>12. How could the Government better support the positive work of civil</w:t>
      </w:r>
      <w:r w:rsidRPr="005B5CB6">
        <w:rPr>
          <w:rFonts w:ascii="Verdana" w:eastAsia="Verdana" w:hAnsi="Verdana" w:cs="Verdana"/>
          <w:b/>
        </w:rPr>
        <w:t xml:space="preserve"> </w:t>
      </w:r>
      <w:r w:rsidRPr="005B5CB6">
        <w:rPr>
          <w:rFonts w:ascii="Verdana" w:eastAsia="Verdana" w:hAnsi="Verdana" w:cs="Verdana"/>
          <w:b/>
          <w:u w:val="single" w:color="000000"/>
        </w:rPr>
        <w:t>society organisations using technology to facilitate engagement with</w:t>
      </w:r>
      <w:r w:rsidRPr="005B5CB6">
        <w:rPr>
          <w:rFonts w:ascii="Verdana" w:eastAsia="Verdana" w:hAnsi="Verdana" w:cs="Verdana"/>
          <w:b/>
        </w:rPr>
        <w:t xml:space="preserve"> </w:t>
      </w:r>
      <w:r w:rsidRPr="005B5CB6">
        <w:rPr>
          <w:rFonts w:ascii="Verdana" w:eastAsia="Verdana" w:hAnsi="Verdana" w:cs="Verdana"/>
          <w:b/>
          <w:u w:val="single" w:color="000000"/>
        </w:rPr>
        <w:t>democratic processes?</w:t>
      </w: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45735" name="Group 54573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855" name="Shape 63585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87" style="height:0.6pt;mso-position-horizontal-relative:char;mso-position-vertical-relative:line;width:2in" coordsize="18288,76">
                <v:shape id="_x0000_s1188"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2" w:line="249" w:lineRule="auto"/>
        <w:ind w:left="10" w:right="12" w:hanging="9"/>
        <w:jc w:val="both"/>
        <w:rPr>
          <w:rFonts w:ascii="Verdana" w:hAnsi="Verdana"/>
        </w:rPr>
      </w:pPr>
      <w:r w:rsidRPr="005B5CB6">
        <w:rPr>
          <w:rFonts w:ascii="Verdana" w:eastAsia="Verdana" w:hAnsi="Verdana" w:cs="Verdana"/>
        </w:rPr>
        <w:t>We’re aware that the House of Commons Speaker's Commission for Digital Democracy was over four years ago and much has changed in the digital and democractic space since then. However, there are some findings of that Commission that are relevant today. The Digital Democracy Commission’s final report, published in 2015, emphasized the importance of ensuring that digital technologies do not simply make it easier for those who are already politically engaged to have more of a say. The Commission recommended that ‘If Parliament is to avoid simply giving a louder voice to the politically engaged and tech-savvy, it must complement its digital engagement opportunities with strategies to reach out to groups who are less likely to engage.’</w:t>
      </w:r>
      <w:r>
        <w:rPr>
          <w:rFonts w:ascii="Verdana" w:eastAsia="Verdana" w:hAnsi="Verdana" w:cs="Verdana"/>
          <w:vertAlign w:val="superscript"/>
        </w:rPr>
        <w:footnoteReference w:id="156"/>
      </w: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7" w:line="249" w:lineRule="auto"/>
        <w:ind w:left="10" w:right="12" w:hanging="9"/>
        <w:jc w:val="both"/>
        <w:rPr>
          <w:rFonts w:ascii="Verdana" w:hAnsi="Verdana"/>
        </w:rPr>
      </w:pPr>
      <w:r w:rsidRPr="005B5CB6">
        <w:rPr>
          <w:rFonts w:ascii="Verdana" w:eastAsia="Verdana" w:hAnsi="Verdana" w:cs="Verdana"/>
        </w:rPr>
        <w:t>However, four years on, the Oxford Internet Institute’s 2019 report shows that the UK’s digital divide is widening. There is still a higher proportion of non-users below the median income (£28,400/year), whilst 40% of respondents in the lowest income category (less than £12,500/year) are digitally excluded.</w:t>
      </w:r>
      <w:r>
        <w:rPr>
          <w:rFonts w:ascii="Verdana" w:eastAsia="Verdana" w:hAnsi="Verdana" w:cs="Verdana"/>
          <w:vertAlign w:val="superscript"/>
        </w:rPr>
        <w:footnoteReference w:id="157"/>
      </w:r>
      <w:r w:rsidRPr="005B5CB6">
        <w:rPr>
          <w:rFonts w:ascii="Verdana" w:eastAsia="Verdana" w:hAnsi="Verdana" w:cs="Verdana"/>
        </w:rPr>
        <w:t xml:space="preserve"> Without measures to engage these people, there is a risk that an increasingly digital democracy will further entrench existing political inequalities.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We welcome the fact that the Government has taken responsibility for digital inclusion. This includes the Department for Education’s role in constructing the Essential Digital Skills Framework, and the Department for Culture, Media and Sport’s Department for digital skills and digital inclusion, as well as working on media literacy to avoid Online Harms in partnership with the Home Office. However, whilst it is better that too many departments hold responsibility than too few, there is a danger of public servants working in silos resulting in duplicated efforts on one hand and important policy falling down the gaps on the other. It is important that departments work together towards a common goal.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3" w:line="249" w:lineRule="auto"/>
        <w:ind w:left="10" w:right="12" w:hanging="9"/>
        <w:jc w:val="both"/>
        <w:rPr>
          <w:rFonts w:ascii="Verdana" w:hAnsi="Verdana"/>
        </w:rPr>
      </w:pPr>
      <w:r w:rsidRPr="005B5CB6">
        <w:rPr>
          <w:rFonts w:ascii="Verdana" w:eastAsia="Verdana" w:hAnsi="Verdana" w:cs="Verdana"/>
        </w:rPr>
        <w:t>In the Online Harms White Paper 2019, the Government rightly recommended the need for a new regulatory framework to ensure the safety of UK citizens online. It is noted that for adults, there are insufficient resources covering online media literacy, and there is a need for further work to address issues such as the sharing of disinformation, catfishing (i.e. luring someone into a relationship by means of a fictional online persona), attacks on women online, and the differing needs of people with disabilities when navigating information.</w:t>
      </w:r>
      <w:r>
        <w:rPr>
          <w:rFonts w:ascii="Verdana" w:eastAsia="Verdana" w:hAnsi="Verdana" w:cs="Verdana"/>
          <w:vertAlign w:val="superscript"/>
        </w:rPr>
        <w:footnoteReference w:id="158"/>
      </w: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59" w:line="249" w:lineRule="auto"/>
        <w:ind w:left="10" w:right="12" w:hanging="9"/>
        <w:jc w:val="both"/>
        <w:rPr>
          <w:rFonts w:ascii="Verdana" w:hAnsi="Verdana"/>
        </w:rPr>
      </w:pPr>
      <w:r w:rsidRPr="005B5CB6">
        <w:rPr>
          <w:rFonts w:ascii="Verdana" w:eastAsia="Verdana" w:hAnsi="Verdana" w:cs="Verdana"/>
        </w:rPr>
        <w:t>At Good Things Foundation, we know what a concern online safety can be for people who are digitally excluded. In the OxIS 2019 survey, 60% of those offline said they were worried about their identity being taken, whilst 58% cited data/privacy concerns.</w:t>
      </w:r>
      <w:r>
        <w:rPr>
          <w:rFonts w:ascii="Verdana" w:eastAsia="Verdana" w:hAnsi="Verdana" w:cs="Verdana"/>
          <w:vertAlign w:val="superscript"/>
        </w:rPr>
        <w:footnoteReference w:id="159"/>
      </w:r>
      <w:r w:rsidRPr="005B5CB6">
        <w:rPr>
          <w:rFonts w:ascii="Verdana" w:eastAsia="Verdana" w:hAnsi="Verdana" w:cs="Verdana"/>
        </w:rPr>
        <w:t xml:space="preserve"> This acts as a barrier preventing people from engaging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46629" name="Group 54662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857" name="Shape 63585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89" style="height:0.6pt;mso-position-horizontal-relative:char;mso-position-vertical-relative:line;width:2in" coordsize="18288,76">
                <v:shape id="_x0000_s1190"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online, and therefore prevents people from engaging in the democratic process as services become increasingly digitised.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By giving people digital skills, and the confidence to continue learning and developing their skills, we can overcome these barriers. We’ve developed a number of internet safety courses on our Learn My Way platform, which helps people tackle online harms such as disinformation. And through the Online Centres Network, we are supporting hundreds of thousands of people each year to improve their basic digital skills, and to become digitally capable. Support for these organisations will be vital to ensuring the government can deliver on its work in the Online Harms White Paper, as well as to ensure everyone in the UK can engage with the democractic process.  </w:t>
      </w:r>
    </w:p>
    <w:p w:rsidR="00FB0B24" w:rsidRPr="005B5CB6" w:rsidP="001512F6">
      <w:pPr>
        <w:spacing w:after="19"/>
        <w:jc w:val="both"/>
        <w:rPr>
          <w:rFonts w:ascii="Verdana" w:hAnsi="Verdana"/>
        </w:rPr>
      </w:pPr>
      <w:r w:rsidRPr="005B5CB6">
        <w:rPr>
          <w:rFonts w:ascii="Verdana" w:eastAsia="Verdana" w:hAnsi="Verdana" w:cs="Verdana"/>
        </w:rPr>
        <w:t xml:space="preserve"> </w:t>
      </w:r>
    </w:p>
    <w:p w:rsidR="00FB0B24" w:rsidRPr="005B5CB6" w:rsidP="001512F6">
      <w:pPr>
        <w:spacing w:after="18"/>
        <w:jc w:val="both"/>
        <w:rPr>
          <w:rFonts w:ascii="Verdana" w:hAnsi="Verdana"/>
        </w:rPr>
      </w:pPr>
      <w:r w:rsidRPr="005B5CB6">
        <w:rPr>
          <w:rFonts w:ascii="Verdana" w:eastAsia="Verdana" w:hAnsi="Verdana" w:cs="Verdana"/>
          <w:b/>
        </w:rPr>
        <w:t xml:space="preserve"> </w:t>
      </w:r>
    </w:p>
    <w:p w:rsidR="00FB0B24" w:rsidRPr="005B5CB6" w:rsidP="001512F6">
      <w:pPr>
        <w:spacing w:after="4" w:line="265" w:lineRule="auto"/>
        <w:ind w:left="-4" w:hanging="10"/>
        <w:jc w:val="both"/>
        <w:rPr>
          <w:rFonts w:ascii="Verdana" w:hAnsi="Verdana"/>
        </w:rPr>
      </w:pPr>
      <w:r w:rsidRPr="005B5CB6">
        <w:rPr>
          <w:rFonts w:ascii="Verdana" w:eastAsia="Verdana" w:hAnsi="Verdana" w:cs="Verdana"/>
          <w:b/>
          <w:u w:val="single" w:color="000000"/>
        </w:rPr>
        <w:t>13. How can elected representatives use technology to engage with</w:t>
      </w:r>
      <w:r w:rsidRPr="005B5CB6">
        <w:rPr>
          <w:rFonts w:ascii="Verdana" w:eastAsia="Verdana" w:hAnsi="Verdana" w:cs="Verdana"/>
          <w:b/>
        </w:rPr>
        <w:t xml:space="preserve"> </w:t>
      </w:r>
      <w:r w:rsidRPr="005B5CB6">
        <w:rPr>
          <w:rFonts w:ascii="Verdana" w:eastAsia="Verdana" w:hAnsi="Verdana" w:cs="Verdana"/>
          <w:b/>
          <w:u w:val="single" w:color="000000"/>
        </w:rPr>
        <w:t>democratic processes? What can Parliament and Government do to better</w:t>
      </w:r>
      <w:r w:rsidRPr="005B5CB6">
        <w:rPr>
          <w:rFonts w:ascii="Verdana" w:eastAsia="Verdana" w:hAnsi="Verdana" w:cs="Verdana"/>
          <w:b/>
        </w:rPr>
        <w:t xml:space="preserve"> </w:t>
      </w:r>
      <w:r w:rsidRPr="005B5CB6">
        <w:rPr>
          <w:rFonts w:ascii="Verdana" w:eastAsia="Verdana" w:hAnsi="Verdana" w:cs="Verdana"/>
          <w:b/>
          <w:u w:val="single" w:color="000000"/>
        </w:rPr>
        <w:t>use technology to support democratic engagement and ensure the</w:t>
      </w:r>
      <w:r w:rsidRPr="005B5CB6">
        <w:rPr>
          <w:rFonts w:ascii="Verdana" w:eastAsia="Verdana" w:hAnsi="Verdana" w:cs="Verdana"/>
          <w:b/>
        </w:rPr>
        <w:t xml:space="preserve"> </w:t>
      </w:r>
      <w:r w:rsidRPr="005B5CB6">
        <w:rPr>
          <w:rFonts w:ascii="Verdana" w:eastAsia="Verdana" w:hAnsi="Verdana" w:cs="Verdana"/>
          <w:b/>
          <w:u w:val="single" w:color="000000"/>
        </w:rPr>
        <w:t>efficacy of the democratic process?</w:t>
      </w: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b/>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Technology has the capacity to blur the boundary between the Westminster ‘bubble’ and communities in constituencies. The perceived disconnect between MPs and elected officials and the general public could be broken down by changing the Westminster-centric nature of the UK’s political system. A digital solution allowing MPs to debate with one another and to vote from their constituencies would mean that politicians could spend more time in the communities and with the people they represent.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There is good practice amongst MPs of the use of technology to, for the most part, broadcast their views and their news through regular email newsletters, websites, and social media. Matt Warman, for example, has published his views on a number of policies so these are easily accessible for constituents. Labour MP Darren Jones has a similar website with his views on policy areas easy to find, and he has his expenses and salary visible in a tab called “transparency”. This is good practice; technology in these ways make MPs more accountable and more visible. However, this is not enough.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49" w:lineRule="auto"/>
        <w:ind w:left="10" w:right="12" w:hanging="9"/>
        <w:jc w:val="both"/>
        <w:rPr>
          <w:rFonts w:ascii="Verdana" w:hAnsi="Verdana"/>
        </w:rPr>
      </w:pPr>
      <w:r w:rsidRPr="005B5CB6">
        <w:rPr>
          <w:rFonts w:ascii="Verdana" w:eastAsia="Verdana" w:hAnsi="Verdana" w:cs="Verdana"/>
        </w:rPr>
        <w:t xml:space="preserve">What does real democractic engagement mean? It must mean interactivity, more two-way channels, but not just of communication but of debate that can change outcomes.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Parliament’s own e-petitions portal is a good example of a direct link between people’s desire to demand change and the work of Parliament. Through follow-up emails, those who have signed the e-petition are kept updated with the progress of the petition and any changes in policy. When an e-petition leads to action being taken by the Government, it represents a positive example of technology supporting democratic engagement.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For example, an e-petition concerning brain tumour research funding was started by Maria Lester in August 2015 to the mark the anniversary of the death of her brother, Stephen Realf. Stephen, an RAF officer, was diagnosed with a brain </w:t>
      </w:r>
      <w:r w:rsidRPr="005B5CB6">
        <w:rPr>
          <w:rFonts w:ascii="Verdana" w:eastAsia="Verdana" w:hAnsi="Verdana" w:cs="Verdana"/>
        </w:rPr>
        <w:t xml:space="preserve">tumour at just 19 and died at the age of 26. The Petitions Committee launched its investigation after the Government's initial response to the petition failed to give it confidence that the Department for Health had grasped the seriousness of this issue.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In its response to the report, the Government said that it now accepted that action was needed to address the serious concerns expressed by the Committee and by people who signed the e-petition. The Government also admitted that not enough research was being carried out to reduce the significant disease burden caused by brain tumours. The Government then announced that it would be convening a working group of clinicians, charities and officials to discuss how to address the need for more brain tumour research.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However, this example shows the exception rather than the norm. All too often, e-petitions are signed by thousands - sometimes millions - of people only to be dismissed by the Government. Parliament and Government may benefit from a review of their stance on e-petitions, to view them as a legitimate channel for democratic engagement, and implement policy change accordingly. </w:t>
      </w:r>
    </w:p>
    <w:p w:rsidR="00FB0B24" w:rsidRPr="005B5CB6" w:rsidP="001512F6">
      <w:pPr>
        <w:spacing w:after="19"/>
        <w:jc w:val="both"/>
        <w:rPr>
          <w:rFonts w:ascii="Verdana" w:hAnsi="Verdana"/>
        </w:rPr>
      </w:pPr>
      <w:r w:rsidRPr="005B5CB6">
        <w:rPr>
          <w:rFonts w:ascii="Verdana" w:eastAsia="Verdana" w:hAnsi="Verdana" w:cs="Verdana"/>
        </w:rPr>
        <w:t xml:space="preserve"> </w:t>
      </w:r>
    </w:p>
    <w:p w:rsidR="00FB0B24" w:rsidRPr="005B5CB6" w:rsidP="001512F6">
      <w:pPr>
        <w:spacing w:after="4" w:line="265" w:lineRule="auto"/>
        <w:ind w:left="-4" w:hanging="10"/>
        <w:jc w:val="both"/>
        <w:rPr>
          <w:rFonts w:ascii="Verdana" w:hAnsi="Verdana"/>
        </w:rPr>
      </w:pPr>
      <w:r w:rsidRPr="005B5CB6">
        <w:rPr>
          <w:rFonts w:ascii="Verdana" w:eastAsia="Verdana" w:hAnsi="Verdana" w:cs="Verdana"/>
          <w:b/>
          <w:u w:val="single" w:color="000000"/>
        </w:rPr>
        <w:t>14. What positive examples are there of technology being used to</w:t>
      </w:r>
      <w:r w:rsidRPr="005B5CB6">
        <w:rPr>
          <w:rFonts w:ascii="Verdana" w:eastAsia="Verdana" w:hAnsi="Verdana" w:cs="Verdana"/>
          <w:b/>
        </w:rPr>
        <w:t xml:space="preserve"> </w:t>
      </w:r>
      <w:r w:rsidRPr="005B5CB6">
        <w:rPr>
          <w:rFonts w:ascii="Verdana" w:eastAsia="Verdana" w:hAnsi="Verdana" w:cs="Verdana"/>
          <w:b/>
          <w:u w:val="single" w:color="000000"/>
        </w:rPr>
        <w:t>enhance democracy?</w:t>
      </w:r>
      <w:r w:rsidRPr="005B5CB6">
        <w:rPr>
          <w:rFonts w:ascii="Verdana" w:eastAsia="Verdana" w:hAnsi="Verdana" w:cs="Verdana"/>
          <w:b/>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Technology has allowed a degree of transparency which has huge potential to enhance our democracy. Websites such as theyworkforyou.com allow people to check the voting records of the politicians who represent them, and alerts can be set up to keep individuals updated when particular topics are discussed in Parliament. This in turn increases accountability and strengthens our democracy. However, it is not enough to simply have these tools in place.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89" w:line="249" w:lineRule="auto"/>
        <w:ind w:left="10" w:right="12" w:hanging="9"/>
        <w:jc w:val="both"/>
        <w:rPr>
          <w:rFonts w:ascii="Verdana" w:hAnsi="Verdana"/>
        </w:rPr>
      </w:pPr>
      <w:r w:rsidRPr="005B5CB6">
        <w:rPr>
          <w:rFonts w:ascii="Verdana" w:eastAsia="Verdana" w:hAnsi="Verdana" w:cs="Verdana"/>
        </w:rPr>
        <w:t>In 2018, Good Things Foundation created Voicebox Cafés - a positive example of technology being used to promote inclusive political engagement. Voicebox Cafés was an innovative democracy project, running for 8 months and delivered through 34 community centres across England. The programme provided a safe space for women to understand, celebrate and participate in democracy and public life, using digital as an enabler. It aimed to engage women with low levels of educational attainment and women from BAME groups. Between May and the end of December 2018, the Online Centres engaged with 1283 young women aged 1830.</w:t>
      </w:r>
      <w:r>
        <w:rPr>
          <w:rFonts w:ascii="Verdana" w:eastAsia="Verdana" w:hAnsi="Verdana" w:cs="Verdana"/>
          <w:vertAlign w:val="superscript"/>
        </w:rPr>
        <w:footnoteReference w:id="160"/>
      </w: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46" w:line="249" w:lineRule="auto"/>
        <w:ind w:left="10" w:right="12" w:hanging="9"/>
        <w:jc w:val="both"/>
        <w:rPr>
          <w:rFonts w:ascii="Verdana" w:hAnsi="Verdana"/>
        </w:rPr>
      </w:pPr>
      <w:r w:rsidRPr="005B5CB6">
        <w:rPr>
          <w:rFonts w:ascii="Verdana" w:eastAsia="Verdana" w:hAnsi="Verdana" w:cs="Verdana"/>
        </w:rPr>
        <w:t>The project resulted in a considerable increase in the number of young women who said that they understand democratic processes in the UK, rising from 27% to 92%. The proportion of women who said that they were likely to participate in democratic processes rose from 28% to 85%. Of 538 young women surveyed, 26% registered to vote as a result of the programme.</w:t>
      </w:r>
      <w:r>
        <w:rPr>
          <w:rFonts w:ascii="Verdana" w:eastAsia="Verdana" w:hAnsi="Verdana" w:cs="Verdana"/>
          <w:vertAlign w:val="superscript"/>
        </w:rPr>
        <w:footnoteReference w:id="161"/>
      </w:r>
      <w:r w:rsidRPr="005B5CB6">
        <w:rPr>
          <w:rFonts w:ascii="Verdana" w:eastAsia="Verdana" w:hAnsi="Verdana" w:cs="Verdana"/>
        </w:rPr>
        <w:t xml:space="preserv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The impact of the Voicebox Cafés illustrates the success of a community and digital blended approach. It shows that for digital to be the democratising force it has the capacity to be, it is not only about expanding digital participation opportunities.  </w:t>
      </w:r>
    </w:p>
    <w:p w:rsidR="00FB0B24" w:rsidRPr="005B5CB6" w:rsidP="001512F6">
      <w:pPr>
        <w:spacing w:after="19"/>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One example from Voicebox Cafés took two cousins - Niamh and Izzy, 18 and 21 - from passive learners to campaigners. Izzy says "When we first came along to the Voicebox Cafes we thought that we were just going to learn about people who had already done things, we didn't realise we'd be encouraged to do things ourselves.” They went onto develop a campaign to tackle period poverty in schools called #sobloodyovait that has raised money as well as awareness for this issue.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50" w:lineRule="auto"/>
        <w:ind w:left="11" w:hanging="10"/>
        <w:jc w:val="both"/>
        <w:rPr>
          <w:rFonts w:ascii="Verdana" w:hAnsi="Verdana"/>
        </w:rPr>
      </w:pPr>
      <w:r w:rsidRPr="005B5CB6">
        <w:rPr>
          <w:rFonts w:ascii="Verdana" w:eastAsia="Verdana" w:hAnsi="Verdana" w:cs="Verdana"/>
          <w:b/>
        </w:rPr>
        <w:t xml:space="preserve">Conclusion </w:t>
      </w:r>
    </w:p>
    <w:p w:rsidR="00FB0B24" w:rsidRPr="005B5CB6" w:rsidP="001512F6">
      <w:pPr>
        <w:spacing w:after="19"/>
        <w:jc w:val="both"/>
        <w:rPr>
          <w:rFonts w:ascii="Verdana" w:hAnsi="Verdana"/>
        </w:rPr>
      </w:pPr>
      <w:r w:rsidRPr="005B5CB6">
        <w:rPr>
          <w:rFonts w:ascii="Verdana" w:eastAsia="Verdana" w:hAnsi="Verdana" w:cs="Verdana"/>
          <w:b/>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Digital only exists with people - and people need to be engaged. They need information, they need to be listened to, and they need dialogue between themselves and the people who are making decisions about the laws and rules that affect their lives. Politics needs to be made relevant, local and interactive. Local grassroots organisations need to be supported so that they can act as local intermediaries to help people to get online and facilitate engagement with the democratic process. </w:t>
      </w:r>
    </w:p>
    <w:p w:rsidR="00FB0B24" w:rsidRPr="005B5CB6" w:rsidP="001512F6">
      <w:pPr>
        <w:spacing w:after="19"/>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At Good Things Foundation, we strongly believe that digital can strengthen our democracy. Since 2010, we’ve helped nearly 3 million people improve their lives through digital. Our Online Centres Network of more than 5,000 hyperlocal community organisations helps us to reach the people most in danger of being left behind, and gives them a voice.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26" w:line="250" w:lineRule="auto"/>
        <w:ind w:left="23" w:right="11" w:hanging="8"/>
        <w:jc w:val="both"/>
        <w:rPr>
          <w:rFonts w:ascii="Verdana" w:hAnsi="Verdana"/>
        </w:rPr>
      </w:pPr>
      <w:r w:rsidRPr="005B5CB6">
        <w:rPr>
          <w:rFonts w:ascii="Verdana" w:eastAsia="Verdana" w:hAnsi="Verdana" w:cs="Verdana"/>
        </w:rPr>
        <w:t xml:space="preserve">If digital exclusion persists then we will never have a fully inclusive democracy. </w:t>
      </w:r>
    </w:p>
    <w:p w:rsidR="00FB0B24" w:rsidRPr="005B5CB6" w:rsidP="001512F6">
      <w:pPr>
        <w:spacing w:after="17"/>
        <w:jc w:val="both"/>
        <w:rPr>
          <w:rFonts w:ascii="Verdana" w:hAnsi="Verdana"/>
        </w:rPr>
      </w:pPr>
      <w:r w:rsidRPr="005B5CB6">
        <w:rPr>
          <w:rFonts w:ascii="Verdana" w:eastAsia="Verdana" w:hAnsi="Verdana" w:cs="Verdana"/>
        </w:rPr>
        <w:t xml:space="preserve"> </w:t>
      </w:r>
    </w:p>
    <w:p w:rsidR="00FB0B24" w:rsidRPr="005B5CB6" w:rsidP="001512F6">
      <w:pPr>
        <w:spacing w:after="1336" w:line="250" w:lineRule="auto"/>
        <w:ind w:left="23" w:right="11" w:hanging="8"/>
        <w:jc w:val="both"/>
        <w:rPr>
          <w:rFonts w:ascii="Verdana" w:hAnsi="Verdana"/>
        </w:rPr>
      </w:pPr>
      <w:r w:rsidRPr="005B5CB6">
        <w:rPr>
          <w:rFonts w:ascii="Verdana" w:eastAsia="Verdana" w:hAnsi="Verdana" w:cs="Verdana"/>
        </w:rPr>
        <w:t xml:space="preserve">We would gladly offer our expertise and talk with the Commission.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46981" name="Group 54698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5859" name="Shape 63585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91" style="height:0.6pt;mso-position-horizontal-relative:char;mso-position-vertical-relative:line;width:2in" coordsize="18288,76">
                <v:shape id="_x0000_s1192"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1512F6">
      <w:pPr>
        <w:jc w:val="both"/>
        <w:rPr>
          <w:rFonts w:ascii="Verdana" w:hAnsi="Verdana"/>
        </w:rPr>
        <w:sectPr w:rsidSect="001F462D">
          <w:headerReference w:type="even" r:id="rId195"/>
          <w:headerReference w:type="default" r:id="rId196"/>
          <w:footerReference w:type="even" r:id="rId197"/>
          <w:footerReference w:type="default" r:id="rId198"/>
          <w:headerReference w:type="first" r:id="rId199"/>
          <w:footerReference w:type="first" r:id="rId200"/>
          <w:pgSz w:w="11909" w:h="16834"/>
          <w:pgMar w:top="1492" w:right="1436" w:bottom="1441" w:left="1440" w:header="720" w:footer="751" w:gutter="0"/>
          <w:cols w:space="720"/>
        </w:sectPr>
      </w:pPr>
    </w:p>
    <w:p w:rsidR="00FB0B24" w:rsidRPr="005B5CB6" w:rsidP="001512F6">
      <w:pPr>
        <w:spacing w:after="39"/>
        <w:ind w:left="439"/>
        <w:jc w:val="both"/>
        <w:rPr>
          <w:rFonts w:ascii="Verdana" w:hAnsi="Verdana"/>
        </w:rPr>
      </w:pPr>
      <w:r w:rsidRPr="005B5CB6">
        <w:rPr>
          <w:rFonts w:ascii="Verdana" w:eastAsia="Verdana" w:hAnsi="Verdana" w:cs="Verdana"/>
        </w:rPr>
        <w:t xml:space="preserve"> </w:t>
      </w:r>
    </w:p>
    <w:p w:rsidR="00FB0B24" w:rsidRPr="005B5CB6" w:rsidP="00A1624B">
      <w:pPr>
        <w:pStyle w:val="Heading1"/>
        <w:rPr>
          <w:sz w:val="22"/>
        </w:rPr>
      </w:pPr>
      <w:bookmarkStart w:id="35" w:name="_Toc44517723"/>
      <w:r w:rsidRPr="005B5CB6">
        <w:rPr>
          <w:sz w:val="22"/>
        </w:rPr>
        <w:t>Dr Jiahong Chen – written evidence (DAD0040)</w:t>
      </w:r>
      <w:bookmarkEnd w:id="35"/>
      <w:r w:rsidRPr="005B5CB6">
        <w:rPr>
          <w:sz w:val="22"/>
        </w:rPr>
        <w:t xml:space="preserve"> </w:t>
      </w:r>
    </w:p>
    <w:p w:rsidR="00FB0B24" w:rsidRPr="005B5CB6" w:rsidP="001512F6">
      <w:pPr>
        <w:spacing w:after="0"/>
        <w:ind w:left="358"/>
        <w:jc w:val="both"/>
        <w:rPr>
          <w:rFonts w:ascii="Verdana" w:hAnsi="Verdana"/>
        </w:rPr>
      </w:pPr>
      <w:r w:rsidRPr="005B5CB6">
        <w:rPr>
          <w:rFonts w:ascii="Verdana" w:eastAsia="Verdana" w:hAnsi="Verdana" w:cs="Verdana"/>
          <w:b/>
        </w:rPr>
        <w:t xml:space="preserve"> </w:t>
      </w:r>
    </w:p>
    <w:p w:rsidR="00FB0B24" w:rsidRPr="005B5CB6" w:rsidP="001512F6">
      <w:pPr>
        <w:spacing w:after="67" w:line="249" w:lineRule="auto"/>
        <w:ind w:left="1326" w:hanging="10"/>
        <w:jc w:val="both"/>
        <w:rPr>
          <w:rFonts w:ascii="Verdana" w:hAnsi="Verdana"/>
        </w:rPr>
      </w:pPr>
      <w:r w:rsidRPr="005B5CB6">
        <w:rPr>
          <w:rFonts w:ascii="Verdana" w:eastAsia="Verdana" w:hAnsi="Verdana" w:cs="Verdana"/>
          <w:i/>
        </w:rPr>
        <w:t xml:space="preserve">Data collection by private companies: a threat to human rights? </w:t>
      </w:r>
    </w:p>
    <w:p w:rsidR="00FB0B24" w:rsidRPr="005B5CB6" w:rsidP="001512F6">
      <w:pPr>
        <w:spacing w:after="64" w:line="249" w:lineRule="auto"/>
        <w:ind w:left="1880" w:hanging="10"/>
        <w:jc w:val="both"/>
        <w:rPr>
          <w:rFonts w:ascii="Verdana" w:hAnsi="Verdana"/>
        </w:rPr>
      </w:pPr>
      <w:r w:rsidRPr="005B5CB6">
        <w:rPr>
          <w:rFonts w:ascii="Verdana" w:eastAsia="Verdana" w:hAnsi="Verdana" w:cs="Verdana"/>
          <w:i/>
        </w:rPr>
        <w:t xml:space="preserve">Rights to Privacy (Article 8) and the Digital Revolution </w:t>
      </w:r>
    </w:p>
    <w:p w:rsidR="00FB0B24" w:rsidRPr="005B5CB6" w:rsidP="001512F6">
      <w:pPr>
        <w:spacing w:after="55"/>
        <w:ind w:left="358"/>
        <w:jc w:val="both"/>
        <w:rPr>
          <w:rFonts w:ascii="Verdana" w:hAnsi="Verdana"/>
        </w:rPr>
      </w:pPr>
      <w:r w:rsidRPr="005B5CB6">
        <w:rPr>
          <w:rFonts w:ascii="Verdana" w:eastAsia="Verdana" w:hAnsi="Verdana" w:cs="Verdana"/>
          <w:i/>
        </w:rPr>
        <w:t xml:space="preserve"> </w:t>
      </w:r>
    </w:p>
    <w:p w:rsidR="00FB0B24" w:rsidRPr="005B5CB6" w:rsidP="001512F6">
      <w:pPr>
        <w:spacing w:after="71" w:line="249" w:lineRule="auto"/>
        <w:ind w:left="368" w:hanging="10"/>
        <w:jc w:val="both"/>
        <w:rPr>
          <w:rFonts w:ascii="Verdana" w:hAnsi="Verdana"/>
        </w:rPr>
      </w:pPr>
      <w:r w:rsidRPr="005B5CB6">
        <w:rPr>
          <w:rFonts w:ascii="Verdana" w:eastAsia="Verdana" w:hAnsi="Verdana" w:cs="Verdana"/>
          <w:i/>
        </w:rPr>
        <w:t xml:space="preserve">Written evidence submitted by Prof. Derek McAuley, Dr. Ansgar Koene and Dr. Jiahong Chen of the Horizon Digital Economy Research Institute, University of Nottingham.  </w:t>
      </w:r>
    </w:p>
    <w:p w:rsidR="00FB0B24" w:rsidRPr="005B5CB6" w:rsidP="001512F6">
      <w:pPr>
        <w:spacing w:after="55"/>
        <w:ind w:left="358"/>
        <w:jc w:val="both"/>
        <w:rPr>
          <w:rFonts w:ascii="Verdana" w:hAnsi="Verdana"/>
        </w:rPr>
      </w:pPr>
      <w:r w:rsidRPr="005B5CB6">
        <w:rPr>
          <w:rFonts w:ascii="Verdana" w:eastAsia="Verdana" w:hAnsi="Verdana" w:cs="Verdana"/>
          <w:b/>
        </w:rPr>
        <w:t xml:space="preserve"> </w:t>
      </w:r>
    </w:p>
    <w:p w:rsidR="00FB0B24" w:rsidRPr="005B5CB6" w:rsidP="001512F6">
      <w:pPr>
        <w:spacing w:after="67" w:line="250" w:lineRule="auto"/>
        <w:ind w:left="368" w:hanging="10"/>
        <w:jc w:val="both"/>
        <w:rPr>
          <w:rFonts w:ascii="Verdana" w:hAnsi="Verdana"/>
        </w:rPr>
      </w:pPr>
      <w:r w:rsidRPr="005B5CB6">
        <w:rPr>
          <w:rFonts w:ascii="Verdana" w:eastAsia="Verdana" w:hAnsi="Verdana" w:cs="Verdana"/>
          <w:b/>
        </w:rPr>
        <w:t xml:space="preserve">20 September 2019. </w:t>
      </w:r>
    </w:p>
    <w:p w:rsidR="00FB0B24" w:rsidRPr="005B5CB6" w:rsidP="001512F6">
      <w:pPr>
        <w:spacing w:after="56"/>
        <w:ind w:left="358"/>
        <w:jc w:val="both"/>
        <w:rPr>
          <w:rFonts w:ascii="Verdana" w:hAnsi="Verdana"/>
        </w:rPr>
      </w:pPr>
      <w:r w:rsidRPr="005B5CB6">
        <w:rPr>
          <w:rFonts w:ascii="Verdana" w:eastAsia="Verdana" w:hAnsi="Verdana" w:cs="Verdana"/>
          <w:b/>
        </w:rPr>
        <w:t xml:space="preserve"> </w:t>
      </w:r>
    </w:p>
    <w:p w:rsidR="00FB0B24" w:rsidRPr="005B5CB6" w:rsidP="00575F14">
      <w:pPr>
        <w:numPr>
          <w:ilvl w:val="0"/>
          <w:numId w:val="124"/>
        </w:numPr>
        <w:spacing w:after="70" w:line="250" w:lineRule="auto"/>
        <w:ind w:left="1093" w:right="11" w:hanging="1078"/>
        <w:jc w:val="both"/>
        <w:rPr>
          <w:rFonts w:ascii="Verdana" w:hAnsi="Verdana"/>
        </w:rPr>
      </w:pPr>
      <w:r w:rsidRPr="005B5CB6">
        <w:rPr>
          <w:rFonts w:ascii="Verdana" w:eastAsia="Verdana" w:hAnsi="Verdana" w:cs="Verdana"/>
        </w:rPr>
        <w:t>Horizon</w:t>
      </w:r>
      <w:r>
        <w:rPr>
          <w:rFonts w:ascii="Verdana" w:eastAsia="Verdana" w:hAnsi="Verdana" w:cs="Verdana"/>
          <w:vertAlign w:val="superscript"/>
        </w:rPr>
        <w:footnoteReference w:id="162"/>
      </w:r>
      <w:r w:rsidRPr="005B5CB6">
        <w:rPr>
          <w:rFonts w:ascii="Verdana" w:eastAsia="Verdana" w:hAnsi="Verdana" w:cs="Verdana"/>
        </w:rPr>
        <w:t xml:space="preserve"> is a Research Institute at The University of Nottingham and a Research Hub within the UKRI Digital Economy programme</w:t>
      </w:r>
      <w:r>
        <w:rPr>
          <w:rFonts w:ascii="Verdana" w:eastAsia="Verdana" w:hAnsi="Verdana" w:cs="Verdana"/>
          <w:vertAlign w:val="superscript"/>
        </w:rPr>
        <w:footnoteReference w:id="163"/>
      </w:r>
      <w:r w:rsidRPr="005B5CB6">
        <w:rPr>
          <w:rFonts w:ascii="Verdana" w:eastAsia="Verdana" w:hAnsi="Verdana" w:cs="Verdana"/>
        </w:rPr>
        <w:t>. Horizon brings together researchers from a broad range of disciplines to investigate the opportunities and challenges arising from the increased use of digital technology in our everyday lives. Prof. McAuley is Director of Horizon and was principal investigator on the ESRC funded CaSMa</w:t>
      </w:r>
      <w:r>
        <w:rPr>
          <w:rFonts w:ascii="Verdana" w:eastAsia="Verdana" w:hAnsi="Verdana" w:cs="Verdana"/>
          <w:vertAlign w:val="superscript"/>
        </w:rPr>
        <w:footnoteReference w:id="164"/>
      </w:r>
      <w:r w:rsidRPr="005B5CB6">
        <w:rPr>
          <w:rFonts w:ascii="Verdana" w:eastAsia="Verdana" w:hAnsi="Verdana" w:cs="Verdana"/>
        </w:rPr>
        <w:t xml:space="preserve"> (Citizen-centric approaches to Social Media analysis) project to promote ways for individuals to control their data and online privacy, and the EPSRC funded UnBias</w:t>
      </w:r>
      <w:r>
        <w:rPr>
          <w:rFonts w:ascii="Verdana" w:eastAsia="Verdana" w:hAnsi="Verdana" w:cs="Verdana"/>
          <w:vertAlign w:val="superscript"/>
        </w:rPr>
        <w:footnoteReference w:id="165"/>
      </w:r>
      <w:r w:rsidRPr="005B5CB6">
        <w:rPr>
          <w:rFonts w:ascii="Verdana" w:eastAsia="Verdana" w:hAnsi="Verdana" w:cs="Verdana"/>
        </w:rPr>
        <w:t xml:space="preserve"> (Emancipating Users Against Algorithmic Biases for a Trusted Digital Economy) project for raising user awareness and agency when using algorithmic services. Dr Koene was a lead researcher of the CaSMa and UnBias projects, is Research co-Investigator on the EPSRC funded ReEnTrust</w:t>
      </w:r>
      <w:r w:rsidRPr="005B5CB6">
        <w:rPr>
          <w:rFonts w:ascii="Verdana" w:eastAsia="Verdana" w:hAnsi="Verdana" w:cs="Verdana"/>
          <w:vertAlign w:val="superscript"/>
        </w:rPr>
        <w:t>5</w:t>
      </w:r>
      <w:r w:rsidRPr="005B5CB6">
        <w:rPr>
          <w:rFonts w:ascii="Verdana" w:eastAsia="Verdana" w:hAnsi="Verdana" w:cs="Verdana"/>
        </w:rPr>
        <w:t xml:space="preserve"> (Rebuilding and Enhancing Trust in Algorithms) project and chairs the working group for developing the IEEE P7003 Standard for Algorithm Bias Considerations. Dr Jiahong Chen is a Researcher Fellow of Horizon, with his completed doctoral research focusing on the legal and societal implications of online advertising. </w:t>
      </w:r>
    </w:p>
    <w:p w:rsidR="00FB0B24" w:rsidRPr="005B5CB6" w:rsidP="001512F6">
      <w:pPr>
        <w:spacing w:after="55"/>
        <w:ind w:left="358"/>
        <w:jc w:val="both"/>
        <w:rPr>
          <w:rFonts w:ascii="Verdana" w:hAnsi="Verdana"/>
        </w:rPr>
      </w:pPr>
      <w:r w:rsidRPr="005B5CB6">
        <w:rPr>
          <w:rFonts w:ascii="Verdana" w:eastAsia="Verdana" w:hAnsi="Verdana" w:cs="Verdana"/>
        </w:rPr>
        <w:t xml:space="preserve"> </w:t>
      </w:r>
    </w:p>
    <w:p w:rsidR="00FB0B24" w:rsidRPr="005B5CB6" w:rsidP="001512F6">
      <w:pPr>
        <w:spacing w:after="67" w:line="250" w:lineRule="auto"/>
        <w:ind w:left="366" w:right="11" w:hanging="8"/>
        <w:jc w:val="both"/>
        <w:rPr>
          <w:rFonts w:ascii="Verdana" w:hAnsi="Verdana"/>
        </w:rPr>
      </w:pPr>
      <w:r w:rsidRPr="005B5CB6">
        <w:rPr>
          <w:rFonts w:ascii="Verdana" w:eastAsia="Verdana" w:hAnsi="Verdana" w:cs="Verdana"/>
        </w:rPr>
        <w:t xml:space="preserve">Questions </w:t>
      </w:r>
    </w:p>
    <w:p w:rsidR="00FB0B24" w:rsidRPr="005B5CB6" w:rsidP="001512F6">
      <w:pPr>
        <w:spacing w:after="65" w:line="249" w:lineRule="auto"/>
        <w:ind w:left="368" w:hanging="10"/>
        <w:jc w:val="both"/>
        <w:rPr>
          <w:rFonts w:ascii="Verdana" w:hAnsi="Verdana"/>
        </w:rPr>
      </w:pPr>
      <w:r w:rsidRPr="005B5CB6">
        <w:rPr>
          <w:rFonts w:ascii="Verdana" w:eastAsia="Verdana" w:hAnsi="Verdana" w:cs="Verdana"/>
          <w:b/>
          <w:i/>
        </w:rPr>
        <w:t xml:space="preserve">General </w:t>
      </w:r>
    </w:p>
    <w:p w:rsidR="00FB0B24" w:rsidRPr="005B5CB6" w:rsidP="00575F14">
      <w:pPr>
        <w:numPr>
          <w:ilvl w:val="1"/>
          <w:numId w:val="124"/>
        </w:numPr>
        <w:spacing w:after="68" w:line="249" w:lineRule="auto"/>
        <w:ind w:hanging="10"/>
        <w:jc w:val="both"/>
        <w:rPr>
          <w:rFonts w:ascii="Verdana" w:hAnsi="Verdana"/>
        </w:rPr>
      </w:pPr>
      <w:r w:rsidRPr="005B5CB6">
        <w:rPr>
          <w:rFonts w:ascii="Verdana" w:eastAsia="Verdana" w:hAnsi="Verdana" w:cs="Verdana"/>
          <w:b/>
          <w:i/>
        </w:rPr>
        <w:t xml:space="preserve">How has digital technology changed the way that democracy works in the UK and has this been a net positive or negative effect? </w:t>
      </w:r>
    </w:p>
    <w:p w:rsidR="00FB0B24" w:rsidRPr="005B5CB6" w:rsidP="00575F14">
      <w:pPr>
        <w:numPr>
          <w:ilvl w:val="0"/>
          <w:numId w:val="124"/>
        </w:numPr>
        <w:spacing w:after="64" w:line="250" w:lineRule="auto"/>
        <w:ind w:left="1093" w:right="11" w:hanging="1078"/>
        <w:jc w:val="both"/>
        <w:rPr>
          <w:rFonts w:ascii="Verdana" w:hAnsi="Verdana"/>
        </w:rPr>
      </w:pPr>
      <w:r w:rsidRPr="005B5CB6">
        <w:rPr>
          <w:rFonts w:ascii="Verdana" w:eastAsia="Verdana" w:hAnsi="Verdana" w:cs="Verdana"/>
        </w:rPr>
        <w:t xml:space="preserve">The implications of digital technologies on democracy in the UK are multidimensional. On the one hand, the popularity of online services and platforms has enabled the government, political parties, individual politicians, and civil society organisations to reach out to the general public in highly effective manners. These include the use of online government portals, electronic archives, social media channels and direct communications. On the other hand, the press, watchdogs, and rights </w:t>
      </w:r>
      <w:r w:rsidRPr="005B5CB6">
        <w:rPr>
          <w:rFonts w:ascii="Verdana" w:eastAsia="Verdana" w:hAnsi="Verdana" w:cs="Verdana"/>
        </w:rPr>
        <w:t xml:space="preserve">groups have gained better access to information whereby public bodies can be subject to closer oversight and greater transparency. Members of the public are also empowered to engage in public debates more easily, and can even hold public officials accountable by means of </w:t>
      </w:r>
    </w:p>
    <w:p w:rsidR="00FB0B24" w:rsidRPr="005B5CB6" w:rsidP="001512F6">
      <w:pPr>
        <w:spacing w:after="0"/>
        <w:ind w:left="358"/>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47209" name="Group 54720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863" name="Shape 63586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93" style="height:0.72pt;mso-position-horizontal-relative:char;mso-position-vertical-relative:line;width:2in" coordsize="18288,91">
                <v:shape id="_x0000_s1194"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64" w:line="250" w:lineRule="auto"/>
        <w:ind w:left="366" w:right="11" w:hanging="8"/>
        <w:jc w:val="both"/>
        <w:rPr>
          <w:rFonts w:ascii="Verdana" w:hAnsi="Verdana"/>
        </w:rPr>
      </w:pPr>
      <w:r w:rsidRPr="005B5CB6">
        <w:rPr>
          <w:rFonts w:ascii="Verdana" w:eastAsia="Verdana" w:hAnsi="Verdana" w:cs="Verdana"/>
        </w:rPr>
        <w:t xml:space="preserve">“citizen journalism” on social media. </w:t>
      </w:r>
    </w:p>
    <w:p w:rsidR="00FB0B24" w:rsidRPr="005B5CB6" w:rsidP="00575F14">
      <w:pPr>
        <w:numPr>
          <w:ilvl w:val="0"/>
          <w:numId w:val="124"/>
        </w:numPr>
        <w:spacing w:after="71" w:line="250" w:lineRule="auto"/>
        <w:ind w:left="1093" w:right="11" w:hanging="1078"/>
        <w:jc w:val="both"/>
        <w:rPr>
          <w:rFonts w:ascii="Verdana" w:hAnsi="Verdana"/>
        </w:rPr>
      </w:pPr>
      <w:r w:rsidRPr="005B5CB6">
        <w:rPr>
          <w:rFonts w:ascii="Verdana" w:eastAsia="Verdana" w:hAnsi="Verdana" w:cs="Verdana"/>
        </w:rPr>
        <w:t xml:space="preserve">However, digital technologies have also posed unprecedented challenges to the discourse of democracy. As further explained in the responses below, new forms of communications may be exploited to undermine the functioning of democracy, notably hampering public debates, manipulating voters, and creating cyberpolarisation. While it is hard to measure the net effect of digital technologies, appropriate regulatory efforts can minimise the potential harms of such technologies. </w:t>
      </w:r>
    </w:p>
    <w:p w:rsidR="00FB0B24" w:rsidRPr="005B5CB6" w:rsidP="001512F6">
      <w:pPr>
        <w:spacing w:after="55"/>
        <w:ind w:left="358"/>
        <w:jc w:val="both"/>
        <w:rPr>
          <w:rFonts w:ascii="Verdana" w:hAnsi="Verdana"/>
        </w:rPr>
      </w:pPr>
      <w:r w:rsidRPr="005B5CB6">
        <w:rPr>
          <w:rFonts w:ascii="Verdana" w:eastAsia="Verdana" w:hAnsi="Verdana" w:cs="Verdana"/>
        </w:rPr>
        <w:t xml:space="preserve"> </w:t>
      </w:r>
    </w:p>
    <w:p w:rsidR="00FB0B24" w:rsidRPr="005B5CB6" w:rsidP="00575F14">
      <w:pPr>
        <w:numPr>
          <w:ilvl w:val="1"/>
          <w:numId w:val="124"/>
        </w:numPr>
        <w:spacing w:after="69" w:line="249" w:lineRule="auto"/>
        <w:ind w:hanging="10"/>
        <w:jc w:val="both"/>
        <w:rPr>
          <w:rFonts w:ascii="Verdana" w:hAnsi="Verdana"/>
        </w:rPr>
      </w:pPr>
      <w:r w:rsidRPr="005B5CB6">
        <w:rPr>
          <w:rFonts w:ascii="Verdana" w:eastAsia="Verdana" w:hAnsi="Verdana" w:cs="Verdana"/>
          <w:b/>
          <w:i/>
        </w:rPr>
        <w:t xml:space="preserve">How have the design of algorithms used by social media platforms shaped democratic debate? To what extent should there be greater accountability for the design of these algorithms? </w:t>
      </w:r>
    </w:p>
    <w:p w:rsidR="00FB0B24" w:rsidRPr="005B5CB6" w:rsidP="00575F14">
      <w:pPr>
        <w:numPr>
          <w:ilvl w:val="0"/>
          <w:numId w:val="124"/>
        </w:numPr>
        <w:spacing w:after="68" w:line="250" w:lineRule="auto"/>
        <w:ind w:left="1093" w:right="11" w:hanging="1078"/>
        <w:jc w:val="both"/>
        <w:rPr>
          <w:rFonts w:ascii="Verdana" w:hAnsi="Verdana"/>
        </w:rPr>
      </w:pPr>
      <w:r w:rsidRPr="005B5CB6">
        <w:rPr>
          <w:rFonts w:ascii="Verdana" w:eastAsia="Verdana" w:hAnsi="Verdana" w:cs="Verdana"/>
        </w:rPr>
        <w:t xml:space="preserve">The design of algorithms used by social media platforms has, at least until recently, not been guided by any direct considerations regarding democratic debate. The primary guiding principle has been to increase the competitive market share of the platforms as measured in size of user-base, time spent on the platforms, number of interactions (“likes”, “shares”, “ad-clicks” etc). In order to achieve competitive advantage, the algorithms have been built to play on same basic human behavioural and emotional triggers that tabloid journalism and political propaganda have traditionally prayed on, sensationalism, outrage, and strong emotions. An unintended by-product of this development has been an increased visibility in confrontational media content focusing on polarisation of democratic debate. </w:t>
      </w:r>
    </w:p>
    <w:p w:rsidR="00FB0B24" w:rsidRPr="005B5CB6" w:rsidP="00575F14">
      <w:pPr>
        <w:numPr>
          <w:ilvl w:val="0"/>
          <w:numId w:val="124"/>
        </w:numPr>
        <w:spacing w:after="68" w:line="250" w:lineRule="auto"/>
        <w:ind w:left="1093" w:right="11" w:hanging="1078"/>
        <w:jc w:val="both"/>
        <w:rPr>
          <w:rFonts w:ascii="Verdana" w:hAnsi="Verdana"/>
        </w:rPr>
      </w:pPr>
      <w:r w:rsidRPr="005B5CB6">
        <w:rPr>
          <w:rFonts w:ascii="Verdana" w:eastAsia="Verdana" w:hAnsi="Verdana" w:cs="Verdana"/>
        </w:rPr>
        <w:t xml:space="preserve">In the absence of laws or regulations governing the quality or tone of online discourse, platforms have tended to want to protect the neutrality of their own political position, to avoid alienating any part of their potential user base, by appealing to crowd based mechanisms (e.g. user driven “like” counts) for identifying which content to promote. As is well know from many studies of crowd behaviour however, nobody is morally responsible or accountable for the behaviour of a crowd. </w:t>
      </w:r>
    </w:p>
    <w:p w:rsidR="00FB0B24" w:rsidRPr="005B5CB6" w:rsidP="00575F14">
      <w:pPr>
        <w:numPr>
          <w:ilvl w:val="0"/>
          <w:numId w:val="124"/>
        </w:numPr>
        <w:spacing w:after="71" w:line="250" w:lineRule="auto"/>
        <w:ind w:left="1093" w:right="11" w:hanging="1078"/>
        <w:jc w:val="both"/>
        <w:rPr>
          <w:rFonts w:ascii="Verdana" w:hAnsi="Verdana"/>
        </w:rPr>
      </w:pPr>
      <w:r w:rsidRPr="005B5CB6">
        <w:rPr>
          <w:rFonts w:ascii="Verdana" w:eastAsia="Verdana" w:hAnsi="Verdana" w:cs="Verdana"/>
        </w:rPr>
        <w:t xml:space="preserve">In order to mitigate against unacceptable behaviour on online platforms it is vital to establish clear lines of accountability that cannot vanish in the crowd. Since the platform provider is the only party with the capacity to know what is happening on the platform, accountability must lie with the platform provider. </w:t>
      </w:r>
    </w:p>
    <w:p w:rsidR="00FB0B24" w:rsidRPr="005B5CB6" w:rsidP="001512F6">
      <w:pPr>
        <w:spacing w:after="58"/>
        <w:ind w:left="359"/>
        <w:jc w:val="both"/>
        <w:rPr>
          <w:rFonts w:ascii="Verdana" w:hAnsi="Verdana"/>
        </w:rPr>
      </w:pPr>
      <w:r w:rsidRPr="005B5CB6">
        <w:rPr>
          <w:rFonts w:ascii="Verdana" w:eastAsia="Verdana" w:hAnsi="Verdana" w:cs="Verdana"/>
          <w:b/>
          <w:i/>
        </w:rPr>
        <w:t xml:space="preserve"> </w:t>
      </w:r>
    </w:p>
    <w:p w:rsidR="00FB0B24" w:rsidRPr="005B5CB6" w:rsidP="001512F6">
      <w:pPr>
        <w:spacing w:after="65" w:line="249" w:lineRule="auto"/>
        <w:ind w:left="369" w:hanging="10"/>
        <w:jc w:val="both"/>
        <w:rPr>
          <w:rFonts w:ascii="Verdana" w:hAnsi="Verdana"/>
        </w:rPr>
      </w:pPr>
      <w:r w:rsidRPr="005B5CB6">
        <w:rPr>
          <w:rFonts w:ascii="Verdana" w:eastAsia="Verdana" w:hAnsi="Verdana" w:cs="Verdana"/>
          <w:b/>
          <w:i/>
        </w:rPr>
        <w:t xml:space="preserve">Education </w:t>
      </w:r>
    </w:p>
    <w:p w:rsidR="00FB0B24" w:rsidRPr="005B5CB6" w:rsidP="00575F14">
      <w:pPr>
        <w:numPr>
          <w:ilvl w:val="1"/>
          <w:numId w:val="124"/>
        </w:numPr>
        <w:spacing w:after="68" w:line="249" w:lineRule="auto"/>
        <w:ind w:hanging="10"/>
        <w:jc w:val="both"/>
        <w:rPr>
          <w:rFonts w:ascii="Verdana" w:hAnsi="Verdana"/>
        </w:rPr>
      </w:pPr>
      <w:r w:rsidRPr="005B5CB6">
        <w:rPr>
          <w:rFonts w:ascii="Verdana" w:eastAsia="Verdana" w:hAnsi="Verdana" w:cs="Verdana"/>
          <w:b/>
          <w:i/>
        </w:rPr>
        <w:t xml:space="preserve">What role should every stage of education play in helping to create a healthy, active, digitally literate democracy? </w:t>
      </w:r>
    </w:p>
    <w:p w:rsidR="00FB0B24" w:rsidRPr="005B5CB6" w:rsidP="00575F14">
      <w:pPr>
        <w:numPr>
          <w:ilvl w:val="0"/>
          <w:numId w:val="124"/>
        </w:numPr>
        <w:spacing w:after="5" w:line="250" w:lineRule="auto"/>
        <w:ind w:left="1093" w:right="11" w:hanging="1078"/>
        <w:jc w:val="both"/>
        <w:rPr>
          <w:rFonts w:ascii="Verdana" w:hAnsi="Verdana"/>
        </w:rPr>
      </w:pPr>
      <w:r w:rsidRPr="005B5CB6">
        <w:rPr>
          <w:rFonts w:ascii="Verdana" w:eastAsia="Verdana" w:hAnsi="Verdana" w:cs="Verdana"/>
        </w:rPr>
        <w:t xml:space="preserve">Helping to create a healthy, active democracy is a core function of the educational system that should include every stage of education and must </w:t>
      </w:r>
      <w:r w:rsidRPr="005B5CB6">
        <w:rPr>
          <w:rFonts w:ascii="Verdana" w:eastAsia="Verdana" w:hAnsi="Verdana" w:cs="Verdana"/>
        </w:rPr>
        <w:t xml:space="preserve">go beyond the focus on digital literacy. The focus of concerns about mis-information and dis-information is on digital platforms because digital is the main conduit through which information is disseminated. Fundamental skills of critical analysis and distinguishing serious democratic debate from populist crowd baiting, however are not specific to the medium through which the information is carried. Digital literacy can help educate people to understand the process that channelled certain information to them. Being able to engage in a healthy democratic discussion, to listen to opposing points of view and evaluate the positions based on their merits, however requires an education focusing on </w:t>
      </w:r>
    </w:p>
    <w:p w:rsidR="00FB0B24" w:rsidRPr="005B5CB6" w:rsidP="001512F6">
      <w:pPr>
        <w:spacing w:after="67" w:line="250" w:lineRule="auto"/>
        <w:ind w:left="366" w:right="11" w:hanging="8"/>
        <w:jc w:val="both"/>
        <w:rPr>
          <w:rFonts w:ascii="Verdana" w:hAnsi="Verdana"/>
        </w:rPr>
      </w:pPr>
      <w:r w:rsidRPr="005B5CB6">
        <w:rPr>
          <w:rFonts w:ascii="Verdana" w:eastAsia="Verdana" w:hAnsi="Verdana" w:cs="Verdana"/>
        </w:rPr>
        <w:t xml:space="preserve">human social dynamics, not technology. </w:t>
      </w:r>
    </w:p>
    <w:p w:rsidR="00FB0B24" w:rsidRPr="005B5CB6" w:rsidP="001512F6">
      <w:pPr>
        <w:spacing w:after="55"/>
        <w:ind w:left="358"/>
        <w:jc w:val="both"/>
        <w:rPr>
          <w:rFonts w:ascii="Verdana" w:hAnsi="Verdana"/>
        </w:rPr>
      </w:pPr>
      <w:r w:rsidRPr="005B5CB6">
        <w:rPr>
          <w:rFonts w:ascii="Verdana" w:eastAsia="Verdana" w:hAnsi="Verdana" w:cs="Verdana"/>
          <w:b/>
          <w:i/>
        </w:rPr>
        <w:t xml:space="preserve"> </w:t>
      </w:r>
    </w:p>
    <w:p w:rsidR="00FB0B24" w:rsidRPr="005B5CB6" w:rsidP="001512F6">
      <w:pPr>
        <w:spacing w:after="65" w:line="249" w:lineRule="auto"/>
        <w:ind w:left="368" w:hanging="10"/>
        <w:jc w:val="both"/>
        <w:rPr>
          <w:rFonts w:ascii="Verdana" w:hAnsi="Verdana"/>
        </w:rPr>
      </w:pPr>
      <w:r w:rsidRPr="005B5CB6">
        <w:rPr>
          <w:rFonts w:ascii="Verdana" w:eastAsia="Verdana" w:hAnsi="Verdana" w:cs="Verdana"/>
          <w:b/>
          <w:i/>
        </w:rPr>
        <w:t xml:space="preserve">Online campaigning </w:t>
      </w:r>
    </w:p>
    <w:p w:rsidR="00FB0B24" w:rsidRPr="005B5CB6" w:rsidP="00575F14">
      <w:pPr>
        <w:numPr>
          <w:ilvl w:val="1"/>
          <w:numId w:val="124"/>
        </w:numPr>
        <w:spacing w:after="68" w:line="249" w:lineRule="auto"/>
        <w:ind w:hanging="10"/>
        <w:jc w:val="both"/>
        <w:rPr>
          <w:rFonts w:ascii="Verdana" w:hAnsi="Verdana"/>
        </w:rPr>
      </w:pPr>
      <w:r w:rsidRPr="005B5CB6">
        <w:rPr>
          <w:rFonts w:ascii="Verdana" w:eastAsia="Verdana" w:hAnsi="Verdana" w:cs="Verdana"/>
          <w:b/>
          <w:i/>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575F14">
      <w:pPr>
        <w:numPr>
          <w:ilvl w:val="0"/>
          <w:numId w:val="124"/>
        </w:numPr>
        <w:spacing w:after="68" w:line="250" w:lineRule="auto"/>
        <w:ind w:left="1093" w:right="11" w:hanging="1078"/>
        <w:jc w:val="both"/>
        <w:rPr>
          <w:rFonts w:ascii="Verdana" w:hAnsi="Verdana"/>
        </w:rPr>
      </w:pPr>
      <w:r w:rsidRPr="005B5CB6">
        <w:rPr>
          <w:rFonts w:ascii="Verdana" w:eastAsia="Verdana" w:hAnsi="Verdana" w:cs="Verdana"/>
        </w:rPr>
        <w:t>Greater transparency on online campaigning by political groups would help address some of the threats to democracy in the UK. To effectively hold political campaigns to account, however, future regulation should not only focus on spending, but also the use of targeting technologies and personal data of the electorate. In fact, restrictions on the use of personal data – including data revealing one’s political opinions – are already in place under data protection law.</w:t>
      </w:r>
      <w:r>
        <w:rPr>
          <w:rFonts w:ascii="Verdana" w:eastAsia="Verdana" w:hAnsi="Verdana" w:cs="Verdana"/>
          <w:vertAlign w:val="superscript"/>
        </w:rPr>
        <w:footnoteReference w:id="166"/>
      </w:r>
      <w:r w:rsidRPr="005B5CB6">
        <w:rPr>
          <w:rFonts w:ascii="Verdana" w:eastAsia="Verdana" w:hAnsi="Verdana" w:cs="Verdana"/>
        </w:rPr>
        <w:t xml:space="preserve"> Policymakers should further investigate how data protection principles should apply to political campaigning. For example, further legislation may be introduced to empower electoral regulators to issue a code of practice to define what constitutes a legitimate interest by campaign groups (and is thus permissible even without securing individual consent) and what constitutes unfair practices (and is thus prohibited regardless of individual consent). </w:t>
      </w:r>
    </w:p>
    <w:p w:rsidR="00FB0B24" w:rsidRPr="005B5CB6" w:rsidP="00575F14">
      <w:pPr>
        <w:numPr>
          <w:ilvl w:val="0"/>
          <w:numId w:val="124"/>
        </w:numPr>
        <w:spacing w:after="71" w:line="250" w:lineRule="auto"/>
        <w:ind w:left="1093" w:right="11" w:hanging="1078"/>
        <w:jc w:val="both"/>
        <w:rPr>
          <w:rFonts w:ascii="Verdana" w:hAnsi="Verdana"/>
        </w:rPr>
      </w:pPr>
      <w:r w:rsidRPr="005B5CB6">
        <w:rPr>
          <w:rFonts w:ascii="Verdana" w:eastAsia="Verdana" w:hAnsi="Verdana" w:cs="Verdana"/>
        </w:rPr>
        <w:t xml:space="preserve">An effective regime designed to enhance transparency in online political campaigning should cover at least the following areas: (1) a requirement of a detailed statement on the political group’s spend on different online platforms and the marketing methods employed; (2) a compulsory, publicly accessible archive of any online political advertisements and direct-marking messages to internet users and the criteria of targeting; (3) a platform-specific – or ideally, cross-platform – portal to allow internet users to review when and how they have been targeted with political messages and by which political groups. </w:t>
      </w:r>
    </w:p>
    <w:p w:rsidR="00FB0B24" w:rsidRPr="005B5CB6" w:rsidP="001512F6">
      <w:pPr>
        <w:spacing w:after="53"/>
        <w:ind w:left="358"/>
        <w:jc w:val="both"/>
        <w:rPr>
          <w:rFonts w:ascii="Verdana" w:hAnsi="Verdana"/>
        </w:rPr>
      </w:pPr>
      <w:r w:rsidRPr="005B5CB6">
        <w:rPr>
          <w:rFonts w:ascii="Verdana" w:eastAsia="Verdana" w:hAnsi="Verdana" w:cs="Verdana"/>
          <w:b/>
          <w:i/>
        </w:rPr>
        <w:t xml:space="preserve"> </w:t>
      </w:r>
    </w:p>
    <w:p w:rsidR="00FB0B24" w:rsidRPr="005B5CB6" w:rsidP="00575F14">
      <w:pPr>
        <w:numPr>
          <w:ilvl w:val="1"/>
          <w:numId w:val="124"/>
        </w:numPr>
        <w:spacing w:after="80" w:line="249" w:lineRule="auto"/>
        <w:ind w:hanging="10"/>
        <w:jc w:val="both"/>
        <w:rPr>
          <w:rFonts w:ascii="Verdana" w:hAnsi="Verdana"/>
        </w:rPr>
      </w:pPr>
      <w:r w:rsidRPr="005B5CB6">
        <w:rPr>
          <w:rFonts w:ascii="Verdana" w:eastAsia="Verdana" w:hAnsi="Verdana" w:cs="Verdana"/>
          <w:b/>
          <w:i/>
        </w:rPr>
        <w:t xml:space="preserve">What effect does online targeted advertising have on the political process, and what effects could it have in the future? Should there be additional regulation of political advertising? </w:t>
      </w:r>
    </w:p>
    <w:p w:rsidR="00FB0B24" w:rsidRPr="005B5CB6" w:rsidP="00575F14">
      <w:pPr>
        <w:numPr>
          <w:ilvl w:val="0"/>
          <w:numId w:val="124"/>
        </w:numPr>
        <w:spacing w:after="78" w:line="250" w:lineRule="auto"/>
        <w:ind w:left="1093" w:right="11" w:hanging="1078"/>
        <w:jc w:val="both"/>
        <w:rPr>
          <w:rFonts w:ascii="Verdana" w:hAnsi="Verdana"/>
        </w:rPr>
      </w:pPr>
      <w:r w:rsidRPr="005B5CB6">
        <w:rPr>
          <w:rFonts w:ascii="Verdana" w:eastAsia="Verdana" w:hAnsi="Verdana" w:cs="Verdana"/>
        </w:rPr>
        <w:t xml:space="preserve">Online targeted advertising may exhibit its negative effects on the political process at least in the following three ways: </w:t>
      </w:r>
    </w:p>
    <w:p w:rsidR="00FB0B24" w:rsidRPr="005B5CB6" w:rsidP="00575F14">
      <w:pPr>
        <w:numPr>
          <w:ilvl w:val="0"/>
          <w:numId w:val="124"/>
        </w:numPr>
        <w:spacing w:after="108" w:line="250" w:lineRule="auto"/>
        <w:ind w:left="1093" w:right="11" w:hanging="1078"/>
        <w:jc w:val="both"/>
        <w:rPr>
          <w:rFonts w:ascii="Verdana" w:hAnsi="Verdana"/>
        </w:rPr>
      </w:pPr>
      <w:r w:rsidRPr="005B5CB6">
        <w:rPr>
          <w:rFonts w:ascii="Verdana" w:eastAsia="Verdana" w:hAnsi="Verdana" w:cs="Verdana"/>
        </w:rPr>
        <w:t>First, it may create chilling effects on internet users who are conscious of online tracking enabled by online advertising practices, and thus subject to “selfcensorship” when expressing their opinions online.</w:t>
      </w:r>
      <w:r>
        <w:rPr>
          <w:rFonts w:ascii="Verdana" w:eastAsia="Verdana" w:hAnsi="Verdana" w:cs="Verdana"/>
          <w:vertAlign w:val="superscript"/>
        </w:rPr>
        <w:footnoteReference w:id="167"/>
      </w:r>
      <w:r w:rsidRPr="005B5CB6">
        <w:rPr>
          <w:rFonts w:ascii="Verdana" w:eastAsia="Verdana" w:hAnsi="Verdana" w:cs="Verdana"/>
        </w:rPr>
        <w:t xml:space="preserve"> </w:t>
      </w:r>
    </w:p>
    <w:p w:rsidR="00FB0B24" w:rsidRPr="005B5CB6" w:rsidP="00575F14">
      <w:pPr>
        <w:numPr>
          <w:ilvl w:val="0"/>
          <w:numId w:val="124"/>
        </w:numPr>
        <w:spacing w:after="79" w:line="250" w:lineRule="auto"/>
        <w:ind w:left="1093" w:right="11" w:hanging="1078"/>
        <w:jc w:val="both"/>
        <w:rPr>
          <w:rFonts w:ascii="Verdana" w:hAnsi="Verdana"/>
        </w:rPr>
      </w:pPr>
      <w:r w:rsidRPr="005B5CB6">
        <w:rPr>
          <w:rFonts w:ascii="Verdana" w:eastAsia="Verdana" w:hAnsi="Verdana" w:cs="Verdana"/>
        </w:rPr>
        <w:t>Second, political campaigners may gain unfair advantages through opaque targeting practices, which can be highly powerful yet hard to trace.</w:t>
      </w:r>
      <w:r>
        <w:rPr>
          <w:rFonts w:ascii="Verdana" w:eastAsia="Verdana" w:hAnsi="Verdana" w:cs="Verdana"/>
          <w:vertAlign w:val="superscript"/>
        </w:rPr>
        <w:footnoteReference w:id="168"/>
      </w:r>
      <w:r w:rsidRPr="005B5CB6">
        <w:rPr>
          <w:rFonts w:ascii="Verdana" w:eastAsia="Verdana" w:hAnsi="Verdana" w:cs="Verdana"/>
        </w:rPr>
        <w:t xml:space="preserve"> This may include using protected characteristics to identify and influence susceptible groups or disseminating false claims about opposition groups that are hard to noticed and corrected by the latter. </w:t>
      </w:r>
    </w:p>
    <w:p w:rsidR="00FB0B24" w:rsidRPr="005B5CB6" w:rsidP="00575F14">
      <w:pPr>
        <w:numPr>
          <w:ilvl w:val="0"/>
          <w:numId w:val="124"/>
        </w:numPr>
        <w:spacing w:after="490" w:line="250" w:lineRule="auto"/>
        <w:ind w:left="1093" w:right="11" w:hanging="1078"/>
        <w:jc w:val="both"/>
        <w:rPr>
          <w:rFonts w:ascii="Verdana" w:hAnsi="Verdana"/>
        </w:rPr>
      </w:pPr>
      <w:r w:rsidRPr="005B5CB6">
        <w:rPr>
          <w:rFonts w:ascii="Verdana" w:eastAsia="Verdana" w:hAnsi="Verdana" w:cs="Verdana"/>
        </w:rPr>
        <w:t xml:space="preserve">Third, targeted advertising may also deepen social division by generating “filter bubbles” that polarise voters. There is a substantial risk that voters may be exposed to political messages from limited sources and thus lose sight of the </w:t>
      </w:r>
    </w:p>
    <w:p w:rsidR="00FB0B24" w:rsidRPr="005B5CB6" w:rsidP="001512F6">
      <w:pPr>
        <w:spacing w:after="0"/>
        <w:ind w:left="358"/>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48712" name="Group 54871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873" name="Shape 63587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95" style="height:0.72pt;mso-position-horizontal-relative:char;mso-position-vertical-relative:line;width:2in" coordsize="18288,91">
                <v:shape id="_x0000_s1196"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95" w:line="250" w:lineRule="auto"/>
        <w:ind w:left="366" w:right="11" w:hanging="8"/>
        <w:jc w:val="both"/>
        <w:rPr>
          <w:rFonts w:ascii="Verdana" w:hAnsi="Verdana"/>
        </w:rPr>
      </w:pPr>
      <w:r w:rsidRPr="005B5CB6">
        <w:rPr>
          <w:rFonts w:ascii="Verdana" w:eastAsia="Verdana" w:hAnsi="Verdana" w:cs="Verdana"/>
        </w:rPr>
        <w:t>full landscape of the political discourse.</w:t>
      </w:r>
      <w:r>
        <w:rPr>
          <w:rFonts w:ascii="Verdana" w:eastAsia="Verdana" w:hAnsi="Verdana" w:cs="Verdana"/>
          <w:vertAlign w:val="superscript"/>
        </w:rPr>
        <w:footnoteReference w:id="169"/>
      </w:r>
      <w:r w:rsidRPr="005B5CB6">
        <w:rPr>
          <w:rFonts w:ascii="Verdana" w:eastAsia="Verdana" w:hAnsi="Verdana" w:cs="Verdana"/>
        </w:rPr>
        <w:t xml:space="preserve"> </w:t>
      </w:r>
    </w:p>
    <w:p w:rsidR="00FB0B24" w:rsidRPr="005B5CB6" w:rsidP="001512F6">
      <w:pPr>
        <w:spacing w:after="55"/>
        <w:ind w:left="358"/>
        <w:jc w:val="both"/>
        <w:rPr>
          <w:rFonts w:ascii="Verdana" w:hAnsi="Verdana"/>
        </w:rPr>
      </w:pPr>
      <w:r w:rsidRPr="005B5CB6">
        <w:rPr>
          <w:rFonts w:ascii="Verdana" w:eastAsia="Verdana" w:hAnsi="Verdana" w:cs="Verdana"/>
          <w:b/>
          <w:i/>
        </w:rPr>
        <w:t xml:space="preserve"> </w:t>
      </w:r>
    </w:p>
    <w:p w:rsidR="00FB0B24" w:rsidRPr="005B5CB6" w:rsidP="001512F6">
      <w:pPr>
        <w:spacing w:after="65" w:line="249" w:lineRule="auto"/>
        <w:ind w:left="368" w:hanging="10"/>
        <w:jc w:val="both"/>
        <w:rPr>
          <w:rFonts w:ascii="Verdana" w:hAnsi="Verdana"/>
        </w:rPr>
      </w:pPr>
      <w:r w:rsidRPr="005B5CB6">
        <w:rPr>
          <w:rFonts w:ascii="Verdana" w:eastAsia="Verdana" w:hAnsi="Verdana" w:cs="Verdana"/>
          <w:b/>
          <w:i/>
        </w:rPr>
        <w:t xml:space="preserve">Privacy and anonymity </w:t>
      </w:r>
    </w:p>
    <w:p w:rsidR="00FB0B24" w:rsidRPr="005B5CB6" w:rsidP="00575F14">
      <w:pPr>
        <w:numPr>
          <w:ilvl w:val="1"/>
          <w:numId w:val="124"/>
        </w:numPr>
        <w:spacing w:after="77" w:line="249" w:lineRule="auto"/>
        <w:ind w:hanging="10"/>
        <w:jc w:val="both"/>
        <w:rPr>
          <w:rFonts w:ascii="Verdana" w:hAnsi="Verdana"/>
        </w:rPr>
      </w:pPr>
      <w:r w:rsidRPr="005B5CB6">
        <w:rPr>
          <w:rFonts w:ascii="Verdana" w:eastAsia="Verdana" w:hAnsi="Verdana" w:cs="Verdana"/>
          <w:b/>
          <w:i/>
        </w:rPr>
        <w:t xml:space="preserve">To what extent does increasing use of encrypted messaging and private groups present a challenge to the democratic process? </w:t>
      </w:r>
    </w:p>
    <w:p w:rsidR="00FB0B24" w:rsidRPr="005B5CB6" w:rsidP="00575F14">
      <w:pPr>
        <w:numPr>
          <w:ilvl w:val="0"/>
          <w:numId w:val="124"/>
        </w:numPr>
        <w:spacing w:after="113" w:line="250" w:lineRule="auto"/>
        <w:ind w:left="1093" w:right="11" w:hanging="1078"/>
        <w:jc w:val="both"/>
        <w:rPr>
          <w:rFonts w:ascii="Verdana" w:hAnsi="Verdana"/>
        </w:rPr>
      </w:pPr>
      <w:r w:rsidRPr="005B5CB6">
        <w:rPr>
          <w:rFonts w:ascii="Verdana" w:eastAsia="Verdana" w:hAnsi="Verdana" w:cs="Verdana"/>
        </w:rPr>
        <w:t>Encrypted messaging and private groups are sometimes considered to have facilitated the dissemination of harmful content and mis-/disinformation by making such abuses more difficult to regulate. However, strong encryption also plays an important role in improving confidentiality of communications and has a positive impact on user trust, which forms an important part of the foundation of a democratic society.</w:t>
      </w:r>
      <w:r>
        <w:rPr>
          <w:rFonts w:ascii="Verdana" w:eastAsia="Verdana" w:hAnsi="Verdana" w:cs="Verdana"/>
          <w:vertAlign w:val="superscript"/>
        </w:rPr>
        <w:footnoteReference w:id="170"/>
      </w:r>
      <w:r w:rsidRPr="005B5CB6">
        <w:rPr>
          <w:rFonts w:ascii="Verdana" w:eastAsia="Verdana" w:hAnsi="Verdana" w:cs="Verdana"/>
        </w:rPr>
        <w:t xml:space="preserve"> </w:t>
      </w:r>
    </w:p>
    <w:p w:rsidR="00FB0B24" w:rsidRPr="005B5CB6" w:rsidP="00575F14">
      <w:pPr>
        <w:numPr>
          <w:ilvl w:val="0"/>
          <w:numId w:val="124"/>
        </w:numPr>
        <w:spacing w:after="79" w:line="250" w:lineRule="auto"/>
        <w:ind w:left="1093" w:right="11" w:hanging="1078"/>
        <w:jc w:val="both"/>
        <w:rPr>
          <w:rFonts w:ascii="Verdana" w:hAnsi="Verdana"/>
        </w:rPr>
      </w:pPr>
      <w:r w:rsidRPr="005B5CB6">
        <w:rPr>
          <w:rFonts w:ascii="Verdana" w:eastAsia="Verdana" w:hAnsi="Verdana" w:cs="Verdana"/>
        </w:rPr>
        <w:t xml:space="preserve">Private groups (like WhatsApp), that are not already politically homogenous, tend to have a more discourse-oriented character compared to the more information-dissemination focused character of open platforms (like Twitter). The quality of debate on private group platforms therefore depends on the general (technology-independent) capacity towards democratic discourse. The use of encrypted messaging and private groups by political groups tends to focus on organising of their followers. Political campaigning is not directly done on these platforms. </w:t>
      </w:r>
    </w:p>
    <w:p w:rsidR="00FB0B24" w:rsidRPr="005B5CB6" w:rsidP="00575F14">
      <w:pPr>
        <w:numPr>
          <w:ilvl w:val="0"/>
          <w:numId w:val="124"/>
        </w:numPr>
        <w:spacing w:after="70" w:line="250" w:lineRule="auto"/>
        <w:ind w:left="1093" w:right="11" w:hanging="1078"/>
        <w:jc w:val="both"/>
        <w:rPr>
          <w:rFonts w:ascii="Verdana" w:hAnsi="Verdana"/>
        </w:rPr>
      </w:pPr>
      <w:r w:rsidRPr="005B5CB6">
        <w:rPr>
          <w:rFonts w:ascii="Verdana" w:eastAsia="Verdana" w:hAnsi="Verdana" w:cs="Verdana"/>
        </w:rPr>
        <w:t xml:space="preserve">In most widely available end-to-end encrypted systems, the platform provider also supplies the app that decrypts the data and presents it to the user. It is often overlooked, yet entirely reasonable, that such apps could be implementing some of controls mandated on “the platform” after the data has been decrypted, and in a manner that limits the privacy impact. </w:t>
      </w:r>
    </w:p>
    <w:p w:rsidR="00FB0B24" w:rsidRPr="005B5CB6" w:rsidP="001512F6">
      <w:pPr>
        <w:spacing w:after="55"/>
        <w:ind w:left="359"/>
        <w:jc w:val="both"/>
        <w:rPr>
          <w:rFonts w:ascii="Verdana" w:hAnsi="Verdana"/>
        </w:rPr>
      </w:pPr>
      <w:r w:rsidRPr="005B5CB6">
        <w:rPr>
          <w:rFonts w:ascii="Verdana" w:eastAsia="Verdana" w:hAnsi="Verdana" w:cs="Verdana"/>
        </w:rPr>
        <w:t xml:space="preserve"> </w:t>
      </w:r>
    </w:p>
    <w:p w:rsidR="00FB0B24" w:rsidRPr="005B5CB6" w:rsidP="00575F14">
      <w:pPr>
        <w:numPr>
          <w:ilvl w:val="1"/>
          <w:numId w:val="124"/>
        </w:numPr>
        <w:spacing w:after="80" w:line="249" w:lineRule="auto"/>
        <w:ind w:hanging="10"/>
        <w:jc w:val="both"/>
        <w:rPr>
          <w:rFonts w:ascii="Verdana" w:hAnsi="Verdana"/>
        </w:rPr>
      </w:pPr>
      <w:r w:rsidRPr="005B5CB6">
        <w:rPr>
          <w:rFonts w:ascii="Verdana" w:eastAsia="Verdana" w:hAnsi="Verdana" w:cs="Verdana"/>
          <w:b/>
          <w:i/>
        </w:rPr>
        <w:t xml:space="preserve">What are the positive or negative effects of anonymity on online democratic discourse? </w:t>
      </w:r>
    </w:p>
    <w:p w:rsidR="00FB0B24" w:rsidRPr="005B5CB6" w:rsidP="00575F14">
      <w:pPr>
        <w:numPr>
          <w:ilvl w:val="0"/>
          <w:numId w:val="124"/>
        </w:numPr>
        <w:spacing w:after="106" w:line="250" w:lineRule="auto"/>
        <w:ind w:left="1093" w:right="11" w:hanging="1078"/>
        <w:jc w:val="both"/>
        <w:rPr>
          <w:rFonts w:ascii="Verdana" w:hAnsi="Verdana"/>
        </w:rPr>
      </w:pPr>
      <w:r w:rsidRPr="005B5CB6">
        <w:rPr>
          <w:rFonts w:ascii="Verdana" w:eastAsia="Verdana" w:hAnsi="Verdana" w:cs="Verdana"/>
        </w:rPr>
        <w:t>Online anonymity has the positive effect of encouraging individual participation in the public discussion in the online forum, potentially facilitating public engagement in a democratic process. However, anonymity also means lower costs for publishing inappropriate, manipulative, offensive or even illegal content, and higher costs for enforcement against such behaviour.</w:t>
      </w:r>
      <w:r>
        <w:rPr>
          <w:rFonts w:ascii="Verdana" w:eastAsia="Verdana" w:hAnsi="Verdana" w:cs="Verdana"/>
          <w:vertAlign w:val="superscript"/>
        </w:rPr>
        <w:footnoteReference w:id="171"/>
      </w:r>
      <w:r w:rsidRPr="005B5CB6">
        <w:rPr>
          <w:rFonts w:ascii="Verdana" w:eastAsia="Verdana" w:hAnsi="Verdana" w:cs="Verdana"/>
        </w:rPr>
        <w:t xml:space="preserve"> </w:t>
      </w:r>
    </w:p>
    <w:p w:rsidR="00FB0B24" w:rsidRPr="005B5CB6" w:rsidP="00575F14">
      <w:pPr>
        <w:numPr>
          <w:ilvl w:val="0"/>
          <w:numId w:val="124"/>
        </w:numPr>
        <w:spacing w:after="399" w:line="250" w:lineRule="auto"/>
        <w:ind w:left="1093" w:right="11" w:hanging="1078"/>
        <w:jc w:val="both"/>
        <w:rPr>
          <w:rFonts w:ascii="Verdana" w:hAnsi="Verdana"/>
        </w:rPr>
      </w:pPr>
      <w:r w:rsidRPr="005B5CB6">
        <w:rPr>
          <w:rFonts w:ascii="Verdana" w:eastAsia="Verdana" w:hAnsi="Verdana" w:cs="Verdana"/>
        </w:rPr>
        <w:t>Despite the potential downsides of maintaining full anonymity online, policymakers should take additional caution when considering any “real-name” policy or the like. Such an approach may present significant threats to confidentiality of electronic communications, and create substantial chilling effects to the use of online services.</w:t>
      </w:r>
      <w:r>
        <w:rPr>
          <w:rFonts w:ascii="Verdana" w:eastAsia="Verdana" w:hAnsi="Verdana" w:cs="Verdana"/>
          <w:vertAlign w:val="superscript"/>
        </w:rPr>
        <w:footnoteReference w:id="172"/>
      </w:r>
      <w:r w:rsidRPr="005B5CB6">
        <w:rPr>
          <w:rFonts w:ascii="Verdana" w:eastAsia="Verdana" w:hAnsi="Verdana" w:cs="Verdana"/>
        </w:rPr>
        <w:t xml:space="preserve"> Bad-actors are likely to circumvent the “real-name” policy with false identities, whereas the “real-name” policy could potentially expose vulnerable groups to harmful retaliation if they speak out against certain groups. </w:t>
      </w:r>
    </w:p>
    <w:p w:rsidR="00FB0B24" w:rsidRPr="005B5CB6" w:rsidP="001512F6">
      <w:pPr>
        <w:spacing w:after="0"/>
        <w:ind w:left="358"/>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48418" name="Group 54841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879" name="Shape 63587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97" style="height:0.72pt;mso-position-horizontal-relative:char;mso-position-vertical-relative:line;width:2in" coordsize="18288,91">
                <v:shape id="_x0000_s119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58"/>
        <w:ind w:left="358"/>
        <w:jc w:val="both"/>
        <w:rPr>
          <w:rFonts w:ascii="Verdana" w:hAnsi="Verdana"/>
        </w:rPr>
      </w:pPr>
      <w:r w:rsidRPr="005B5CB6">
        <w:rPr>
          <w:rFonts w:ascii="Verdana" w:eastAsia="Verdana" w:hAnsi="Verdana" w:cs="Verdana"/>
          <w:b/>
          <w:i/>
        </w:rPr>
        <w:t xml:space="preserve"> </w:t>
      </w:r>
    </w:p>
    <w:p w:rsidR="00FB0B24" w:rsidRPr="005B5CB6" w:rsidP="001512F6">
      <w:pPr>
        <w:spacing w:after="62" w:line="249" w:lineRule="auto"/>
        <w:ind w:left="368" w:hanging="10"/>
        <w:jc w:val="both"/>
        <w:rPr>
          <w:rFonts w:ascii="Verdana" w:hAnsi="Verdana"/>
        </w:rPr>
      </w:pPr>
      <w:r w:rsidRPr="005B5CB6">
        <w:rPr>
          <w:rFonts w:ascii="Verdana" w:eastAsia="Verdana" w:hAnsi="Verdana" w:cs="Verdana"/>
          <w:b/>
          <w:i/>
        </w:rPr>
        <w:t xml:space="preserve">Democratic debate </w:t>
      </w:r>
    </w:p>
    <w:p w:rsidR="00FB0B24" w:rsidRPr="005B5CB6" w:rsidP="00575F14">
      <w:pPr>
        <w:numPr>
          <w:ilvl w:val="1"/>
          <w:numId w:val="124"/>
        </w:numPr>
        <w:spacing w:after="82" w:line="249" w:lineRule="auto"/>
        <w:ind w:hanging="10"/>
        <w:jc w:val="both"/>
        <w:rPr>
          <w:rFonts w:ascii="Verdana" w:hAnsi="Verdana"/>
        </w:rPr>
      </w:pPr>
      <w:r w:rsidRPr="005B5CB6">
        <w:rPr>
          <w:rFonts w:ascii="Verdana" w:eastAsia="Verdana" w:hAnsi="Verdana" w:cs="Verdana"/>
          <w:b/>
          <w:i/>
        </w:rPr>
        <w:t xml:space="preserve">To what extent does social media negatively shape public debate, either through encouraging polarisation or through abuse deterring individuals from engaging in public life? </w:t>
      </w:r>
    </w:p>
    <w:p w:rsidR="00FB0B24" w:rsidRPr="005B5CB6" w:rsidP="00575F14">
      <w:pPr>
        <w:numPr>
          <w:ilvl w:val="0"/>
          <w:numId w:val="124"/>
        </w:numPr>
        <w:spacing w:after="74" w:line="250" w:lineRule="auto"/>
        <w:ind w:left="1093" w:right="11" w:hanging="1078"/>
        <w:jc w:val="both"/>
        <w:rPr>
          <w:rFonts w:ascii="Verdana" w:hAnsi="Verdana"/>
        </w:rPr>
      </w:pPr>
      <w:r w:rsidRPr="005B5CB6">
        <w:rPr>
          <w:rFonts w:ascii="Verdana" w:eastAsia="Verdana" w:hAnsi="Verdana" w:cs="Verdana"/>
        </w:rPr>
        <w:t xml:space="preserve">See response to Q2. </w:t>
      </w:r>
    </w:p>
    <w:p w:rsidR="00FB0B24" w:rsidRPr="005B5CB6" w:rsidP="001512F6">
      <w:pPr>
        <w:spacing w:after="55"/>
        <w:ind w:left="358"/>
        <w:jc w:val="both"/>
        <w:rPr>
          <w:rFonts w:ascii="Verdana" w:hAnsi="Verdana"/>
        </w:rPr>
      </w:pPr>
      <w:r w:rsidRPr="005B5CB6">
        <w:rPr>
          <w:rFonts w:ascii="Verdana" w:eastAsia="Verdana" w:hAnsi="Verdana" w:cs="Verdana"/>
        </w:rPr>
        <w:t xml:space="preserve"> </w:t>
      </w:r>
    </w:p>
    <w:p w:rsidR="00FB0B24" w:rsidRPr="005B5CB6" w:rsidP="00575F14">
      <w:pPr>
        <w:numPr>
          <w:ilvl w:val="1"/>
          <w:numId w:val="124"/>
        </w:numPr>
        <w:spacing w:after="77" w:line="249" w:lineRule="auto"/>
        <w:ind w:hanging="10"/>
        <w:jc w:val="both"/>
        <w:rPr>
          <w:rFonts w:ascii="Verdana" w:hAnsi="Verdana"/>
        </w:rPr>
      </w:pPr>
      <w:r w:rsidRPr="005B5CB6">
        <w:rPr>
          <w:rFonts w:ascii="Verdana" w:eastAsia="Verdana" w:hAnsi="Verdana" w:cs="Verdana"/>
          <w:b/>
          <w:i/>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575F14">
      <w:pPr>
        <w:numPr>
          <w:ilvl w:val="0"/>
          <w:numId w:val="124"/>
        </w:numPr>
        <w:spacing w:after="67" w:line="250" w:lineRule="auto"/>
        <w:ind w:left="1093" w:right="11" w:hanging="1078"/>
        <w:jc w:val="both"/>
        <w:rPr>
          <w:rFonts w:ascii="Verdana" w:hAnsi="Verdana"/>
        </w:rPr>
      </w:pPr>
      <w:r w:rsidRPr="005B5CB6">
        <w:rPr>
          <w:rFonts w:ascii="Verdana" w:eastAsia="Verdana" w:hAnsi="Verdana" w:cs="Verdana"/>
        </w:rPr>
        <w:t xml:space="preserve">See work by Carole Cadwalladr, extensively published in </w:t>
      </w:r>
      <w:r w:rsidRPr="005B5CB6">
        <w:rPr>
          <w:rFonts w:ascii="Verdana" w:eastAsia="Verdana" w:hAnsi="Verdana" w:cs="Verdana"/>
          <w:i/>
        </w:rPr>
        <w:t>The Observer</w:t>
      </w:r>
      <w:r w:rsidRPr="005B5CB6">
        <w:rPr>
          <w:rFonts w:ascii="Verdana" w:eastAsia="Verdana" w:hAnsi="Verdana" w:cs="Verdana"/>
        </w:rPr>
        <w:t xml:space="preserve"> and </w:t>
      </w:r>
      <w:r w:rsidRPr="005B5CB6">
        <w:rPr>
          <w:rFonts w:ascii="Verdana" w:eastAsia="Verdana" w:hAnsi="Verdana" w:cs="Verdana"/>
          <w:i/>
        </w:rPr>
        <w:t>The Guardian</w:t>
      </w:r>
      <w:r w:rsidRPr="005B5CB6">
        <w:rPr>
          <w:rFonts w:ascii="Verdana" w:eastAsia="Verdana" w:hAnsi="Verdana" w:cs="Verdana"/>
        </w:rPr>
        <w:t xml:space="preserve"> for evidence regarding the use of social media to attempt to undermine trust in the democratic process. </w:t>
      </w:r>
    </w:p>
    <w:p w:rsidR="00FB0B24" w:rsidRPr="005B5CB6" w:rsidP="001512F6">
      <w:pPr>
        <w:spacing w:after="70" w:line="250" w:lineRule="auto"/>
        <w:ind w:left="366" w:right="11" w:hanging="8"/>
        <w:jc w:val="both"/>
        <w:rPr>
          <w:rFonts w:ascii="Verdana" w:hAnsi="Verdana"/>
        </w:rPr>
      </w:pPr>
      <w:r w:rsidRPr="005B5CB6">
        <w:rPr>
          <w:rFonts w:ascii="Verdana" w:eastAsia="Verdana" w:hAnsi="Verdana" w:cs="Verdana"/>
        </w:rPr>
        <w:t xml:space="preserve">The best ways to combat this and strengthen faith in democracy are for actual politicians and serious journalists to refrain from engaging in the same disingenuous activities. </w:t>
      </w:r>
    </w:p>
    <w:p w:rsidR="00FB0B24" w:rsidRPr="005B5CB6" w:rsidP="001512F6">
      <w:pPr>
        <w:spacing w:after="55"/>
        <w:ind w:left="358"/>
        <w:jc w:val="both"/>
        <w:rPr>
          <w:rFonts w:ascii="Verdana" w:hAnsi="Verdana"/>
        </w:rPr>
      </w:pPr>
      <w:r w:rsidRPr="005B5CB6">
        <w:rPr>
          <w:rFonts w:ascii="Verdana" w:eastAsia="Verdana" w:hAnsi="Verdana" w:cs="Verdana"/>
          <w:b/>
          <w:i/>
        </w:rPr>
        <w:t xml:space="preserve"> </w:t>
      </w:r>
    </w:p>
    <w:p w:rsidR="00FB0B24" w:rsidRPr="005B5CB6" w:rsidP="001512F6">
      <w:pPr>
        <w:spacing w:after="65" w:line="249" w:lineRule="auto"/>
        <w:ind w:left="368" w:hanging="10"/>
        <w:jc w:val="both"/>
        <w:rPr>
          <w:rFonts w:ascii="Verdana" w:hAnsi="Verdana"/>
        </w:rPr>
      </w:pPr>
      <w:r w:rsidRPr="005B5CB6">
        <w:rPr>
          <w:rFonts w:ascii="Verdana" w:eastAsia="Verdana" w:hAnsi="Verdana" w:cs="Verdana"/>
          <w:b/>
          <w:i/>
        </w:rPr>
        <w:t xml:space="preserve">Misinformation </w:t>
      </w:r>
    </w:p>
    <w:p w:rsidR="00FB0B24" w:rsidRPr="005B5CB6" w:rsidP="00575F14">
      <w:pPr>
        <w:numPr>
          <w:ilvl w:val="1"/>
          <w:numId w:val="124"/>
        </w:numPr>
        <w:spacing w:after="82" w:line="249" w:lineRule="auto"/>
        <w:ind w:hanging="10"/>
        <w:jc w:val="both"/>
        <w:rPr>
          <w:rFonts w:ascii="Verdana" w:hAnsi="Verdana"/>
        </w:rPr>
      </w:pPr>
      <w:r w:rsidRPr="005B5CB6">
        <w:rPr>
          <w:rFonts w:ascii="Verdana" w:eastAsia="Verdana" w:hAnsi="Verdana" w:cs="Verdana"/>
          <w:b/>
          <w:i/>
        </w:rPr>
        <w:t xml:space="preserve">What might be the best ways of reducing the effects of misinformation on social media platforms? </w:t>
      </w:r>
    </w:p>
    <w:p w:rsidR="00FB0B24" w:rsidRPr="005B5CB6" w:rsidP="00575F14">
      <w:pPr>
        <w:numPr>
          <w:ilvl w:val="0"/>
          <w:numId w:val="124"/>
        </w:numPr>
        <w:spacing w:after="74" w:line="250" w:lineRule="auto"/>
        <w:ind w:left="1093" w:right="11" w:hanging="1078"/>
        <w:jc w:val="both"/>
        <w:rPr>
          <w:rFonts w:ascii="Verdana" w:hAnsi="Verdana"/>
        </w:rPr>
      </w:pPr>
      <w:r w:rsidRPr="005B5CB6">
        <w:rPr>
          <w:rFonts w:ascii="Verdana" w:eastAsia="Verdana" w:hAnsi="Verdana" w:cs="Verdana"/>
        </w:rPr>
        <w:t xml:space="preserve">See response to Q3. </w:t>
      </w:r>
    </w:p>
    <w:p w:rsidR="00FB0B24" w:rsidRPr="005B5CB6" w:rsidP="001512F6">
      <w:pPr>
        <w:spacing w:after="58"/>
        <w:ind w:left="358"/>
        <w:jc w:val="both"/>
        <w:rPr>
          <w:rFonts w:ascii="Verdana" w:hAnsi="Verdana"/>
        </w:rPr>
      </w:pPr>
      <w:r w:rsidRPr="005B5CB6">
        <w:rPr>
          <w:rFonts w:ascii="Verdana" w:eastAsia="Verdana" w:hAnsi="Verdana" w:cs="Verdana"/>
          <w:b/>
          <w:i/>
        </w:rPr>
        <w:t xml:space="preserve"> </w:t>
      </w:r>
    </w:p>
    <w:p w:rsidR="00FB0B24" w:rsidRPr="005B5CB6" w:rsidP="001512F6">
      <w:pPr>
        <w:spacing w:after="62" w:line="249" w:lineRule="auto"/>
        <w:ind w:left="368" w:hanging="10"/>
        <w:jc w:val="both"/>
        <w:rPr>
          <w:rFonts w:ascii="Verdana" w:hAnsi="Verdana"/>
        </w:rPr>
      </w:pPr>
      <w:r w:rsidRPr="005B5CB6">
        <w:rPr>
          <w:rFonts w:ascii="Verdana" w:eastAsia="Verdana" w:hAnsi="Verdana" w:cs="Verdana"/>
          <w:b/>
          <w:i/>
        </w:rPr>
        <w:t xml:space="preserve">Moderation </w:t>
      </w:r>
    </w:p>
    <w:p w:rsidR="00FB0B24" w:rsidRPr="005B5CB6" w:rsidP="00575F14">
      <w:pPr>
        <w:numPr>
          <w:ilvl w:val="1"/>
          <w:numId w:val="124"/>
        </w:numPr>
        <w:spacing w:after="82" w:line="249" w:lineRule="auto"/>
        <w:ind w:hanging="10"/>
        <w:jc w:val="both"/>
        <w:rPr>
          <w:rFonts w:ascii="Verdana" w:hAnsi="Verdana"/>
        </w:rPr>
      </w:pPr>
      <w:r w:rsidRPr="005B5CB6">
        <w:rPr>
          <w:rFonts w:ascii="Verdana" w:eastAsia="Verdana" w:hAnsi="Verdana" w:cs="Verdana"/>
          <w:b/>
          <w:i/>
        </w:rPr>
        <w:t xml:space="preserve">How could the moderation processes of large technology companies be improved to better tackle abuse and misinformation, as well as helping public debate flourish? </w:t>
      </w:r>
    </w:p>
    <w:p w:rsidR="00FB0B24" w:rsidRPr="005B5CB6" w:rsidP="00575F14">
      <w:pPr>
        <w:numPr>
          <w:ilvl w:val="0"/>
          <w:numId w:val="124"/>
        </w:numPr>
        <w:spacing w:after="74" w:line="250" w:lineRule="auto"/>
        <w:ind w:left="1093" w:right="11" w:hanging="1078"/>
        <w:jc w:val="both"/>
        <w:rPr>
          <w:rFonts w:ascii="Verdana" w:hAnsi="Verdana"/>
        </w:rPr>
      </w:pPr>
      <w:r w:rsidRPr="005B5CB6">
        <w:rPr>
          <w:rFonts w:ascii="Verdana" w:eastAsia="Verdana" w:hAnsi="Verdana" w:cs="Verdana"/>
        </w:rPr>
        <w:t xml:space="preserve">No response. </w:t>
      </w:r>
    </w:p>
    <w:p w:rsidR="00FB0B24" w:rsidRPr="005B5CB6" w:rsidP="001512F6">
      <w:pPr>
        <w:spacing w:after="55"/>
        <w:ind w:left="358"/>
        <w:jc w:val="both"/>
        <w:rPr>
          <w:rFonts w:ascii="Verdana" w:hAnsi="Verdana"/>
        </w:rPr>
      </w:pPr>
      <w:r w:rsidRPr="005B5CB6">
        <w:rPr>
          <w:rFonts w:ascii="Verdana" w:eastAsia="Verdana" w:hAnsi="Verdana" w:cs="Verdana"/>
          <w:b/>
          <w:i/>
        </w:rPr>
        <w:t xml:space="preserve"> </w:t>
      </w:r>
    </w:p>
    <w:p w:rsidR="00FB0B24" w:rsidRPr="005B5CB6" w:rsidP="001512F6">
      <w:pPr>
        <w:spacing w:after="65" w:line="249" w:lineRule="auto"/>
        <w:ind w:left="368" w:hanging="10"/>
        <w:jc w:val="both"/>
        <w:rPr>
          <w:rFonts w:ascii="Verdana" w:hAnsi="Verdana"/>
        </w:rPr>
      </w:pPr>
      <w:r w:rsidRPr="005B5CB6">
        <w:rPr>
          <w:rFonts w:ascii="Verdana" w:eastAsia="Verdana" w:hAnsi="Verdana" w:cs="Verdana"/>
          <w:b/>
          <w:i/>
        </w:rPr>
        <w:t xml:space="preserve">Technology and democratic engagement </w:t>
      </w:r>
    </w:p>
    <w:p w:rsidR="00FB0B24" w:rsidRPr="005B5CB6" w:rsidP="00575F14">
      <w:pPr>
        <w:numPr>
          <w:ilvl w:val="1"/>
          <w:numId w:val="124"/>
        </w:numPr>
        <w:spacing w:after="80" w:line="249" w:lineRule="auto"/>
        <w:ind w:hanging="10"/>
        <w:jc w:val="both"/>
        <w:rPr>
          <w:rFonts w:ascii="Verdana" w:hAnsi="Verdana"/>
        </w:rPr>
      </w:pPr>
      <w:r w:rsidRPr="005B5CB6">
        <w:rPr>
          <w:rFonts w:ascii="Verdana" w:eastAsia="Verdana" w:hAnsi="Verdana" w:cs="Verdana"/>
          <w:b/>
          <w:i/>
        </w:rPr>
        <w:t xml:space="preserve">How could the Government better support the positive work of civil society organisations using technology to facilitate engagement with democratic processes? </w:t>
      </w:r>
    </w:p>
    <w:p w:rsidR="00FB0B24" w:rsidRPr="005B5CB6" w:rsidP="00575F14">
      <w:pPr>
        <w:numPr>
          <w:ilvl w:val="0"/>
          <w:numId w:val="124"/>
        </w:numPr>
        <w:spacing w:after="70" w:line="250" w:lineRule="auto"/>
        <w:ind w:left="1093" w:right="11" w:hanging="1078"/>
        <w:jc w:val="both"/>
        <w:rPr>
          <w:rFonts w:ascii="Verdana" w:hAnsi="Verdana"/>
        </w:rPr>
      </w:pPr>
      <w:r w:rsidRPr="005B5CB6">
        <w:rPr>
          <w:rFonts w:ascii="Verdana" w:eastAsia="Verdana" w:hAnsi="Verdana" w:cs="Verdana"/>
        </w:rPr>
        <w:t xml:space="preserve">Government departments could support civil society organisations by further streamlining and accelerating the response process to freedom of information requests and provide access to (public) government data in standardised and compatible formats. </w:t>
      </w:r>
    </w:p>
    <w:p w:rsidR="00FB0B24" w:rsidRPr="005B5CB6" w:rsidP="001512F6">
      <w:pPr>
        <w:spacing w:after="53"/>
        <w:ind w:left="358"/>
        <w:jc w:val="both"/>
        <w:rPr>
          <w:rFonts w:ascii="Verdana" w:hAnsi="Verdana"/>
        </w:rPr>
      </w:pPr>
      <w:r w:rsidRPr="005B5CB6">
        <w:rPr>
          <w:rFonts w:ascii="Verdana" w:eastAsia="Verdana" w:hAnsi="Verdana" w:cs="Verdana"/>
          <w:b/>
          <w:i/>
        </w:rPr>
        <w:t xml:space="preserve"> </w:t>
      </w:r>
    </w:p>
    <w:p w:rsidR="00FB0B24" w:rsidRPr="005B5CB6" w:rsidP="00575F14">
      <w:pPr>
        <w:numPr>
          <w:ilvl w:val="1"/>
          <w:numId w:val="124"/>
        </w:numPr>
        <w:spacing w:after="77" w:line="249" w:lineRule="auto"/>
        <w:ind w:hanging="10"/>
        <w:jc w:val="both"/>
        <w:rPr>
          <w:rFonts w:ascii="Verdana" w:hAnsi="Verdana"/>
        </w:rPr>
      </w:pPr>
      <w:r w:rsidRPr="005B5CB6">
        <w:rPr>
          <w:rFonts w:ascii="Verdana" w:eastAsia="Verdana" w:hAnsi="Verdana" w:cs="Verdana"/>
          <w:b/>
          <w:i/>
        </w:rPr>
        <w:t xml:space="preserve">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575F14">
      <w:pPr>
        <w:numPr>
          <w:ilvl w:val="0"/>
          <w:numId w:val="124"/>
        </w:numPr>
        <w:spacing w:after="5" w:line="250" w:lineRule="auto"/>
        <w:ind w:left="1093" w:right="11" w:hanging="1078"/>
        <w:jc w:val="both"/>
        <w:rPr>
          <w:rFonts w:ascii="Verdana" w:hAnsi="Verdana"/>
        </w:rPr>
      </w:pPr>
      <w:r w:rsidRPr="005B5CB6">
        <w:rPr>
          <w:rFonts w:ascii="Verdana" w:eastAsia="Verdana" w:hAnsi="Verdana" w:cs="Verdana"/>
        </w:rPr>
        <w:t xml:space="preserve">No platform provides a representative sample of the population (for example, few privacy advocates will be found on Facebook), and care should be taken in extrapolating policy from such biased statistical samples. The </w:t>
      </w:r>
    </w:p>
    <w:p w:rsidR="00FB0B24" w:rsidRPr="005B5CB6" w:rsidP="001512F6">
      <w:pPr>
        <w:spacing w:after="98" w:line="250" w:lineRule="auto"/>
        <w:ind w:left="366" w:right="11" w:hanging="8"/>
        <w:jc w:val="both"/>
        <w:rPr>
          <w:rFonts w:ascii="Verdana" w:hAnsi="Verdana"/>
        </w:rPr>
      </w:pPr>
      <w:r w:rsidRPr="005B5CB6">
        <w:rPr>
          <w:rFonts w:ascii="Verdana" w:eastAsia="Verdana" w:hAnsi="Verdana" w:cs="Verdana"/>
        </w:rPr>
        <w:t>introduction of any technological engagement means must be accompanied by a suitable impact assessment to ensure inclusivity, and that it does not systematically favour some demographic groups over others. Much evidence has previously been received on this topic in the previous 2014 Select Committee inquiry into “Social media data and real time analytics”.</w:t>
      </w:r>
      <w:r>
        <w:rPr>
          <w:rFonts w:ascii="Verdana" w:eastAsia="Verdana" w:hAnsi="Verdana" w:cs="Verdana"/>
          <w:vertAlign w:val="superscript"/>
        </w:rPr>
        <w:footnoteReference w:id="173"/>
      </w:r>
      <w:r w:rsidRPr="005B5CB6">
        <w:rPr>
          <w:rFonts w:ascii="Verdana" w:eastAsia="Verdana" w:hAnsi="Verdana" w:cs="Verdana"/>
        </w:rPr>
        <w:t xml:space="preserve"> </w:t>
      </w:r>
    </w:p>
    <w:p w:rsidR="00FB0B24" w:rsidRPr="005B5CB6" w:rsidP="001512F6">
      <w:pPr>
        <w:spacing w:after="55"/>
        <w:ind w:left="358"/>
        <w:jc w:val="both"/>
        <w:rPr>
          <w:rFonts w:ascii="Verdana" w:hAnsi="Verdana"/>
        </w:rPr>
      </w:pPr>
      <w:r w:rsidRPr="005B5CB6">
        <w:rPr>
          <w:rFonts w:ascii="Verdana" w:eastAsia="Verdana" w:hAnsi="Verdana" w:cs="Verdana"/>
          <w:b/>
          <w:i/>
        </w:rPr>
        <w:t xml:space="preserve"> </w:t>
      </w:r>
    </w:p>
    <w:p w:rsidR="00FB0B24" w:rsidRPr="005B5CB6" w:rsidP="00575F14">
      <w:pPr>
        <w:numPr>
          <w:ilvl w:val="1"/>
          <w:numId w:val="124"/>
        </w:numPr>
        <w:spacing w:after="77" w:line="249" w:lineRule="auto"/>
        <w:ind w:hanging="10"/>
        <w:jc w:val="both"/>
        <w:rPr>
          <w:rFonts w:ascii="Verdana" w:hAnsi="Verdana"/>
        </w:rPr>
      </w:pPr>
      <w:r w:rsidRPr="005B5CB6">
        <w:rPr>
          <w:rFonts w:ascii="Verdana" w:eastAsia="Verdana" w:hAnsi="Verdana" w:cs="Verdana"/>
          <w:b/>
          <w:i/>
        </w:rPr>
        <w:t xml:space="preserve">What positive examples are there of technology being used to enhance democracy? </w:t>
      </w:r>
    </w:p>
    <w:p w:rsidR="00FB0B24" w:rsidRPr="005B5CB6" w:rsidP="00575F14">
      <w:pPr>
        <w:numPr>
          <w:ilvl w:val="0"/>
          <w:numId w:val="124"/>
        </w:numPr>
        <w:spacing w:after="9451" w:line="250" w:lineRule="auto"/>
        <w:ind w:left="1093" w:right="11" w:hanging="1078"/>
        <w:jc w:val="both"/>
        <w:rPr>
          <w:rFonts w:ascii="Verdana" w:hAnsi="Verdana"/>
        </w:rPr>
      </w:pPr>
      <w:r w:rsidRPr="005B5CB6">
        <w:rPr>
          <w:rFonts w:ascii="Verdana" w:eastAsia="Verdana" w:hAnsi="Verdana" w:cs="Verdana"/>
        </w:rPr>
        <w:t xml:space="preserve">Audrey Tang’s work as Digital Minister in Taiwan has introduced a series of technological innovations to increase citizen engagement with government, </w:t>
      </w:r>
      <w:r w:rsidRPr="005B5CB6">
        <w:rPr>
          <w:rFonts w:ascii="Verdana" w:eastAsia="Verdana" w:hAnsi="Verdana" w:cs="Verdana"/>
        </w:rPr>
        <w:t>including direct citizen stakeholder engagement in shaping the policy that affects particular population groups.</w:t>
      </w:r>
      <w:r>
        <w:rPr>
          <w:rFonts w:ascii="Verdana" w:eastAsia="Verdana" w:hAnsi="Verdana" w:cs="Verdana"/>
          <w:vertAlign w:val="superscript"/>
        </w:rPr>
        <w:footnoteReference w:id="174"/>
      </w:r>
      <w:r w:rsidRPr="005B5CB6">
        <w:rPr>
          <w:rFonts w:ascii="Verdana" w:eastAsia="Verdana" w:hAnsi="Verdana" w:cs="Verdana"/>
        </w:rPr>
        <w:t xml:space="preserve"> </w:t>
      </w:r>
    </w:p>
    <w:p w:rsidR="00FB0B24" w:rsidRPr="005B5CB6" w:rsidP="001512F6">
      <w:pPr>
        <w:spacing w:after="0"/>
        <w:ind w:left="358"/>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49180" name="Group 54918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895" name="Shape 63589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199" style="height:0.72pt;mso-position-horizontal-relative:char;mso-position-vertical-relative:line;width:2in" coordsize="18288,91">
                <v:shape id="_x0000_s1200"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jc w:val="both"/>
        <w:rPr>
          <w:rFonts w:ascii="Verdana" w:hAnsi="Verdana"/>
        </w:rPr>
        <w:sectPr w:rsidSect="001F462D">
          <w:headerReference w:type="even" r:id="rId201"/>
          <w:headerReference w:type="default" r:id="rId202"/>
          <w:footerReference w:type="even" r:id="rId203"/>
          <w:footerReference w:type="default" r:id="rId204"/>
          <w:headerReference w:type="first" r:id="rId205"/>
          <w:footerReference w:type="first" r:id="rId206"/>
          <w:pgSz w:w="11902" w:h="16817"/>
          <w:pgMar w:top="1492" w:right="1445" w:bottom="1440" w:left="1082" w:header="720" w:footer="709" w:gutter="0"/>
          <w:cols w:space="720"/>
        </w:sectPr>
      </w:pPr>
    </w:p>
    <w:p w:rsidR="00FB0B24" w:rsidRPr="005B5CB6" w:rsidP="00A1624B">
      <w:pPr>
        <w:pStyle w:val="Heading1"/>
        <w:rPr>
          <w:sz w:val="22"/>
        </w:rPr>
      </w:pPr>
      <w:bookmarkStart w:id="36" w:name="_Toc44517724"/>
      <w:r w:rsidRPr="005B5CB6">
        <w:rPr>
          <w:sz w:val="22"/>
        </w:rPr>
        <w:t>Privacy International – written evidence (DAD0041)</w:t>
      </w:r>
      <w:bookmarkEnd w:id="36"/>
      <w:r w:rsidRPr="005B5CB6">
        <w:rPr>
          <w:sz w:val="22"/>
        </w:rPr>
        <w:t xml:space="preserv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About Privacy International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Privacy International (“PI”) is a leading charity advocating for strong national, regional, and international laws that protect the right to privacy around the world. Founded in 1990 and based in London, PI challenges overreaching state and corporate surveillance so that people everywhere can have greater security and freedom through greater personal privacy. </w:t>
      </w:r>
    </w:p>
    <w:p w:rsidR="00FB0B24" w:rsidRPr="005B5CB6" w:rsidP="00A72806">
      <w:pPr>
        <w:spacing w:after="28"/>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27" w:line="250" w:lineRule="auto"/>
        <w:ind w:left="23" w:right="11" w:hanging="8"/>
        <w:jc w:val="both"/>
        <w:rPr>
          <w:rFonts w:ascii="Verdana" w:hAnsi="Verdana"/>
        </w:rPr>
      </w:pPr>
      <w:r w:rsidRPr="005B5CB6">
        <w:rPr>
          <w:rFonts w:ascii="Verdana" w:eastAsia="Verdana" w:hAnsi="Verdana" w:cs="Verdana"/>
        </w:rPr>
        <w:t xml:space="preserve">Within its range of activities, PI investigates how peoples’ personal data is generated and exploited, and how it can be protected through legal and technological frameworks. </w:t>
      </w:r>
      <w:r w:rsidRPr="005B5CB6">
        <w:rPr>
          <w:rFonts w:ascii="Verdana" w:eastAsia="Verdana" w:hAnsi="Verdana" w:cs="Verdana"/>
        </w:rPr>
        <w:tab/>
        <w:t xml:space="preserve">PI employs technologists, investigators, policy experts, and lawyers, who work together to understand the technical underpinnings of emerging technology and to consider how existing legal definitions and frameworks map onto such technology.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PI is frequently called upon to give expert evidence to Parliamentary and Governmental committees around the world on privacy issues and has advised, and reported to, among others, the Parliament of the United Kingdom, the Council of Europe, the European Parliament, the Organisation for Economic Cooperation and Development, and the United Nations.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27" w:line="250" w:lineRule="auto"/>
        <w:ind w:left="23" w:right="11" w:hanging="8"/>
        <w:jc w:val="both"/>
        <w:rPr>
          <w:rFonts w:ascii="Verdana" w:hAnsi="Verdana"/>
        </w:rPr>
      </w:pPr>
      <w:r w:rsidRPr="005B5CB6">
        <w:rPr>
          <w:rFonts w:ascii="Verdana" w:eastAsia="Verdana" w:hAnsi="Verdana" w:cs="Verdana"/>
        </w:rPr>
        <w:t>PI is increasingly concerned that democratic participation can be inhibited by novel and unhindered surveillance both by governments and companies. To safeguard our rights, earlier this year, we launched our work programme, Defending Democracy and Dissent</w:t>
      </w:r>
      <w:r>
        <w:rPr>
          <w:rFonts w:ascii="Verdana" w:eastAsia="Verdana" w:hAnsi="Verdana" w:cs="Verdana"/>
          <w:vertAlign w:val="superscript"/>
        </w:rPr>
        <w:footnoteReference w:id="175"/>
      </w:r>
      <w:r w:rsidRPr="005B5CB6">
        <w:rPr>
          <w:rFonts w:ascii="Verdana" w:eastAsia="Verdana" w:hAnsi="Verdana" w:cs="Verdana"/>
        </w:rPr>
        <w:t xml:space="preserve">, which aims to investigate the role technology plays in facilitating and/or hindering everyone's participation in civic society. </w:t>
      </w:r>
    </w:p>
    <w:p w:rsidR="00FB0B24" w:rsidRPr="005B5CB6" w:rsidP="00A72806">
      <w:pPr>
        <w:spacing w:after="17"/>
        <w:ind w:left="1"/>
        <w:jc w:val="both"/>
        <w:rPr>
          <w:rFonts w:ascii="Verdana" w:hAnsi="Verdana"/>
        </w:rPr>
      </w:pPr>
      <w:r w:rsidRPr="005B5CB6">
        <w:rPr>
          <w:rFonts w:ascii="Verdana" w:eastAsia="Verdana" w:hAnsi="Verdana" w:cs="Verdana"/>
        </w:rPr>
        <w:t xml:space="preserve"> </w:t>
      </w:r>
    </w:p>
    <w:p w:rsidR="00FB0B24" w:rsidRPr="005B5CB6" w:rsidP="00A72806">
      <w:pPr>
        <w:spacing w:after="17"/>
        <w:ind w:left="1"/>
        <w:jc w:val="both"/>
        <w:rPr>
          <w:rFonts w:ascii="Verdana" w:hAnsi="Verdana"/>
        </w:rPr>
      </w:pPr>
      <w:r w:rsidRPr="005B5CB6">
        <w:rPr>
          <w:rFonts w:ascii="Verdana" w:eastAsia="Verdana" w:hAnsi="Verdana" w:cs="Verdana"/>
        </w:rPr>
        <w:t xml:space="preserve">  </w:t>
      </w:r>
    </w:p>
    <w:p w:rsidR="00FB0B24" w:rsidRPr="005B5CB6" w:rsidP="00A72806">
      <w:pPr>
        <w:spacing w:after="17"/>
        <w:ind w:left="1008"/>
        <w:jc w:val="both"/>
        <w:rPr>
          <w:rFonts w:ascii="Verdana" w:hAnsi="Verdana"/>
        </w:rPr>
      </w:pPr>
      <w:r w:rsidRPr="005B5CB6">
        <w:rPr>
          <w:rFonts w:ascii="Verdana" w:eastAsia="Verdana" w:hAnsi="Verdana" w:cs="Verdana"/>
        </w:rPr>
        <w:t xml:space="preserve"> </w:t>
      </w:r>
    </w:p>
    <w:p w:rsidR="00FB0B24" w:rsidRPr="005B5CB6" w:rsidP="00A72806">
      <w:pPr>
        <w:spacing w:after="17"/>
        <w:ind w:left="1008"/>
        <w:jc w:val="both"/>
        <w:rPr>
          <w:rFonts w:ascii="Verdana" w:hAnsi="Verdana"/>
        </w:rPr>
      </w:pPr>
      <w:r w:rsidRPr="005B5CB6">
        <w:rPr>
          <w:rFonts w:ascii="Verdana" w:eastAsia="Verdana" w:hAnsi="Verdana" w:cs="Verdana"/>
        </w:rPr>
        <w:t xml:space="preserve"> </w:t>
      </w:r>
    </w:p>
    <w:p w:rsidR="00FB0B24" w:rsidRPr="005B5CB6" w:rsidP="00A72806">
      <w:pPr>
        <w:spacing w:after="17"/>
        <w:ind w:left="1008"/>
        <w:jc w:val="both"/>
        <w:rPr>
          <w:rFonts w:ascii="Verdana" w:hAnsi="Verdana"/>
        </w:rPr>
      </w:pPr>
      <w:r w:rsidRPr="005B5CB6">
        <w:rPr>
          <w:rFonts w:ascii="Verdana" w:eastAsia="Verdana" w:hAnsi="Verdana" w:cs="Verdana"/>
        </w:rPr>
        <w:t xml:space="preserve"> </w:t>
      </w:r>
    </w:p>
    <w:p w:rsidR="00FB0B24" w:rsidRPr="005B5CB6" w:rsidP="00A72806">
      <w:pPr>
        <w:spacing w:after="17"/>
        <w:ind w:left="1008"/>
        <w:jc w:val="both"/>
        <w:rPr>
          <w:rFonts w:ascii="Verdana" w:hAnsi="Verdana"/>
        </w:rPr>
      </w:pPr>
      <w:r w:rsidRPr="005B5CB6">
        <w:rPr>
          <w:rFonts w:ascii="Verdana" w:eastAsia="Verdana" w:hAnsi="Verdana" w:cs="Verdana"/>
        </w:rPr>
        <w:t xml:space="preserve"> </w:t>
      </w:r>
    </w:p>
    <w:p w:rsidR="00FB0B24" w:rsidRPr="005B5CB6" w:rsidP="00A72806">
      <w:pPr>
        <w:spacing w:after="32"/>
        <w:ind w:left="1008"/>
        <w:jc w:val="both"/>
        <w:rPr>
          <w:rFonts w:ascii="Verdana" w:hAnsi="Verdana"/>
        </w:rPr>
      </w:pPr>
      <w:r w:rsidRPr="005B5CB6">
        <w:rPr>
          <w:rFonts w:ascii="Verdana" w:eastAsia="Verdana" w:hAnsi="Verdana" w:cs="Verdana"/>
        </w:rPr>
        <w:t xml:space="preserve"> </w:t>
      </w:r>
    </w:p>
    <w:p w:rsidR="00FB0B24" w:rsidRPr="005B5CB6" w:rsidP="00A72806">
      <w:pPr>
        <w:spacing w:after="2058"/>
        <w:ind w:left="1"/>
        <w:jc w:val="both"/>
        <w:rPr>
          <w:rFonts w:ascii="Verdana" w:hAnsi="Verdana"/>
        </w:rPr>
      </w:pP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 </w:t>
      </w:r>
    </w:p>
    <w:p w:rsidR="00FB0B24" w:rsidRPr="005B5CB6" w:rsidP="00A72806">
      <w:pPr>
        <w:spacing w:after="0"/>
        <w:jc w:val="both"/>
        <w:rPr>
          <w:rFonts w:ascii="Verdana" w:hAnsi="Verdana"/>
        </w:rPr>
      </w:pPr>
      <w:r w:rsidRPr="005B5CB6">
        <w:rPr>
          <w:rFonts w:ascii="Verdana" w:hAnsi="Verdana"/>
          <w:noProof/>
        </w:rPr>
        <mc:AlternateContent>
          <mc:Choice Requires="wpg">
            <w:drawing>
              <wp:inline distT="0" distB="0" distL="0" distR="0">
                <wp:extent cx="1828800" cy="10668"/>
                <wp:effectExtent l="0" t="0" r="0" b="0"/>
                <wp:docPr id="547762" name="Group 54776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68"/>
                          <a:chOff x="0" y="0"/>
                          <a:chExt cx="1828800" cy="10668"/>
                        </a:xfrm>
                      </wpg:grpSpPr>
                      <wps:wsp xmlns:wps="http://schemas.microsoft.com/office/word/2010/wordprocessingShape">
                        <wps:cNvPr id="635897" name="Shape 635897"/>
                        <wps:cNvSpPr/>
                        <wps:spPr>
                          <a:xfrm>
                            <a:off x="0" y="0"/>
                            <a:ext cx="1828800" cy="10668"/>
                          </a:xfrm>
                          <a:custGeom>
                            <a:avLst/>
                            <a:gdLst/>
                            <a:ahLst/>
                            <a:cxnLst/>
                            <a:rect l="0" t="0" r="0" b="0"/>
                            <a:pathLst>
                              <a:path w="1828800" h="10668">
                                <a:moveTo>
                                  <a:pt x="0" y="0"/>
                                </a:moveTo>
                                <a:lnTo>
                                  <a:pt x="1828800" y="0"/>
                                </a:lnTo>
                                <a:lnTo>
                                  <a:pt x="1828800"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01" style="height:0.84pt;mso-position-horizontal-relative:char;mso-position-vertical-relative:line;width:2in" coordsize="18288,106">
                <v:shape id="_x0000_s1202" style="height:106;position:absolute;width:18288" coordsize="1828800,10668" path="m,l1828800,l1828800,10668l,10668l,e">
                  <v:stroke joinstyle="miter" endcap="flat" opacity="0"/>
                </v:shape>
                <w10:wrap type="none"/>
              </v:group>
            </w:pict>
          </mc:Fallback>
        </mc:AlternateContent>
      </w:r>
      <w:r w:rsidRPr="005B5CB6">
        <w:rPr>
          <w:rFonts w:ascii="Verdana" w:hAnsi="Verdana"/>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General </w:t>
      </w:r>
    </w:p>
    <w:p w:rsidR="00FB0B24" w:rsidRPr="005B5CB6" w:rsidP="00A72806">
      <w:pPr>
        <w:spacing w:after="0"/>
        <w:jc w:val="both"/>
        <w:rPr>
          <w:rFonts w:ascii="Verdana" w:hAnsi="Verdana"/>
        </w:rPr>
      </w:pPr>
      <w:r w:rsidRPr="005B5CB6">
        <w:rPr>
          <w:rFonts w:ascii="Verdana" w:eastAsia="Verdana" w:hAnsi="Verdana" w:cs="Verdana"/>
          <w:b/>
          <w:i/>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How has digital technology changed the way that democracy works in the UK and has this been a net positive or negative effect? </w:t>
      </w:r>
    </w:p>
    <w:p w:rsidR="00FB0B24" w:rsidRPr="005B5CB6" w:rsidP="00A7280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Digital technology has changed the way that democracy works around the world including in the UK. Digital technology and democracies are vast, intricate and complex and work in many ways and thus the situation is much more nuanced than classing these changes and the effect of them as a net positive or negative.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However, Privacy International is deeply concerned that democratic society is under threat from a range of players using digital technology to exploit our data in ways which are often hidden and unaccountable. These actors are manifold: traditional political parties (from the whole political spectrum), organisations or individuals pushing particular political agendas, foreign actors aiming at interfering with national democratic processes, and the industries that provide products and services that facilitate the actions of the others (from public facing ones, such as social media platforms and internet search engines, to the less publicly known, such as data brokers, ad tech companies and what has been termed the 'influence industry'</w:t>
      </w:r>
      <w:r>
        <w:rPr>
          <w:rFonts w:ascii="Verdana" w:eastAsia="Verdana" w:hAnsi="Verdana" w:cs="Verdana"/>
          <w:vertAlign w:val="superscript"/>
        </w:rPr>
        <w:footnoteReference w:id="176"/>
      </w:r>
      <w:r w:rsidRPr="005B5CB6">
        <w:rPr>
          <w:rFonts w:ascii="Verdana" w:eastAsia="Verdana" w:hAnsi="Verdana" w:cs="Verdana"/>
        </w:rPr>
        <w:t xml:space="preserv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27" w:line="250" w:lineRule="auto"/>
        <w:ind w:left="23" w:right="11" w:hanging="8"/>
        <w:jc w:val="both"/>
        <w:rPr>
          <w:rFonts w:ascii="Verdana" w:hAnsi="Verdana"/>
        </w:rPr>
      </w:pPr>
      <w:r w:rsidRPr="005B5CB6">
        <w:rPr>
          <w:rFonts w:ascii="Verdana" w:eastAsia="Verdana" w:hAnsi="Verdana" w:cs="Verdana"/>
        </w:rPr>
        <w:t>Personal data</w:t>
      </w:r>
      <w:r>
        <w:rPr>
          <w:rFonts w:ascii="Verdana" w:eastAsia="Verdana" w:hAnsi="Verdana" w:cs="Verdana"/>
          <w:vertAlign w:val="superscript"/>
        </w:rPr>
        <w:footnoteReference w:id="177"/>
      </w:r>
      <w:r w:rsidRPr="005B5CB6">
        <w:rPr>
          <w:rFonts w:ascii="Verdana" w:eastAsia="Verdana" w:hAnsi="Verdana" w:cs="Verdana"/>
        </w:rPr>
        <w:t xml:space="preserve"> and digital technologies play a fundamental role in this emerging way of seeking to influence democratic processes. Around the world, political campaigns at all levels have become sophisticated data operations. Whilst the use of data in political campaigning is not new, the scale and granularity of data, the accessibility and speed of the profiling and targeting which it facilitates, and the potential power to sway or suppress voters through that data is. The actors, tools, and techniques involved - who is using data, where are they getting it from, and what are they doing with it - vary depending on the context. Personal data can be exploited through a range of mediums to build profiles and to disseminate messages in a targeted manner, ranging from the use of text messages (SMS), to calls, to messaging apps (e.g. Whatsapp), to search results (e.g. through AdWords), to campaign apps, to ad-supported platforms (e.g. Google, Facebook, Twitter, YouTube, Instagram) and websites, to television. A vast range of factors may play a role in the political content an individual sees, including where they've been (e.g. geotargeting - geofencing, beacons), what they've been doing (online and offline) what this says about their personality (e.g. psychometric profiling), and what messages they and people (like them) with particular traits have been most susceptible too (e.g. A/B testing).</w:t>
      </w:r>
      <w:r>
        <w:rPr>
          <w:rFonts w:ascii="Verdana" w:eastAsia="Verdana" w:hAnsi="Verdana" w:cs="Verdana"/>
          <w:vertAlign w:val="superscript"/>
        </w:rPr>
        <w:footnoteReference w:id="178"/>
      </w:r>
      <w:r w:rsidRPr="005B5CB6">
        <w:rPr>
          <w:rFonts w:ascii="Verdana" w:eastAsia="Verdana" w:hAnsi="Verdana" w:cs="Verdana"/>
        </w:rPr>
        <w:t xml:space="preserve"> This has consequences for the right to privacy and data protection, but also other rights including freedom of expression, association and political participation.  </w:t>
      </w:r>
    </w:p>
    <w:p w:rsidR="00FB0B24" w:rsidRPr="005B5CB6" w:rsidP="00A72806">
      <w:pPr>
        <w:spacing w:after="0"/>
        <w:jc w:val="both"/>
        <w:rPr>
          <w:rFonts w:ascii="Verdana" w:hAnsi="Verdana"/>
        </w:rPr>
      </w:pPr>
      <w:r w:rsidRPr="005B5CB6">
        <w:rPr>
          <w:rFonts w:ascii="Verdana" w:hAnsi="Verdana"/>
          <w:noProof/>
        </w:rPr>
        <mc:AlternateContent>
          <mc:Choice Requires="wpg">
            <w:drawing>
              <wp:inline distT="0" distB="0" distL="0" distR="0">
                <wp:extent cx="1828800" cy="10681"/>
                <wp:effectExtent l="0" t="0" r="0" b="0"/>
                <wp:docPr id="547605" name="Group 54760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1"/>
                          <a:chOff x="0" y="0"/>
                          <a:chExt cx="1828800" cy="10681"/>
                        </a:xfrm>
                      </wpg:grpSpPr>
                      <wps:wsp xmlns:wps="http://schemas.microsoft.com/office/word/2010/wordprocessingShape">
                        <wps:cNvPr id="635899" name="Shape 635899"/>
                        <wps:cNvSpPr/>
                        <wps:spPr>
                          <a:xfrm>
                            <a:off x="0" y="0"/>
                            <a:ext cx="1828800" cy="10681"/>
                          </a:xfrm>
                          <a:custGeom>
                            <a:avLst/>
                            <a:gdLst/>
                            <a:ahLst/>
                            <a:cxnLst/>
                            <a:rect l="0" t="0" r="0" b="0"/>
                            <a:pathLst>
                              <a:path w="1828800" h="10681">
                                <a:moveTo>
                                  <a:pt x="0" y="0"/>
                                </a:moveTo>
                                <a:lnTo>
                                  <a:pt x="1828800" y="0"/>
                                </a:lnTo>
                                <a:lnTo>
                                  <a:pt x="1828800" y="10681"/>
                                </a:lnTo>
                                <a:lnTo>
                                  <a:pt x="0" y="10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03" style="height:0.84pt;mso-position-horizontal-relative:char;mso-position-vertical-relative:line;width:2in" coordsize="18288,106">
                <v:shape id="_x0000_s1204" style="height:106;position:absolute;width:18288" coordsize="1828800,10681" path="m,l1828800,l1828800,10681l,10681l,e">
                  <v:stroke joinstyle="miter" endcap="flat" opacity="0"/>
                </v:shape>
                <w10:wrap type="none"/>
              </v:group>
            </w:pict>
          </mc:Fallback>
        </mc:AlternateContent>
      </w:r>
      <w:r w:rsidRPr="005B5CB6">
        <w:rPr>
          <w:rFonts w:ascii="Verdana" w:hAnsi="Verdana"/>
        </w:rPr>
        <w:t xml:space="preserv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Data and technology are also becoming integral to the ways in which we vote - from the creation of vast voter registration databases, sometimes including biometric data, to reliance on electronic voting. Such voting processes are often implemented without sufficient consideration for their considerable privacy and security implications. </w:t>
      </w:r>
    </w:p>
    <w:p w:rsidR="00FB0B24" w:rsidRPr="005B5CB6" w:rsidP="00A72806">
      <w:pPr>
        <w:spacing w:after="0"/>
        <w:ind w:left="721"/>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In UK, the concern and real harms are evident from the various reports and calls for action, including from civil society, journalists and regulators such as the Information Commissioner (“ICO”) and the Electoral Commission. Parliament is also waking up to these threats and expressing concern, through the DCMS Committee on Disinformation, the All Party Parliamentary Group on Electoral Campaigning Transparency and the Joint Committee of Human Rights inquiry into the Right to Privacy (Article 8) and the Digital Revolution. These concerns continue to play out in political campaigns, and we are already seeing concerning practices ahead of a potential snap election in autumn 2019.</w:t>
      </w:r>
      <w:r>
        <w:rPr>
          <w:rFonts w:ascii="Verdana" w:eastAsia="Verdana" w:hAnsi="Verdana" w:cs="Verdana"/>
          <w:vertAlign w:val="superscript"/>
        </w:rPr>
        <w:footnoteReference w:id="179"/>
      </w:r>
      <w:r w:rsidRPr="005B5CB6">
        <w:rPr>
          <w:rFonts w:ascii="Verdana" w:eastAsia="Verdana" w:hAnsi="Verdana" w:cs="Verdana"/>
        </w:rPr>
        <w:t xml:space="preserve"> </w:t>
      </w:r>
    </w:p>
    <w:p w:rsidR="00FB0B24" w:rsidRPr="005B5CB6" w:rsidP="00A72806">
      <w:pPr>
        <w:spacing w:after="0"/>
        <w:ind w:left="721"/>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191" w:line="250" w:lineRule="auto"/>
        <w:ind w:left="23" w:right="11" w:hanging="8"/>
        <w:jc w:val="both"/>
        <w:rPr>
          <w:rFonts w:ascii="Verdana" w:hAnsi="Verdana"/>
        </w:rPr>
      </w:pPr>
      <w:r w:rsidRPr="005B5CB6">
        <w:rPr>
          <w:rFonts w:ascii="Verdana" w:eastAsia="Verdana" w:hAnsi="Verdana" w:cs="Verdana"/>
        </w:rPr>
        <w:t xml:space="preserve">As the political arena continues to adapt to the digital age, steps must urgently be taken to avoid the risks and negative consequences for democracy of the abuse of digital technology. For starters: existing legal frameworks (namely in relation to data protection and electoral law) must be implemented, enforced and strengthened; different actors must work together, from election officials and monitors, to data protection authorities and civil society; regulators must be empowered with sufficient powers and resources to hold to account; and actors at every level from political parties, to major social media platforms to data brokers and the wider ‘influence industry’ must improve their transparency efforts. This will in turn enable scrutiny by regulators, researchers, civil society and users. </w:t>
      </w:r>
    </w:p>
    <w:p w:rsidR="00FB0B24" w:rsidRPr="005B5CB6" w:rsidP="00A72806">
      <w:pPr>
        <w:spacing w:after="5" w:line="249" w:lineRule="auto"/>
        <w:ind w:left="-2" w:hanging="10"/>
        <w:jc w:val="both"/>
        <w:rPr>
          <w:rFonts w:ascii="Verdana" w:hAnsi="Verdana"/>
        </w:rPr>
      </w:pPr>
      <w:r w:rsidRPr="005B5CB6">
        <w:rPr>
          <w:rFonts w:ascii="Verdana" w:eastAsia="Verdana" w:hAnsi="Verdana" w:cs="Verdana"/>
          <w:b/>
        </w:rPr>
        <w:t xml:space="preserve">How have the design of algorithms used by social media shaped democratic debate? To what extent should there be greater accountability for the design of these algorithms?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97" w:line="250" w:lineRule="auto"/>
        <w:ind w:left="23" w:right="11" w:hanging="8"/>
        <w:jc w:val="both"/>
        <w:rPr>
          <w:rFonts w:ascii="Verdana" w:hAnsi="Verdana"/>
        </w:rPr>
      </w:pPr>
      <w:r w:rsidRPr="005B5CB6">
        <w:rPr>
          <w:rFonts w:ascii="Verdana" w:eastAsia="Verdana" w:hAnsi="Verdana" w:cs="Verdana"/>
        </w:rPr>
        <w:t xml:space="preserve">Much focus of analysis of the role of social media in the democratic debate is on what we see online i.e. content, including for example disinformation and misinformation. Not enough consideration or acknowledgement is given to the role of the 'back end' of content - that is the design choices, algorithms and data which ultimately drives and shapes the content that we see and the knock-on role this can have on political campaigns and democratic debate. Most news sites, platforms, online retailers, social media platforms, music or video streaming services are now personalised, meaning that they deliver targeted content and adapt online experiences based on personal data they have collected about each visitor and inferences of individual’s interests. As a result, the personal data that feeds into the largely automated architecture that is behind the content we see </w:t>
      </w:r>
      <w:r w:rsidRPr="005B5CB6">
        <w:rPr>
          <w:rFonts w:ascii="Verdana" w:eastAsia="Verdana" w:hAnsi="Verdana" w:cs="Verdana"/>
        </w:rPr>
        <w:t>dictates much of our experience of the internet: when we search,</w:t>
      </w:r>
      <w:r w:rsidRPr="005B5CB6">
        <w:rPr>
          <w:rFonts w:ascii="Verdana" w:eastAsia="Verdana" w:hAnsi="Verdana" w:cs="Verdana"/>
          <w:vertAlign w:val="superscript"/>
        </w:rPr>
        <w:t xml:space="preserve">6 </w:t>
      </w:r>
      <w:r w:rsidRPr="005B5CB6">
        <w:rPr>
          <w:rFonts w:ascii="Verdana" w:eastAsia="Verdana" w:hAnsi="Verdana" w:cs="Verdana"/>
        </w:rPr>
        <w:t xml:space="preserve">the posts that are pushed or promoted when we scroll through a </w:t>
      </w:r>
    </w:p>
    <w:p w:rsidR="00FB0B24" w:rsidRPr="005B5CB6" w:rsidP="00A72806">
      <w:pPr>
        <w:spacing w:after="0"/>
        <w:jc w:val="both"/>
        <w:rPr>
          <w:rFonts w:ascii="Verdana" w:hAnsi="Verdana"/>
        </w:rPr>
      </w:pPr>
      <w:r w:rsidRPr="005B5CB6">
        <w:rPr>
          <w:rFonts w:ascii="Verdana" w:hAnsi="Verdana"/>
          <w:noProof/>
        </w:rPr>
        <mc:AlternateContent>
          <mc:Choice Requires="wpg">
            <w:drawing>
              <wp:inline distT="0" distB="0" distL="0" distR="0">
                <wp:extent cx="1828800" cy="10668"/>
                <wp:effectExtent l="0" t="0" r="0" b="0"/>
                <wp:docPr id="548208" name="Group 54820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68"/>
                          <a:chOff x="0" y="0"/>
                          <a:chExt cx="1828800" cy="10668"/>
                        </a:xfrm>
                      </wpg:grpSpPr>
                      <wps:wsp xmlns:wps="http://schemas.microsoft.com/office/word/2010/wordprocessingShape">
                        <wps:cNvPr id="635901" name="Shape 635901"/>
                        <wps:cNvSpPr/>
                        <wps:spPr>
                          <a:xfrm>
                            <a:off x="0" y="0"/>
                            <a:ext cx="1828800" cy="10668"/>
                          </a:xfrm>
                          <a:custGeom>
                            <a:avLst/>
                            <a:gdLst/>
                            <a:ahLst/>
                            <a:cxnLst/>
                            <a:rect l="0" t="0" r="0" b="0"/>
                            <a:pathLst>
                              <a:path w="1828800" h="10668">
                                <a:moveTo>
                                  <a:pt x="0" y="0"/>
                                </a:moveTo>
                                <a:lnTo>
                                  <a:pt x="1828800" y="0"/>
                                </a:lnTo>
                                <a:lnTo>
                                  <a:pt x="1828800"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05" style="height:0.84pt;mso-position-horizontal-relative:char;mso-position-vertical-relative:line;width:2in" coordsize="18288,106">
                <v:shape id="_x0000_s1206" style="height:106;position:absolute;width:18288" coordsize="1828800,10668" path="m,l1828800,l1828800,10668l,10668l,e">
                  <v:stroke joinstyle="miter" endcap="flat" opacity="0"/>
                </v:shape>
                <w10:wrap type="none"/>
              </v:group>
            </w:pict>
          </mc:Fallback>
        </mc:AlternateContent>
      </w:r>
      <w:r w:rsidRPr="005B5CB6">
        <w:rPr>
          <w:rFonts w:ascii="Verdana" w:hAnsi="Verdana"/>
        </w:rPr>
        <w:t xml:space="preserve"> </w:t>
      </w:r>
    </w:p>
    <w:p w:rsidR="00FB0B24" w:rsidRPr="005B5CB6" w:rsidP="00A72806">
      <w:pPr>
        <w:spacing w:after="58" w:line="250" w:lineRule="auto"/>
        <w:ind w:left="23" w:right="11" w:hanging="8"/>
        <w:jc w:val="both"/>
        <w:rPr>
          <w:rFonts w:ascii="Verdana" w:hAnsi="Verdana"/>
        </w:rPr>
      </w:pPr>
      <w:r w:rsidRPr="005B5CB6">
        <w:rPr>
          <w:rFonts w:ascii="Verdana" w:eastAsia="Verdana" w:hAnsi="Verdana" w:cs="Verdana"/>
        </w:rPr>
        <w:t>social media feed,</w:t>
      </w:r>
      <w:r>
        <w:rPr>
          <w:rFonts w:ascii="Verdana" w:eastAsia="Verdana" w:hAnsi="Verdana" w:cs="Verdana"/>
          <w:vertAlign w:val="superscript"/>
        </w:rPr>
        <w:footnoteReference w:id="180"/>
      </w:r>
      <w:r w:rsidRPr="005B5CB6">
        <w:rPr>
          <w:rFonts w:ascii="Verdana" w:eastAsia="Verdana" w:hAnsi="Verdana" w:cs="Verdana"/>
        </w:rPr>
        <w:t xml:space="preserve"> what video is recommended next,</w:t>
      </w:r>
      <w:r>
        <w:rPr>
          <w:rFonts w:ascii="Verdana" w:eastAsia="Verdana" w:hAnsi="Verdana" w:cs="Verdana"/>
          <w:vertAlign w:val="superscript"/>
        </w:rPr>
        <w:footnoteReference w:id="181"/>
      </w:r>
      <w:r w:rsidRPr="005B5CB6">
        <w:rPr>
          <w:rFonts w:ascii="Verdana" w:eastAsia="Verdana" w:hAnsi="Verdana" w:cs="Verdana"/>
        </w:rPr>
        <w:t xml:space="preserve"> and what adverts we see, whether it is within an app, a platform or as we browse the web. How personal data is used (and often misused/exploited) in the backend is characterised by a concerning lack of transparency, fairness and accountability which too often falls short of existing data protection law. Privacy International outlined some of the harms of this in our response to the UK Government’s consultation on online harms.</w:t>
      </w:r>
      <w:r>
        <w:rPr>
          <w:rFonts w:ascii="Verdana" w:eastAsia="Verdana" w:hAnsi="Verdana" w:cs="Verdana"/>
          <w:vertAlign w:val="superscript"/>
        </w:rPr>
        <w:footnoteReference w:id="182"/>
      </w:r>
      <w:r w:rsidRPr="005B5CB6">
        <w:rPr>
          <w:rFonts w:ascii="Verdana" w:eastAsia="Verdana" w:hAnsi="Verdana" w:cs="Verdana"/>
        </w:rPr>
        <w:t xml:space="preserve"> </w:t>
      </w:r>
    </w:p>
    <w:p w:rsidR="00FB0B24" w:rsidRPr="005B5CB6" w:rsidP="00A72806">
      <w:pPr>
        <w:spacing w:after="28"/>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26" w:line="250" w:lineRule="auto"/>
        <w:ind w:left="23" w:right="11" w:hanging="8"/>
        <w:jc w:val="both"/>
        <w:rPr>
          <w:rFonts w:ascii="Verdana" w:hAnsi="Verdana"/>
        </w:rPr>
      </w:pPr>
      <w:r w:rsidRPr="005B5CB6">
        <w:rPr>
          <w:rFonts w:ascii="Verdana" w:eastAsia="Verdana" w:hAnsi="Verdana" w:cs="Verdana"/>
        </w:rPr>
        <w:t>A few giant tech companies act as gatekeepers of the digital content which most individuals access online. As noted by the European Data Protection Supervisor, “data analytics could help individuals navigate through the increasingly noisy information environment” but “in effect, the forum for public discourse and the available space for freedom of speech is now bounded by the profit motives of powerful private companies who, due to technical complexity or on the grounds of commercial secrecy, decline to explain how decisions are made. The few major platforms with their extraordinary reach therefore offer an easy target for people seeking to use the system for malicious ends.”.</w:t>
      </w:r>
      <w:r>
        <w:rPr>
          <w:rFonts w:ascii="Verdana" w:eastAsia="Verdana" w:hAnsi="Verdana" w:cs="Verdana"/>
          <w:vertAlign w:val="superscript"/>
        </w:rPr>
        <w:footnoteReference w:id="183"/>
      </w:r>
      <w:r w:rsidRPr="005B5CB6">
        <w:rPr>
          <w:rFonts w:ascii="Verdana" w:eastAsia="Verdana" w:hAnsi="Verdana" w:cs="Verdana"/>
        </w:rPr>
        <w:t xml:space="preserve"> In particular, search engines and social media platforms filter the news and opinions users access based on profiling. This goes beyond paid-for targeted advertisements and promotion of content to the way all content is displayed and recommended (for example, the personalisation of Google search results</w:t>
      </w:r>
      <w:r>
        <w:rPr>
          <w:rFonts w:ascii="Verdana" w:eastAsia="Verdana" w:hAnsi="Verdana" w:cs="Verdana"/>
          <w:vertAlign w:val="superscript"/>
        </w:rPr>
        <w:footnoteReference w:id="184"/>
      </w:r>
      <w:r w:rsidRPr="005B5CB6">
        <w:rPr>
          <w:rFonts w:ascii="Verdana" w:eastAsia="Verdana" w:hAnsi="Verdana" w:cs="Verdana"/>
        </w:rPr>
        <w:t>; Facebook’s newsfeed</w:t>
      </w:r>
      <w:r>
        <w:rPr>
          <w:rFonts w:ascii="Verdana" w:eastAsia="Verdana" w:hAnsi="Verdana" w:cs="Verdana"/>
          <w:vertAlign w:val="superscript"/>
        </w:rPr>
        <w:footnoteReference w:id="185"/>
      </w:r>
      <w:r w:rsidRPr="005B5CB6">
        <w:rPr>
          <w:rFonts w:ascii="Verdana" w:eastAsia="Verdana" w:hAnsi="Verdana" w:cs="Verdana"/>
        </w:rPr>
        <w:t>; or YouTube’s recommendations</w:t>
      </w:r>
      <w:r>
        <w:rPr>
          <w:rFonts w:ascii="Verdana" w:eastAsia="Verdana" w:hAnsi="Verdana" w:cs="Verdana"/>
          <w:vertAlign w:val="superscript"/>
        </w:rPr>
        <w:footnoteReference w:id="186"/>
      </w:r>
      <w:r w:rsidRPr="005B5CB6">
        <w:rPr>
          <w:rFonts w:ascii="Verdana" w:eastAsia="Verdana" w:hAnsi="Verdana" w:cs="Verdana"/>
        </w:rPr>
        <w:t xml:space="preserve">). These data targeting techniques risk exposing individuals only to selected political messages and political information, directly challenging the assumption that a wide spectrum of opinions and content in the online media is easily available to anyone. Effects like filter bubbles, etc. are direct consequences of such targeting and have significant effects on the formation of political opinions and ultimately on elections. </w:t>
      </w:r>
    </w:p>
    <w:p w:rsidR="00FB0B24" w:rsidRPr="005B5CB6" w:rsidP="00A72806">
      <w:pPr>
        <w:spacing w:after="28"/>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27" w:line="250" w:lineRule="auto"/>
        <w:ind w:left="23" w:right="11" w:hanging="8"/>
        <w:jc w:val="both"/>
        <w:rPr>
          <w:rFonts w:ascii="Verdana" w:hAnsi="Verdana"/>
        </w:rPr>
      </w:pPr>
      <w:r w:rsidRPr="005B5CB6">
        <w:rPr>
          <w:rFonts w:ascii="Verdana" w:eastAsia="Verdana" w:hAnsi="Verdana" w:cs="Verdana"/>
        </w:rPr>
        <w:t xml:space="preserve">Privacy International acknowledges that regulating the online space is complex and fraught with risks (including of unduly limiting freedom of expression and of access to information). For these reasons, Privacy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International advocates for caution. However, there are some measures, based on existing obligations under data protection law, that require urgent enforcement and would provide some protection. For example, transparency, fairness and accountability requirements are already enshrined as principles in the EU General </w:t>
      </w:r>
      <w:r w:rsidRPr="005B5CB6">
        <w:rPr>
          <w:rFonts w:ascii="Verdana" w:eastAsia="Verdana" w:hAnsi="Verdana" w:cs="Verdana"/>
        </w:rPr>
        <w:t xml:space="preserve">Data Protection Law (“GDPR”) and those that use personal data are subject to the requirement of data protection by design and by default. </w:t>
      </w:r>
    </w:p>
    <w:p w:rsidR="00FB0B24" w:rsidRPr="005B5CB6" w:rsidP="00A72806">
      <w:pPr>
        <w:spacing w:after="154" w:line="250" w:lineRule="auto"/>
        <w:ind w:left="23" w:right="11" w:hanging="8"/>
        <w:jc w:val="both"/>
        <w:rPr>
          <w:rFonts w:ascii="Verdana" w:hAnsi="Verdana"/>
        </w:rPr>
      </w:pPr>
      <w:r w:rsidRPr="005B5CB6">
        <w:rPr>
          <w:rFonts w:ascii="Verdana" w:eastAsia="Verdana" w:hAnsi="Verdana" w:cs="Verdana"/>
        </w:rPr>
        <w:t xml:space="preserve">However, Privacy International’s view, as illustrated in our complaints against </w:t>
      </w:r>
    </w:p>
    <w:p w:rsidR="00FB0B24" w:rsidRPr="005B5CB6" w:rsidP="00A72806">
      <w:pPr>
        <w:spacing w:after="0"/>
        <w:jc w:val="both"/>
        <w:rPr>
          <w:rFonts w:ascii="Verdana" w:hAnsi="Verdana"/>
        </w:rPr>
      </w:pPr>
      <w:r w:rsidRPr="005B5CB6">
        <w:rPr>
          <w:rFonts w:ascii="Verdana" w:hAnsi="Verdana"/>
          <w:noProof/>
        </w:rPr>
        <mc:AlternateContent>
          <mc:Choice Requires="wpg">
            <w:drawing>
              <wp:inline distT="0" distB="0" distL="0" distR="0">
                <wp:extent cx="1828800" cy="10682"/>
                <wp:effectExtent l="0" t="0" r="0" b="0"/>
                <wp:docPr id="548054" name="Group 54805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2"/>
                          <a:chOff x="0" y="0"/>
                          <a:chExt cx="1828800" cy="10682"/>
                        </a:xfrm>
                      </wpg:grpSpPr>
                      <wps:wsp xmlns:wps="http://schemas.microsoft.com/office/word/2010/wordprocessingShape">
                        <wps:cNvPr id="635903" name="Shape 635903"/>
                        <wps:cNvSpPr/>
                        <wps:spPr>
                          <a:xfrm>
                            <a:off x="0" y="0"/>
                            <a:ext cx="1828800" cy="10682"/>
                          </a:xfrm>
                          <a:custGeom>
                            <a:avLst/>
                            <a:gdLst/>
                            <a:ahLst/>
                            <a:cxnLst/>
                            <a:rect l="0" t="0" r="0" b="0"/>
                            <a:pathLst>
                              <a:path w="1828800" h="10682">
                                <a:moveTo>
                                  <a:pt x="0" y="0"/>
                                </a:moveTo>
                                <a:lnTo>
                                  <a:pt x="1828800" y="0"/>
                                </a:lnTo>
                                <a:lnTo>
                                  <a:pt x="1828800" y="10682"/>
                                </a:lnTo>
                                <a:lnTo>
                                  <a:pt x="0" y="106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07" style="height:0.84pt;mso-position-horizontal-relative:char;mso-position-vertical-relative:line;width:2in" coordsize="18288,106">
                <v:shape id="_x0000_s1208" style="height:106;position:absolute;width:18288" coordsize="1828800,10682" path="m,l1828800,l1828800,10682l,10682l,e">
                  <v:stroke joinstyle="miter" endcap="flat" opacity="0"/>
                </v:shape>
                <w10:wrap type="none"/>
              </v:group>
            </w:pict>
          </mc:Fallback>
        </mc:AlternateContent>
      </w:r>
      <w:r w:rsidRPr="005B5CB6">
        <w:rPr>
          <w:rFonts w:ascii="Verdana" w:hAnsi="Verdana"/>
        </w:rPr>
        <w:t xml:space="preserve"> </w:t>
      </w:r>
    </w:p>
    <w:p w:rsidR="00FB0B24" w:rsidRPr="005B5CB6" w:rsidP="00A72806">
      <w:pPr>
        <w:spacing w:after="53" w:line="250" w:lineRule="auto"/>
        <w:ind w:left="23" w:right="11" w:hanging="8"/>
        <w:jc w:val="both"/>
        <w:rPr>
          <w:rFonts w:ascii="Verdana" w:hAnsi="Verdana"/>
        </w:rPr>
      </w:pPr>
      <w:r w:rsidRPr="005B5CB6">
        <w:rPr>
          <w:rFonts w:ascii="Verdana" w:eastAsia="Verdana" w:hAnsi="Verdana" w:cs="Verdana"/>
        </w:rPr>
        <w:t>data brokers</w:t>
      </w:r>
      <w:r>
        <w:rPr>
          <w:rFonts w:ascii="Verdana" w:eastAsia="Verdana" w:hAnsi="Verdana" w:cs="Verdana"/>
          <w:vertAlign w:val="superscript"/>
        </w:rPr>
        <w:footnoteReference w:id="187"/>
      </w:r>
      <w:r w:rsidRPr="005B5CB6">
        <w:rPr>
          <w:rFonts w:ascii="Verdana" w:eastAsia="Verdana" w:hAnsi="Verdana" w:cs="Verdana"/>
        </w:rPr>
        <w:t>, is that many of the data practices, in particular profiling, employed by industry, are non-compliant with GDPR, particularly as personal data is processed with the absence of any legal basis, such as informed, freely given and specific consent. Design choices and default settings used by industry, including Facebook and Google, also fall short of the requirements of GDPR.</w:t>
      </w:r>
      <w:r>
        <w:rPr>
          <w:rFonts w:ascii="Verdana" w:eastAsia="Verdana" w:hAnsi="Verdana" w:cs="Verdana"/>
          <w:vertAlign w:val="superscript"/>
        </w:rPr>
        <w:footnoteReference w:id="188"/>
      </w:r>
      <w:r w:rsidRPr="005B5CB6">
        <w:rPr>
          <w:rFonts w:ascii="Verdana" w:eastAsia="Verdana" w:hAnsi="Verdana" w:cs="Verdana"/>
        </w:rPr>
        <w:t xml:space="preserve"> </w:t>
      </w:r>
    </w:p>
    <w:p w:rsidR="00FB0B24" w:rsidRPr="005B5CB6" w:rsidP="00A72806">
      <w:pPr>
        <w:spacing w:after="28"/>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Tackling these deficiencies and promoting proactive implementation and enforcement of existing requirements, including by imposing effective sanctions, is paramount to fostering democratic debate and protecting the democratic process in a digital era. </w:t>
      </w:r>
    </w:p>
    <w:p w:rsidR="00FB0B24" w:rsidRPr="005B5CB6" w:rsidP="00A72806">
      <w:pPr>
        <w:spacing w:after="17"/>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 Online Campaigning </w:t>
      </w:r>
    </w:p>
    <w:p w:rsidR="00FB0B24" w:rsidRPr="005B5CB6" w:rsidP="00A72806">
      <w:pPr>
        <w:spacing w:after="178"/>
        <w:jc w:val="both"/>
        <w:rPr>
          <w:rFonts w:ascii="Verdana" w:hAnsi="Verdana"/>
        </w:rPr>
      </w:pPr>
      <w:r w:rsidRPr="005B5CB6">
        <w:rPr>
          <w:rFonts w:ascii="Verdana" w:eastAsia="Verdana" w:hAnsi="Verdana" w:cs="Verdana"/>
          <w:b/>
          <w:i/>
        </w:rPr>
        <w:t xml:space="preserve"> </w:t>
      </w:r>
    </w:p>
    <w:p w:rsidR="00FB0B24" w:rsidRPr="005B5CB6" w:rsidP="00A72806">
      <w:pPr>
        <w:spacing w:after="5" w:line="249" w:lineRule="auto"/>
        <w:ind w:left="-2" w:hanging="10"/>
        <w:jc w:val="both"/>
        <w:rPr>
          <w:rFonts w:ascii="Verdana" w:hAnsi="Verdana"/>
        </w:rPr>
      </w:pPr>
      <w:r w:rsidRPr="005B5CB6">
        <w:rPr>
          <w:rFonts w:ascii="Verdana" w:eastAsia="Verdana" w:hAnsi="Verdana" w:cs="Verdana"/>
          <w:b/>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Transparency of online spending and campaigning by political groups, including digital advertising, is fundamental to ensure free and fair elections in the modern age and is the first step towards accountability.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The Cambridge Analytica scandal, while not unique, raised awareness about the potential impact of the combination of profiling, micro-targeting and powerful machine learning on electoral processes. Privacy International has documented how online targeted advertising is facilitated by a complex and opaque ecosystem that includes ad tech companies, data brokers, and other third-party companies that track people on websites and apps and combine this data with offline information.</w:t>
      </w:r>
      <w:r w:rsidRPr="005B5CB6">
        <w:rPr>
          <w:rFonts w:ascii="Verdana" w:eastAsia="Verdana" w:hAnsi="Verdana" w:cs="Verdana"/>
          <w:vertAlign w:val="superscript"/>
        </w:rPr>
        <w:t>16</w:t>
      </w:r>
      <w:r w:rsidRPr="005B5CB6">
        <w:rPr>
          <w:rFonts w:ascii="Verdana" w:eastAsia="Verdana" w:hAnsi="Verdana" w:cs="Verdana"/>
        </w:rPr>
        <w:t xml:space="preserve"> Profiling and data-driven targeting techniques used by the broader digital advertising industry are increasingly deployed in the political campaigning context, with various companies offering specific services tailored to the election context. In the UK, the Information Commissioner's report Democracy </w:t>
      </w:r>
      <w:r w:rsidRPr="005B5CB6">
        <w:rPr>
          <w:rFonts w:ascii="Verdana" w:eastAsia="Verdana" w:hAnsi="Verdana" w:cs="Verdana"/>
        </w:rPr>
        <w:t>Disrupted</w:t>
      </w:r>
      <w:r>
        <w:rPr>
          <w:rFonts w:ascii="Verdana" w:eastAsia="Verdana" w:hAnsi="Verdana" w:cs="Verdana"/>
          <w:vertAlign w:val="superscript"/>
        </w:rPr>
        <w:footnoteReference w:id="189"/>
      </w:r>
      <w:r w:rsidRPr="005B5CB6">
        <w:rPr>
          <w:rFonts w:ascii="Verdana" w:eastAsia="Verdana" w:hAnsi="Verdana" w:cs="Verdana"/>
        </w:rPr>
        <w:t xml:space="preserve"> and updates to the DCMS Committee in July</w:t>
      </w:r>
      <w:r>
        <w:rPr>
          <w:rFonts w:ascii="Verdana" w:eastAsia="Verdana" w:hAnsi="Verdana" w:cs="Verdana"/>
          <w:vertAlign w:val="superscript"/>
        </w:rPr>
        <w:footnoteReference w:id="190"/>
      </w:r>
      <w:r w:rsidRPr="005B5CB6">
        <w:rPr>
          <w:rFonts w:ascii="Verdana" w:eastAsia="Verdana" w:hAnsi="Verdana" w:cs="Verdana"/>
        </w:rPr>
        <w:t xml:space="preserve"> and November</w:t>
      </w:r>
      <w:r>
        <w:rPr>
          <w:rFonts w:ascii="Verdana" w:eastAsia="Verdana" w:hAnsi="Verdana" w:cs="Verdana"/>
          <w:vertAlign w:val="superscript"/>
        </w:rPr>
        <w:footnoteReference w:id="191"/>
      </w:r>
      <w:r w:rsidRPr="005B5CB6">
        <w:rPr>
          <w:rFonts w:ascii="Verdana" w:eastAsia="Verdana" w:hAnsi="Verdana" w:cs="Verdana"/>
        </w:rPr>
        <w:t xml:space="preserve"> 2018 reference a number of such companies.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Companies and political parties are subject to the principle of transparency under Article 5 of GDPR and under a duty to provide information to those whose data they process (Article 13 and 14 of GDPR) as well as </w:t>
      </w:r>
    </w:p>
    <w:p w:rsidR="00FB0B24" w:rsidRPr="005B5CB6" w:rsidP="00A72806">
      <w:pPr>
        <w:spacing w:after="0"/>
        <w:jc w:val="both"/>
        <w:rPr>
          <w:rFonts w:ascii="Verdana" w:hAnsi="Verdana"/>
        </w:rPr>
      </w:pPr>
      <w:r w:rsidRPr="005B5CB6">
        <w:rPr>
          <w:rFonts w:ascii="Verdana" w:hAnsi="Verdana"/>
          <w:noProof/>
        </w:rPr>
        <mc:AlternateContent>
          <mc:Choice Requires="wpg">
            <w:drawing>
              <wp:inline distT="0" distB="0" distL="0" distR="0">
                <wp:extent cx="1828800" cy="10681"/>
                <wp:effectExtent l="0" t="0" r="0" b="0"/>
                <wp:docPr id="549460" name="Group 54946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1"/>
                          <a:chOff x="0" y="0"/>
                          <a:chExt cx="1828800" cy="10681"/>
                        </a:xfrm>
                      </wpg:grpSpPr>
                      <wps:wsp xmlns:wps="http://schemas.microsoft.com/office/word/2010/wordprocessingShape">
                        <wps:cNvPr id="635905" name="Shape 635905"/>
                        <wps:cNvSpPr/>
                        <wps:spPr>
                          <a:xfrm>
                            <a:off x="0" y="0"/>
                            <a:ext cx="1828800" cy="10681"/>
                          </a:xfrm>
                          <a:custGeom>
                            <a:avLst/>
                            <a:gdLst/>
                            <a:ahLst/>
                            <a:cxnLst/>
                            <a:rect l="0" t="0" r="0" b="0"/>
                            <a:pathLst>
                              <a:path w="1828800" h="10681">
                                <a:moveTo>
                                  <a:pt x="0" y="0"/>
                                </a:moveTo>
                                <a:lnTo>
                                  <a:pt x="1828800" y="0"/>
                                </a:lnTo>
                                <a:lnTo>
                                  <a:pt x="1828800" y="10681"/>
                                </a:lnTo>
                                <a:lnTo>
                                  <a:pt x="0" y="10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09" style="height:0.84pt;mso-position-horizontal-relative:char;mso-position-vertical-relative:line;width:2in" coordsize="18288,106">
                <v:shape id="_x0000_s1210" style="height:106;position:absolute;width:18288" coordsize="1828800,10681" path="m,l1828800,l1828800,10681l,10681l,e">
                  <v:stroke joinstyle="miter" endcap="flat" opacity="0"/>
                </v:shape>
                <w10:wrap type="none"/>
              </v:group>
            </w:pict>
          </mc:Fallback>
        </mc:AlternateContent>
      </w:r>
      <w:r w:rsidRPr="005B5CB6">
        <w:rPr>
          <w:rFonts w:ascii="Verdana" w:hAnsi="Verdana"/>
        </w:rPr>
        <w:t xml:space="preserve">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information as how it has been processed and to provide access to it (Article 15 of GDPR) – this should act as a starting place in terms of transparency. To date, there is a track record of widespread failure of compliance with these provisions (as Privacy International highlighted in submissions</w:t>
      </w:r>
      <w:r>
        <w:rPr>
          <w:rFonts w:ascii="Verdana" w:eastAsia="Verdana" w:hAnsi="Verdana" w:cs="Verdana"/>
          <w:vertAlign w:val="superscript"/>
        </w:rPr>
        <w:footnoteReference w:id="192"/>
      </w:r>
      <w:r w:rsidRPr="005B5CB6">
        <w:rPr>
          <w:rFonts w:ascii="Verdana" w:eastAsia="Verdana" w:hAnsi="Verdana" w:cs="Verdana"/>
        </w:rPr>
        <w:t xml:space="preserve"> complaining to the ICO and other data protection authorities about a number of companies in the data broker and ad tech sector). The data gathered and processed by these companies, including Acxiom and Experian, are often used for political purposes, including in the UK</w:t>
      </w:r>
      <w:r>
        <w:rPr>
          <w:rFonts w:ascii="Verdana" w:eastAsia="Verdana" w:hAnsi="Verdana" w:cs="Verdana"/>
          <w:vertAlign w:val="superscript"/>
        </w:rPr>
        <w:footnoteReference w:id="193"/>
      </w:r>
      <w:r w:rsidRPr="005B5CB6">
        <w:rPr>
          <w:rFonts w:ascii="Verdana" w:eastAsia="Verdana" w:hAnsi="Verdana" w:cs="Verdana"/>
        </w:rPr>
        <w:t xml:space="preserve"> and such companies often have products specifically aimed at the political market.</w:t>
      </w:r>
      <w:r>
        <w:rPr>
          <w:rFonts w:ascii="Verdana" w:eastAsia="Verdana" w:hAnsi="Verdana" w:cs="Verdana"/>
          <w:vertAlign w:val="superscript"/>
        </w:rPr>
        <w:footnoteReference w:id="194"/>
      </w:r>
      <w:r w:rsidRPr="005B5CB6">
        <w:rPr>
          <w:rFonts w:ascii="Verdana" w:eastAsia="Verdana" w:hAnsi="Verdana" w:cs="Verdana"/>
        </w:rPr>
        <w:t xml:space="preserve"> GDPR is over a year old and still in the early phases of enforcement, however, enforcement action is urgently needed and more needs to be done to ensure that all actors pro-actively implement and respect these obligations.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Transparency at every level must be proactive and up to date. Adequate, meaningful information should be provided to voters explaining why they are receiving a particular message, who is responsible for it, and how they can exercise their rights to protect their data and prevent being targeted. It is currently extremely difficult to understand why you are seeing a political add on social media.</w:t>
      </w:r>
      <w:r>
        <w:rPr>
          <w:rFonts w:ascii="Verdana" w:eastAsia="Verdana" w:hAnsi="Verdana" w:cs="Verdana"/>
          <w:vertAlign w:val="superscript"/>
        </w:rPr>
        <w:footnoteReference w:id="195"/>
      </w:r>
      <w:r w:rsidRPr="005B5CB6">
        <w:rPr>
          <w:rFonts w:ascii="Verdana" w:eastAsia="Verdana" w:hAnsi="Verdana" w:cs="Verdana"/>
        </w:rPr>
        <w:t xml:space="preserve"> Such transparency should not be limited to advertising, but also include the delivery of other content, such as the methods of curation, filtering, pushing, and recommendation of content.  </w:t>
      </w:r>
    </w:p>
    <w:p w:rsidR="00FB0B24" w:rsidRPr="005B5CB6" w:rsidP="00A72806">
      <w:pPr>
        <w:spacing w:after="0"/>
        <w:ind w:left="721"/>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Transparency to individuals about why they are seeing a particular message must be accompanied by transparency by political parties and campaigns of the tools and services they are using, as well as their messaging. This includes providing much more granular information on the sources of personal data, what is being done with that data, who is being targeted with what messages and what companies are being contracted and for what services, such as a campaign software, consultancy services etc. Such transparency must be meaningful and useful for users as well as those seeking to scrutinise and hold to account, including civil society, independent researchers, journalists and regulators. </w:t>
      </w:r>
    </w:p>
    <w:p w:rsidR="00FB0B24" w:rsidRPr="005B5CB6" w:rsidP="00A72806">
      <w:pPr>
        <w:spacing w:after="0"/>
        <w:ind w:left="721"/>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26" w:line="250" w:lineRule="auto"/>
        <w:ind w:left="23" w:right="11" w:hanging="8"/>
        <w:jc w:val="both"/>
        <w:rPr>
          <w:rFonts w:ascii="Verdana" w:hAnsi="Verdana"/>
        </w:rPr>
      </w:pPr>
      <w:r w:rsidRPr="005B5CB6">
        <w:rPr>
          <w:rFonts w:ascii="Verdana" w:eastAsia="Verdana" w:hAnsi="Verdana" w:cs="Verdana"/>
        </w:rPr>
        <w:t xml:space="preserve">Political parties and other political actors should, as a minimum (a longer list is provided at the end of this document): </w:t>
      </w:r>
    </w:p>
    <w:p w:rsidR="00FB0B24" w:rsidRPr="005B5CB6" w:rsidP="00A72806">
      <w:pPr>
        <w:spacing w:after="0"/>
        <w:jc w:val="both"/>
        <w:rPr>
          <w:rFonts w:ascii="Verdana" w:hAnsi="Verdana"/>
        </w:rPr>
      </w:pPr>
      <w:r w:rsidRPr="005B5CB6">
        <w:rPr>
          <w:rFonts w:ascii="Verdana" w:hAnsi="Verdana"/>
          <w:noProof/>
        </w:rPr>
        <mc:AlternateContent>
          <mc:Choice Requires="wpg">
            <w:drawing>
              <wp:inline distT="0" distB="0" distL="0" distR="0">
                <wp:extent cx="1828800" cy="10681"/>
                <wp:effectExtent l="0" t="0" r="0" b="0"/>
                <wp:docPr id="549351" name="Group 54935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1"/>
                          <a:chOff x="0" y="0"/>
                          <a:chExt cx="1828800" cy="10681"/>
                        </a:xfrm>
                      </wpg:grpSpPr>
                      <wps:wsp xmlns:wps="http://schemas.microsoft.com/office/word/2010/wordprocessingShape">
                        <wps:cNvPr id="635907" name="Shape 635907"/>
                        <wps:cNvSpPr/>
                        <wps:spPr>
                          <a:xfrm>
                            <a:off x="0" y="0"/>
                            <a:ext cx="1828800" cy="10681"/>
                          </a:xfrm>
                          <a:custGeom>
                            <a:avLst/>
                            <a:gdLst/>
                            <a:ahLst/>
                            <a:cxnLst/>
                            <a:rect l="0" t="0" r="0" b="0"/>
                            <a:pathLst>
                              <a:path w="1828800" h="10681">
                                <a:moveTo>
                                  <a:pt x="0" y="0"/>
                                </a:moveTo>
                                <a:lnTo>
                                  <a:pt x="1828800" y="0"/>
                                </a:lnTo>
                                <a:lnTo>
                                  <a:pt x="1828800" y="10681"/>
                                </a:lnTo>
                                <a:lnTo>
                                  <a:pt x="0" y="10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11" style="height:0.84pt;mso-position-horizontal-relative:char;mso-position-vertical-relative:line;width:2in" coordsize="18288,106">
                <v:shape id="_x0000_s1212" style="height:106;position:absolute;width:18288" coordsize="1828800,10681" path="m,l1828800,l1828800,10681l,10681l,e">
                  <v:stroke joinstyle="miter" endcap="flat" opacity="0"/>
                </v:shape>
                <w10:wrap type="none"/>
              </v:group>
            </w:pict>
          </mc:Fallback>
        </mc:AlternateContent>
      </w:r>
      <w:r w:rsidRPr="005B5CB6">
        <w:rPr>
          <w:rFonts w:ascii="Verdana" w:hAnsi="Verdana"/>
        </w:rPr>
        <w:t xml:space="preserv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125"/>
        </w:numPr>
        <w:spacing w:after="5" w:line="250" w:lineRule="auto"/>
        <w:ind w:right="11" w:hanging="360"/>
        <w:jc w:val="both"/>
        <w:rPr>
          <w:rFonts w:ascii="Verdana" w:hAnsi="Verdana"/>
        </w:rPr>
      </w:pPr>
      <w:r w:rsidRPr="005B5CB6">
        <w:rPr>
          <w:rFonts w:ascii="Verdana" w:eastAsia="Verdana" w:hAnsi="Verdana" w:cs="Verdana"/>
        </w:rPr>
        <w:t xml:space="preserve">ensure that the public can easily recognise political messages and communications as well as the party, foundation or organisation behind them. They should make available information on any targeting criteria used in the dissemination of such communications. This should be included as part of the communication but also publicly accessible, for example on their website.  </w:t>
      </w:r>
    </w:p>
    <w:p w:rsidR="00FB0B24" w:rsidRPr="005B5CB6" w:rsidP="00575F14">
      <w:pPr>
        <w:numPr>
          <w:ilvl w:val="1"/>
          <w:numId w:val="125"/>
        </w:numPr>
        <w:spacing w:after="5" w:line="250" w:lineRule="auto"/>
        <w:ind w:right="11" w:hanging="360"/>
        <w:jc w:val="both"/>
        <w:rPr>
          <w:rFonts w:ascii="Verdana" w:hAnsi="Verdana"/>
        </w:rPr>
      </w:pPr>
      <w:r w:rsidRPr="005B5CB6">
        <w:rPr>
          <w:rFonts w:ascii="Verdana" w:eastAsia="Verdana" w:hAnsi="Verdana" w:cs="Verdana"/>
        </w:rPr>
        <w:t xml:space="preserve">be transparent as to the third parties they contract with as part of their campaigns both to obtain data and to further process data, including profiling and targeting, such as data brokers and political advertising companies together with those that provide consultancy services and software.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Companies that are hosting or distributing political advertising must, at a minimum, disclose information as to: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125"/>
        </w:numPr>
        <w:spacing w:after="5" w:line="250" w:lineRule="auto"/>
        <w:ind w:right="11" w:hanging="360"/>
        <w:jc w:val="both"/>
        <w:rPr>
          <w:rFonts w:ascii="Verdana" w:hAnsi="Verdana"/>
        </w:rPr>
      </w:pPr>
      <w:r w:rsidRPr="005B5CB6">
        <w:rPr>
          <w:rFonts w:ascii="Verdana" w:eastAsia="Verdana" w:hAnsi="Verdana" w:cs="Verdana"/>
        </w:rPr>
        <w:t xml:space="preserve">how political advertising and social 'issue-based' advertising is defined; </w:t>
      </w:r>
    </w:p>
    <w:p w:rsidR="00FB0B24" w:rsidRPr="005B5CB6" w:rsidP="00575F14">
      <w:pPr>
        <w:numPr>
          <w:ilvl w:val="1"/>
          <w:numId w:val="125"/>
        </w:numPr>
        <w:spacing w:after="5" w:line="250" w:lineRule="auto"/>
        <w:ind w:right="11" w:hanging="360"/>
        <w:jc w:val="both"/>
        <w:rPr>
          <w:rFonts w:ascii="Verdana" w:hAnsi="Verdana"/>
        </w:rPr>
      </w:pPr>
      <w:r w:rsidRPr="005B5CB6">
        <w:rPr>
          <w:rFonts w:ascii="Verdana" w:eastAsia="Verdana" w:hAnsi="Verdana" w:cs="Verdana"/>
        </w:rPr>
        <w:t xml:space="preserve">number of impressions (number of times an ad is shown) that an ad received within specific geographic and demographic criteria (e.g. within a political district, in a certain age range), broken down by paid vs. organic reach; </w:t>
      </w:r>
    </w:p>
    <w:p w:rsidR="00FB0B24" w:rsidRPr="005B5CB6" w:rsidP="00575F14">
      <w:pPr>
        <w:numPr>
          <w:ilvl w:val="1"/>
          <w:numId w:val="125"/>
        </w:numPr>
        <w:spacing w:after="5" w:line="250" w:lineRule="auto"/>
        <w:ind w:right="11" w:hanging="360"/>
        <w:jc w:val="both"/>
        <w:rPr>
          <w:rFonts w:ascii="Verdana" w:hAnsi="Verdana"/>
        </w:rPr>
      </w:pPr>
      <w:r w:rsidRPr="005B5CB6">
        <w:rPr>
          <w:rFonts w:ascii="Verdana" w:eastAsia="Verdana" w:hAnsi="Verdana" w:cs="Verdana"/>
        </w:rPr>
        <w:t xml:space="preserve">targeting criteria used by advertisers to design their ad campaign, as well as information about the audience that the ad </w:t>
      </w:r>
      <w:r w:rsidRPr="005B5CB6">
        <w:rPr>
          <w:rFonts w:ascii="Verdana" w:eastAsia="Verdana" w:hAnsi="Verdana" w:cs="Verdana"/>
          <w:i/>
        </w:rPr>
        <w:t xml:space="preserve">actually </w:t>
      </w:r>
      <w:r w:rsidRPr="005B5CB6">
        <w:rPr>
          <w:rFonts w:ascii="Verdana" w:eastAsia="Verdana" w:hAnsi="Verdana" w:cs="Verdana"/>
        </w:rPr>
        <w:t xml:space="preserve">reached; </w:t>
      </w:r>
    </w:p>
    <w:p w:rsidR="00FB0B24" w:rsidRPr="005B5CB6" w:rsidP="00575F14">
      <w:pPr>
        <w:numPr>
          <w:ilvl w:val="1"/>
          <w:numId w:val="125"/>
        </w:numPr>
        <w:spacing w:after="5" w:line="250" w:lineRule="auto"/>
        <w:ind w:right="11" w:hanging="360"/>
        <w:jc w:val="both"/>
        <w:rPr>
          <w:rFonts w:ascii="Verdana" w:hAnsi="Verdana"/>
        </w:rPr>
      </w:pPr>
      <w:r w:rsidRPr="005B5CB6">
        <w:rPr>
          <w:rFonts w:ascii="Verdana" w:eastAsia="Verdana" w:hAnsi="Verdana" w:cs="Verdana"/>
        </w:rPr>
        <w:t xml:space="preserve">information about ad spend per political actor; </w:t>
      </w:r>
    </w:p>
    <w:p w:rsidR="00FB0B24" w:rsidRPr="005B5CB6" w:rsidP="00575F14">
      <w:pPr>
        <w:numPr>
          <w:ilvl w:val="1"/>
          <w:numId w:val="125"/>
        </w:numPr>
        <w:spacing w:after="5" w:line="250" w:lineRule="auto"/>
        <w:ind w:right="11" w:hanging="360"/>
        <w:jc w:val="both"/>
        <w:rPr>
          <w:rFonts w:ascii="Verdana" w:hAnsi="Verdana"/>
        </w:rPr>
      </w:pPr>
      <w:r w:rsidRPr="005B5CB6">
        <w:rPr>
          <w:rFonts w:ascii="Verdana" w:eastAsia="Verdana" w:hAnsi="Verdana" w:cs="Verdana"/>
        </w:rPr>
        <w:t xml:space="preserve">information about microtargeting, including whether the ad was A/B tested and the different versions of the ad; if the ad used a lookalike audience; the features (race/ ethnicity, gender, geography, etc.) used to create that audience; if the ad was directed at platform-defined user segments or interests, and the segments or interests used; or if the ad was targeted based on a user list the advertiser already possessed.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Recently, a variety of transparency tools have been developed, including extensions which users can add to their browsers, such as WhoTargetsMe</w:t>
      </w:r>
      <w:r>
        <w:rPr>
          <w:rFonts w:ascii="Verdana" w:eastAsia="Verdana" w:hAnsi="Verdana" w:cs="Verdana"/>
          <w:vertAlign w:val="superscript"/>
        </w:rPr>
        <w:footnoteReference w:id="196"/>
      </w:r>
      <w:r w:rsidRPr="005B5CB6">
        <w:rPr>
          <w:rFonts w:ascii="Verdana" w:eastAsia="Verdana" w:hAnsi="Verdana" w:cs="Verdana"/>
        </w:rPr>
        <w:t xml:space="preserve"> or </w:t>
      </w:r>
      <w:r w:rsidRPr="005B5CB6">
        <w:rPr>
          <w:rFonts w:ascii="Verdana" w:eastAsia="Verdana" w:hAnsi="Verdana" w:cs="Verdana"/>
        </w:rPr>
        <w:t>recently in Argentina Publi Electoral</w:t>
      </w:r>
      <w:r>
        <w:rPr>
          <w:rFonts w:ascii="Verdana" w:eastAsia="Verdana" w:hAnsi="Verdana" w:cs="Verdana"/>
          <w:vertAlign w:val="superscript"/>
        </w:rPr>
        <w:footnoteReference w:id="197"/>
      </w:r>
      <w:r w:rsidRPr="005B5CB6">
        <w:rPr>
          <w:rFonts w:ascii="Verdana" w:eastAsia="Verdana" w:hAnsi="Verdana" w:cs="Verdana"/>
        </w:rPr>
        <w:t xml:space="preserve"> , and ad archives by major platforms. These responses are important in terms of the information that is provided to individuals and also the information that can be gathered for the purposes of research and scrutiny. The ad archives are a work in progress and there remains much to be done. It is still unclear how they apply across the world and researchers have faced difficulties</w:t>
      </w:r>
      <w:r>
        <w:rPr>
          <w:rFonts w:ascii="Verdana" w:eastAsia="Verdana" w:hAnsi="Verdana" w:cs="Verdana"/>
          <w:vertAlign w:val="superscript"/>
        </w:rPr>
        <w:footnoteReference w:id="198"/>
      </w:r>
      <w:r w:rsidRPr="005B5CB6">
        <w:rPr>
          <w:rFonts w:ascii="Verdana" w:eastAsia="Verdana" w:hAnsi="Verdana" w:cs="Verdana"/>
        </w:rPr>
        <w:t xml:space="preserve"> despite setting out some steps that could be taken to make the ad archives more effective.</w:t>
      </w:r>
      <w:r>
        <w:rPr>
          <w:rFonts w:ascii="Verdana" w:eastAsia="Verdana" w:hAnsi="Verdana" w:cs="Verdana"/>
          <w:vertAlign w:val="superscript"/>
        </w:rPr>
        <w:footnoteReference w:id="199"/>
      </w:r>
      <w:r w:rsidRPr="005B5CB6">
        <w:rPr>
          <w:rFonts w:ascii="Verdana" w:eastAsia="Verdana" w:hAnsi="Verdana" w:cs="Verdana"/>
        </w:rPr>
        <w:t xml:space="preserve">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Furthermore, despite political parties and campaigns being required to provide certain information as noted above, their privacy policies do not provide enough detail. For example, see our analysis of the Conservative party leadership campaign.</w:t>
      </w:r>
      <w:r>
        <w:rPr>
          <w:rFonts w:ascii="Verdana" w:eastAsia="Verdana" w:hAnsi="Verdana" w:cs="Verdana"/>
          <w:vertAlign w:val="superscript"/>
        </w:rPr>
        <w:footnoteReference w:id="200"/>
      </w:r>
      <w:r w:rsidRPr="005B5CB6">
        <w:rPr>
          <w:rFonts w:ascii="Verdana" w:eastAsia="Verdana" w:hAnsi="Verdana" w:cs="Verdana"/>
        </w:rPr>
        <w:t xml:space="preserve"> A quick look at the policies of most of the UK political parties illustrate that they all by in large fall short. Further transparency was </w:t>
      </w:r>
    </w:p>
    <w:p w:rsidR="00FB0B24" w:rsidRPr="005B5CB6" w:rsidP="00A72806">
      <w:pPr>
        <w:spacing w:after="0"/>
        <w:jc w:val="both"/>
        <w:rPr>
          <w:rFonts w:ascii="Verdana" w:hAnsi="Verdana"/>
        </w:rPr>
      </w:pPr>
      <w:r w:rsidRPr="005B5CB6">
        <w:rPr>
          <w:rFonts w:ascii="Verdana" w:hAnsi="Verdana"/>
          <w:noProof/>
        </w:rPr>
        <mc:AlternateContent>
          <mc:Choice Requires="wpg">
            <w:drawing>
              <wp:inline distT="0" distB="0" distL="0" distR="0">
                <wp:extent cx="1828800" cy="10681"/>
                <wp:effectExtent l="0" t="0" r="0" b="0"/>
                <wp:docPr id="549716" name="Group 54971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1"/>
                          <a:chOff x="0" y="0"/>
                          <a:chExt cx="1828800" cy="10681"/>
                        </a:xfrm>
                      </wpg:grpSpPr>
                      <wps:wsp xmlns:wps="http://schemas.microsoft.com/office/word/2010/wordprocessingShape">
                        <wps:cNvPr id="635909" name="Shape 635909"/>
                        <wps:cNvSpPr/>
                        <wps:spPr>
                          <a:xfrm>
                            <a:off x="0" y="0"/>
                            <a:ext cx="1828800" cy="10681"/>
                          </a:xfrm>
                          <a:custGeom>
                            <a:avLst/>
                            <a:gdLst/>
                            <a:ahLst/>
                            <a:cxnLst/>
                            <a:rect l="0" t="0" r="0" b="0"/>
                            <a:pathLst>
                              <a:path w="1828800" h="10681">
                                <a:moveTo>
                                  <a:pt x="0" y="0"/>
                                </a:moveTo>
                                <a:lnTo>
                                  <a:pt x="1828800" y="0"/>
                                </a:lnTo>
                                <a:lnTo>
                                  <a:pt x="1828800" y="10681"/>
                                </a:lnTo>
                                <a:lnTo>
                                  <a:pt x="0" y="10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13" style="height:0.84pt;mso-position-horizontal-relative:char;mso-position-vertical-relative:line;width:2in" coordsize="18288,106">
                <v:shape id="_x0000_s1214" style="height:106;position:absolute;width:18288" coordsize="1828800,10681" path="m,l1828800,l1828800,10681l,10681l,e">
                  <v:stroke joinstyle="miter" endcap="flat" opacity="0"/>
                </v:shape>
                <w10:wrap type="none"/>
              </v:group>
            </w:pict>
          </mc:Fallback>
        </mc:AlternateContent>
      </w:r>
      <w:r w:rsidRPr="005B5CB6">
        <w:rPr>
          <w:rFonts w:ascii="Verdana" w:hAnsi="Verdana"/>
        </w:rPr>
        <w:t xml:space="preserve">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also a key part of the EU Code of Practice on Disinformation.</w:t>
      </w:r>
      <w:r>
        <w:rPr>
          <w:rFonts w:ascii="Verdana" w:eastAsia="Verdana" w:hAnsi="Verdana" w:cs="Verdana"/>
          <w:vertAlign w:val="superscript"/>
        </w:rPr>
        <w:footnoteReference w:id="201"/>
      </w:r>
      <w:r w:rsidRPr="005B5CB6">
        <w:rPr>
          <w:rFonts w:ascii="Verdana" w:eastAsia="Verdana" w:hAnsi="Verdana" w:cs="Verdana"/>
        </w:rPr>
        <w:t xml:space="preserve"> The failures to date, demonstrate the need for concrete action and proactive steps to ensure transparency, which is the first step towards any meaningful accountability.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As well as additional transparency on the use of data, from data sources to targeting criteria, Privacy International supports calls for additional disclosure requirements related to expenditures for online campaigning. Political parties and other actors are increasingly using social media platforms and other digital communications means both for targeting potential individual donors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(particularly for small donations) and for spending on political advertising.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Campaign financing is notoriously difficult to monitor. Even more, recent and ongoing investigations have shown how the traditional rules of campaign financing fail to regulate and shed a light on these new forms of online fundraising and expenditures. In its 2018 report on online manipulation and personal data, the European Data Protection Supervisor noted that “the reported spending on campaign materials may not provide sufficient details about spending on digital advertising and associated services, e.g. targeted ads on social media, analytics services, creation of voter databases, engagement with data brokers.”.</w:t>
      </w:r>
      <w:r>
        <w:rPr>
          <w:rFonts w:ascii="Verdana" w:eastAsia="Verdana" w:hAnsi="Verdana" w:cs="Verdana"/>
          <w:vertAlign w:val="superscript"/>
        </w:rPr>
        <w:footnoteReference w:id="202"/>
      </w:r>
      <w:r w:rsidRPr="005B5CB6">
        <w:rPr>
          <w:rFonts w:ascii="Verdana" w:eastAsia="Verdana" w:hAnsi="Verdana" w:cs="Verdana"/>
        </w:rPr>
        <w:t xml:space="preserve"> In this regard we note that the Electoral Commission has also called for changes in the laws to increase transparency for voters in digital campaigning, including on spend.</w:t>
      </w:r>
      <w:r w:rsidRPr="005B5CB6">
        <w:rPr>
          <w:rFonts w:ascii="Verdana" w:eastAsia="Verdana" w:hAnsi="Verdana" w:cs="Verdana"/>
          <w:vertAlign w:val="superscript"/>
        </w:rPr>
        <w:t>31</w:t>
      </w:r>
      <w:r w:rsidRPr="005B5CB6">
        <w:rPr>
          <w:rFonts w:ascii="Verdana" w:eastAsia="Verdana" w:hAnsi="Verdana" w:cs="Verdana"/>
        </w:rPr>
        <w:t xml:space="preserve">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Privacy International recommends that campaign finance law require timely online reporting on spending on online campaigning and on the funding obtained online. The information should be sufficiently granular and detailed to promote </w:t>
      </w:r>
      <w:r w:rsidRPr="005B5CB6">
        <w:rPr>
          <w:rFonts w:ascii="Verdana" w:eastAsia="Verdana" w:hAnsi="Verdana" w:cs="Verdana"/>
        </w:rPr>
        <w:t xml:space="preserve">transparency and accountability. This should include provisions to require political parties and other political actors to make publicly available (e.g. as a minimum, prominently on their websites) information on their expenditure for online activities, including paid online political advertisements and communications. This should include information regarding which third parties, if any, have assisted the political actors with their online activities, including the amount spent on each third parties’ services.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To ensure effective monitoring the disclosure of campaign expenditure should be broken down into meaningful categories such as the amount spent on types of content on each social media platform, information about the campaign’s intended target audience on platforms, as well as actual audience reached. Additionally, the law should require the disclosure of information on groups that support political campaigns, yet are not officially associated with the campaign, and disclosure of campaign expenditure for online activities, including paid online political advertisements and communications. </w:t>
      </w:r>
    </w:p>
    <w:p w:rsidR="00FB0B24" w:rsidRPr="005B5CB6" w:rsidP="00A72806">
      <w:pPr>
        <w:spacing w:after="1180"/>
        <w:jc w:val="both"/>
        <w:rPr>
          <w:rFonts w:ascii="Verdana" w:hAnsi="Verdana"/>
        </w:rPr>
      </w:pPr>
      <w:r w:rsidRPr="005B5CB6">
        <w:rPr>
          <w:rFonts w:ascii="Verdana" w:eastAsia="Verdana" w:hAnsi="Verdana" w:cs="Verdana"/>
        </w:rPr>
        <w:t xml:space="preserve"> </w:t>
      </w:r>
    </w:p>
    <w:p w:rsidR="00FB0B24" w:rsidRPr="005B5CB6" w:rsidP="00A72806">
      <w:pPr>
        <w:spacing w:after="0"/>
        <w:jc w:val="both"/>
        <w:rPr>
          <w:rFonts w:ascii="Verdana" w:hAnsi="Verdana"/>
        </w:rPr>
      </w:pPr>
      <w:r w:rsidRPr="005B5CB6">
        <w:rPr>
          <w:rFonts w:ascii="Verdana" w:hAnsi="Verdana"/>
          <w:noProof/>
        </w:rPr>
        <mc:AlternateContent>
          <mc:Choice Requires="wpg">
            <w:drawing>
              <wp:inline distT="0" distB="0" distL="0" distR="0">
                <wp:extent cx="1828800" cy="10681"/>
                <wp:effectExtent l="0" t="0" r="0" b="0"/>
                <wp:docPr id="549983" name="Group 54998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1"/>
                          <a:chOff x="0" y="0"/>
                          <a:chExt cx="1828800" cy="10681"/>
                        </a:xfrm>
                      </wpg:grpSpPr>
                      <wps:wsp xmlns:wps="http://schemas.microsoft.com/office/word/2010/wordprocessingShape">
                        <wps:cNvPr id="635911" name="Shape 635911"/>
                        <wps:cNvSpPr/>
                        <wps:spPr>
                          <a:xfrm>
                            <a:off x="0" y="0"/>
                            <a:ext cx="1828800" cy="10681"/>
                          </a:xfrm>
                          <a:custGeom>
                            <a:avLst/>
                            <a:gdLst/>
                            <a:ahLst/>
                            <a:cxnLst/>
                            <a:rect l="0" t="0" r="0" b="0"/>
                            <a:pathLst>
                              <a:path w="1828800" h="10681">
                                <a:moveTo>
                                  <a:pt x="0" y="0"/>
                                </a:moveTo>
                                <a:lnTo>
                                  <a:pt x="1828800" y="0"/>
                                </a:lnTo>
                                <a:lnTo>
                                  <a:pt x="1828800" y="10681"/>
                                </a:lnTo>
                                <a:lnTo>
                                  <a:pt x="0" y="10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15" style="height:0.84pt;mso-position-horizontal-relative:char;mso-position-vertical-relative:line;width:2in" coordsize="18288,106">
                <v:shape id="_x0000_s1216" style="height:106;position:absolute;width:18288" coordsize="1828800,10681" path="m,l1828800,l1828800,10681l,10681l,e">
                  <v:stroke joinstyle="miter" endcap="flat" opacity="0"/>
                </v:shape>
                <w10:wrap type="none"/>
              </v:group>
            </w:pict>
          </mc:Fallback>
        </mc:AlternateContent>
      </w:r>
      <w:r w:rsidRPr="005B5CB6">
        <w:rPr>
          <w:rFonts w:ascii="Verdana" w:hAnsi="Verdana"/>
        </w:rPr>
        <w:t xml:space="preserve"> </w:t>
      </w:r>
    </w:p>
    <w:p w:rsidR="00FB0B24" w:rsidRPr="005B5CB6" w:rsidP="00A72806">
      <w:pPr>
        <w:spacing w:after="5" w:line="249" w:lineRule="auto"/>
        <w:ind w:left="-2" w:hanging="10"/>
        <w:jc w:val="both"/>
        <w:rPr>
          <w:rFonts w:ascii="Verdana" w:hAnsi="Verdana"/>
        </w:rPr>
      </w:pPr>
      <w:r w:rsidRPr="005B5CB6">
        <w:rPr>
          <w:rFonts w:ascii="Verdana" w:eastAsia="Verdana" w:hAnsi="Verdana" w:cs="Verdana"/>
          <w:b/>
        </w:rPr>
        <w:t xml:space="preserve">What effect does online targeted advertising have on the political process, and what effects could it have in the future? Should there be additional regulation of political advertising? </w:t>
      </w:r>
    </w:p>
    <w:p w:rsidR="00FB0B24" w:rsidRPr="005B5CB6" w:rsidP="00A7280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A significant share of the content that people see on social media is either online advertising or content that has been promoted or sponsored. Every fifth post (or 20% of all content) on Instagram</w:t>
      </w:r>
      <w:r>
        <w:rPr>
          <w:rFonts w:ascii="Verdana" w:eastAsia="Verdana" w:hAnsi="Verdana" w:cs="Verdana"/>
          <w:vertAlign w:val="superscript"/>
        </w:rPr>
        <w:footnoteReference w:id="203"/>
      </w:r>
      <w:r w:rsidRPr="005B5CB6">
        <w:rPr>
          <w:rFonts w:ascii="Verdana" w:eastAsia="Verdana" w:hAnsi="Verdana" w:cs="Verdana"/>
        </w:rPr>
        <w:t xml:space="preserve">, for instance, is targeted advertising. Online targeted advertising is facilitated by a complex and opaque ecosystem that includes ad tech companies, data brokers, and other third-party companies that track people on websites and apps and combine this data with offline information. </w:t>
      </w:r>
      <w:r>
        <w:rPr>
          <w:rFonts w:ascii="Verdana" w:eastAsia="Verdana" w:hAnsi="Verdana" w:cs="Verdana"/>
          <w:vertAlign w:val="superscript"/>
        </w:rPr>
        <w:footnoteReference w:id="204"/>
      </w:r>
      <w:r w:rsidRPr="005B5CB6">
        <w:rPr>
          <w:rFonts w:ascii="Verdana" w:eastAsia="Verdana" w:hAnsi="Verdana" w:cs="Verdana"/>
        </w:rPr>
        <w:t xml:space="preserve"> On the surface, online advertising may appear harmless. In practice, however, it results in different concrete harms for people. Targeted ads can be discriminatory (someone might not be not shown a job because she is a woman or a loan because he lives in the wrong neighbourhood) and ads can seek to be manipulative (people can be served tailored information to target those that are most vulnerable) –  therefore they may also seek to discriminate and manipulate in the political context. Secondly, the ecosystem of companies that collect, share and aggregate user data is so complex that it has become impossible for people to understand or control where information about them (their data) ends up, as well as the consequences this has for both them as an individual and society.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33" w:line="250" w:lineRule="auto"/>
        <w:ind w:left="23" w:right="11" w:hanging="8"/>
        <w:jc w:val="both"/>
        <w:rPr>
          <w:rFonts w:ascii="Verdana" w:hAnsi="Verdana"/>
        </w:rPr>
      </w:pPr>
      <w:r w:rsidRPr="005B5CB6">
        <w:rPr>
          <w:rFonts w:ascii="Verdana" w:eastAsia="Verdana" w:hAnsi="Verdana" w:cs="Verdana"/>
        </w:rPr>
        <w:t>Examples of the harm caused by using online advertising for political purposes are plenty, and reports from the UK's Information Commissioner Office (“ICO”), including "Democracy Disrupted", have highlighted concerns with the use of personal data in political campaigning.</w:t>
      </w:r>
      <w:r>
        <w:rPr>
          <w:rFonts w:ascii="Verdana" w:eastAsia="Verdana" w:hAnsi="Verdana" w:cs="Verdana"/>
          <w:vertAlign w:val="superscript"/>
        </w:rPr>
        <w:footnoteReference w:id="205"/>
      </w:r>
      <w:r w:rsidRPr="005B5CB6">
        <w:rPr>
          <w:rFonts w:ascii="Verdana" w:eastAsia="Verdana" w:hAnsi="Verdana" w:cs="Verdana"/>
        </w:rPr>
        <w:t xml:space="preserve">  In 2018, the ICO fined Emma's Diary, a site offering pregnancy and childcare advice owned by Lifecycle Marketing Ltd, £140,000 for collecting and selling personal information belonging to more than one million people without disclosing in the site's privacy policy how it would be used.</w:t>
      </w:r>
      <w:r>
        <w:rPr>
          <w:rFonts w:ascii="Verdana" w:eastAsia="Verdana" w:hAnsi="Verdana" w:cs="Verdana"/>
          <w:vertAlign w:val="superscript"/>
        </w:rPr>
        <w:footnoteReference w:id="206"/>
      </w:r>
      <w:r w:rsidRPr="005B5CB6">
        <w:rPr>
          <w:rFonts w:ascii="Verdana" w:eastAsia="Verdana" w:hAnsi="Verdana" w:cs="Verdana"/>
        </w:rPr>
        <w:t xml:space="preserve"> Although Lifecycle denied the allegations, the ICO found that the company sold the data to Experian Marketing Services to build into profiles for use by the Labour Party, which targeted mothers in marginal seats with direct mail during the 2017 election campaign stating the party's intention to protect Sure Start children's centres. This is just one example, and there are many.</w:t>
      </w:r>
      <w:r>
        <w:rPr>
          <w:rFonts w:ascii="Verdana" w:eastAsia="Verdana" w:hAnsi="Verdana" w:cs="Verdana"/>
          <w:vertAlign w:val="superscript"/>
        </w:rPr>
        <w:footnoteReference w:id="207"/>
      </w:r>
      <w:r w:rsidRPr="005B5CB6">
        <w:rPr>
          <w:rFonts w:ascii="Verdana" w:eastAsia="Verdana" w:hAnsi="Verdana" w:cs="Verdana"/>
        </w:rPr>
        <w:t xml:space="preserve">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27" w:line="250" w:lineRule="auto"/>
        <w:ind w:left="23" w:right="11" w:hanging="8"/>
        <w:jc w:val="both"/>
        <w:rPr>
          <w:rFonts w:ascii="Verdana" w:hAnsi="Verdana"/>
        </w:rPr>
      </w:pPr>
      <w:r w:rsidRPr="005B5CB6">
        <w:rPr>
          <w:rFonts w:ascii="Verdana" w:eastAsia="Verdana" w:hAnsi="Verdana" w:cs="Verdana"/>
        </w:rPr>
        <w:t xml:space="preserve">On the question of whether further regulation is needed, the GDPR and the Data Protection Act 2018 ("DPA 2018") already provide the UK with tools to begin to tackle some of the issues of concern to the Committee, including political advertising. Privacy International first encourages measures to support the implementation and enforcement of this regulatory regime. In theory, data protection law in the UK strengthens the rights of individuals with regard to the protection of their data, imposes more stringent obligations on those processing </w:t>
      </w:r>
    </w:p>
    <w:p w:rsidR="00FB0B24" w:rsidRPr="005B5CB6" w:rsidP="00A72806">
      <w:pPr>
        <w:spacing w:after="0"/>
        <w:jc w:val="both"/>
        <w:rPr>
          <w:rFonts w:ascii="Verdana" w:hAnsi="Verdana"/>
        </w:rPr>
      </w:pPr>
      <w:r w:rsidRPr="005B5CB6">
        <w:rPr>
          <w:rFonts w:ascii="Verdana" w:hAnsi="Verdana"/>
          <w:noProof/>
        </w:rPr>
        <mc:AlternateContent>
          <mc:Choice Requires="wpg">
            <w:drawing>
              <wp:inline distT="0" distB="0" distL="0" distR="0">
                <wp:extent cx="1828800" cy="10681"/>
                <wp:effectExtent l="0" t="0" r="0" b="0"/>
                <wp:docPr id="551200" name="Group 55120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1"/>
                          <a:chOff x="0" y="0"/>
                          <a:chExt cx="1828800" cy="10681"/>
                        </a:xfrm>
                      </wpg:grpSpPr>
                      <wps:wsp xmlns:wps="http://schemas.microsoft.com/office/word/2010/wordprocessingShape">
                        <wps:cNvPr id="635913" name="Shape 635913"/>
                        <wps:cNvSpPr/>
                        <wps:spPr>
                          <a:xfrm>
                            <a:off x="0" y="0"/>
                            <a:ext cx="1828800" cy="10681"/>
                          </a:xfrm>
                          <a:custGeom>
                            <a:avLst/>
                            <a:gdLst/>
                            <a:ahLst/>
                            <a:cxnLst/>
                            <a:rect l="0" t="0" r="0" b="0"/>
                            <a:pathLst>
                              <a:path w="1828800" h="10681">
                                <a:moveTo>
                                  <a:pt x="0" y="0"/>
                                </a:moveTo>
                                <a:lnTo>
                                  <a:pt x="1828800" y="0"/>
                                </a:lnTo>
                                <a:lnTo>
                                  <a:pt x="1828800" y="10681"/>
                                </a:lnTo>
                                <a:lnTo>
                                  <a:pt x="0" y="10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17" style="height:0.84pt;mso-position-horizontal-relative:char;mso-position-vertical-relative:line;width:2in" coordsize="18288,106">
                <v:shape id="_x0000_s1218" style="height:106;position:absolute;width:18288" coordsize="1828800,10681" path="m,l1828800,l1828800,10681l,10681l,e">
                  <v:stroke joinstyle="miter" endcap="flat" opacity="0"/>
                </v:shape>
                <w10:wrap type="none"/>
              </v:group>
            </w:pict>
          </mc:Fallback>
        </mc:AlternateContent>
      </w:r>
      <w:r w:rsidRPr="005B5CB6">
        <w:rPr>
          <w:rFonts w:ascii="Verdana" w:hAnsi="Verdana"/>
        </w:rPr>
        <w:t xml:space="preserve">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personal data, and provides for stronger regulatory enforcement powers. In practice, over one year on, a lot more still needs to be done and changes are only starting to take place.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However, there are also shortcomings related to the deterrence/enforcement legal framework in the UK. This includes an exemption for political parties, the need for a code of practice to be put on statutory footing, and that there be a form of collective redress (addressed later in this response).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The DPA 2018 contains an exemption for political parties that threatens to undermine protections. Paragraph 22 of Schedule 1 of the DPA 2018 permits political parties to process personal data “revealing political opinions” without the need for consent. Privacy International and other organisations expressed serious concerns about this loophole during the drafting the DPA 2018, and we called (so far to no avail) on all main UK political parties to publicly commit to not using the exemption provided in the law to target voters - both online and offline - in all local and national forthcoming elections or by-elections.</w:t>
      </w:r>
      <w:r>
        <w:rPr>
          <w:rFonts w:ascii="Verdana" w:eastAsia="Verdana" w:hAnsi="Verdana" w:cs="Verdana"/>
          <w:vertAlign w:val="superscript"/>
        </w:rPr>
        <w:footnoteReference w:id="208"/>
      </w:r>
      <w:r w:rsidRPr="005B5CB6">
        <w:rPr>
          <w:rFonts w:ascii="Verdana" w:eastAsia="Verdana" w:hAnsi="Verdana" w:cs="Verdana"/>
          <w:vertAlign w:val="superscript"/>
        </w:rPr>
        <w:t xml:space="preserve"> </w:t>
      </w:r>
      <w:r w:rsidRPr="005B5CB6">
        <w:rPr>
          <w:rFonts w:ascii="Verdana" w:eastAsia="Verdana" w:hAnsi="Verdana" w:cs="Verdana"/>
        </w:rPr>
        <w:t xml:space="preserve">A similar provision in </w:t>
      </w:r>
      <w:r w:rsidRPr="005B5CB6">
        <w:rPr>
          <w:rFonts w:ascii="Verdana" w:eastAsia="Verdana" w:hAnsi="Verdana" w:cs="Verdana"/>
        </w:rPr>
        <w:t>the Spanish data protection law has since been declared unconstitutional</w:t>
      </w:r>
      <w:r>
        <w:rPr>
          <w:rFonts w:ascii="Verdana" w:eastAsia="Verdana" w:hAnsi="Verdana" w:cs="Verdana"/>
          <w:vertAlign w:val="superscript"/>
        </w:rPr>
        <w:footnoteReference w:id="209"/>
      </w:r>
      <w:r w:rsidRPr="005B5CB6">
        <w:rPr>
          <w:rFonts w:ascii="Verdana" w:eastAsia="Verdana" w:hAnsi="Verdana" w:cs="Verdana"/>
          <w:vertAlign w:val="superscript"/>
        </w:rPr>
        <w:t xml:space="preserve"> </w:t>
      </w:r>
      <w:r w:rsidRPr="005B5CB6">
        <w:rPr>
          <w:rFonts w:ascii="Verdana" w:eastAsia="Verdana" w:hAnsi="Verdana" w:cs="Verdana"/>
        </w:rPr>
        <w:t>and another in Romania is the subject of a complaint to the European Commission.</w:t>
      </w:r>
      <w:r>
        <w:rPr>
          <w:rFonts w:ascii="Verdana" w:eastAsia="Verdana" w:hAnsi="Verdana" w:cs="Verdana"/>
          <w:vertAlign w:val="superscript"/>
        </w:rPr>
        <w:footnoteReference w:id="210"/>
      </w:r>
      <w:r w:rsidRPr="005B5CB6">
        <w:rPr>
          <w:rFonts w:ascii="Verdana" w:eastAsia="Verdana" w:hAnsi="Verdana" w:cs="Verdana"/>
        </w:rPr>
        <w:t xml:space="preserve"> Privacy International recommends that the Committee investigate how and for what purposes political parties in the UK are relying on this provision. Ultimately, we believe that the DPA 2018 should be amended to close this loophole.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Additionally, Privacy International supports the adoption of measures aimed at enhancing transparency in this field (as noted elsewhere in this response.). Given the failures of the actors involved to provide effective transparency (including in response to the self-regulatory EU Code of Practice) in relation to advertising, further, more prescriptive measures may be needed. However, given the difficulties in defining what constitutes political advertising and the many actors involved, effective ads transparency must go beyond obviously political ads and scrutiny not be limited to one particular platform. Solutions must enable meaningful transparency for users as well as to enable effective scrutiny by researchers and civil society.   </w:t>
      </w:r>
    </w:p>
    <w:p w:rsidR="00FB0B24" w:rsidRPr="005B5CB6" w:rsidP="00A72806">
      <w:pPr>
        <w:spacing w:after="0"/>
        <w:ind w:left="1"/>
        <w:jc w:val="both"/>
        <w:rPr>
          <w:rFonts w:ascii="Verdana" w:hAnsi="Verdana"/>
        </w:rPr>
      </w:pPr>
      <w:r w:rsidRPr="005B5CB6">
        <w:rPr>
          <w:rFonts w:ascii="Verdana" w:eastAsia="Verdana" w:hAnsi="Verdana" w:cs="Verdana"/>
          <w:b/>
        </w:rPr>
        <w:t xml:space="preserve"> </w:t>
      </w:r>
    </w:p>
    <w:p w:rsidR="00FB0B24" w:rsidRPr="005B5CB6" w:rsidP="00A72806">
      <w:pPr>
        <w:spacing w:after="0"/>
        <w:ind w:left="1"/>
        <w:jc w:val="both"/>
        <w:rPr>
          <w:rFonts w:ascii="Verdana" w:hAnsi="Verdana"/>
        </w:rPr>
      </w:pPr>
      <w:r w:rsidRPr="005B5CB6">
        <w:rPr>
          <w:rFonts w:ascii="Verdana" w:eastAsia="Verdana" w:hAnsi="Verdana" w:cs="Verdana"/>
          <w:b/>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Privacy and Anonymity </w:t>
      </w:r>
    </w:p>
    <w:p w:rsidR="00FB0B24" w:rsidRPr="005B5CB6" w:rsidP="00A72806">
      <w:pPr>
        <w:spacing w:after="180"/>
        <w:ind w:left="1"/>
        <w:jc w:val="both"/>
        <w:rPr>
          <w:rFonts w:ascii="Verdana" w:hAnsi="Verdana"/>
        </w:rPr>
      </w:pPr>
      <w:r w:rsidRPr="005B5CB6">
        <w:rPr>
          <w:rFonts w:ascii="Verdana" w:eastAsia="Verdana" w:hAnsi="Verdana" w:cs="Verdana"/>
          <w:b/>
          <w:i/>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To what extent does increasing use of encrypted messaging and private groups present a challenge to the democratic process?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Privacy International believes that encrypted messaging is essential in securing and promoting the democratic process. Encrypted messaging allows the exercise of fundamental human rights, such as privacy and freedom of expression. This understanding should be the starting point of any discussion on </w:t>
      </w:r>
    </w:p>
    <w:p w:rsidR="00FB0B24" w:rsidRPr="005B5CB6" w:rsidP="00A72806">
      <w:pPr>
        <w:spacing w:after="0"/>
        <w:jc w:val="both"/>
        <w:rPr>
          <w:rFonts w:ascii="Verdana" w:hAnsi="Verdana"/>
        </w:rPr>
      </w:pPr>
      <w:r w:rsidRPr="005B5CB6">
        <w:rPr>
          <w:rFonts w:ascii="Verdana" w:hAnsi="Verdana"/>
          <w:noProof/>
        </w:rPr>
        <mc:AlternateContent>
          <mc:Choice Requires="wpg">
            <w:drawing>
              <wp:inline distT="0" distB="0" distL="0" distR="0">
                <wp:extent cx="1828800" cy="10680"/>
                <wp:effectExtent l="0" t="0" r="0" b="0"/>
                <wp:docPr id="550592" name="Group 55059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0"/>
                          <a:chOff x="0" y="0"/>
                          <a:chExt cx="1828800" cy="10680"/>
                        </a:xfrm>
                      </wpg:grpSpPr>
                      <wps:wsp xmlns:wps="http://schemas.microsoft.com/office/word/2010/wordprocessingShape">
                        <wps:cNvPr id="635915" name="Shape 635915"/>
                        <wps:cNvSpPr/>
                        <wps:spPr>
                          <a:xfrm>
                            <a:off x="0" y="0"/>
                            <a:ext cx="1828800" cy="10680"/>
                          </a:xfrm>
                          <a:custGeom>
                            <a:avLst/>
                            <a:gdLst/>
                            <a:ahLst/>
                            <a:cxnLst/>
                            <a:rect l="0" t="0" r="0" b="0"/>
                            <a:pathLst>
                              <a:path w="1828800" h="10680">
                                <a:moveTo>
                                  <a:pt x="0" y="0"/>
                                </a:moveTo>
                                <a:lnTo>
                                  <a:pt x="1828800" y="0"/>
                                </a:lnTo>
                                <a:lnTo>
                                  <a:pt x="1828800" y="10680"/>
                                </a:lnTo>
                                <a:lnTo>
                                  <a:pt x="0" y="106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19" style="height:0.84pt;mso-position-horizontal-relative:char;mso-position-vertical-relative:line;width:2in" coordsize="18288,106">
                <v:shape id="_x0000_s1220" style="height:106;position:absolute;width:18288" coordsize="1828800,10680" path="m,l1828800,l1828800,10680l,10680l,e">
                  <v:stroke joinstyle="miter" endcap="flat" opacity="0"/>
                </v:shape>
                <w10:wrap type="none"/>
              </v:group>
            </w:pict>
          </mc:Fallback>
        </mc:AlternateContent>
      </w:r>
      <w:r w:rsidRPr="005B5CB6">
        <w:rPr>
          <w:rFonts w:ascii="Verdana" w:hAnsi="Verdana"/>
        </w:rPr>
        <w:t xml:space="preserve">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the role of encrypted messaging in the democratic process. Communication security tools give individuals access to safe and private spaces for personal development where they can communicate without unwarranted interference.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Encryption is a key instrument to ensure that digital communications are protected from unwarranted interference, helping to preserve the right to privacy, as well as other rights, such as freedom of expression and freedom of association. As the UN Special Rapporteur on Freedom of Opinion and Expression highlighted “encryption and anonymity, separately or together, create a zone of privacy to protect opinion and belief.”</w:t>
      </w:r>
      <w:r>
        <w:rPr>
          <w:rFonts w:ascii="Verdana" w:eastAsia="Verdana" w:hAnsi="Verdana" w:cs="Verdana"/>
          <w:vertAlign w:val="superscript"/>
        </w:rPr>
        <w:footnoteReference w:id="211"/>
      </w:r>
      <w:r w:rsidRPr="005B5CB6">
        <w:rPr>
          <w:rFonts w:ascii="Verdana" w:eastAsia="Verdana" w:hAnsi="Verdana" w:cs="Verdana"/>
        </w:rPr>
        <w:t xml:space="preserve">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States have an obligation “to create and maintain a safe and enabling environment that is conducive to the exercise of the right to participate in public affairs.”</w:t>
      </w:r>
      <w:r>
        <w:rPr>
          <w:rFonts w:ascii="Verdana" w:eastAsia="Verdana" w:hAnsi="Verdana" w:cs="Verdana"/>
          <w:vertAlign w:val="superscript"/>
        </w:rPr>
        <w:footnoteReference w:id="212"/>
      </w:r>
      <w:r w:rsidRPr="005B5CB6">
        <w:rPr>
          <w:rFonts w:ascii="Verdana" w:eastAsia="Verdana" w:hAnsi="Verdana" w:cs="Verdana"/>
          <w:vertAlign w:val="superscript"/>
        </w:rPr>
        <w:t xml:space="preserve"> </w:t>
      </w:r>
      <w:r w:rsidRPr="005B5CB6">
        <w:rPr>
          <w:rFonts w:ascii="Verdana" w:eastAsia="Verdana" w:hAnsi="Verdana" w:cs="Verdana"/>
        </w:rPr>
        <w:t xml:space="preserve">Privacy International supports that any discussion regarding transparency should also envisage safeguards for end-to-end encrypted messaging. Undermining end-to-end encryption risks undermining democratic processes and open dialogue. </w:t>
      </w:r>
    </w:p>
    <w:p w:rsidR="00FB0B24" w:rsidRPr="005B5CB6" w:rsidP="00A72806">
      <w:pPr>
        <w:spacing w:after="178"/>
        <w:ind w:left="1"/>
        <w:jc w:val="both"/>
        <w:rPr>
          <w:rFonts w:ascii="Verdana" w:hAnsi="Verdana"/>
        </w:rPr>
      </w:pPr>
      <w:r w:rsidRPr="005B5CB6">
        <w:rPr>
          <w:rFonts w:ascii="Verdana" w:eastAsia="Verdana" w:hAnsi="Verdana" w:cs="Verdana"/>
          <w:b/>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What are the positive or negative effects of anonymity on online democratic discourse? </w:t>
      </w:r>
    </w:p>
    <w:p w:rsidR="00FB0B24" w:rsidRPr="005B5CB6" w:rsidP="00A72806">
      <w:pPr>
        <w:spacing w:after="0"/>
        <w:ind w:left="1"/>
        <w:jc w:val="both"/>
        <w:rPr>
          <w:rFonts w:ascii="Verdana" w:hAnsi="Verdana"/>
        </w:rPr>
      </w:pPr>
      <w:r w:rsidRPr="005B5CB6">
        <w:rPr>
          <w:rFonts w:ascii="Verdana" w:eastAsia="Verdana" w:hAnsi="Verdana" w:cs="Verdana"/>
          <w:b/>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As more of our lives are lived in the digital realm, communication security tools, such as encryption and anonymity tools and services, are increasingly important to the protection of human rights – particularly the right to privacy and the right to freedom of expression. Anonymity allows individuals to form opinions independently, free of inducement or manipulative interference of any kind.</w:t>
      </w:r>
      <w:r w:rsidRPr="005B5CB6">
        <w:rPr>
          <w:rFonts w:ascii="Verdana" w:eastAsia="Verdana" w:hAnsi="Verdana" w:cs="Verdana"/>
          <w:vertAlign w:val="superscript"/>
        </w:rPr>
        <w:t>42</w:t>
      </w:r>
      <w:r w:rsidRPr="005B5CB6">
        <w:rPr>
          <w:rFonts w:ascii="Verdana" w:eastAsia="Verdana" w:hAnsi="Verdana" w:cs="Verdana"/>
        </w:rPr>
        <w:t xml:space="preserve"> As noted by the UN Special Rapporteur on freedom of expression, anonymity provides ’individuals with a means to protect their privacy, empowering them to browse, read, develop and share opinions and information without interference and enabling journalists, civil society organizations, members of ethnic or religious groups, those persecuted because of their sexual orientation or gender identity, activists, scholars, artists and others to exercise the rights to freedom of opinion and expression.’</w:t>
      </w:r>
      <w:r w:rsidRPr="005B5CB6">
        <w:rPr>
          <w:rFonts w:ascii="Verdana" w:eastAsia="Verdana" w:hAnsi="Verdana" w:cs="Verdana"/>
          <w:vertAlign w:val="superscript"/>
        </w:rPr>
        <w:t>43</w:t>
      </w:r>
      <w:r w:rsidRPr="005B5CB6">
        <w:rPr>
          <w:rFonts w:ascii="Verdana" w:eastAsia="Verdana" w:hAnsi="Verdana" w:cs="Verdana"/>
        </w:rPr>
        <w:t xml:space="preserve">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Any interference with fundamental rights to privacy and freedom of expression, including any restriction to anonymity, must be lawful, necessary and proportionate to the achievement of a legitimate aim. These nuances must be considered in any efforts to enhance transparency online.  </w:t>
      </w:r>
    </w:p>
    <w:p w:rsidR="00FB0B24" w:rsidRPr="005B5CB6" w:rsidP="00A72806">
      <w:pPr>
        <w:spacing w:after="0"/>
        <w:ind w:left="721"/>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This applies also for political ads and issue-based ads, where the public interest of transparency and accountability of political actors is engaged, as well as the right to political participation (Article 25 of International Covenant on Civil and Political Rights), which includes the capacity of individuals to form opinions, including political opinions, without undue interference. </w:t>
      </w:r>
    </w:p>
    <w:p w:rsidR="00FB0B24" w:rsidRPr="005B5CB6" w:rsidP="00A72806">
      <w:pPr>
        <w:spacing w:after="58"/>
        <w:ind w:left="721"/>
        <w:jc w:val="both"/>
        <w:rPr>
          <w:rFonts w:ascii="Verdana" w:hAnsi="Verdana"/>
        </w:rPr>
      </w:pPr>
      <w:r w:rsidRPr="005B5CB6">
        <w:rPr>
          <w:rFonts w:ascii="Verdana" w:eastAsia="Verdana" w:hAnsi="Verdana" w:cs="Verdana"/>
        </w:rPr>
        <w:t xml:space="preserve"> </w:t>
      </w:r>
    </w:p>
    <w:p w:rsidR="00FB0B24" w:rsidRPr="005B5CB6" w:rsidP="00A72806">
      <w:pPr>
        <w:spacing w:after="0"/>
        <w:jc w:val="both"/>
        <w:rPr>
          <w:rFonts w:ascii="Verdana" w:hAnsi="Verdana"/>
        </w:rPr>
      </w:pPr>
      <w:r w:rsidRPr="005B5CB6">
        <w:rPr>
          <w:rFonts w:ascii="Verdana" w:hAnsi="Verdana"/>
          <w:noProof/>
        </w:rPr>
        <mc:AlternateContent>
          <mc:Choice Requires="wpg">
            <w:drawing>
              <wp:inline distT="0" distB="0" distL="0" distR="0">
                <wp:extent cx="1828800" cy="10681"/>
                <wp:effectExtent l="0" t="0" r="0" b="0"/>
                <wp:docPr id="550399" name="Group 55039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1"/>
                          <a:chOff x="0" y="0"/>
                          <a:chExt cx="1828800" cy="10681"/>
                        </a:xfrm>
                      </wpg:grpSpPr>
                      <wps:wsp xmlns:wps="http://schemas.microsoft.com/office/word/2010/wordprocessingShape">
                        <wps:cNvPr id="635917" name="Shape 635917"/>
                        <wps:cNvSpPr/>
                        <wps:spPr>
                          <a:xfrm>
                            <a:off x="0" y="0"/>
                            <a:ext cx="1828800" cy="10681"/>
                          </a:xfrm>
                          <a:custGeom>
                            <a:avLst/>
                            <a:gdLst/>
                            <a:ahLst/>
                            <a:cxnLst/>
                            <a:rect l="0" t="0" r="0" b="0"/>
                            <a:pathLst>
                              <a:path w="1828800" h="10681">
                                <a:moveTo>
                                  <a:pt x="0" y="0"/>
                                </a:moveTo>
                                <a:lnTo>
                                  <a:pt x="1828800" y="0"/>
                                </a:lnTo>
                                <a:lnTo>
                                  <a:pt x="1828800" y="10681"/>
                                </a:lnTo>
                                <a:lnTo>
                                  <a:pt x="0" y="10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21" style="height:0.84pt;mso-position-horizontal-relative:char;mso-position-vertical-relative:line;width:2in" coordsize="18288,106">
                <v:shape id="_x0000_s1222" style="height:106;position:absolute;width:18288" coordsize="1828800,10681" path="m,l1828800,l1828800,10681l,10681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Privacy International has been advocating for increased transparency in political advertising. Given the granularity with which advertisers are able to target users on Facebook, Google, and Twitter, the companies must provide much more information about why users are seeing an ad.</w:t>
      </w:r>
      <w:r>
        <w:rPr>
          <w:rFonts w:ascii="Verdana" w:eastAsia="Verdana" w:hAnsi="Verdana" w:cs="Verdana"/>
          <w:vertAlign w:val="superscript"/>
        </w:rPr>
        <w:footnoteReference w:id="213"/>
      </w:r>
      <w:r w:rsidRPr="005B5CB6">
        <w:rPr>
          <w:rFonts w:ascii="Verdana" w:eastAsia="Verdana" w:hAnsi="Verdana" w:cs="Verdana"/>
        </w:rPr>
        <w:t xml:space="preserve"> However, Privacy International also recognises that in some cases, there is a legitimate need to advertise anonymously, for example, due to risks of violence or other human rights abuses. Options of how this could be modelled should be explored. It is </w:t>
      </w:r>
      <w:r w:rsidRPr="005B5CB6">
        <w:rPr>
          <w:rFonts w:ascii="Verdana" w:eastAsia="Verdana" w:hAnsi="Verdana" w:cs="Verdana"/>
        </w:rPr>
        <w:t xml:space="preserve">important that companies understand the contexts in which they operate and build strong independent national teams.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Democratic Debate </w:t>
      </w:r>
    </w:p>
    <w:p w:rsidR="00FB0B24" w:rsidRPr="005B5CB6" w:rsidP="00A72806">
      <w:pPr>
        <w:spacing w:after="178"/>
        <w:jc w:val="both"/>
        <w:rPr>
          <w:rFonts w:ascii="Verdana" w:hAnsi="Verdana"/>
        </w:rPr>
      </w:pPr>
      <w:r w:rsidRPr="005B5CB6">
        <w:rPr>
          <w:rFonts w:ascii="Verdana" w:eastAsia="Verdana" w:hAnsi="Verdana" w:cs="Verdana"/>
          <w:b/>
          <w:i/>
        </w:rPr>
        <w:t xml:space="preserve"> </w:t>
      </w:r>
    </w:p>
    <w:p w:rsidR="00FB0B24" w:rsidRPr="005B5CB6" w:rsidP="00A72806">
      <w:pPr>
        <w:spacing w:after="5" w:line="249" w:lineRule="auto"/>
        <w:ind w:left="-2" w:hanging="10"/>
        <w:jc w:val="both"/>
        <w:rPr>
          <w:rFonts w:ascii="Verdana" w:hAnsi="Verdana"/>
        </w:rPr>
      </w:pPr>
      <w:r w:rsidRPr="005B5CB6">
        <w:rPr>
          <w:rFonts w:ascii="Verdana" w:eastAsia="Verdana" w:hAnsi="Verdana" w:cs="Verdana"/>
          <w:b/>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A7280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As noted elsewhere in this submission, social media is part of a long tail of actors involved in and linked to political campaigns, and the actors seeking to influence the democratic process are manifold.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The starting place in distinguishing those seeking to undermine the democratic process and failing to comply with existing legal safeguards is transparency together with implementation and enforcement of existing legal frameworks.  There is a need for measures tailored to each actor that may engage in or facilitate detrimental behaviour (e.g. political parties, social media companies, and the data brokers, ad tech companies and others in the ‘influence industry’). There is also a need to empower regulators and enforcement bodies, with sufficient resources to independently investigate and hold to account, this includes acting on calls for change, for example enshrining a Code of Practice on Political Campaigning in law and updating electoral campaigning law for the digital era. Without such proactive steps and intervention as illustrated throughout this submission, current practices risk undermining trust in the democratic process.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Misinformation </w:t>
      </w:r>
    </w:p>
    <w:p w:rsidR="00FB0B24" w:rsidRPr="005B5CB6" w:rsidP="00A72806">
      <w:pPr>
        <w:spacing w:after="178"/>
        <w:jc w:val="both"/>
        <w:rPr>
          <w:rFonts w:ascii="Verdana" w:hAnsi="Verdana"/>
        </w:rPr>
      </w:pPr>
      <w:r w:rsidRPr="005B5CB6">
        <w:rPr>
          <w:rFonts w:ascii="Verdana" w:eastAsia="Verdana" w:hAnsi="Verdana" w:cs="Verdana"/>
          <w:b/>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What might be the best ways of reducing the effects of misinformation on social media platforms?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40" w:line="250" w:lineRule="auto"/>
        <w:ind w:left="23" w:right="11" w:hanging="8"/>
        <w:jc w:val="both"/>
        <w:rPr>
          <w:rFonts w:ascii="Verdana" w:hAnsi="Verdana"/>
        </w:rPr>
      </w:pPr>
      <w:r w:rsidRPr="005B5CB6">
        <w:rPr>
          <w:rFonts w:ascii="Verdana" w:eastAsia="Verdana" w:hAnsi="Verdana" w:cs="Verdana"/>
        </w:rPr>
        <w:t xml:space="preserve">As noted elsewhere in this submission, whilst significant efforts have been made to identify ‘misinformation’ and ‘disinformation’ and to propose solutions such as ‘take downs’ and ‘fact checking’, these are limited to the content of the information. Privacy International believes that equal or more attention should </w:t>
      </w:r>
    </w:p>
    <w:p w:rsidR="00FB0B24" w:rsidRPr="005B5CB6" w:rsidP="00A72806">
      <w:pPr>
        <w:spacing w:after="0"/>
        <w:jc w:val="both"/>
        <w:rPr>
          <w:rFonts w:ascii="Verdana" w:hAnsi="Verdana"/>
        </w:rPr>
      </w:pPr>
      <w:r w:rsidRPr="005B5CB6">
        <w:rPr>
          <w:rFonts w:ascii="Verdana" w:hAnsi="Verdana"/>
          <w:noProof/>
        </w:rPr>
        <mc:AlternateContent>
          <mc:Choice Requires="wpg">
            <w:drawing>
              <wp:inline distT="0" distB="0" distL="0" distR="0">
                <wp:extent cx="1828800" cy="10668"/>
                <wp:effectExtent l="0" t="0" r="0" b="0"/>
                <wp:docPr id="551463" name="Group 55146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68"/>
                          <a:chOff x="0" y="0"/>
                          <a:chExt cx="1828800" cy="10668"/>
                        </a:xfrm>
                      </wpg:grpSpPr>
                      <wps:wsp xmlns:wps="http://schemas.microsoft.com/office/word/2010/wordprocessingShape">
                        <wps:cNvPr id="635919" name="Shape 635919"/>
                        <wps:cNvSpPr/>
                        <wps:spPr>
                          <a:xfrm>
                            <a:off x="0" y="0"/>
                            <a:ext cx="1828800" cy="10668"/>
                          </a:xfrm>
                          <a:custGeom>
                            <a:avLst/>
                            <a:gdLst/>
                            <a:ahLst/>
                            <a:cxnLst/>
                            <a:rect l="0" t="0" r="0" b="0"/>
                            <a:pathLst>
                              <a:path w="1828800" h="10668">
                                <a:moveTo>
                                  <a:pt x="0" y="0"/>
                                </a:moveTo>
                                <a:lnTo>
                                  <a:pt x="1828800" y="0"/>
                                </a:lnTo>
                                <a:lnTo>
                                  <a:pt x="1828800"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23" style="height:0.84pt;mso-position-horizontal-relative:char;mso-position-vertical-relative:line;width:2in" coordsize="18288,106">
                <v:shape id="_x0000_s1224" style="height:106;position:absolute;width:18288" coordsize="1828800,10668" path="m,l1828800,l1828800,10668l,10668l,e">
                  <v:stroke joinstyle="miter" endcap="flat" opacity="0"/>
                </v:shape>
                <w10:wrap type="none"/>
              </v:group>
            </w:pict>
          </mc:Fallback>
        </mc:AlternateContent>
      </w:r>
      <w:r w:rsidRPr="005B5CB6">
        <w:rPr>
          <w:rFonts w:ascii="Verdana" w:hAnsi="Verdana"/>
        </w:rPr>
        <w:t xml:space="preserve">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be paid to understanding and enforcing the laws related to the way content is distributed and targeted (the ‘back end’).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Technology and democratic engagement  </w:t>
      </w:r>
    </w:p>
    <w:p w:rsidR="00FB0B24" w:rsidRPr="005B5CB6" w:rsidP="00A72806">
      <w:pPr>
        <w:spacing w:after="178"/>
        <w:jc w:val="both"/>
        <w:rPr>
          <w:rFonts w:ascii="Verdana" w:hAnsi="Verdana"/>
        </w:rPr>
      </w:pPr>
      <w:r w:rsidRPr="005B5CB6">
        <w:rPr>
          <w:rFonts w:ascii="Verdana" w:eastAsia="Verdana" w:hAnsi="Verdana" w:cs="Verdana"/>
        </w:rPr>
        <w:t xml:space="preserve"> </w:t>
      </w:r>
    </w:p>
    <w:p w:rsidR="00FB0B24" w:rsidRPr="005B5CB6" w:rsidP="00A72806">
      <w:pPr>
        <w:spacing w:after="5" w:line="249" w:lineRule="auto"/>
        <w:ind w:left="-2" w:hanging="10"/>
        <w:jc w:val="both"/>
        <w:rPr>
          <w:rFonts w:ascii="Verdana" w:hAnsi="Verdana"/>
        </w:rPr>
      </w:pPr>
      <w:r w:rsidRPr="005B5CB6">
        <w:rPr>
          <w:rFonts w:ascii="Verdana" w:eastAsia="Verdana" w:hAnsi="Verdana" w:cs="Verdana"/>
          <w:b/>
        </w:rPr>
        <w:t xml:space="preserve">How could the Government better support the positive work of civil society organisations using technology to facilitate engagement with democratic processes?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One way in which the Government could better support civil society is to introduce collective redress mechanisms that empower civil society to take action to hold to account those who are using technology to undermine the democratic process. No sufficient mechanism is currently available and was explicitly excluded from the DPA 2018 despite being an option in the GDPR.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37" w:line="250" w:lineRule="auto"/>
        <w:ind w:left="23" w:right="11" w:hanging="8"/>
        <w:jc w:val="both"/>
        <w:rPr>
          <w:rFonts w:ascii="Verdana" w:hAnsi="Verdana"/>
        </w:rPr>
      </w:pPr>
      <w:r w:rsidRPr="005B5CB6">
        <w:rPr>
          <w:rFonts w:ascii="Verdana" w:eastAsia="Verdana" w:hAnsi="Verdana" w:cs="Verdana"/>
        </w:rPr>
        <w:t>Regulatory regimes are stronger and more effective if the ability of individuals to make complaints is supplemented by the ability of civil society acting in the public interest to bring complaints. This is particularly important if complaints are to address and prompt scrutiny of systemic issues, including those that might impact on more than one individual, particular groups, or society as a whole. This is recognised to an extent, for example, in the introduction of Police Super-complaints.</w:t>
      </w:r>
      <w:r>
        <w:rPr>
          <w:rFonts w:ascii="Verdana" w:eastAsia="Verdana" w:hAnsi="Verdana" w:cs="Verdana"/>
          <w:vertAlign w:val="superscript"/>
        </w:rPr>
        <w:footnoteReference w:id="214"/>
      </w:r>
      <w:r w:rsidRPr="005B5CB6">
        <w:rPr>
          <w:rFonts w:ascii="Verdana" w:eastAsia="Verdana" w:hAnsi="Verdana" w:cs="Verdana"/>
        </w:rPr>
        <w:t xml:space="preserve">  This mechanism has been used by Liberty and Southhall Black Sisters to challenge police data sharing for immigration purposes.</w:t>
      </w:r>
      <w:r>
        <w:rPr>
          <w:rFonts w:ascii="Verdana" w:eastAsia="Verdana" w:hAnsi="Verdana" w:cs="Verdana"/>
          <w:vertAlign w:val="superscript"/>
        </w:rPr>
        <w:footnoteReference w:id="215"/>
      </w:r>
      <w:r w:rsidRPr="005B5CB6">
        <w:rPr>
          <w:rFonts w:ascii="Verdana" w:eastAsia="Verdana" w:hAnsi="Verdana" w:cs="Verdana"/>
          <w:vertAlign w:val="superscript"/>
        </w:rPr>
        <w:t xml:space="preserve"> </w:t>
      </w:r>
      <w:r w:rsidRPr="005B5CB6">
        <w:rPr>
          <w:rFonts w:ascii="Verdana" w:eastAsia="Verdana" w:hAnsi="Verdana" w:cs="Verdana"/>
        </w:rPr>
        <w:t xml:space="preserve">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Such mechanisms are particularly important from a privacy perspective, as privacy invasions are often invisible, harms frequently only happen in the future, and they always affect some people more than others. Particularly when it comes to abuse in the political context, much of the work done to identify and expose bad practices has been the result of the dedication of researchers, journalists and civil society.  </w:t>
      </w:r>
    </w:p>
    <w:p w:rsidR="00FB0B24" w:rsidRPr="005B5CB6" w:rsidP="00A7280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The need for a form of collective redress and to empower civil society to take action is recognised in Article 80(2) of GDPR. Article 80(2) provides for the ability of "not-for-profit body, organisation or association, which has been properly constituted in accordance with the law of a Member State, has statutory objectives which are in the public interest, and is active in the field of the protection of data subjects' rights and freedoms with regard to the protection of their personal data" to make complaints and seek an effective remedy under GDPR independently of a data subject's mandate. The benefits of such a provision have been explained by the European Data Protection Supervisor</w:t>
      </w:r>
      <w:r>
        <w:rPr>
          <w:rFonts w:ascii="Verdana" w:eastAsia="Verdana" w:hAnsi="Verdana" w:cs="Verdana"/>
          <w:vertAlign w:val="superscript"/>
        </w:rPr>
        <w:footnoteReference w:id="216"/>
      </w:r>
      <w:r w:rsidRPr="005B5CB6">
        <w:rPr>
          <w:rFonts w:ascii="Verdana" w:eastAsia="Verdana" w:hAnsi="Verdana" w:cs="Verdana"/>
        </w:rPr>
        <w:t xml:space="preserve"> and by Privacy International.</w:t>
      </w:r>
      <w:r>
        <w:rPr>
          <w:rFonts w:ascii="Verdana" w:eastAsia="Verdana" w:hAnsi="Verdana" w:cs="Verdana"/>
          <w:vertAlign w:val="superscript"/>
        </w:rPr>
        <w:footnoteReference w:id="217"/>
      </w:r>
      <w:r w:rsidRPr="005B5CB6">
        <w:rPr>
          <w:rFonts w:ascii="Verdana" w:eastAsia="Verdana" w:hAnsi="Verdana" w:cs="Verdana"/>
          <w:vertAlign w:val="superscript"/>
        </w:rPr>
        <w:t xml:space="preserve"> </w:t>
      </w:r>
      <w:r w:rsidRPr="005B5CB6">
        <w:rPr>
          <w:rFonts w:ascii="Verdana" w:eastAsia="Verdana" w:hAnsi="Verdana" w:cs="Verdana"/>
        </w:rPr>
        <w:t xml:space="preserve">In spite of this, and cross-party support, in particular in the Lords, Article 80(2) of GDPR was not implemented in the DPA 2018. Instead, it will be the subject of a review 30 months from the DPA 2018 having come into force (section 189(2)(c) of the DPA 2018).  </w:t>
      </w:r>
    </w:p>
    <w:p w:rsidR="00FB0B24" w:rsidRPr="005B5CB6" w:rsidP="00A72806">
      <w:pPr>
        <w:spacing w:after="0"/>
        <w:ind w:left="721"/>
        <w:jc w:val="both"/>
        <w:rPr>
          <w:rFonts w:ascii="Verdana" w:hAnsi="Verdana"/>
        </w:rPr>
      </w:pPr>
      <w:r w:rsidRPr="005B5CB6">
        <w:rPr>
          <w:rFonts w:ascii="Verdana" w:eastAsia="Verdana" w:hAnsi="Verdana" w:cs="Verdana"/>
        </w:rPr>
        <w:t xml:space="preserve"> </w:t>
      </w:r>
    </w:p>
    <w:p w:rsidR="00FB0B24" w:rsidRPr="005B5CB6" w:rsidP="00A72806">
      <w:pPr>
        <w:spacing w:after="0"/>
        <w:jc w:val="both"/>
        <w:rPr>
          <w:rFonts w:ascii="Verdana" w:hAnsi="Verdana"/>
        </w:rPr>
      </w:pPr>
      <w:r w:rsidRPr="005B5CB6">
        <w:rPr>
          <w:rFonts w:ascii="Verdana" w:hAnsi="Verdana"/>
          <w:noProof/>
        </w:rPr>
        <mc:AlternateContent>
          <mc:Choice Requires="wpg">
            <w:drawing>
              <wp:inline distT="0" distB="0" distL="0" distR="0">
                <wp:extent cx="1828800" cy="10680"/>
                <wp:effectExtent l="0" t="0" r="0" b="0"/>
                <wp:docPr id="551053" name="Group 55105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0"/>
                          <a:chOff x="0" y="0"/>
                          <a:chExt cx="1828800" cy="10680"/>
                        </a:xfrm>
                      </wpg:grpSpPr>
                      <wps:wsp xmlns:wps="http://schemas.microsoft.com/office/word/2010/wordprocessingShape">
                        <wps:cNvPr id="635921" name="Shape 635921"/>
                        <wps:cNvSpPr/>
                        <wps:spPr>
                          <a:xfrm>
                            <a:off x="0" y="0"/>
                            <a:ext cx="1828800" cy="10680"/>
                          </a:xfrm>
                          <a:custGeom>
                            <a:avLst/>
                            <a:gdLst/>
                            <a:ahLst/>
                            <a:cxnLst/>
                            <a:rect l="0" t="0" r="0" b="0"/>
                            <a:pathLst>
                              <a:path w="1828800" h="10680">
                                <a:moveTo>
                                  <a:pt x="0" y="0"/>
                                </a:moveTo>
                                <a:lnTo>
                                  <a:pt x="1828800" y="0"/>
                                </a:lnTo>
                                <a:lnTo>
                                  <a:pt x="1828800" y="10680"/>
                                </a:lnTo>
                                <a:lnTo>
                                  <a:pt x="0" y="106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25" style="height:0.84pt;mso-position-horizontal-relative:char;mso-position-vertical-relative:line;width:2in" coordsize="18288,106">
                <v:shape id="_x0000_s1226" style="height:106;position:absolute;width:18288" coordsize="1828800,10680" path="m,l1828800,l1828800,10680l,10680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Privacy International encourages the Committee to consider mechanisms for the introduction of forms of collective redress (such as in Article 80(2) of </w:t>
      </w:r>
      <w:r w:rsidRPr="005B5CB6">
        <w:rPr>
          <w:rFonts w:ascii="Verdana" w:eastAsia="Verdana" w:hAnsi="Verdana" w:cs="Verdana"/>
        </w:rPr>
        <w:t xml:space="preserve">GDPR) to enable civil society to tackle systemic issues undermining protections for individuals and society. Any such measure should supplement and bolster, not replace, the ability of individuals to complain and/or to be represented by civil society in complaints. At a minimum, the Committee should engage with the promised review of Article 80(2) in 2020.  </w:t>
      </w:r>
    </w:p>
    <w:p w:rsidR="00FB0B24" w:rsidRPr="005B5CB6" w:rsidP="00A72806">
      <w:pPr>
        <w:spacing w:after="178"/>
        <w:jc w:val="both"/>
        <w:rPr>
          <w:rFonts w:ascii="Verdana" w:hAnsi="Verdana"/>
        </w:rPr>
      </w:pPr>
      <w:r w:rsidRPr="005B5CB6">
        <w:rPr>
          <w:rFonts w:ascii="Verdana" w:eastAsia="Verdana" w:hAnsi="Verdana" w:cs="Verdana"/>
        </w:rPr>
        <w:t xml:space="preserve"> </w:t>
      </w:r>
    </w:p>
    <w:p w:rsidR="00FB0B24" w:rsidRPr="005B5CB6" w:rsidP="00A72806">
      <w:pPr>
        <w:spacing w:after="5" w:line="249" w:lineRule="auto"/>
        <w:ind w:left="-2" w:hanging="10"/>
        <w:jc w:val="both"/>
        <w:rPr>
          <w:rFonts w:ascii="Verdana" w:hAnsi="Verdana"/>
        </w:rPr>
      </w:pPr>
      <w:r w:rsidRPr="005B5CB6">
        <w:rPr>
          <w:rFonts w:ascii="Verdana" w:eastAsia="Verdana" w:hAnsi="Verdana" w:cs="Verdana"/>
          <w:b/>
        </w:rPr>
        <w:t xml:space="preserve">How can elected representatives use technology to engage with the public in local and national decision-making? What can Parliament and Government do to better use technology to support democratic engagement and ensure the efficacy of the democratic process?  </w:t>
      </w:r>
    </w:p>
    <w:p w:rsidR="00FB0B24" w:rsidRPr="005B5CB6" w:rsidP="00A7280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A key starting point for elected representatives is to lead by example. As set out above, large platforms, together with the vast ‘influence industry’ from data brokers, to ad tech, to the providers of campaign tools and services have much to answer for. However, political parties as the users of these services must shoulder some responsibility and take steps now to demonstrate a commitment to respecting people’s rights. Here are ten steps that elected representatives should abide by in their own and their party’s political campaigning.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126"/>
        </w:numPr>
        <w:spacing w:after="5" w:line="250" w:lineRule="auto"/>
        <w:ind w:right="11" w:hanging="360"/>
        <w:jc w:val="both"/>
        <w:rPr>
          <w:rFonts w:ascii="Verdana" w:hAnsi="Verdana"/>
        </w:rPr>
      </w:pPr>
      <w:r w:rsidRPr="005B5CB6">
        <w:rPr>
          <w:rFonts w:ascii="Verdana" w:eastAsia="Verdana" w:hAnsi="Verdana" w:cs="Verdana"/>
        </w:rPr>
        <w:t xml:space="preserve">Be transparent about data processing activities, including identifying the mechanisms used to engage with voters (e.g. social media, websites, direct messaging); </w:t>
      </w:r>
    </w:p>
    <w:p w:rsidR="00FB0B24" w:rsidRPr="005B5CB6" w:rsidP="00575F14">
      <w:pPr>
        <w:numPr>
          <w:ilvl w:val="1"/>
          <w:numId w:val="126"/>
        </w:numPr>
        <w:spacing w:after="5" w:line="250" w:lineRule="auto"/>
        <w:ind w:right="11" w:hanging="360"/>
        <w:jc w:val="both"/>
        <w:rPr>
          <w:rFonts w:ascii="Verdana" w:hAnsi="Verdana"/>
        </w:rPr>
      </w:pPr>
      <w:r w:rsidRPr="005B5CB6">
        <w:rPr>
          <w:rFonts w:ascii="Verdana" w:eastAsia="Verdana" w:hAnsi="Verdana" w:cs="Verdana"/>
        </w:rPr>
        <w:t xml:space="preserve">Be transparent about collection of people's data and the sources of this; </w:t>
      </w:r>
    </w:p>
    <w:p w:rsidR="00FB0B24" w:rsidRPr="005B5CB6" w:rsidP="00575F14">
      <w:pPr>
        <w:numPr>
          <w:ilvl w:val="1"/>
          <w:numId w:val="126"/>
        </w:numPr>
        <w:spacing w:after="5" w:line="250" w:lineRule="auto"/>
        <w:ind w:right="11" w:hanging="360"/>
        <w:jc w:val="both"/>
        <w:rPr>
          <w:rFonts w:ascii="Verdana" w:hAnsi="Verdana"/>
        </w:rPr>
      </w:pPr>
      <w:r w:rsidRPr="005B5CB6">
        <w:rPr>
          <w:rFonts w:ascii="Verdana" w:eastAsia="Verdana" w:hAnsi="Verdana" w:cs="Verdana"/>
        </w:rPr>
        <w:t xml:space="preserve">Be transparent on political ads and messaging. Ensure that the public can easily recognise political messages and communications and the organisation behind them. Make available information on any targeting criteria used in the dissemination of such political messages; </w:t>
      </w:r>
    </w:p>
    <w:p w:rsidR="00FB0B24" w:rsidRPr="005B5CB6" w:rsidP="00575F14">
      <w:pPr>
        <w:numPr>
          <w:ilvl w:val="1"/>
          <w:numId w:val="126"/>
        </w:numPr>
        <w:spacing w:after="5" w:line="250" w:lineRule="auto"/>
        <w:ind w:right="11" w:hanging="360"/>
        <w:jc w:val="both"/>
        <w:rPr>
          <w:rFonts w:ascii="Verdana" w:hAnsi="Verdana"/>
        </w:rPr>
      </w:pPr>
      <w:r w:rsidRPr="005B5CB6">
        <w:rPr>
          <w:rFonts w:ascii="Verdana" w:eastAsia="Verdana" w:hAnsi="Verdana" w:cs="Verdana"/>
        </w:rPr>
        <w:t xml:space="preserve">Publish a complete, easily accessible and easily understandable list of any campaign groups which a candidate/party has financial or collaborative campaigning relationships with, including all third parties and joint campaigners; </w:t>
      </w:r>
    </w:p>
    <w:p w:rsidR="00FB0B24" w:rsidRPr="005B5CB6" w:rsidP="00575F14">
      <w:pPr>
        <w:numPr>
          <w:ilvl w:val="1"/>
          <w:numId w:val="126"/>
        </w:numPr>
        <w:spacing w:after="5" w:line="250" w:lineRule="auto"/>
        <w:ind w:right="11" w:hanging="360"/>
        <w:jc w:val="both"/>
        <w:rPr>
          <w:rFonts w:ascii="Verdana" w:hAnsi="Verdana"/>
        </w:rPr>
      </w:pPr>
      <w:r w:rsidRPr="005B5CB6">
        <w:rPr>
          <w:rFonts w:ascii="Verdana" w:eastAsia="Verdana" w:hAnsi="Verdana" w:cs="Verdana"/>
        </w:rPr>
        <w:t xml:space="preserve">Adopt and publish data protection policies and carry out and publish data protection audits and impact assessments; </w:t>
      </w:r>
    </w:p>
    <w:p w:rsidR="00FB0B24" w:rsidRPr="005B5CB6" w:rsidP="00575F14">
      <w:pPr>
        <w:numPr>
          <w:ilvl w:val="1"/>
          <w:numId w:val="126"/>
        </w:numPr>
        <w:spacing w:after="5" w:line="250" w:lineRule="auto"/>
        <w:ind w:right="11" w:hanging="360"/>
        <w:jc w:val="both"/>
        <w:rPr>
          <w:rFonts w:ascii="Verdana" w:hAnsi="Verdana"/>
        </w:rPr>
      </w:pPr>
      <w:r w:rsidRPr="005B5CB6">
        <w:rPr>
          <w:rFonts w:ascii="Verdana" w:eastAsia="Verdana" w:hAnsi="Verdana" w:cs="Verdana"/>
        </w:rPr>
        <w:t xml:space="preserve">Ensure have a legal basis for each use of personal data (including any special category data such as those revealing political opinions); </w:t>
      </w:r>
    </w:p>
    <w:p w:rsidR="00FB0B24" w:rsidRPr="005B5CB6" w:rsidP="00575F14">
      <w:pPr>
        <w:numPr>
          <w:ilvl w:val="1"/>
          <w:numId w:val="126"/>
        </w:numPr>
        <w:spacing w:after="5" w:line="250" w:lineRule="auto"/>
        <w:ind w:right="11" w:hanging="360"/>
        <w:jc w:val="both"/>
        <w:rPr>
          <w:rFonts w:ascii="Verdana" w:hAnsi="Verdana"/>
        </w:rPr>
      </w:pPr>
      <w:r w:rsidRPr="005B5CB6">
        <w:rPr>
          <w:rFonts w:ascii="Verdana" w:eastAsia="Verdana" w:hAnsi="Verdana" w:cs="Verdana"/>
        </w:rPr>
        <w:t xml:space="preserve">Be transparent as to the companies contract with as part of campaigns both to obtain data and to further process data, including profiling and targeting, such as data brokers and political advertising companies as well as which companies are providing campaign tools/ software and which products are being using; </w:t>
      </w:r>
    </w:p>
    <w:p w:rsidR="00FB0B24" w:rsidRPr="005B5CB6" w:rsidP="00575F14">
      <w:pPr>
        <w:numPr>
          <w:ilvl w:val="1"/>
          <w:numId w:val="126"/>
        </w:numPr>
        <w:spacing w:after="5" w:line="250" w:lineRule="auto"/>
        <w:ind w:right="11" w:hanging="360"/>
        <w:jc w:val="both"/>
        <w:rPr>
          <w:rFonts w:ascii="Verdana" w:hAnsi="Verdana"/>
        </w:rPr>
      </w:pPr>
      <w:r w:rsidRPr="005B5CB6">
        <w:rPr>
          <w:rFonts w:ascii="Verdana" w:eastAsia="Verdana" w:hAnsi="Verdana" w:cs="Verdana"/>
        </w:rPr>
        <w:t xml:space="preserve">Ensure that any third party used for campaign activities also complies with data protection laws; </w:t>
      </w:r>
    </w:p>
    <w:p w:rsidR="00FB0B24" w:rsidRPr="005B5CB6" w:rsidP="00575F14">
      <w:pPr>
        <w:numPr>
          <w:ilvl w:val="1"/>
          <w:numId w:val="126"/>
        </w:numPr>
        <w:spacing w:after="5" w:line="250" w:lineRule="auto"/>
        <w:ind w:right="11" w:hanging="360"/>
        <w:jc w:val="both"/>
        <w:rPr>
          <w:rFonts w:ascii="Verdana" w:hAnsi="Verdana"/>
        </w:rPr>
      </w:pPr>
      <w:r w:rsidRPr="005B5CB6">
        <w:rPr>
          <w:rFonts w:ascii="Verdana" w:eastAsia="Verdana" w:hAnsi="Verdana" w:cs="Verdana"/>
        </w:rPr>
        <w:t xml:space="preserve">Make publicly available timely information on expenditure for online activities, including paid online political advertisements and communications. This should include information regarding which companies have assisted in online activities, including the amount spent on each companies’ services; </w:t>
      </w:r>
    </w:p>
    <w:p w:rsidR="00FB0B24" w:rsidRPr="005B5CB6" w:rsidP="00A72806">
      <w:pPr>
        <w:spacing w:after="5" w:line="249" w:lineRule="auto"/>
        <w:ind w:left="1" w:right="12" w:firstLine="360"/>
        <w:jc w:val="both"/>
        <w:rPr>
          <w:rFonts w:ascii="Verdana" w:hAnsi="Verdana"/>
        </w:rPr>
      </w:pPr>
      <w:r w:rsidRPr="005B5CB6">
        <w:rPr>
          <w:rFonts w:ascii="Verdana" w:eastAsia="Verdana" w:hAnsi="Verdana" w:cs="Verdana"/>
        </w:rPr>
        <w:t xml:space="preserve">10.Facilitate the exercise of data rights by individuals (including providing information about how their data is processed and providing timely access to it).  </w:t>
      </w:r>
    </w:p>
    <w:p w:rsidR="00FB0B24" w:rsidRPr="005B5CB6" w:rsidP="00575F14">
      <w:pPr>
        <w:numPr>
          <w:ilvl w:val="0"/>
          <w:numId w:val="125"/>
        </w:numPr>
        <w:spacing w:after="5" w:line="250" w:lineRule="auto"/>
        <w:ind w:left="23" w:right="11" w:hanging="8"/>
        <w:jc w:val="both"/>
        <w:rPr>
          <w:rFonts w:ascii="Verdana" w:hAnsi="Verdana"/>
        </w:rPr>
      </w:pPr>
      <w:r w:rsidRPr="005B5CB6">
        <w:rPr>
          <w:rFonts w:ascii="Verdana" w:eastAsia="Verdana" w:hAnsi="Verdana" w:cs="Verdana"/>
        </w:rPr>
        <w:t xml:space="preserve">The Government and Parliament can ensure that electoral law and data protection law are updated to make the above as legal requirements and give independent regulators such as the Information Commissioner’s Office and the Electoral Commission sufficient powers and resources to enforce them. Resources must include human, financial and technical. This requires, from an electoral law perspective, at a minimum ensuring that there are sufficient sanctions in place; that online campaign details are provided in a sufficiently timely and granular manner and requiring transparency of the third parties with which campaigns contract as well as their targeting activities. From a data protection perspective, as a minimum, this requires implementation and enforcement of the existing data protection framework, giving effect to a new statutory code of practice (on which the ICO is currently consulting), narrowing the exemption for political parties in paragraph 22 of Schedule 1 to the DPA 2018 and empowering civil society to take collective action under Article 80.2 of GDPR (as discussed above).  </w:t>
      </w:r>
    </w:p>
    <w:p w:rsidR="00FB0B24" w:rsidRPr="005B5CB6" w:rsidP="00A72806">
      <w:pPr>
        <w:spacing w:after="0"/>
        <w:ind w:left="1"/>
        <w:jc w:val="both"/>
        <w:rPr>
          <w:rFonts w:ascii="Verdana" w:hAnsi="Verdana"/>
        </w:rPr>
      </w:pPr>
      <w:r w:rsidRPr="005B5CB6">
        <w:rPr>
          <w:rFonts w:ascii="Verdana" w:eastAsia="Verdana" w:hAnsi="Verdana" w:cs="Verdana"/>
          <w:b/>
        </w:rPr>
        <w:t xml:space="preserve"> </w:t>
      </w:r>
    </w:p>
    <w:p w:rsidR="00FB0B24" w:rsidRPr="005B5CB6" w:rsidP="00A72806">
      <w:pPr>
        <w:spacing w:after="0" w:line="253" w:lineRule="auto"/>
        <w:ind w:left="1" w:right="6068"/>
        <w:jc w:val="both"/>
        <w:rPr>
          <w:rFonts w:ascii="Verdana" w:hAnsi="Verdana"/>
        </w:rPr>
      </w:pPr>
      <w:r w:rsidRPr="005B5CB6">
        <w:rPr>
          <w:rFonts w:ascii="Verdana" w:eastAsia="Verdana" w:hAnsi="Verdana" w:cs="Verdana"/>
          <w:b/>
        </w:rPr>
        <w:t xml:space="preserve"> </w:t>
      </w:r>
      <w:r w:rsidRPr="005B5CB6">
        <w:rPr>
          <w:rFonts w:ascii="Verdana" w:eastAsia="Arial" w:hAnsi="Verdana" w:cs="Arial"/>
          <w:i/>
        </w:rPr>
        <w:t xml:space="preserve"> </w:t>
      </w:r>
      <w:r w:rsidRPr="005B5CB6">
        <w:rPr>
          <w:rFonts w:ascii="Verdana" w:eastAsia="Arial" w:hAnsi="Verdana" w:cs="Arial"/>
          <w:i/>
        </w:rPr>
        <w:tab/>
      </w:r>
      <w:r w:rsidRPr="005B5CB6">
        <w:rPr>
          <w:rFonts w:ascii="Verdana" w:eastAsia="Verdana" w:hAnsi="Verdana" w:cs="Verdana"/>
          <w:b/>
          <w:i/>
        </w:rPr>
        <w:t xml:space="preserve"> </w:t>
      </w:r>
      <w:r w:rsidRPr="005B5CB6">
        <w:rPr>
          <w:rFonts w:ascii="Verdana" w:hAnsi="Verdana"/>
        </w:rPr>
        <w:br w:type="page"/>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Appendix – Resources of Interest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Privacy International has recently published a few briefings related to data and elections which may be of interest to the Committee, including: </w:t>
      </w:r>
    </w:p>
    <w:p w:rsidR="00FB0B24" w:rsidRPr="005B5CB6" w:rsidP="00A7280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125"/>
        </w:numPr>
        <w:spacing w:after="5" w:line="250" w:lineRule="auto"/>
        <w:ind w:right="11" w:hanging="360"/>
        <w:jc w:val="both"/>
        <w:rPr>
          <w:rFonts w:ascii="Verdana" w:hAnsi="Verdana"/>
        </w:rPr>
      </w:pPr>
      <w:r w:rsidRPr="005B5CB6">
        <w:rPr>
          <w:rFonts w:ascii="Verdana" w:eastAsia="Verdana" w:hAnsi="Verdana" w:cs="Verdana"/>
        </w:rPr>
        <w:t xml:space="preserve">Data Exploitation and Democratic Societies: </w:t>
      </w:r>
    </w:p>
    <w:p w:rsidR="00FB0B24" w:rsidRPr="005B5CB6" w:rsidP="00A72806">
      <w:pPr>
        <w:spacing w:after="5" w:line="249" w:lineRule="auto"/>
        <w:ind w:left="730" w:hanging="10"/>
        <w:jc w:val="both"/>
        <w:rPr>
          <w:rFonts w:ascii="Verdana" w:hAnsi="Verdana"/>
        </w:rPr>
      </w:pPr>
      <w:r>
        <w:fldChar w:fldCharType="begin"/>
      </w:r>
      <w:r>
        <w:instrText xml:space="preserve"> HYPERLINK "https://privacyinternational.org/long-read/2850/data-exploitation-and-democratic-societies" </w:instrText>
      </w:r>
      <w:r>
        <w:fldChar w:fldCharType="separate"/>
      </w:r>
      <w:r w:rsidRPr="005B5CB6" w:rsidR="00A72806">
        <w:rPr>
          <w:rFonts w:ascii="Verdana" w:eastAsia="Verdana" w:hAnsi="Verdana" w:cs="Verdana"/>
          <w:color w:val="0563C1"/>
          <w:u w:val="single" w:color="0563C1"/>
        </w:rPr>
        <w:t>https://privacyinternational.org/long-read/2850/data-exploitation-and</w:t>
      </w:r>
      <w:r>
        <w:fldChar w:fldCharType="end"/>
      </w:r>
      <w:r>
        <w:fldChar w:fldCharType="begin"/>
      </w:r>
      <w:r>
        <w:instrText xml:space="preserve"> HYPERLINK "https://privacyinternational.org/long-read/2850/data-exploitation-and-democratic-societies" </w:instrText>
      </w:r>
      <w:r>
        <w:fldChar w:fldCharType="separate"/>
      </w:r>
      <w:r w:rsidRPr="005B5CB6" w:rsidR="00A72806">
        <w:rPr>
          <w:rFonts w:ascii="Verdana" w:eastAsia="Verdana" w:hAnsi="Verdana" w:cs="Verdana"/>
          <w:color w:val="0563C1"/>
          <w:u w:val="single" w:color="0563C1"/>
        </w:rPr>
        <w:t>democratic-societies</w:t>
      </w:r>
      <w:r>
        <w:fldChar w:fldCharType="end"/>
      </w:r>
      <w:r>
        <w:fldChar w:fldCharType="begin"/>
      </w:r>
      <w:r>
        <w:instrText xml:space="preserve"> HYPERLINK "https://privacyinternational.org/long-read/2850/data-exploitation-and-democratic-societies"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 </w:t>
      </w:r>
    </w:p>
    <w:p w:rsidR="00FB0B24" w:rsidRPr="005B5CB6" w:rsidP="00575F14">
      <w:pPr>
        <w:numPr>
          <w:ilvl w:val="1"/>
          <w:numId w:val="125"/>
        </w:numPr>
        <w:spacing w:after="5" w:line="249" w:lineRule="auto"/>
        <w:ind w:right="11" w:hanging="360"/>
        <w:jc w:val="both"/>
        <w:rPr>
          <w:rFonts w:ascii="Verdana" w:hAnsi="Verdana"/>
        </w:rPr>
      </w:pPr>
      <w:r w:rsidRPr="005B5CB6">
        <w:rPr>
          <w:rFonts w:ascii="Verdana" w:eastAsia="Verdana" w:hAnsi="Verdana" w:cs="Verdana"/>
        </w:rPr>
        <w:t xml:space="preserve">Technology, data and elections: A ‘checklist’ on the election cycle, June 2019: </w:t>
      </w:r>
      <w:r>
        <w:fldChar w:fldCharType="begin"/>
      </w:r>
      <w:r>
        <w:instrText xml:space="preserve"> HYPERLINK "https://privacyinternational.org/advocacy/3093/technology-data-and-elections-checklist-election-cycle" </w:instrText>
      </w:r>
      <w:r>
        <w:fldChar w:fldCharType="separate"/>
      </w:r>
      <w:r w:rsidRPr="005B5CB6">
        <w:rPr>
          <w:rFonts w:ascii="Verdana" w:eastAsia="Verdana" w:hAnsi="Verdana" w:cs="Verdana"/>
          <w:color w:val="0563C1"/>
          <w:u w:val="single" w:color="0563C1"/>
        </w:rPr>
        <w:t>https://privacyinternational.org/advocacy/3093/technology-data</w:t>
      </w:r>
      <w:r>
        <w:fldChar w:fldCharType="end"/>
      </w:r>
      <w:r>
        <w:fldChar w:fldCharType="begin"/>
      </w:r>
      <w:r>
        <w:instrText xml:space="preserve"> HYPERLINK "https://privacyinternational.org/advocacy/3093/technology-data-and-elections-checklist-election-cycle" </w:instrText>
      </w:r>
      <w:r>
        <w:fldChar w:fldCharType="separate"/>
      </w:r>
      <w:r w:rsidRPr="005B5CB6">
        <w:rPr>
          <w:rFonts w:ascii="Verdana" w:eastAsia="Verdana" w:hAnsi="Verdana" w:cs="Verdana"/>
          <w:color w:val="0563C1"/>
          <w:u w:val="single" w:color="0563C1"/>
        </w:rPr>
        <w:t>and-elections-checklist-election-cycle</w:t>
      </w:r>
      <w:r>
        <w:fldChar w:fldCharType="end"/>
      </w:r>
      <w:r>
        <w:fldChar w:fldCharType="begin"/>
      </w:r>
      <w:r>
        <w:instrText xml:space="preserve"> HYPERLINK "https://privacyinternational.org/advocacy/3093/technology-data-and-elections-checklist-election-cycle" </w:instrText>
      </w:r>
      <w:r>
        <w:fldChar w:fldCharType="separate"/>
      </w:r>
      <w:r w:rsidRPr="005B5CB6">
        <w:rPr>
          <w:rFonts w:ascii="Verdana" w:eastAsia="Verdana" w:hAnsi="Verdana" w:cs="Verdana"/>
        </w:rPr>
        <w:t xml:space="preserve"> </w:t>
      </w:r>
      <w:r>
        <w:fldChar w:fldCharType="end"/>
      </w:r>
    </w:p>
    <w:p w:rsidR="00FB0B24" w:rsidRPr="005B5CB6" w:rsidP="00575F14">
      <w:pPr>
        <w:numPr>
          <w:ilvl w:val="1"/>
          <w:numId w:val="125"/>
        </w:numPr>
        <w:spacing w:after="5" w:line="249" w:lineRule="auto"/>
        <w:ind w:right="11" w:hanging="360"/>
        <w:jc w:val="both"/>
        <w:rPr>
          <w:rFonts w:ascii="Verdana" w:hAnsi="Verdana"/>
        </w:rPr>
      </w:pPr>
      <w:r w:rsidRPr="005B5CB6">
        <w:rPr>
          <w:rFonts w:ascii="Verdana" w:eastAsia="Verdana" w:hAnsi="Verdana" w:cs="Verdana"/>
        </w:rPr>
        <w:t xml:space="preserve">European Parliament elections – protecting our data to protect us against manipulation: </w:t>
      </w:r>
      <w:r>
        <w:fldChar w:fldCharType="begin"/>
      </w:r>
      <w:r>
        <w:instrText xml:space="preserve"> HYPERLINK "https://privacyinternational.org/news-analysis/2824/european-parliament-elections-protecting-our-data-protect-us-against)" </w:instrText>
      </w:r>
      <w:r>
        <w:fldChar w:fldCharType="separate"/>
      </w:r>
      <w:r w:rsidRPr="005B5CB6">
        <w:rPr>
          <w:rFonts w:ascii="Verdana" w:eastAsia="Verdana" w:hAnsi="Verdana" w:cs="Verdana"/>
          <w:color w:val="0563C1"/>
          <w:u w:val="single" w:color="0563C1"/>
        </w:rPr>
        <w:t>https://privacyinternational.org/news</w:t>
      </w:r>
      <w:r>
        <w:fldChar w:fldCharType="end"/>
      </w:r>
      <w:r>
        <w:fldChar w:fldCharType="begin"/>
      </w:r>
      <w:r>
        <w:instrText xml:space="preserve"> HYPERLINK "https://privacyinternational.org/news-analysis/2824/european-parliament-elections-protecting-our-data-protect-us-against)" </w:instrText>
      </w:r>
      <w:r>
        <w:fldChar w:fldCharType="separate"/>
      </w:r>
      <w:r w:rsidRPr="005B5CB6">
        <w:rPr>
          <w:rFonts w:ascii="Verdana" w:eastAsia="Verdana" w:hAnsi="Verdana" w:cs="Verdana"/>
          <w:color w:val="0563C1"/>
          <w:u w:val="single" w:color="0563C1"/>
        </w:rPr>
        <w:t>analysis/2824/european-parliament-elections-protecting-our-data-protect</w:t>
      </w:r>
      <w:r>
        <w:fldChar w:fldCharType="end"/>
      </w:r>
      <w:r>
        <w:fldChar w:fldCharType="begin"/>
      </w:r>
      <w:r>
        <w:instrText xml:space="preserve"> HYPERLINK "https://privacyinternational.org/news-analysis/2824/european-parliament-elections-protecting-our-data-protect-us-against)" </w:instrText>
      </w:r>
      <w:r>
        <w:fldChar w:fldCharType="separate"/>
      </w:r>
      <w:r w:rsidRPr="005B5CB6">
        <w:rPr>
          <w:rFonts w:ascii="Verdana" w:eastAsia="Verdana" w:hAnsi="Verdana" w:cs="Verdana"/>
          <w:color w:val="0563C1"/>
          <w:u w:val="single" w:color="0563C1"/>
        </w:rPr>
        <w:t>us-against</w:t>
      </w:r>
      <w:r>
        <w:fldChar w:fldCharType="end"/>
      </w:r>
      <w:r>
        <w:fldChar w:fldCharType="begin"/>
      </w:r>
      <w:r>
        <w:instrText xml:space="preserve"> HYPERLINK "https://privacyinternational.org/news-analysis/2824/european-parliament-elections-protecting-our-data-protect-us-against)" </w:instrText>
      </w:r>
      <w:r>
        <w:fldChar w:fldCharType="separate"/>
      </w:r>
      <w:r w:rsidRPr="005B5CB6">
        <w:rPr>
          <w:rFonts w:ascii="Verdana" w:eastAsia="Verdana" w:hAnsi="Verdana" w:cs="Verdana"/>
        </w:rPr>
        <w:t xml:space="preserve"> </w:t>
      </w:r>
      <w:r>
        <w:fldChar w:fldCharType="end"/>
      </w:r>
    </w:p>
    <w:p w:rsidR="00FB0B24" w:rsidRPr="005B5CB6" w:rsidP="00575F14">
      <w:pPr>
        <w:numPr>
          <w:ilvl w:val="1"/>
          <w:numId w:val="125"/>
        </w:numPr>
        <w:spacing w:after="5" w:line="250" w:lineRule="auto"/>
        <w:ind w:right="11" w:hanging="360"/>
        <w:jc w:val="both"/>
        <w:rPr>
          <w:rFonts w:ascii="Verdana" w:hAnsi="Verdana"/>
        </w:rPr>
      </w:pPr>
      <w:r w:rsidRPr="005B5CB6">
        <w:rPr>
          <w:rFonts w:ascii="Verdana" w:eastAsia="Verdana" w:hAnsi="Verdana" w:cs="Verdana"/>
        </w:rPr>
        <w:t xml:space="preserve">Privacy International’s Response to the Open Consultation on the Online Harms White Paper: </w:t>
      </w:r>
    </w:p>
    <w:p w:rsidR="00FB0B24" w:rsidRPr="005B5CB6" w:rsidP="00A72806">
      <w:pPr>
        <w:spacing w:after="5" w:line="249" w:lineRule="auto"/>
        <w:ind w:left="730" w:hanging="10"/>
        <w:jc w:val="both"/>
        <w:rPr>
          <w:rFonts w:ascii="Verdana" w:hAnsi="Verdana"/>
        </w:rPr>
      </w:pPr>
      <w:r>
        <w:fldChar w:fldCharType="begin"/>
      </w:r>
      <w:r>
        <w:instrText xml:space="preserve"> HYPERLINK "https://privacyinternational.org/sites/default/files/2019-07/Online%20Harms%20Response%20-%20Privacy%20International_0.pdf" </w:instrText>
      </w:r>
      <w:r>
        <w:fldChar w:fldCharType="separate"/>
      </w:r>
      <w:r w:rsidRPr="005B5CB6" w:rsidR="00A72806">
        <w:rPr>
          <w:rFonts w:ascii="Verdana" w:eastAsia="Verdana" w:hAnsi="Verdana" w:cs="Verdana"/>
          <w:color w:val="0563C1"/>
          <w:u w:val="single" w:color="0563C1"/>
        </w:rPr>
        <w:t>https://privacyinternational.org/sites/default/files/2019</w:t>
      </w:r>
      <w:r>
        <w:fldChar w:fldCharType="end"/>
      </w:r>
      <w:r>
        <w:fldChar w:fldCharType="begin"/>
      </w:r>
      <w:r>
        <w:instrText xml:space="preserve"> HYPERLINK "https://privacyinternational.org/sites/default/files/2019-07/Online%20Harms%20Response%20-%20Privacy%20International_0.pdf" </w:instrText>
      </w:r>
      <w:r>
        <w:fldChar w:fldCharType="separate"/>
      </w:r>
      <w:r w:rsidRPr="005B5CB6" w:rsidR="00A72806">
        <w:rPr>
          <w:rFonts w:ascii="Verdana" w:eastAsia="Verdana" w:hAnsi="Verdana" w:cs="Verdana"/>
          <w:color w:val="0563C1"/>
          <w:u w:val="single" w:color="0563C1"/>
        </w:rPr>
        <w:t>07/Online%20Harms%20Response%20-</w:t>
      </w:r>
      <w:r>
        <w:fldChar w:fldCharType="end"/>
      </w:r>
    </w:p>
    <w:p w:rsidR="00FB0B24" w:rsidRPr="005B5CB6" w:rsidP="00A72806">
      <w:pPr>
        <w:spacing w:after="5" w:line="249" w:lineRule="auto"/>
        <w:ind w:left="730" w:hanging="10"/>
        <w:jc w:val="both"/>
        <w:rPr>
          <w:rFonts w:ascii="Verdana" w:hAnsi="Verdana"/>
        </w:rPr>
      </w:pPr>
      <w:r>
        <w:fldChar w:fldCharType="begin"/>
      </w:r>
      <w:r>
        <w:instrText xml:space="preserve"> HYPERLINK "https://privacyinternational.org/sites/default/files/2019-07/Online%20Harms%20Response%20-%20Privacy%20International_0.pdf" </w:instrText>
      </w:r>
      <w:r>
        <w:fldChar w:fldCharType="separate"/>
      </w:r>
      <w:r w:rsidRPr="005B5CB6" w:rsidR="00A72806">
        <w:rPr>
          <w:rFonts w:ascii="Verdana" w:eastAsia="Verdana" w:hAnsi="Verdana" w:cs="Verdana"/>
          <w:color w:val="0563C1"/>
          <w:u w:val="single" w:color="0563C1"/>
        </w:rPr>
        <w:t>%20Privacy%20International_0.pdf</w:t>
      </w:r>
      <w:r>
        <w:fldChar w:fldCharType="end"/>
      </w:r>
      <w:r>
        <w:fldChar w:fldCharType="begin"/>
      </w:r>
      <w:r>
        <w:instrText xml:space="preserve"> HYPERLINK "https://privacyinternational.org/sites/default/files/2019-07/Online%20Harms%20Response%20-%20Privacy%20International_0.pdf" </w:instrText>
      </w:r>
      <w:r>
        <w:fldChar w:fldCharType="separate"/>
      </w:r>
      <w:r w:rsidRPr="005B5CB6" w:rsidR="00A72806">
        <w:rPr>
          <w:rFonts w:ascii="Verdana" w:eastAsia="Verdana" w:hAnsi="Verdana" w:cs="Verdana"/>
        </w:rPr>
        <w:t xml:space="preserve"> </w:t>
      </w:r>
      <w:r>
        <w:fldChar w:fldCharType="end"/>
      </w:r>
    </w:p>
    <w:p w:rsidR="00FB0B24" w:rsidRPr="005B5CB6" w:rsidP="00575F14">
      <w:pPr>
        <w:numPr>
          <w:ilvl w:val="1"/>
          <w:numId w:val="125"/>
        </w:numPr>
        <w:spacing w:after="5" w:line="250" w:lineRule="auto"/>
        <w:ind w:right="11" w:hanging="360"/>
        <w:jc w:val="both"/>
        <w:rPr>
          <w:rFonts w:ascii="Verdana" w:hAnsi="Verdana"/>
        </w:rPr>
      </w:pPr>
      <w:r w:rsidRPr="005B5CB6">
        <w:rPr>
          <w:rFonts w:ascii="Verdana" w:eastAsia="Verdana" w:hAnsi="Verdana" w:cs="Verdana"/>
        </w:rPr>
        <w:t xml:space="preserve">When your data becomes political, video: </w:t>
      </w:r>
    </w:p>
    <w:p w:rsidR="00FB0B24" w:rsidRPr="005B5CB6" w:rsidP="00A72806">
      <w:pPr>
        <w:spacing w:after="5" w:line="249" w:lineRule="auto"/>
        <w:ind w:left="730" w:hanging="10"/>
        <w:jc w:val="both"/>
        <w:rPr>
          <w:rFonts w:ascii="Verdana" w:hAnsi="Verdana"/>
        </w:rPr>
      </w:pPr>
      <w:r>
        <w:fldChar w:fldCharType="begin"/>
      </w:r>
      <w:r>
        <w:instrText xml:space="preserve"> HYPERLINK "https://privacyinternational.org/video/2937/video-your-vote-sale-political-advertisers-think-so" </w:instrText>
      </w:r>
      <w:r>
        <w:fldChar w:fldCharType="separate"/>
      </w:r>
      <w:r w:rsidRPr="005B5CB6" w:rsidR="00A72806">
        <w:rPr>
          <w:rFonts w:ascii="Verdana" w:eastAsia="Verdana" w:hAnsi="Verdana" w:cs="Verdana"/>
          <w:color w:val="0563C1"/>
          <w:u w:val="single" w:color="0563C1"/>
        </w:rPr>
        <w:t>https://privacyinternational.org/video/2937/video-your-vote-sale</w:t>
      </w:r>
      <w:r>
        <w:fldChar w:fldCharType="end"/>
      </w:r>
      <w:r>
        <w:fldChar w:fldCharType="begin"/>
      </w:r>
      <w:r>
        <w:instrText xml:space="preserve"> HYPERLINK "https://privacyinternational.org/video/2937/video-your-vote-sale-political-advertisers-think-so" </w:instrText>
      </w:r>
      <w:r>
        <w:fldChar w:fldCharType="separate"/>
      </w:r>
      <w:r w:rsidRPr="005B5CB6" w:rsidR="00A72806">
        <w:rPr>
          <w:rFonts w:ascii="Verdana" w:eastAsia="Verdana" w:hAnsi="Verdana" w:cs="Verdana"/>
          <w:color w:val="0563C1"/>
          <w:u w:val="single" w:color="0563C1"/>
        </w:rPr>
        <w:t>political-advertisers-think-so</w:t>
      </w:r>
      <w:r>
        <w:fldChar w:fldCharType="end"/>
      </w:r>
      <w:r>
        <w:fldChar w:fldCharType="begin"/>
      </w:r>
      <w:r>
        <w:instrText xml:space="preserve"> HYPERLINK "https://privacyinternational.org/video/2937/video-your-vote-sale-political-advertisers-think-so"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 </w:t>
      </w:r>
    </w:p>
    <w:p w:rsidR="00FB0B24" w:rsidRPr="005B5CB6" w:rsidP="00575F14">
      <w:pPr>
        <w:numPr>
          <w:ilvl w:val="1"/>
          <w:numId w:val="125"/>
        </w:numPr>
        <w:spacing w:after="5" w:line="250" w:lineRule="auto"/>
        <w:ind w:right="11" w:hanging="360"/>
        <w:jc w:val="both"/>
        <w:rPr>
          <w:rFonts w:ascii="Verdana" w:hAnsi="Verdana"/>
        </w:rPr>
      </w:pPr>
      <w:r w:rsidRPr="005B5CB6">
        <w:rPr>
          <w:rFonts w:ascii="Verdana" w:eastAsia="Verdana" w:hAnsi="Verdana" w:cs="Verdana"/>
        </w:rPr>
        <w:t xml:space="preserve">Privacy International's Response to the ICO's Call for Views on a Code of Practice for the use of personal information in political campaigns: </w:t>
      </w:r>
      <w:r>
        <w:fldChar w:fldCharType="begin"/>
      </w:r>
      <w:r>
        <w:instrText xml:space="preserve"> HYPERLINK "https://www.privacyinternational.org/advocacy/2838/pi-response-ico-call-views-code-practice-use-personal-information-political-campaigns" </w:instrText>
      </w:r>
      <w:r>
        <w:fldChar w:fldCharType="separate"/>
      </w:r>
      <w:r w:rsidRPr="005B5CB6">
        <w:rPr>
          <w:rFonts w:ascii="Verdana" w:eastAsia="Verdana" w:hAnsi="Verdana" w:cs="Verdana"/>
          <w:color w:val="0563C1"/>
          <w:u w:val="single" w:color="0563C1"/>
        </w:rPr>
        <w:t>https://www.privacyinternational.org/advocacy/2838/pi-response-ico-call</w:t>
      </w:r>
      <w:r>
        <w:fldChar w:fldCharType="end"/>
      </w:r>
      <w:r>
        <w:fldChar w:fldCharType="begin"/>
      </w:r>
      <w:r>
        <w:instrText xml:space="preserve"> HYPERLINK "https://www.privacyinternational.org/advocacy/2838/pi-response-ico-call-views-code-practice-use-personal-information-political-campaigns" </w:instrText>
      </w:r>
      <w:r>
        <w:fldChar w:fldCharType="separate"/>
      </w:r>
      <w:r w:rsidRPr="005B5CB6">
        <w:rPr>
          <w:rFonts w:ascii="Verdana" w:eastAsia="Verdana" w:hAnsi="Verdana" w:cs="Verdana"/>
          <w:color w:val="0563C1"/>
          <w:u w:val="single" w:color="0563C1"/>
        </w:rPr>
        <w:t>views-code-practice-use-personal-information-political-campaigns</w:t>
      </w:r>
      <w:r>
        <w:fldChar w:fldCharType="end"/>
      </w:r>
      <w:r>
        <w:fldChar w:fldCharType="begin"/>
      </w:r>
      <w:r>
        <w:instrText xml:space="preserve"> HYPERLINK "https://www.privacyinternational.org/advocacy/2838/pi-response-ico-call-views-code-practice-use-personal-information-political-campaigns" </w:instrText>
      </w:r>
      <w:r>
        <w:fldChar w:fldCharType="separate"/>
      </w:r>
      <w:r w:rsidRPr="005B5CB6">
        <w:rPr>
          <w:rFonts w:ascii="Verdana" w:eastAsia="Verdana" w:hAnsi="Verdana" w:cs="Verdana"/>
        </w:rPr>
        <w:t xml:space="preserve"> </w:t>
      </w:r>
      <w:r>
        <w:fldChar w:fldCharType="end"/>
      </w:r>
    </w:p>
    <w:p w:rsidR="00FB0B24" w:rsidRPr="005B5CB6" w:rsidP="00A72806">
      <w:pPr>
        <w:spacing w:after="0"/>
        <w:jc w:val="both"/>
        <w:rPr>
          <w:rFonts w:ascii="Verdana" w:hAnsi="Verdana"/>
        </w:rPr>
      </w:pPr>
      <w:r w:rsidRPr="005B5CB6">
        <w:rPr>
          <w:rFonts w:ascii="Verdana" w:eastAsia="Verdana" w:hAnsi="Verdana" w:cs="Verdana"/>
          <w:b/>
        </w:rPr>
        <w:t xml:space="preserve">     </w:t>
      </w:r>
    </w:p>
    <w:p w:rsidR="00FB0B24" w:rsidRPr="005B5CB6" w:rsidP="00A72806">
      <w:pPr>
        <w:spacing w:after="0"/>
        <w:jc w:val="both"/>
        <w:rPr>
          <w:rFonts w:ascii="Verdana" w:hAnsi="Verdana"/>
        </w:rPr>
      </w:pPr>
      <w:r w:rsidRPr="005B5CB6">
        <w:rPr>
          <w:rFonts w:ascii="Verdana" w:eastAsia="Verdana" w:hAnsi="Verdana" w:cs="Verdana"/>
          <w:b/>
        </w:rPr>
        <w:t xml:space="preserve"> </w:t>
      </w:r>
    </w:p>
    <w:p w:rsidR="00FB0B24" w:rsidRPr="005B5CB6" w:rsidP="00A72806">
      <w:pPr>
        <w:spacing w:after="0"/>
        <w:jc w:val="both"/>
        <w:rPr>
          <w:rFonts w:ascii="Verdana" w:hAnsi="Verdana"/>
        </w:rPr>
      </w:pPr>
      <w:r w:rsidRPr="005B5CB6">
        <w:rPr>
          <w:rFonts w:ascii="Verdana" w:eastAsia="Verdana" w:hAnsi="Verdana" w:cs="Verdana"/>
          <w:b/>
        </w:rPr>
        <w:t xml:space="preserve"> </w:t>
      </w:r>
    </w:p>
    <w:p w:rsidR="00FB0B24" w:rsidRPr="005B5CB6" w:rsidP="00A72806">
      <w:pPr>
        <w:spacing w:after="0"/>
        <w:jc w:val="both"/>
        <w:rPr>
          <w:rFonts w:ascii="Verdana" w:hAnsi="Verdana"/>
        </w:rPr>
      </w:pPr>
      <w:r w:rsidRPr="005B5CB6">
        <w:rPr>
          <w:rFonts w:ascii="Verdana" w:eastAsia="Verdana" w:hAnsi="Verdana" w:cs="Verdana"/>
          <w:b/>
        </w:rPr>
        <w:t xml:space="preserv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spacing w:after="0"/>
        <w:jc w:val="both"/>
        <w:rPr>
          <w:rFonts w:ascii="Verdana" w:hAnsi="Verdana"/>
        </w:rPr>
      </w:pPr>
      <w:r w:rsidRPr="005B5CB6">
        <w:rPr>
          <w:rFonts w:ascii="Verdana" w:eastAsia="Verdana" w:hAnsi="Verdana" w:cs="Verdana"/>
        </w:rPr>
        <w:t xml:space="preserve"> </w:t>
      </w:r>
    </w:p>
    <w:p w:rsidR="00FB0B24" w:rsidRPr="005B5CB6" w:rsidP="00A72806">
      <w:pPr>
        <w:jc w:val="both"/>
        <w:rPr>
          <w:rFonts w:ascii="Verdana" w:hAnsi="Verdana"/>
        </w:rPr>
        <w:sectPr w:rsidSect="001F462D">
          <w:headerReference w:type="even" r:id="rId207"/>
          <w:headerReference w:type="default" r:id="rId208"/>
          <w:footerReference w:type="even" r:id="rId209"/>
          <w:footerReference w:type="default" r:id="rId210"/>
          <w:headerReference w:type="first" r:id="rId211"/>
          <w:footerReference w:type="first" r:id="rId212"/>
          <w:pgSz w:w="11899" w:h="16841"/>
          <w:pgMar w:top="1492" w:right="1435" w:bottom="1440" w:left="1440" w:header="720" w:footer="708" w:gutter="0"/>
          <w:cols w:space="720"/>
        </w:sectPr>
      </w:pPr>
    </w:p>
    <w:p w:rsidR="00FB0B24" w:rsidRPr="005B5CB6" w:rsidP="00A1624B">
      <w:pPr>
        <w:pStyle w:val="Heading1"/>
        <w:rPr>
          <w:sz w:val="22"/>
        </w:rPr>
      </w:pPr>
      <w:r w:rsidRPr="005B5CB6">
        <w:rPr>
          <w:sz w:val="22"/>
        </w:rPr>
        <w:t xml:space="preserve"> </w:t>
      </w:r>
      <w:bookmarkStart w:id="37" w:name="_Toc44517725"/>
      <w:r w:rsidRPr="005B5CB6" w:rsidR="003941B2">
        <w:rPr>
          <w:sz w:val="22"/>
        </w:rPr>
        <w:t>Full Fact</w:t>
      </w:r>
      <w:r w:rsidRPr="005B5CB6" w:rsidR="007330F4">
        <w:rPr>
          <w:sz w:val="22"/>
        </w:rPr>
        <w:t xml:space="preserve"> – written evidence (DAD0042)</w:t>
      </w:r>
      <w:bookmarkEnd w:id="37"/>
    </w:p>
    <w:p w:rsidR="00FB0B24" w:rsidRPr="005B5CB6" w:rsidP="00A72806">
      <w:pPr>
        <w:spacing w:after="158"/>
        <w:ind w:left="721"/>
        <w:jc w:val="both"/>
        <w:rPr>
          <w:rFonts w:ascii="Verdana" w:hAnsi="Verdana"/>
        </w:rPr>
      </w:pPr>
      <w:r w:rsidRPr="005B5CB6">
        <w:rPr>
          <w:rFonts w:ascii="Verdana" w:hAnsi="Verdana"/>
          <w:b/>
        </w:rPr>
        <w:t xml:space="preserve"> </w:t>
      </w:r>
    </w:p>
    <w:p w:rsidR="00FB0B24" w:rsidRPr="005B5CB6" w:rsidP="00A72806">
      <w:pPr>
        <w:spacing w:after="191" w:line="258" w:lineRule="auto"/>
        <w:ind w:left="731" w:right="9" w:hanging="10"/>
        <w:jc w:val="both"/>
        <w:rPr>
          <w:rFonts w:ascii="Verdana" w:hAnsi="Verdana"/>
        </w:rPr>
      </w:pPr>
      <w:r w:rsidRPr="005B5CB6">
        <w:rPr>
          <w:rFonts w:ascii="Verdana" w:hAnsi="Verdana"/>
          <w:b/>
        </w:rPr>
        <w:t xml:space="preserve">Summary </w:t>
      </w:r>
    </w:p>
    <w:p w:rsidR="00FB0B24" w:rsidRPr="005B5CB6" w:rsidP="00575F14">
      <w:pPr>
        <w:numPr>
          <w:ilvl w:val="0"/>
          <w:numId w:val="127"/>
        </w:numPr>
        <w:spacing w:after="164" w:line="247" w:lineRule="auto"/>
        <w:ind w:right="73" w:hanging="360"/>
        <w:jc w:val="both"/>
        <w:rPr>
          <w:rFonts w:ascii="Verdana" w:hAnsi="Verdana"/>
        </w:rPr>
      </w:pPr>
      <w:r w:rsidRPr="005B5CB6">
        <w:rPr>
          <w:rFonts w:ascii="Verdana" w:hAnsi="Verdana"/>
        </w:rPr>
        <w:t xml:space="preserve">Full Fact has almost a decade of experience fact checking claims made by politicians, public figures and in the press, and we have focused our efforts on those that pose the most potential harm to the public.  </w:t>
      </w:r>
    </w:p>
    <w:p w:rsidR="00FB0B24" w:rsidRPr="005B5CB6" w:rsidP="00575F14">
      <w:pPr>
        <w:numPr>
          <w:ilvl w:val="0"/>
          <w:numId w:val="127"/>
        </w:numPr>
        <w:spacing w:after="164" w:line="247" w:lineRule="auto"/>
        <w:ind w:right="73" w:hanging="360"/>
        <w:jc w:val="both"/>
        <w:rPr>
          <w:rFonts w:ascii="Verdana" w:hAnsi="Verdana"/>
        </w:rPr>
      </w:pPr>
      <w:r w:rsidRPr="005B5CB6">
        <w:rPr>
          <w:rFonts w:ascii="Verdana" w:hAnsi="Verdana"/>
        </w:rPr>
        <w:t xml:space="preserve">One of the main risks we see is to democracy: as misinformation spreads rapidly online, and as people find it harder to tell what’s true from what’s not, it is more important than ever that there are sources of reliable, accurate information on which they can base their important decisions.  </w:t>
      </w:r>
    </w:p>
    <w:p w:rsidR="00FB0B24" w:rsidRPr="005B5CB6" w:rsidP="00575F14">
      <w:pPr>
        <w:numPr>
          <w:ilvl w:val="0"/>
          <w:numId w:val="127"/>
        </w:numPr>
        <w:spacing w:after="164" w:line="247" w:lineRule="auto"/>
        <w:ind w:right="73" w:hanging="360"/>
        <w:jc w:val="both"/>
        <w:rPr>
          <w:rFonts w:ascii="Verdana" w:hAnsi="Verdana"/>
        </w:rPr>
      </w:pPr>
      <w:r w:rsidRPr="005B5CB6">
        <w:rPr>
          <w:rFonts w:ascii="Verdana" w:hAnsi="Verdana"/>
        </w:rPr>
        <w:t xml:space="preserve">As a fact checking organisation, we hope to provide some of this for the public, but there is more that the government and internet companies could do to help ensure good information rises to the top. Our submission aims to highlight immediate and long-term changes that would improve democratic engagement. </w:t>
      </w:r>
    </w:p>
    <w:p w:rsidR="00FB0B24" w:rsidRPr="005B5CB6" w:rsidP="00575F14">
      <w:pPr>
        <w:numPr>
          <w:ilvl w:val="0"/>
          <w:numId w:val="127"/>
        </w:numPr>
        <w:spacing w:after="137" w:line="247" w:lineRule="auto"/>
        <w:ind w:right="73" w:hanging="360"/>
        <w:jc w:val="both"/>
        <w:rPr>
          <w:rFonts w:ascii="Verdana" w:hAnsi="Verdana"/>
        </w:rPr>
      </w:pPr>
      <w:r w:rsidRPr="005B5CB6">
        <w:rPr>
          <w:rFonts w:ascii="Verdana" w:hAnsi="Verdana"/>
        </w:rPr>
        <w:t xml:space="preserve">In particular, we emphasise the urgent need for simple changes that can provide great benefits: </w:t>
      </w:r>
    </w:p>
    <w:p w:rsidR="00FB0B24" w:rsidRPr="005B5CB6" w:rsidP="00575F14">
      <w:pPr>
        <w:numPr>
          <w:ilvl w:val="1"/>
          <w:numId w:val="127"/>
        </w:numPr>
        <w:spacing w:after="11" w:line="247" w:lineRule="auto"/>
        <w:ind w:right="73" w:hanging="360"/>
        <w:jc w:val="both"/>
        <w:rPr>
          <w:rFonts w:ascii="Verdana" w:hAnsi="Verdana"/>
        </w:rPr>
      </w:pPr>
      <w:r w:rsidRPr="005B5CB6">
        <w:rPr>
          <w:rFonts w:ascii="Verdana" w:hAnsi="Verdana"/>
        </w:rPr>
        <w:t xml:space="preserve">greater transparency around online ad campaigns </w:t>
      </w:r>
    </w:p>
    <w:p w:rsidR="00FB0B24" w:rsidRPr="005B5CB6" w:rsidP="00575F14">
      <w:pPr>
        <w:numPr>
          <w:ilvl w:val="1"/>
          <w:numId w:val="127"/>
        </w:numPr>
        <w:spacing w:after="0" w:line="247" w:lineRule="auto"/>
        <w:ind w:right="73" w:hanging="360"/>
        <w:jc w:val="both"/>
        <w:rPr>
          <w:rFonts w:ascii="Verdana" w:hAnsi="Verdana"/>
        </w:rPr>
      </w:pPr>
      <w:r w:rsidRPr="005B5CB6">
        <w:rPr>
          <w:rFonts w:ascii="Verdana" w:hAnsi="Verdana"/>
        </w:rPr>
        <w:t xml:space="preserve">the government to provide basic information that dispels common myths about voting and ensures people know how and when to vote </w:t>
      </w:r>
    </w:p>
    <w:p w:rsidR="00FB0B24" w:rsidRPr="005B5CB6" w:rsidP="00575F14">
      <w:pPr>
        <w:numPr>
          <w:ilvl w:val="1"/>
          <w:numId w:val="127"/>
        </w:numPr>
        <w:spacing w:after="164" w:line="247" w:lineRule="auto"/>
        <w:ind w:right="73" w:hanging="360"/>
        <w:jc w:val="both"/>
        <w:rPr>
          <w:rFonts w:ascii="Verdana" w:hAnsi="Verdana"/>
        </w:rPr>
      </w:pPr>
      <w:r w:rsidRPr="005B5CB6">
        <w:rPr>
          <w:rFonts w:ascii="Verdana" w:hAnsi="Verdana"/>
        </w:rPr>
        <w:t xml:space="preserve">internet companies to provide more data to fact checkers and other independent organisations about the efficacy of efforts to tackle misinformation </w:t>
      </w:r>
    </w:p>
    <w:p w:rsidR="00FB0B24" w:rsidRPr="005B5CB6" w:rsidP="00575F14">
      <w:pPr>
        <w:numPr>
          <w:ilvl w:val="0"/>
          <w:numId w:val="127"/>
        </w:numPr>
        <w:spacing w:after="164" w:line="247" w:lineRule="auto"/>
        <w:ind w:right="73" w:hanging="360"/>
        <w:jc w:val="both"/>
        <w:rPr>
          <w:rFonts w:ascii="Verdana" w:hAnsi="Verdana"/>
        </w:rPr>
      </w:pPr>
      <w:r w:rsidRPr="005B5CB6">
        <w:rPr>
          <w:rFonts w:ascii="Verdana" w:hAnsi="Verdana"/>
        </w:rPr>
        <w:t xml:space="preserve">We also stress the importance of equipping people with the skills and tools they need to challenge what they see online themselves, with education for all ages and social groups being key to this. </w:t>
      </w:r>
    </w:p>
    <w:p w:rsidR="00FB0B24" w:rsidRPr="005B5CB6" w:rsidP="00575F14">
      <w:pPr>
        <w:numPr>
          <w:ilvl w:val="0"/>
          <w:numId w:val="127"/>
        </w:numPr>
        <w:spacing w:after="164" w:line="247" w:lineRule="auto"/>
        <w:ind w:right="73" w:hanging="360"/>
        <w:jc w:val="both"/>
        <w:rPr>
          <w:rFonts w:ascii="Verdana" w:hAnsi="Verdana"/>
        </w:rPr>
      </w:pPr>
      <w:r w:rsidRPr="005B5CB6">
        <w:rPr>
          <w:rFonts w:ascii="Verdana" w:hAnsi="Verdana"/>
        </w:rPr>
        <w:t xml:space="preserve">We thank the committee for the chance to respond to this broad ranging consultation. We would be happy to provide oral evidence, if that would be helpful. </w:t>
      </w:r>
    </w:p>
    <w:p w:rsidR="00FB0B24" w:rsidRPr="005B5CB6" w:rsidP="00A72806">
      <w:pPr>
        <w:spacing w:after="211"/>
        <w:ind w:left="721"/>
        <w:jc w:val="both"/>
        <w:rPr>
          <w:rFonts w:ascii="Verdana" w:hAnsi="Verdana"/>
        </w:rPr>
      </w:pPr>
      <w:r w:rsidRPr="005B5CB6">
        <w:rPr>
          <w:rFonts w:ascii="Verdana" w:hAnsi="Verdana"/>
        </w:rPr>
        <w:t xml:space="preserve"> </w:t>
      </w:r>
    </w:p>
    <w:p w:rsidR="00FB0B24" w:rsidRPr="005B5CB6" w:rsidP="00A72806">
      <w:pPr>
        <w:spacing w:after="139" w:line="258" w:lineRule="auto"/>
        <w:ind w:left="731" w:right="9" w:hanging="10"/>
        <w:jc w:val="both"/>
        <w:rPr>
          <w:rFonts w:ascii="Verdana" w:hAnsi="Verdana"/>
        </w:rPr>
      </w:pPr>
      <w:r w:rsidRPr="005B5CB6">
        <w:rPr>
          <w:rFonts w:ascii="Verdana" w:hAnsi="Verdana"/>
          <w:b/>
        </w:rPr>
        <w:t xml:space="preserve">General  </w:t>
      </w:r>
    </w:p>
    <w:p w:rsidR="00FB0B24" w:rsidRPr="005B5CB6" w:rsidP="00A72806">
      <w:pPr>
        <w:spacing w:after="191" w:line="258" w:lineRule="auto"/>
        <w:ind w:left="356" w:right="9" w:hanging="10"/>
        <w:jc w:val="both"/>
        <w:rPr>
          <w:rFonts w:ascii="Verdana" w:hAnsi="Verdana"/>
        </w:rPr>
      </w:pPr>
      <w:r w:rsidRPr="005B5CB6">
        <w:rPr>
          <w:rFonts w:ascii="Verdana" w:hAnsi="Verdana"/>
          <w:b/>
        </w:rPr>
        <w:t xml:space="preserve">1. How has digital technology changed the way that democracy works in the UK and has this been a net positive or negative effect?  </w:t>
      </w:r>
    </w:p>
    <w:p w:rsidR="00FB0B24" w:rsidRPr="005B5CB6" w:rsidP="00575F14">
      <w:pPr>
        <w:numPr>
          <w:ilvl w:val="0"/>
          <w:numId w:val="128"/>
        </w:numPr>
        <w:spacing w:after="164" w:line="247" w:lineRule="auto"/>
        <w:ind w:right="73" w:hanging="360"/>
        <w:jc w:val="both"/>
        <w:rPr>
          <w:rFonts w:ascii="Verdana" w:hAnsi="Verdana"/>
        </w:rPr>
      </w:pPr>
      <w:r w:rsidRPr="005B5CB6">
        <w:rPr>
          <w:rFonts w:ascii="Verdana" w:hAnsi="Verdana"/>
        </w:rPr>
        <w:t xml:space="preserve">Digital technology has undoubtedly had both positive and negative effects on the way democracy works in the UK, but there are few suitable ways for organisations to measure the effect of anything on democracy in the UK; those that exist are either unavailable to everyone or held within technology companies. </w:t>
      </w:r>
    </w:p>
    <w:p w:rsidR="00FB0B24" w:rsidRPr="005B5CB6" w:rsidP="00575F14">
      <w:pPr>
        <w:numPr>
          <w:ilvl w:val="0"/>
          <w:numId w:val="128"/>
        </w:numPr>
        <w:spacing w:after="164" w:line="247" w:lineRule="auto"/>
        <w:ind w:right="73" w:hanging="360"/>
        <w:jc w:val="both"/>
        <w:rPr>
          <w:rFonts w:ascii="Verdana" w:hAnsi="Verdana"/>
        </w:rPr>
      </w:pPr>
      <w:r w:rsidRPr="005B5CB6">
        <w:rPr>
          <w:rFonts w:ascii="Verdana" w:hAnsi="Verdana"/>
        </w:rPr>
        <w:t xml:space="preserve">For instance, despite widespread efforts to increase voter turnout, the marked electoral register is only open to the British Election Study. This means it isn’t possible for civil society groups or researchers to test or assess methods to improve turnout. In other countries this is normal and beneficial. Facebook runs an “I voted” poll every election, which actually </w:t>
      </w:r>
      <w:r w:rsidRPr="005B5CB6">
        <w:rPr>
          <w:rFonts w:ascii="Verdana" w:hAnsi="Verdana"/>
        </w:rPr>
        <w:t xml:space="preserve">gives them insight into whether certain ads pushed someone to vote, and they can compare that data year on year. We would like to see wider access granted to specific groups or academics. </w:t>
      </w:r>
    </w:p>
    <w:p w:rsidR="00FB0B24" w:rsidRPr="005B5CB6" w:rsidP="00575F14">
      <w:pPr>
        <w:numPr>
          <w:ilvl w:val="0"/>
          <w:numId w:val="128"/>
        </w:numPr>
        <w:spacing w:after="330" w:line="247" w:lineRule="auto"/>
        <w:ind w:right="73" w:hanging="360"/>
        <w:jc w:val="both"/>
        <w:rPr>
          <w:rFonts w:ascii="Verdana" w:hAnsi="Verdana"/>
        </w:rPr>
      </w:pPr>
      <w:r w:rsidRPr="005B5CB6">
        <w:rPr>
          <w:rFonts w:ascii="Verdana" w:hAnsi="Verdana"/>
        </w:rPr>
        <w:t xml:space="preserve">More broadly, these issues are still evolving and it will be many years before the overall effect of any technological changes on society can be properly assessed. Even then, it may </w:t>
      </w:r>
    </w:p>
    <w:p w:rsidR="00FB0B24" w:rsidRPr="005B5CB6" w:rsidP="00A72806">
      <w:pPr>
        <w:spacing w:after="0"/>
        <w:ind w:left="361"/>
        <w:jc w:val="both"/>
        <w:rPr>
          <w:rFonts w:ascii="Verdana" w:hAnsi="Verdana"/>
        </w:rPr>
      </w:pPr>
      <w:r w:rsidRPr="005B5CB6">
        <w:rPr>
          <w:rFonts w:ascii="Verdana" w:hAnsi="Verdana"/>
        </w:rPr>
        <w:t xml:space="preserve"> </w:t>
      </w:r>
    </w:p>
    <w:p w:rsidR="00FB0B24" w:rsidRPr="005B5CB6" w:rsidP="00A72806">
      <w:pPr>
        <w:spacing w:after="164" w:line="247" w:lineRule="auto"/>
        <w:ind w:left="721" w:right="73"/>
        <w:jc w:val="both"/>
        <w:rPr>
          <w:rFonts w:ascii="Verdana" w:hAnsi="Verdana"/>
        </w:rPr>
      </w:pPr>
      <w:r w:rsidRPr="005B5CB6">
        <w:rPr>
          <w:rFonts w:ascii="Verdana" w:hAnsi="Verdana"/>
        </w:rPr>
        <w:t xml:space="preserve">not be possible. In the interim, we would urge parliament to build up its knowledge in the area, in order to better understand the ways in which technology could influence democracy, to ensure it can legislate effectively and in a timely way to mitigate any associated risks. It is not necessary to have a perfect answer before you make improvements to the current systems. </w:t>
      </w:r>
    </w:p>
    <w:p w:rsidR="00FB0B24" w:rsidRPr="005B5CB6" w:rsidP="00575F14">
      <w:pPr>
        <w:numPr>
          <w:ilvl w:val="0"/>
          <w:numId w:val="128"/>
        </w:numPr>
        <w:spacing w:after="164" w:line="247" w:lineRule="auto"/>
        <w:ind w:right="73" w:hanging="360"/>
        <w:jc w:val="both"/>
        <w:rPr>
          <w:rFonts w:ascii="Verdana" w:hAnsi="Verdana"/>
        </w:rPr>
      </w:pPr>
      <w:r w:rsidRPr="005B5CB6">
        <w:rPr>
          <w:rFonts w:ascii="Verdana" w:hAnsi="Verdana"/>
        </w:rPr>
        <w:t xml:space="preserve">It is safe to say that democracy has not kept up with digital technology. The most basic democratic digital needs are not met online. For instance, push notifications to remind people where their polling stations are, or a list of candidates that are standing for election. We have seen civil society groups plug this gap, and they are doing a heroic job on little funding, but ultimately these are abilities that are an essential part of a modern electoral system that government should guarantee. </w:t>
      </w:r>
    </w:p>
    <w:p w:rsidR="00FB0B24" w:rsidRPr="005B5CB6" w:rsidP="00A72806">
      <w:pPr>
        <w:spacing w:after="0"/>
        <w:ind w:left="721"/>
        <w:jc w:val="both"/>
        <w:rPr>
          <w:rFonts w:ascii="Verdana" w:hAnsi="Verdana"/>
        </w:rPr>
      </w:pPr>
      <w:r w:rsidRPr="005B5CB6">
        <w:rPr>
          <w:rFonts w:ascii="Verdana" w:hAnsi="Verdana"/>
        </w:rPr>
        <w:t xml:space="preserve"> </w:t>
      </w:r>
    </w:p>
    <w:p w:rsidR="00FB0B24" w:rsidRPr="005B5CB6" w:rsidP="00A72806">
      <w:pPr>
        <w:spacing w:after="191" w:line="258" w:lineRule="auto"/>
        <w:ind w:left="356" w:right="9" w:hanging="10"/>
        <w:jc w:val="both"/>
        <w:rPr>
          <w:rFonts w:ascii="Verdana" w:hAnsi="Verdana"/>
        </w:rPr>
      </w:pPr>
      <w:r w:rsidRPr="005B5CB6">
        <w:rPr>
          <w:rFonts w:ascii="Verdana" w:hAnsi="Verdana"/>
          <w:b/>
        </w:rPr>
        <w:t xml:space="preserve">2. How have the design of algorithms used by social media internet companies shaped democratic debate? To what extent should there be greater accountability for the design of these algorithms? </w:t>
      </w:r>
    </w:p>
    <w:p w:rsidR="00FB0B24" w:rsidRPr="005B5CB6" w:rsidP="00575F14">
      <w:pPr>
        <w:numPr>
          <w:ilvl w:val="0"/>
          <w:numId w:val="129"/>
        </w:numPr>
        <w:spacing w:after="164" w:line="247" w:lineRule="auto"/>
        <w:ind w:right="73" w:hanging="360"/>
        <w:jc w:val="both"/>
        <w:rPr>
          <w:rFonts w:ascii="Verdana" w:hAnsi="Verdana"/>
        </w:rPr>
      </w:pPr>
      <w:r w:rsidRPr="005B5CB6">
        <w:rPr>
          <w:rFonts w:ascii="Verdana" w:hAnsi="Verdana"/>
        </w:rPr>
        <w:t xml:space="preserve">It is difficult to fully understand the impact of algorithms on democratic debate, in the short or long term, without first gathering more information from the internet companies. We have called for greater transparency from internet companies in the algorithms they develop and use. Allowing external scrutiny will ensure that any tools developed are ethical, fair and responsible. We understand there is a balance to be struck between protecting firms’ trade secrets and accountability, but believe there should be a shift towards the latter wherever possible.  </w:t>
      </w:r>
    </w:p>
    <w:p w:rsidR="00FB0B24" w:rsidRPr="005B5CB6" w:rsidP="00575F14">
      <w:pPr>
        <w:numPr>
          <w:ilvl w:val="0"/>
          <w:numId w:val="129"/>
        </w:numPr>
        <w:spacing w:after="164" w:line="247" w:lineRule="auto"/>
        <w:ind w:right="73" w:hanging="360"/>
        <w:jc w:val="both"/>
        <w:rPr>
          <w:rFonts w:ascii="Verdana" w:hAnsi="Verdana"/>
        </w:rPr>
      </w:pPr>
      <w:r w:rsidRPr="005B5CB6">
        <w:rPr>
          <w:rFonts w:ascii="Verdana" w:hAnsi="Verdana"/>
        </w:rPr>
        <w:t>In particular, we have called for internet companies to provide more data to academics and fact checking organisations to allow for independent evaluation and greater transparency. Voluntary efforts do not go far enough and provide only piecemeal access to some academics – and, according to recent reports</w:t>
      </w:r>
      <w:r w:rsidRPr="005B5CB6">
        <w:rPr>
          <w:rFonts w:ascii="Verdana" w:hAnsi="Verdana"/>
          <w:vertAlign w:val="superscript"/>
        </w:rPr>
        <w:t>i</w:t>
      </w:r>
      <w:r w:rsidRPr="005B5CB6">
        <w:rPr>
          <w:rFonts w:ascii="Verdana" w:hAnsi="Verdana"/>
        </w:rPr>
        <w:t xml:space="preserve">, one high-profile plan to share Facebook data with researchers has been criticised by the programme’s funders.  </w:t>
      </w:r>
    </w:p>
    <w:p w:rsidR="00FB0B24" w:rsidRPr="005B5CB6" w:rsidP="00575F14">
      <w:pPr>
        <w:numPr>
          <w:ilvl w:val="0"/>
          <w:numId w:val="129"/>
        </w:numPr>
        <w:spacing w:after="164" w:line="247" w:lineRule="auto"/>
        <w:ind w:right="73" w:hanging="360"/>
        <w:jc w:val="both"/>
        <w:rPr>
          <w:rFonts w:ascii="Verdana" w:hAnsi="Verdana"/>
        </w:rPr>
      </w:pPr>
      <w:r w:rsidRPr="005B5CB6">
        <w:rPr>
          <w:rFonts w:ascii="Verdana" w:hAnsi="Verdana"/>
        </w:rPr>
        <w:t>Some of our own experience of working alongside an internet company, through Facebook’s Third Party Fact-Checking scheme, has demonstrated the difficulty in getting detailed data from the company. As we said in our first transparency report on the scheme</w:t>
      </w:r>
      <w:r w:rsidRPr="005B5CB6">
        <w:rPr>
          <w:rFonts w:ascii="Verdana" w:hAnsi="Verdana"/>
          <w:vertAlign w:val="superscript"/>
        </w:rPr>
        <w:t>ii</w:t>
      </w:r>
      <w:r w:rsidRPr="005B5CB6">
        <w:rPr>
          <w:rFonts w:ascii="Verdana" w:hAnsi="Verdana"/>
        </w:rPr>
        <w:t xml:space="preserve">, we want Facebook to share more data with fact checkers, so we can better evaluate both the content we are checking and our impact. </w:t>
      </w:r>
    </w:p>
    <w:p w:rsidR="00FB0B24" w:rsidRPr="005B5CB6" w:rsidP="00575F14">
      <w:pPr>
        <w:numPr>
          <w:ilvl w:val="0"/>
          <w:numId w:val="129"/>
        </w:numPr>
        <w:spacing w:after="164" w:line="247" w:lineRule="auto"/>
        <w:ind w:right="73" w:hanging="360"/>
        <w:jc w:val="both"/>
        <w:rPr>
          <w:rFonts w:ascii="Verdana" w:hAnsi="Verdana"/>
        </w:rPr>
      </w:pPr>
      <w:r w:rsidRPr="005B5CB6">
        <w:rPr>
          <w:rFonts w:ascii="Verdana" w:hAnsi="Verdana"/>
        </w:rPr>
        <w:t xml:space="preserve">The data that is used to train a model is an integral part of any machine learning algorithm. Algorithms fed by bad data will struggle to positively </w:t>
      </w:r>
      <w:r w:rsidRPr="005B5CB6">
        <w:rPr>
          <w:rFonts w:ascii="Verdana" w:hAnsi="Verdana"/>
        </w:rPr>
        <w:t xml:space="preserve">influence democratic debate; we believe the data that is fed in should be accurate, lacking in undue bias, and in many cases externally accountable. When it is not it can have severe negative consequences, either on society as a whole, or on particular groups of people. In our experience, building worldleading artificial intelligence tools in this sensitive field while avoiding unintended harms requires constant care and attention. We are not confident that every company operating in this field takes that amount of care or even fully understands the risks. </w:t>
      </w:r>
    </w:p>
    <w:p w:rsidR="00FB0B24" w:rsidRPr="005B5CB6" w:rsidP="00A72806">
      <w:pPr>
        <w:spacing w:after="0"/>
        <w:ind w:left="721"/>
        <w:jc w:val="both"/>
        <w:rPr>
          <w:rFonts w:ascii="Verdana" w:hAnsi="Verdana"/>
        </w:rPr>
      </w:pPr>
      <w:r w:rsidRPr="005B5CB6">
        <w:rPr>
          <w:rFonts w:ascii="Verdana" w:hAnsi="Verdana"/>
        </w:rPr>
        <w:t xml:space="preserve"> </w:t>
      </w:r>
    </w:p>
    <w:p w:rsidR="00FB0B24" w:rsidRPr="005B5CB6" w:rsidP="00A72806">
      <w:pPr>
        <w:spacing w:after="139" w:line="258" w:lineRule="auto"/>
        <w:ind w:left="731" w:right="9" w:hanging="10"/>
        <w:jc w:val="both"/>
        <w:rPr>
          <w:rFonts w:ascii="Verdana" w:hAnsi="Verdana"/>
        </w:rPr>
      </w:pPr>
      <w:r w:rsidRPr="005B5CB6">
        <w:rPr>
          <w:rFonts w:ascii="Verdana" w:hAnsi="Verdana"/>
          <w:b/>
        </w:rPr>
        <w:t xml:space="preserve">Education  </w:t>
      </w:r>
    </w:p>
    <w:p w:rsidR="00FB0B24" w:rsidRPr="005B5CB6" w:rsidP="00A72806">
      <w:pPr>
        <w:spacing w:after="191" w:line="258" w:lineRule="auto"/>
        <w:ind w:left="356" w:right="9" w:hanging="10"/>
        <w:jc w:val="both"/>
        <w:rPr>
          <w:rFonts w:ascii="Verdana" w:hAnsi="Verdana"/>
        </w:rPr>
      </w:pPr>
      <w:r w:rsidRPr="005B5CB6">
        <w:rPr>
          <w:rFonts w:ascii="Verdana" w:hAnsi="Verdana"/>
          <w:b/>
        </w:rPr>
        <w:t xml:space="preserve">3. What role should every stage of education play in helping to create a healthy, active, digitally literate democracy?  </w:t>
      </w:r>
    </w:p>
    <w:p w:rsidR="00FB0B24" w:rsidRPr="005B5CB6" w:rsidP="00575F14">
      <w:pPr>
        <w:numPr>
          <w:ilvl w:val="0"/>
          <w:numId w:val="130"/>
        </w:numPr>
        <w:spacing w:after="164" w:line="247" w:lineRule="auto"/>
        <w:ind w:right="73" w:hanging="360"/>
        <w:jc w:val="both"/>
        <w:rPr>
          <w:rFonts w:ascii="Verdana" w:hAnsi="Verdana"/>
        </w:rPr>
      </w:pPr>
      <w:r w:rsidRPr="005B5CB6">
        <w:rPr>
          <w:rFonts w:ascii="Verdana" w:hAnsi="Verdana"/>
        </w:rPr>
        <w:t xml:space="preserve">It is hard to overstate the importance of education in tackling the challenges facing democracy, especially in a digital age. Our view is that education aimed at supporting democracy should cover everything from the very fundamentals of democracy – how and where to vote – as well as preparing people for the way democratic debate takes place online.  </w:t>
      </w:r>
    </w:p>
    <w:p w:rsidR="00FB0B24" w:rsidRPr="005B5CB6" w:rsidP="00575F14">
      <w:pPr>
        <w:numPr>
          <w:ilvl w:val="0"/>
          <w:numId w:val="130"/>
        </w:numPr>
        <w:spacing w:after="164" w:line="247" w:lineRule="auto"/>
        <w:ind w:right="73" w:hanging="360"/>
        <w:jc w:val="both"/>
        <w:rPr>
          <w:rFonts w:ascii="Verdana" w:hAnsi="Verdana"/>
        </w:rPr>
      </w:pPr>
      <w:r w:rsidRPr="005B5CB6">
        <w:rPr>
          <w:rFonts w:ascii="Verdana" w:hAnsi="Verdana"/>
        </w:rPr>
        <w:t>As an educational charity, we are supportive of media and digital literacy programmes, especially those that seek to target a broad range of ages and social groups. We have our own toolkit</w:t>
      </w:r>
      <w:r w:rsidRPr="005B5CB6">
        <w:rPr>
          <w:rFonts w:ascii="Verdana" w:hAnsi="Verdana"/>
          <w:vertAlign w:val="superscript"/>
        </w:rPr>
        <w:t>iii</w:t>
      </w:r>
      <w:r w:rsidRPr="005B5CB6">
        <w:rPr>
          <w:rFonts w:ascii="Verdana" w:hAnsi="Verdana"/>
        </w:rPr>
        <w:t xml:space="preserve"> to help people spot false news and challenge what they see online, which has been used in 28 countries.  </w:t>
      </w:r>
    </w:p>
    <w:p w:rsidR="00FB0B24" w:rsidRPr="005B5CB6" w:rsidP="00575F14">
      <w:pPr>
        <w:numPr>
          <w:ilvl w:val="0"/>
          <w:numId w:val="130"/>
        </w:numPr>
        <w:spacing w:after="164" w:line="247" w:lineRule="auto"/>
        <w:ind w:right="73" w:hanging="360"/>
        <w:jc w:val="both"/>
        <w:rPr>
          <w:rFonts w:ascii="Verdana" w:hAnsi="Verdana"/>
        </w:rPr>
      </w:pPr>
      <w:r w:rsidRPr="005B5CB6">
        <w:rPr>
          <w:rFonts w:ascii="Verdana" w:hAnsi="Verdana"/>
        </w:rPr>
        <w:t xml:space="preserve">Full Fact’s chief executive is also a member of Ofcom’s Making Sense of Media programme, which has the stated aim of improving the online skills, knowledge and understanding of both adults and children, through collaborations with stakeholder groups and research into the area. </w:t>
      </w:r>
    </w:p>
    <w:p w:rsidR="00FB0B24" w:rsidRPr="005B5CB6" w:rsidP="00575F14">
      <w:pPr>
        <w:numPr>
          <w:ilvl w:val="0"/>
          <w:numId w:val="130"/>
        </w:numPr>
        <w:spacing w:after="164" w:line="247" w:lineRule="auto"/>
        <w:ind w:right="73" w:hanging="360"/>
        <w:jc w:val="both"/>
        <w:rPr>
          <w:rFonts w:ascii="Verdana" w:hAnsi="Verdana"/>
        </w:rPr>
      </w:pPr>
      <w:r w:rsidRPr="005B5CB6">
        <w:rPr>
          <w:rFonts w:ascii="Verdana" w:hAnsi="Verdana"/>
        </w:rPr>
        <w:t xml:space="preserve">We would emphasise the latter point to the committee: it is crucial that the UK develops a rigorous research base to complement any education efforts and ensure that programmes provide relevant information that is of practical use. We strongly believe that the public should be given the tools and skills they need to make their own decisions and navigate the digital environment. </w:t>
      </w:r>
    </w:p>
    <w:p w:rsidR="00FB0B24" w:rsidRPr="005B5CB6" w:rsidP="00575F14">
      <w:pPr>
        <w:numPr>
          <w:ilvl w:val="0"/>
          <w:numId w:val="130"/>
        </w:numPr>
        <w:spacing w:after="164" w:line="247" w:lineRule="auto"/>
        <w:ind w:right="73" w:hanging="360"/>
        <w:jc w:val="both"/>
        <w:rPr>
          <w:rFonts w:ascii="Verdana" w:hAnsi="Verdana"/>
        </w:rPr>
      </w:pPr>
      <w:r w:rsidRPr="005B5CB6">
        <w:rPr>
          <w:rFonts w:ascii="Verdana" w:hAnsi="Verdana"/>
        </w:rPr>
        <w:t xml:space="preserve">We also note that there are many education and training schemes in digital literacy on offer across the UK, from government, profit and non-profit voluntary organisations, but they are currently fragmented. Better mapping of these efforts, sharing of best practice and coordination and collaboration would be a positive and arguably cost-effective first step to improving the country’s digital literacy. There could be a role here for the government or the aforementioned Ofcom programme.  </w:t>
      </w:r>
    </w:p>
    <w:p w:rsidR="00FB0B24" w:rsidRPr="005B5CB6" w:rsidP="00575F14">
      <w:pPr>
        <w:numPr>
          <w:ilvl w:val="0"/>
          <w:numId w:val="130"/>
        </w:numPr>
        <w:spacing w:after="164" w:line="247" w:lineRule="auto"/>
        <w:ind w:right="73" w:hanging="360"/>
        <w:jc w:val="both"/>
        <w:rPr>
          <w:rFonts w:ascii="Verdana" w:hAnsi="Verdana"/>
        </w:rPr>
      </w:pPr>
      <w:r w:rsidRPr="005B5CB6">
        <w:rPr>
          <w:rFonts w:ascii="Verdana" w:hAnsi="Verdana"/>
        </w:rPr>
        <w:t>Indeed, the government’s recent guidance for teaching online safety in schools</w:t>
      </w:r>
      <w:r w:rsidRPr="005B5CB6">
        <w:rPr>
          <w:rFonts w:ascii="Verdana" w:hAnsi="Verdana"/>
          <w:vertAlign w:val="superscript"/>
        </w:rPr>
        <w:t>iv</w:t>
      </w:r>
      <w:r w:rsidRPr="005B5CB6">
        <w:rPr>
          <w:rFonts w:ascii="Verdana" w:hAnsi="Verdana"/>
        </w:rPr>
        <w:t xml:space="preserve"> contains a list of other resources, which is a good first step. However, it should be remembered that, while education for children is important, training must go beyond schools and colleges and look to reach adult populations for it to have an immediate impact on wider society. </w:t>
      </w:r>
    </w:p>
    <w:p w:rsidR="00FB0B24" w:rsidRPr="005B5CB6" w:rsidP="00575F14">
      <w:pPr>
        <w:numPr>
          <w:ilvl w:val="0"/>
          <w:numId w:val="130"/>
        </w:numPr>
        <w:spacing w:after="164" w:line="247" w:lineRule="auto"/>
        <w:ind w:right="73" w:hanging="360"/>
        <w:jc w:val="both"/>
        <w:rPr>
          <w:rFonts w:ascii="Verdana" w:hAnsi="Verdana"/>
        </w:rPr>
      </w:pPr>
      <w:r w:rsidRPr="005B5CB6">
        <w:rPr>
          <w:rFonts w:ascii="Verdana" w:hAnsi="Verdana"/>
        </w:rPr>
        <w:t xml:space="preserve">There is an obvious candidate to do more in providing independent information to voters. The Electoral Commission should be as trusted an </w:t>
      </w:r>
      <w:r w:rsidRPr="005B5CB6">
        <w:rPr>
          <w:rFonts w:ascii="Verdana" w:hAnsi="Verdana"/>
        </w:rPr>
        <w:t xml:space="preserve">entity on voting and voter information, as the NHS is on health. It needs to be funded to answer this need. </w:t>
      </w:r>
    </w:p>
    <w:p w:rsidR="00FB0B24" w:rsidRPr="005B5CB6" w:rsidP="00A72806">
      <w:pPr>
        <w:spacing w:after="0"/>
        <w:ind w:left="721"/>
        <w:jc w:val="both"/>
        <w:rPr>
          <w:rFonts w:ascii="Verdana" w:hAnsi="Verdana"/>
        </w:rPr>
      </w:pPr>
      <w:r w:rsidRPr="005B5CB6">
        <w:rPr>
          <w:rFonts w:ascii="Verdana" w:hAnsi="Verdana"/>
        </w:rPr>
        <w:t xml:space="preserve"> </w:t>
      </w:r>
    </w:p>
    <w:p w:rsidR="00FB0B24" w:rsidRPr="005B5CB6" w:rsidP="00A72806">
      <w:pPr>
        <w:spacing w:after="141" w:line="258" w:lineRule="auto"/>
        <w:ind w:left="731" w:right="9" w:hanging="10"/>
        <w:jc w:val="both"/>
        <w:rPr>
          <w:rFonts w:ascii="Verdana" w:hAnsi="Verdana"/>
        </w:rPr>
      </w:pPr>
      <w:r w:rsidRPr="005B5CB6">
        <w:rPr>
          <w:rFonts w:ascii="Verdana" w:hAnsi="Verdana"/>
          <w:b/>
        </w:rPr>
        <w:t xml:space="preserve">Online campaigning  </w:t>
      </w:r>
    </w:p>
    <w:p w:rsidR="00FB0B24" w:rsidRPr="005B5CB6" w:rsidP="00575F14">
      <w:pPr>
        <w:numPr>
          <w:ilvl w:val="0"/>
          <w:numId w:val="131"/>
        </w:numPr>
        <w:spacing w:after="159" w:line="258" w:lineRule="auto"/>
        <w:ind w:right="9" w:hanging="10"/>
        <w:jc w:val="both"/>
        <w:rPr>
          <w:rFonts w:ascii="Verdana" w:hAnsi="Verdana"/>
        </w:rPr>
      </w:pPr>
      <w:r w:rsidRPr="005B5CB6">
        <w:rPr>
          <w:rFonts w:ascii="Verdana" w:hAnsi="Verdana"/>
          <w:b/>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575F14">
      <w:pPr>
        <w:numPr>
          <w:ilvl w:val="0"/>
          <w:numId w:val="131"/>
        </w:numPr>
        <w:spacing w:after="191" w:line="258" w:lineRule="auto"/>
        <w:ind w:right="9" w:hanging="10"/>
        <w:jc w:val="both"/>
        <w:rPr>
          <w:rFonts w:ascii="Verdana" w:hAnsi="Verdana"/>
        </w:rPr>
      </w:pPr>
      <w:r w:rsidRPr="005B5CB6">
        <w:rPr>
          <w:rFonts w:ascii="Verdana" w:hAnsi="Verdana"/>
          <w:b/>
        </w:rPr>
        <w:t xml:space="preserve">What effect does online targeted advertising have on the political process, and what effects could it have in the future? Should there be additional regulation of political advertising?  </w:t>
      </w:r>
    </w:p>
    <w:p w:rsidR="00FB0B24" w:rsidRPr="005B5CB6" w:rsidP="00575F14">
      <w:pPr>
        <w:numPr>
          <w:ilvl w:val="0"/>
          <w:numId w:val="132"/>
        </w:numPr>
        <w:spacing w:after="164" w:line="247" w:lineRule="auto"/>
        <w:ind w:right="73" w:hanging="360"/>
        <w:jc w:val="both"/>
        <w:rPr>
          <w:rFonts w:ascii="Verdana" w:hAnsi="Verdana"/>
        </w:rPr>
      </w:pPr>
      <w:r w:rsidRPr="005B5CB6">
        <w:rPr>
          <w:rFonts w:ascii="Verdana" w:hAnsi="Verdana"/>
        </w:rPr>
        <w:t xml:space="preserve">We will address questions 4 and 5 together.  </w:t>
      </w:r>
    </w:p>
    <w:p w:rsidR="00FB0B24" w:rsidRPr="005B5CB6" w:rsidP="00575F14">
      <w:pPr>
        <w:numPr>
          <w:ilvl w:val="0"/>
          <w:numId w:val="132"/>
        </w:numPr>
        <w:spacing w:after="164" w:line="247" w:lineRule="auto"/>
        <w:ind w:right="73" w:hanging="360"/>
        <w:jc w:val="both"/>
        <w:rPr>
          <w:rFonts w:ascii="Verdana" w:hAnsi="Verdana"/>
        </w:rPr>
      </w:pPr>
      <w:r w:rsidRPr="005B5CB6">
        <w:rPr>
          <w:rFonts w:ascii="Verdana" w:hAnsi="Verdana"/>
        </w:rPr>
        <w:t>Greater transparency in online spending and campaigning is fundamental to the proper functioning of the UK’s democracy, and reforms are long overdue. In saying this we are echoing repeated recommendations from the Electoral Commission</w:t>
      </w:r>
      <w:r w:rsidRPr="005B5CB6">
        <w:rPr>
          <w:rFonts w:ascii="Verdana" w:hAnsi="Verdana"/>
          <w:vertAlign w:val="superscript"/>
        </w:rPr>
        <w:t>v</w:t>
      </w:r>
      <w:r w:rsidRPr="005B5CB6">
        <w:rPr>
          <w:rFonts w:ascii="Verdana" w:hAnsi="Verdana"/>
        </w:rPr>
        <w:t>, Select Committees</w:t>
      </w:r>
      <w:r w:rsidRPr="005B5CB6">
        <w:rPr>
          <w:rFonts w:ascii="Verdana" w:hAnsi="Verdana"/>
          <w:vertAlign w:val="superscript"/>
        </w:rPr>
        <w:t>vi</w:t>
      </w:r>
      <w:r w:rsidRPr="005B5CB6">
        <w:rPr>
          <w:rFonts w:ascii="Verdana" w:hAnsi="Verdana"/>
        </w:rPr>
        <w:t xml:space="preserve">, and others. </w:t>
      </w:r>
    </w:p>
    <w:p w:rsidR="00FB0B24" w:rsidRPr="005B5CB6" w:rsidP="00575F14">
      <w:pPr>
        <w:numPr>
          <w:ilvl w:val="0"/>
          <w:numId w:val="132"/>
        </w:numPr>
        <w:spacing w:after="164" w:line="247" w:lineRule="auto"/>
        <w:ind w:right="73" w:hanging="360"/>
        <w:jc w:val="both"/>
        <w:rPr>
          <w:rFonts w:ascii="Verdana" w:hAnsi="Verdana"/>
        </w:rPr>
      </w:pPr>
      <w:r w:rsidRPr="005B5CB6">
        <w:rPr>
          <w:rFonts w:ascii="Verdana" w:hAnsi="Verdana"/>
        </w:rPr>
        <w:t xml:space="preserve">It is impossible to know for sure what effects online targeted advertising will have in the future – arguably, the full effects on the current political process are also unknown. It’s also impossible to know if the same internet companies that are often the focus of debate today will be the same in the future – governments must bear this in mind and avoid creating regulations defined just for Facebook, Twitter and Google.  </w:t>
      </w:r>
    </w:p>
    <w:p w:rsidR="00FB0B24" w:rsidRPr="005B5CB6" w:rsidP="00575F14">
      <w:pPr>
        <w:numPr>
          <w:ilvl w:val="0"/>
          <w:numId w:val="132"/>
        </w:numPr>
        <w:spacing w:after="191" w:line="247" w:lineRule="auto"/>
        <w:ind w:right="73" w:hanging="360"/>
        <w:jc w:val="both"/>
        <w:rPr>
          <w:rFonts w:ascii="Verdana" w:hAnsi="Verdana"/>
        </w:rPr>
      </w:pPr>
      <w:r w:rsidRPr="005B5CB6">
        <w:rPr>
          <w:rFonts w:ascii="Verdana" w:hAnsi="Verdana"/>
        </w:rPr>
        <w:t>What we can say with certainty is that digital campaigns are different to offline ones. They generate millions of ads that are capable of being targeted at small, specific groups of people – microtargeting – meaning that, unlike in the offline world, no two people experience an election in the same way. Campaigners now run multiple versions of the same ad, rapidly testing them to identify which works best for which group, and spreading those that generate the most online engagement. During the 2016 US elections, the campaign for President Donald Trump is reported to have run 5.9 million different versions of ads</w:t>
      </w:r>
      <w:r w:rsidRPr="005B5CB6">
        <w:rPr>
          <w:rFonts w:ascii="Verdana" w:hAnsi="Verdana"/>
          <w:vertAlign w:val="superscript"/>
        </w:rPr>
        <w:t>vii</w:t>
      </w:r>
      <w:r w:rsidRPr="005B5CB6">
        <w:rPr>
          <w:rFonts w:ascii="Verdana" w:hAnsi="Verdana"/>
        </w:rPr>
        <w:t xml:space="preserve">. </w:t>
      </w:r>
    </w:p>
    <w:p w:rsidR="00FB0B24" w:rsidRPr="005B5CB6" w:rsidP="00575F14">
      <w:pPr>
        <w:numPr>
          <w:ilvl w:val="0"/>
          <w:numId w:val="132"/>
        </w:numPr>
        <w:spacing w:after="164" w:line="247" w:lineRule="auto"/>
        <w:ind w:right="73" w:hanging="360"/>
        <w:jc w:val="both"/>
        <w:rPr>
          <w:rFonts w:ascii="Verdana" w:hAnsi="Verdana"/>
        </w:rPr>
      </w:pPr>
      <w:r w:rsidRPr="005B5CB6">
        <w:rPr>
          <w:rFonts w:ascii="Verdana" w:hAnsi="Verdana"/>
        </w:rPr>
        <w:t xml:space="preserve">The government has been told repeatedly, for many years, that the UK’s electoral laws are no longer fit for purpose and need to be updated for a digital age. The Electoral Commission has been calling for the imprint rule that covers print materials to be extended to online adverts since 2003, and we are in full support of these requests. </w:t>
      </w:r>
    </w:p>
    <w:p w:rsidR="00FB0B24" w:rsidRPr="005B5CB6" w:rsidP="00575F14">
      <w:pPr>
        <w:numPr>
          <w:ilvl w:val="0"/>
          <w:numId w:val="132"/>
        </w:numPr>
        <w:spacing w:after="193" w:line="247" w:lineRule="auto"/>
        <w:ind w:right="73" w:hanging="360"/>
        <w:jc w:val="both"/>
        <w:rPr>
          <w:rFonts w:ascii="Verdana" w:hAnsi="Verdana"/>
        </w:rPr>
      </w:pPr>
      <w:r w:rsidRPr="005B5CB6">
        <w:rPr>
          <w:rFonts w:ascii="Verdana" w:hAnsi="Verdana"/>
        </w:rPr>
        <w:t>The government itself has recognised the risks created by allowing elections to continue to operate without greater checks on online advertising, saying that extending the imprint rules to digital communications was “essential for promoting fact-based political debate and tackling disinformation online”</w:t>
      </w:r>
      <w:r w:rsidRPr="005B5CB6">
        <w:rPr>
          <w:rFonts w:ascii="Verdana" w:hAnsi="Verdana"/>
          <w:vertAlign w:val="superscript"/>
        </w:rPr>
        <w:t>viii</w:t>
      </w:r>
      <w:r w:rsidRPr="005B5CB6">
        <w:rPr>
          <w:rFonts w:ascii="Verdana" w:hAnsi="Verdana"/>
        </w:rPr>
        <w:t xml:space="preserve">.  </w:t>
      </w:r>
    </w:p>
    <w:p w:rsidR="00FB0B24" w:rsidRPr="005B5CB6" w:rsidP="00575F14">
      <w:pPr>
        <w:numPr>
          <w:ilvl w:val="0"/>
          <w:numId w:val="132"/>
        </w:numPr>
        <w:spacing w:after="164" w:line="247" w:lineRule="auto"/>
        <w:ind w:right="73" w:hanging="360"/>
        <w:jc w:val="both"/>
        <w:rPr>
          <w:rFonts w:ascii="Verdana" w:hAnsi="Verdana"/>
        </w:rPr>
      </w:pPr>
      <w:r w:rsidRPr="005B5CB6">
        <w:rPr>
          <w:rFonts w:ascii="Verdana" w:hAnsi="Verdana"/>
        </w:rPr>
        <w:t xml:space="preserve">Unfortunately, these requests have not been acted on with the necessary urgency, and the UK is now facing another election in which online political advertising is inadequately regulated, meaning the vote will not be protected from abuse. </w:t>
      </w:r>
    </w:p>
    <w:p w:rsidR="00FB0B24" w:rsidRPr="005B5CB6" w:rsidP="00575F14">
      <w:pPr>
        <w:numPr>
          <w:ilvl w:val="0"/>
          <w:numId w:val="132"/>
        </w:numPr>
        <w:spacing w:after="164" w:line="247" w:lineRule="auto"/>
        <w:ind w:right="73" w:hanging="360"/>
        <w:jc w:val="both"/>
        <w:rPr>
          <w:rFonts w:ascii="Verdana" w:hAnsi="Verdana"/>
        </w:rPr>
      </w:pPr>
      <w:r w:rsidRPr="005B5CB6">
        <w:rPr>
          <w:rFonts w:ascii="Verdana" w:hAnsi="Verdana"/>
        </w:rPr>
        <w:t xml:space="preserve">In addition, the government has yet to publish the technical details of these proposals, meaning there is still the risk that even when they are implemented, they won’t go far enough. Full Fact believes the best way to ensure that the new rules are fit for purpose – and allow both the campaigns and the people running them to be held to account – is to provide more granular details about adverts, both to voters and in a machine-readable database. </w:t>
      </w:r>
    </w:p>
    <w:p w:rsidR="00FB0B24" w:rsidRPr="005B5CB6" w:rsidP="00575F14">
      <w:pPr>
        <w:numPr>
          <w:ilvl w:val="0"/>
          <w:numId w:val="132"/>
        </w:numPr>
        <w:spacing w:after="164" w:line="247" w:lineRule="auto"/>
        <w:ind w:right="73" w:hanging="360"/>
        <w:jc w:val="both"/>
        <w:rPr>
          <w:rFonts w:ascii="Verdana" w:hAnsi="Verdana"/>
        </w:rPr>
      </w:pPr>
      <w:r w:rsidRPr="005B5CB6">
        <w:rPr>
          <w:rFonts w:ascii="Verdana" w:hAnsi="Verdana"/>
        </w:rPr>
        <w:t xml:space="preserve">This should be in the form of a publicly available database - updated in real-time in a machine-readable format - that contains details on each ad’s content, which groups or people it is targeted at, who it actually reached, how many versions of it are available, and how much it cost.  </w:t>
      </w:r>
    </w:p>
    <w:p w:rsidR="00FB0B24" w:rsidRPr="005B5CB6" w:rsidP="00575F14">
      <w:pPr>
        <w:numPr>
          <w:ilvl w:val="0"/>
          <w:numId w:val="132"/>
        </w:numPr>
        <w:spacing w:after="164" w:line="247" w:lineRule="auto"/>
        <w:ind w:right="73" w:hanging="360"/>
        <w:jc w:val="both"/>
        <w:rPr>
          <w:rFonts w:ascii="Verdana" w:hAnsi="Verdana"/>
        </w:rPr>
      </w:pPr>
      <w:r w:rsidRPr="005B5CB6">
        <w:rPr>
          <w:rFonts w:ascii="Verdana" w:hAnsi="Verdana"/>
        </w:rPr>
        <w:t xml:space="preserve">This is crucial because, without a complete database listing every advert in real-time, it will be almost impossible for observers to keep up, making it hard to scrutinise claims and preventing the public from seeing the full picture. And if that database isn’t provided in a machine readable format, journalists and organisations like Full Fact won’t be able to properly analyse the information it contains. </w:t>
      </w:r>
    </w:p>
    <w:p w:rsidR="00FB0B24" w:rsidRPr="005B5CB6" w:rsidP="00575F14">
      <w:pPr>
        <w:numPr>
          <w:ilvl w:val="0"/>
          <w:numId w:val="132"/>
        </w:numPr>
        <w:spacing w:after="164" w:line="247" w:lineRule="auto"/>
        <w:ind w:right="73" w:hanging="360"/>
        <w:jc w:val="both"/>
        <w:rPr>
          <w:rFonts w:ascii="Verdana" w:hAnsi="Verdana"/>
        </w:rPr>
      </w:pPr>
      <w:r w:rsidRPr="005B5CB6">
        <w:rPr>
          <w:rFonts w:ascii="Verdana" w:hAnsi="Verdana"/>
        </w:rPr>
        <w:t>We have also asked for any new rules to be in place at all times. This is because campaigning is no longer confined to the pre-election period, as current events are demonstrating. A recent analysis</w:t>
      </w:r>
      <w:r w:rsidRPr="005B5CB6">
        <w:rPr>
          <w:rFonts w:ascii="Verdana" w:hAnsi="Verdana"/>
          <w:vertAlign w:val="superscript"/>
        </w:rPr>
        <w:t>ix</w:t>
      </w:r>
      <w:r w:rsidRPr="005B5CB6">
        <w:rPr>
          <w:rFonts w:ascii="Verdana" w:hAnsi="Verdana"/>
        </w:rPr>
        <w:t xml:space="preserve"> showed that the UK’s political parties have spent roughly £1 million on partisan Facebook ads alone since mid-June, despite no election having been called.    </w:t>
      </w:r>
    </w:p>
    <w:p w:rsidR="00FB0B24" w:rsidRPr="005B5CB6" w:rsidP="00575F14">
      <w:pPr>
        <w:numPr>
          <w:ilvl w:val="0"/>
          <w:numId w:val="132"/>
        </w:numPr>
        <w:spacing w:after="164" w:line="247" w:lineRule="auto"/>
        <w:ind w:right="73" w:hanging="360"/>
        <w:jc w:val="both"/>
        <w:rPr>
          <w:rFonts w:ascii="Verdana" w:hAnsi="Verdana"/>
        </w:rPr>
      </w:pPr>
      <w:r w:rsidRPr="005B5CB6">
        <w:rPr>
          <w:rFonts w:ascii="Verdana" w:hAnsi="Verdana"/>
        </w:rPr>
        <w:t xml:space="preserve">In the same way that data on political adverts is only useful if it is delivered in real-time, information on overall campaign spending can only be truly useful – and offer real protections for democracy – if it is made public in real-time. As a society, we should not accept the status quo, which has seen the Electoral Commission grapple with spending in the EU referendum for three years. This demonstrates exactly why the Electoral Commission needs better funding and a strong tech team to develop the tools necessary to monitor spending as it happens so that any fraud or misuse is caught before it has effects on the overall outcomes of elections or referendums. </w:t>
      </w:r>
    </w:p>
    <w:p w:rsidR="00FB0B24" w:rsidRPr="005B5CB6" w:rsidP="00575F14">
      <w:pPr>
        <w:numPr>
          <w:ilvl w:val="0"/>
          <w:numId w:val="132"/>
        </w:numPr>
        <w:spacing w:after="164" w:line="247" w:lineRule="auto"/>
        <w:ind w:right="73" w:hanging="360"/>
        <w:jc w:val="both"/>
        <w:rPr>
          <w:rFonts w:ascii="Verdana" w:hAnsi="Verdana"/>
        </w:rPr>
      </w:pPr>
      <w:r w:rsidRPr="005B5CB6">
        <w:rPr>
          <w:rFonts w:ascii="Verdana" w:hAnsi="Verdana"/>
        </w:rPr>
        <w:t xml:space="preserve">We acknowledge that the internet companies have made efforts to increase transparency, but these do not go far enough. They fail to provide detailed or specific information, for instance on who has been targeted or reached; moreover, they can only ever provide a disjointed picture, as each company has taken slightly different steps. It is also crucial that the government does not rely on US internet companies, which can change their tools or rules when they like, to ensure election transparency. </w:t>
      </w:r>
    </w:p>
    <w:p w:rsidR="00FB0B24" w:rsidRPr="005B5CB6" w:rsidP="00575F14">
      <w:pPr>
        <w:numPr>
          <w:ilvl w:val="0"/>
          <w:numId w:val="132"/>
        </w:numPr>
        <w:spacing w:after="164" w:line="247" w:lineRule="auto"/>
        <w:ind w:right="73" w:hanging="360"/>
        <w:jc w:val="both"/>
        <w:rPr>
          <w:rFonts w:ascii="Verdana" w:hAnsi="Verdana"/>
        </w:rPr>
      </w:pPr>
      <w:r w:rsidRPr="005B5CB6">
        <w:rPr>
          <w:rFonts w:ascii="Verdana" w:hAnsi="Verdana"/>
        </w:rPr>
        <w:t>It is also worth noting that the UK is also falling behind other countries in tackling this issue; a recent letter Full Fact sent to all parliamentarians highlights Canada’s efforts, and we would recommend the committee looks in detail at its work on Protecting Democracy</w:t>
      </w:r>
      <w:r w:rsidRPr="005B5CB6">
        <w:rPr>
          <w:rFonts w:ascii="Verdana" w:hAnsi="Verdana"/>
          <w:vertAlign w:val="superscript"/>
        </w:rPr>
        <w:t>x</w:t>
      </w:r>
      <w:r w:rsidRPr="005B5CB6">
        <w:rPr>
          <w:rFonts w:ascii="Verdana" w:hAnsi="Verdana"/>
        </w:rPr>
        <w:t xml:space="preserve">.  </w:t>
      </w:r>
    </w:p>
    <w:p w:rsidR="00FB0B24" w:rsidRPr="005B5CB6" w:rsidP="00A72806">
      <w:pPr>
        <w:spacing w:after="214"/>
        <w:ind w:left="721"/>
        <w:jc w:val="both"/>
        <w:rPr>
          <w:rFonts w:ascii="Verdana" w:hAnsi="Verdana"/>
        </w:rPr>
      </w:pPr>
      <w:r w:rsidRPr="005B5CB6">
        <w:rPr>
          <w:rFonts w:ascii="Verdana" w:hAnsi="Verdana"/>
        </w:rPr>
        <w:t xml:space="preserve"> </w:t>
      </w:r>
    </w:p>
    <w:p w:rsidR="00FB0B24" w:rsidRPr="005B5CB6" w:rsidP="00A72806">
      <w:pPr>
        <w:spacing w:after="139" w:line="258" w:lineRule="auto"/>
        <w:ind w:left="731" w:right="9" w:hanging="10"/>
        <w:jc w:val="both"/>
        <w:rPr>
          <w:rFonts w:ascii="Verdana" w:hAnsi="Verdana"/>
        </w:rPr>
      </w:pPr>
      <w:r w:rsidRPr="005B5CB6">
        <w:rPr>
          <w:rFonts w:ascii="Verdana" w:hAnsi="Verdana"/>
          <w:b/>
        </w:rPr>
        <w:t xml:space="preserve">Privacy and anonymity  </w:t>
      </w:r>
    </w:p>
    <w:p w:rsidR="00FB0B24" w:rsidRPr="005B5CB6" w:rsidP="00575F14">
      <w:pPr>
        <w:numPr>
          <w:ilvl w:val="0"/>
          <w:numId w:val="133"/>
        </w:numPr>
        <w:spacing w:after="159" w:line="258" w:lineRule="auto"/>
        <w:ind w:right="9" w:hanging="223"/>
        <w:jc w:val="both"/>
        <w:rPr>
          <w:rFonts w:ascii="Verdana" w:hAnsi="Verdana"/>
        </w:rPr>
      </w:pPr>
      <w:r w:rsidRPr="005B5CB6">
        <w:rPr>
          <w:rFonts w:ascii="Verdana" w:hAnsi="Verdana"/>
          <w:b/>
        </w:rPr>
        <w:t xml:space="preserve">To what extent does increasing use of encrypted messaging and private groups present a challenge to the democratic process?  </w:t>
      </w:r>
    </w:p>
    <w:p w:rsidR="00FB0B24" w:rsidRPr="005B5CB6" w:rsidP="00575F14">
      <w:pPr>
        <w:numPr>
          <w:ilvl w:val="0"/>
          <w:numId w:val="133"/>
        </w:numPr>
        <w:spacing w:after="191" w:line="258" w:lineRule="auto"/>
        <w:ind w:right="9" w:hanging="223"/>
        <w:jc w:val="both"/>
        <w:rPr>
          <w:rFonts w:ascii="Verdana" w:hAnsi="Verdana"/>
        </w:rPr>
      </w:pPr>
      <w:r w:rsidRPr="005B5CB6">
        <w:rPr>
          <w:rFonts w:ascii="Verdana" w:hAnsi="Verdana"/>
          <w:b/>
        </w:rPr>
        <w:t xml:space="preserve">What are the positive or negative effects of anonymity on online democratic discourse?  </w:t>
      </w:r>
    </w:p>
    <w:p w:rsidR="00FB0B24" w:rsidRPr="005B5CB6" w:rsidP="00575F14">
      <w:pPr>
        <w:numPr>
          <w:ilvl w:val="0"/>
          <w:numId w:val="134"/>
        </w:numPr>
        <w:spacing w:after="0" w:line="247" w:lineRule="auto"/>
        <w:ind w:right="73" w:hanging="360"/>
        <w:jc w:val="both"/>
        <w:rPr>
          <w:rFonts w:ascii="Verdana" w:hAnsi="Verdana"/>
        </w:rPr>
      </w:pPr>
      <w:r w:rsidRPr="005B5CB6">
        <w:rPr>
          <w:rFonts w:ascii="Verdana" w:hAnsi="Verdana"/>
        </w:rPr>
        <w:t xml:space="preserve">The use of private communications to spread misinformation is already a major challenge that some countries and their fact checking organisations have to respond to. For example, some of our international colleagues are already looking into the best way to counter misinformation at source by increased engagement on messaging internet companies like </w:t>
      </w:r>
    </w:p>
    <w:p w:rsidR="00FB0B24" w:rsidRPr="005B5CB6" w:rsidP="00A72806">
      <w:pPr>
        <w:spacing w:after="214" w:line="247" w:lineRule="auto"/>
        <w:ind w:left="721" w:right="73"/>
        <w:jc w:val="both"/>
        <w:rPr>
          <w:rFonts w:ascii="Verdana" w:hAnsi="Verdana"/>
        </w:rPr>
      </w:pPr>
      <w:r w:rsidRPr="005B5CB6">
        <w:rPr>
          <w:rFonts w:ascii="Verdana" w:hAnsi="Verdana"/>
        </w:rPr>
        <w:t xml:space="preserve">WhatsAppxi xii xiii.  </w:t>
      </w:r>
    </w:p>
    <w:p w:rsidR="00FB0B24" w:rsidRPr="005B5CB6" w:rsidP="00575F14">
      <w:pPr>
        <w:numPr>
          <w:ilvl w:val="0"/>
          <w:numId w:val="134"/>
        </w:numPr>
        <w:spacing w:after="164" w:line="247" w:lineRule="auto"/>
        <w:ind w:right="73" w:hanging="360"/>
        <w:jc w:val="both"/>
        <w:rPr>
          <w:rFonts w:ascii="Verdana" w:hAnsi="Verdana"/>
        </w:rPr>
      </w:pPr>
      <w:r w:rsidRPr="005B5CB6">
        <w:rPr>
          <w:rFonts w:ascii="Verdana" w:hAnsi="Verdana"/>
        </w:rPr>
        <w:t xml:space="preserve">It is likely that these companies could make it easier for institutions to engage with users who are spreading misinformation, but we would caution against a knee-jerk reaction from governments that risk damaging free speech. Our approach would be to provide users with the ability to spot false news and offer them more information so they can make better informed decisions, rather than shutting down debate.  </w:t>
      </w:r>
    </w:p>
    <w:p w:rsidR="00FB0B24" w:rsidRPr="005B5CB6" w:rsidP="00575F14">
      <w:pPr>
        <w:numPr>
          <w:ilvl w:val="0"/>
          <w:numId w:val="134"/>
        </w:numPr>
        <w:spacing w:after="164" w:line="247" w:lineRule="auto"/>
        <w:ind w:right="73" w:hanging="360"/>
        <w:jc w:val="both"/>
        <w:rPr>
          <w:rFonts w:ascii="Verdana" w:hAnsi="Verdana"/>
        </w:rPr>
      </w:pPr>
      <w:r w:rsidRPr="005B5CB6">
        <w:rPr>
          <w:rFonts w:ascii="Verdana" w:hAnsi="Verdana"/>
        </w:rPr>
        <w:t xml:space="preserve">We would urge the committee to consider that anonymity and the ability to communicate via encrypted messages is relied upon by many, for instance whistle-blowers or those in less democratic regimes. Lawmakers should be aware that what the UK does in this space will be watched closely elsewhere in the world.  </w:t>
      </w:r>
    </w:p>
    <w:p w:rsidR="00FB0B24" w:rsidRPr="005B5CB6" w:rsidP="00575F14">
      <w:pPr>
        <w:numPr>
          <w:ilvl w:val="0"/>
          <w:numId w:val="134"/>
        </w:numPr>
        <w:spacing w:after="164" w:line="247" w:lineRule="auto"/>
        <w:ind w:right="73" w:hanging="360"/>
        <w:jc w:val="both"/>
        <w:rPr>
          <w:rFonts w:ascii="Verdana" w:hAnsi="Verdana"/>
        </w:rPr>
      </w:pPr>
      <w:r w:rsidRPr="005B5CB6">
        <w:rPr>
          <w:rFonts w:ascii="Verdana" w:hAnsi="Verdana"/>
        </w:rPr>
        <w:t xml:space="preserve">We would also note that there is an acceptance that peer to peer conversations and debate in small groups happens in the offline world, and that these are not policed as a matter of course. Just because something can be monitored or acted against, doesn’t mean that government should act.  </w:t>
      </w:r>
    </w:p>
    <w:p w:rsidR="00FB0B24" w:rsidRPr="005B5CB6" w:rsidP="00A72806">
      <w:pPr>
        <w:spacing w:after="0"/>
        <w:ind w:left="361"/>
        <w:jc w:val="both"/>
        <w:rPr>
          <w:rFonts w:ascii="Verdana" w:hAnsi="Verdana"/>
        </w:rPr>
      </w:pPr>
      <w:r w:rsidRPr="005B5CB6">
        <w:rPr>
          <w:rFonts w:ascii="Verdana" w:hAnsi="Verdana"/>
        </w:rPr>
        <w:t xml:space="preserve"> </w:t>
      </w:r>
    </w:p>
    <w:p w:rsidR="00FB0B24" w:rsidRPr="005B5CB6" w:rsidP="00A72806">
      <w:pPr>
        <w:spacing w:after="141" w:line="258" w:lineRule="auto"/>
        <w:ind w:left="731" w:right="9" w:hanging="10"/>
        <w:jc w:val="both"/>
        <w:rPr>
          <w:rFonts w:ascii="Verdana" w:hAnsi="Verdana"/>
        </w:rPr>
      </w:pPr>
      <w:r w:rsidRPr="005B5CB6">
        <w:rPr>
          <w:rFonts w:ascii="Verdana" w:hAnsi="Verdana"/>
          <w:b/>
        </w:rPr>
        <w:t xml:space="preserve">Democratic debate  </w:t>
      </w:r>
    </w:p>
    <w:p w:rsidR="00FB0B24" w:rsidRPr="005B5CB6" w:rsidP="00A72806">
      <w:pPr>
        <w:spacing w:after="191" w:line="258" w:lineRule="auto"/>
        <w:ind w:left="356" w:right="9" w:hanging="10"/>
        <w:jc w:val="both"/>
        <w:rPr>
          <w:rFonts w:ascii="Verdana" w:hAnsi="Verdana"/>
        </w:rPr>
      </w:pPr>
      <w:r w:rsidRPr="005B5CB6">
        <w:rPr>
          <w:rFonts w:ascii="Verdana" w:hAnsi="Verdana"/>
          <w:b/>
        </w:rPr>
        <w:t xml:space="preserve">9. 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575F14">
      <w:pPr>
        <w:numPr>
          <w:ilvl w:val="0"/>
          <w:numId w:val="135"/>
        </w:numPr>
        <w:spacing w:after="164" w:line="247" w:lineRule="auto"/>
        <w:ind w:right="73" w:hanging="360"/>
        <w:jc w:val="both"/>
        <w:rPr>
          <w:rFonts w:ascii="Verdana" w:hAnsi="Verdana"/>
        </w:rPr>
      </w:pPr>
      <w:r w:rsidRPr="005B5CB6">
        <w:rPr>
          <w:rFonts w:ascii="Verdana" w:hAnsi="Verdana"/>
        </w:rPr>
        <w:t xml:space="preserve">There is clear evidence of the fact of malicious actors using all forms of communication available to them to undermine trust in the democratic process. Assessing the extent of this, or attributing specific actions to specific origins, is much more complicated.  </w:t>
      </w:r>
    </w:p>
    <w:p w:rsidR="00FB0B24" w:rsidRPr="005B5CB6" w:rsidP="00575F14">
      <w:pPr>
        <w:numPr>
          <w:ilvl w:val="0"/>
          <w:numId w:val="135"/>
        </w:numPr>
        <w:spacing w:after="164" w:line="247" w:lineRule="auto"/>
        <w:ind w:right="73" w:hanging="360"/>
        <w:jc w:val="both"/>
        <w:rPr>
          <w:rFonts w:ascii="Verdana" w:hAnsi="Verdana"/>
        </w:rPr>
      </w:pPr>
      <w:r w:rsidRPr="005B5CB6">
        <w:rPr>
          <w:rFonts w:ascii="Verdana" w:hAnsi="Verdana"/>
        </w:rPr>
        <w:t xml:space="preserve">We recommend that the internet companies make reporting processes much more straightforward, and publish clear processes that help users understand what will happen if they report content. This should also cover more transparent engagement with independent experts and with the government and public bodies such as the emergency services. </w:t>
      </w:r>
    </w:p>
    <w:p w:rsidR="00FB0B24" w:rsidRPr="005B5CB6" w:rsidP="00575F14">
      <w:pPr>
        <w:numPr>
          <w:ilvl w:val="0"/>
          <w:numId w:val="135"/>
        </w:numPr>
        <w:spacing w:after="164" w:line="247" w:lineRule="auto"/>
        <w:ind w:right="73" w:hanging="360"/>
        <w:jc w:val="both"/>
        <w:rPr>
          <w:rFonts w:ascii="Verdana" w:hAnsi="Verdana"/>
        </w:rPr>
      </w:pPr>
      <w:r w:rsidRPr="005B5CB6">
        <w:rPr>
          <w:rFonts w:ascii="Verdana" w:hAnsi="Verdana"/>
        </w:rPr>
        <w:t xml:space="preserve">We also believe that companies could do more to identify malicious activity. One specific extension of this idea would be to explore the possibility of labelling bots as such so people can quickly and easily see that and decide whether and how to engage. If it was a prerequisite for people registering a bot account to make it clear that it was a bot, there would be a clear breach of terms and conditions if someone did not do this, giving the internet companies a clear reason to take action. </w:t>
      </w:r>
    </w:p>
    <w:p w:rsidR="00FB0B24" w:rsidRPr="005B5CB6" w:rsidP="00575F14">
      <w:pPr>
        <w:numPr>
          <w:ilvl w:val="0"/>
          <w:numId w:val="135"/>
        </w:numPr>
        <w:spacing w:after="164" w:line="247" w:lineRule="auto"/>
        <w:ind w:right="73" w:hanging="360"/>
        <w:jc w:val="both"/>
        <w:rPr>
          <w:rFonts w:ascii="Verdana" w:hAnsi="Verdana"/>
        </w:rPr>
      </w:pPr>
      <w:r w:rsidRPr="005B5CB6">
        <w:rPr>
          <w:rFonts w:ascii="Verdana" w:hAnsi="Verdana"/>
        </w:rPr>
        <w:t xml:space="preserve">There should also be government-led efforts to identify single sources of good, trustworthy information on democracy, which cover fundamental questions about voting and debunk common misinformation about elections. In this field there is too much emphasis on tackling bad information, and not enough emphasis on shining lights through the fog of uncertainty. </w:t>
      </w:r>
    </w:p>
    <w:p w:rsidR="00FB0B24" w:rsidRPr="005B5CB6" w:rsidP="00575F14">
      <w:pPr>
        <w:numPr>
          <w:ilvl w:val="0"/>
          <w:numId w:val="135"/>
        </w:numPr>
        <w:spacing w:after="164" w:line="247" w:lineRule="auto"/>
        <w:ind w:right="73" w:hanging="360"/>
        <w:jc w:val="both"/>
        <w:rPr>
          <w:rFonts w:ascii="Verdana" w:hAnsi="Verdana"/>
        </w:rPr>
      </w:pPr>
      <w:r w:rsidRPr="005B5CB6">
        <w:rPr>
          <w:rFonts w:ascii="Verdana" w:hAnsi="Verdana"/>
        </w:rPr>
        <w:t xml:space="preserve">Having fact checked three general elections and a referendum, it is notable that we face the same kinds of misinformation each time. One example is posts saying you shouldn’t vote with pencils because they will not be considered valid and can be rubbed out – this spreads distrust in both the system as a whole and those counting the ballots. Another, more worrying example for people’s ability to have their say, is the “advice” that people who want to vote for one party should do it on one day, and that if they want to vote for another, they should do it a day after.  </w:t>
      </w:r>
    </w:p>
    <w:p w:rsidR="00FB0B24" w:rsidRPr="005B5CB6" w:rsidP="00575F14">
      <w:pPr>
        <w:numPr>
          <w:ilvl w:val="0"/>
          <w:numId w:val="135"/>
        </w:numPr>
        <w:spacing w:after="164" w:line="247" w:lineRule="auto"/>
        <w:ind w:right="73" w:hanging="360"/>
        <w:jc w:val="both"/>
        <w:rPr>
          <w:rFonts w:ascii="Verdana" w:hAnsi="Verdana"/>
        </w:rPr>
      </w:pPr>
      <w:r w:rsidRPr="005B5CB6">
        <w:rPr>
          <w:rFonts w:ascii="Verdana" w:hAnsi="Verdana"/>
        </w:rPr>
        <w:t>The NHS website (</w:t>
      </w:r>
      <w:r>
        <w:fldChar w:fldCharType="begin"/>
      </w:r>
      <w:r>
        <w:instrText xml:space="preserve"> HYPERLINK "https://www.nhs.uk/" </w:instrText>
      </w:r>
      <w:r>
        <w:fldChar w:fldCharType="separate"/>
      </w:r>
      <w:r w:rsidRPr="005B5CB6">
        <w:rPr>
          <w:rFonts w:ascii="Verdana" w:hAnsi="Verdana"/>
          <w:color w:val="1155CC"/>
          <w:u w:val="single" w:color="1155CC"/>
        </w:rPr>
        <w:t>https://www.nhs.uk</w:t>
      </w:r>
      <w:r>
        <w:fldChar w:fldCharType="end"/>
      </w:r>
      <w:r>
        <w:fldChar w:fldCharType="begin"/>
      </w:r>
      <w:r>
        <w:instrText xml:space="preserve"> HYPERLINK "https://www.nhs.uk/" </w:instrText>
      </w:r>
      <w:r>
        <w:fldChar w:fldCharType="separate"/>
      </w:r>
      <w:r w:rsidRPr="005B5CB6">
        <w:rPr>
          <w:rFonts w:ascii="Verdana" w:hAnsi="Verdana"/>
        </w:rPr>
        <w:t>)</w:t>
      </w:r>
      <w:r>
        <w:fldChar w:fldCharType="end"/>
      </w:r>
      <w:r w:rsidRPr="005B5CB6">
        <w:rPr>
          <w:rFonts w:ascii="Verdana" w:hAnsi="Verdana"/>
        </w:rPr>
        <w:t xml:space="preserve"> is a good example of a trusted source that is found high up on search results, allowing people to access accurate information when they need it most. We would welcome efforts to do the same for information relevant to democracy.  </w:t>
      </w:r>
    </w:p>
    <w:p w:rsidR="00FB0B24" w:rsidRPr="005B5CB6" w:rsidP="00575F14">
      <w:pPr>
        <w:numPr>
          <w:ilvl w:val="0"/>
          <w:numId w:val="135"/>
        </w:numPr>
        <w:spacing w:after="164" w:line="247" w:lineRule="auto"/>
        <w:ind w:right="73" w:hanging="360"/>
        <w:jc w:val="both"/>
        <w:rPr>
          <w:rFonts w:ascii="Verdana" w:hAnsi="Verdana"/>
        </w:rPr>
      </w:pPr>
      <w:r w:rsidRPr="005B5CB6">
        <w:rPr>
          <w:rFonts w:ascii="Verdana" w:hAnsi="Verdana"/>
        </w:rPr>
        <w:t xml:space="preserve">Such approaches should go hand-in-hand with education schemes that help people learn how to think critically about, and challenge, the information they see. It is important to draw a distinction between making sure people have access to accurate information that allows them to trust the system where it is worthy of trust, and encouraging blind faith when a certain degree of scepticism can be healthy. </w:t>
      </w:r>
      <w:r w:rsidRPr="005B5CB6">
        <w:rPr>
          <w:rFonts w:ascii="Verdana" w:hAnsi="Verdana"/>
          <w:b/>
        </w:rPr>
        <w:t xml:space="preserve">Misinformation  </w:t>
      </w:r>
    </w:p>
    <w:p w:rsidR="00FB0B24" w:rsidRPr="005B5CB6" w:rsidP="00A72806">
      <w:pPr>
        <w:spacing w:after="191" w:line="258" w:lineRule="auto"/>
        <w:ind w:left="356" w:right="9" w:hanging="10"/>
        <w:jc w:val="both"/>
        <w:rPr>
          <w:rFonts w:ascii="Verdana" w:hAnsi="Verdana"/>
        </w:rPr>
      </w:pPr>
      <w:r w:rsidRPr="005B5CB6">
        <w:rPr>
          <w:rFonts w:ascii="Verdana" w:hAnsi="Verdana"/>
          <w:b/>
        </w:rPr>
        <w:t xml:space="preserve">10. What might be the best ways of reducing the effects of misinformation on social media internet companies?  </w:t>
      </w:r>
    </w:p>
    <w:p w:rsidR="00FB0B24" w:rsidRPr="005B5CB6" w:rsidP="00575F14">
      <w:pPr>
        <w:numPr>
          <w:ilvl w:val="0"/>
          <w:numId w:val="136"/>
        </w:numPr>
        <w:spacing w:after="164" w:line="247" w:lineRule="auto"/>
        <w:ind w:right="73" w:hanging="360"/>
        <w:jc w:val="both"/>
        <w:rPr>
          <w:rFonts w:ascii="Verdana" w:hAnsi="Verdana"/>
        </w:rPr>
      </w:pPr>
      <w:r w:rsidRPr="005B5CB6">
        <w:rPr>
          <w:rFonts w:ascii="Verdana" w:hAnsi="Verdana"/>
        </w:rPr>
        <w:t xml:space="preserve">We would first of all commend the committee for framing of the question to focus on reducing the effects of misinformation, rather than eradicating it. It is all too common for there to be a perception that we can, or should, be aiming at the latter, which risks encouraging over-reactions from governments and over-zealous policymaking. We should be aiming at a proportionate response that reduces harm and builds resilience to misinformation, and takes a platform-agnostic approach. </w:t>
      </w:r>
    </w:p>
    <w:p w:rsidR="00FB0B24" w:rsidRPr="005B5CB6" w:rsidP="00575F14">
      <w:pPr>
        <w:numPr>
          <w:ilvl w:val="0"/>
          <w:numId w:val="136"/>
        </w:numPr>
        <w:spacing w:after="164" w:line="247" w:lineRule="auto"/>
        <w:ind w:right="73" w:hanging="360"/>
        <w:jc w:val="both"/>
        <w:rPr>
          <w:rFonts w:ascii="Verdana" w:hAnsi="Verdana"/>
        </w:rPr>
      </w:pPr>
      <w:r w:rsidRPr="005B5CB6">
        <w:rPr>
          <w:rFonts w:ascii="Verdana" w:hAnsi="Verdana"/>
        </w:rPr>
        <w:t xml:space="preserve">Moreover, this policy needs to be developed through an open, transparent and democratic process, and – as we told the government in our response to the Online Harms White Paper – we do not feel that the currently outlined approach does this. In particular, we believe that the role of the proposed regulator is far too broad; that the White Paper does not pay due </w:t>
      </w:r>
    </w:p>
    <w:p w:rsidR="00FB0B24" w:rsidRPr="005B5CB6" w:rsidP="00A72806">
      <w:pPr>
        <w:spacing w:after="164" w:line="247" w:lineRule="auto"/>
        <w:ind w:left="721" w:right="73"/>
        <w:jc w:val="both"/>
        <w:rPr>
          <w:rFonts w:ascii="Verdana" w:hAnsi="Verdana"/>
        </w:rPr>
      </w:pPr>
      <w:r w:rsidRPr="005B5CB6">
        <w:rPr>
          <w:rFonts w:ascii="Verdana" w:hAnsi="Verdana"/>
        </w:rPr>
        <w:t xml:space="preserve">heed to the importance of the parliamentary process; and fails to fully address the risks associated with interference in free speech. </w:t>
      </w:r>
    </w:p>
    <w:p w:rsidR="00FB0B24" w:rsidRPr="005B5CB6" w:rsidP="00575F14">
      <w:pPr>
        <w:numPr>
          <w:ilvl w:val="0"/>
          <w:numId w:val="136"/>
        </w:numPr>
        <w:spacing w:after="164" w:line="247" w:lineRule="auto"/>
        <w:ind w:right="73" w:hanging="360"/>
        <w:jc w:val="both"/>
        <w:rPr>
          <w:rFonts w:ascii="Verdana" w:hAnsi="Verdana"/>
        </w:rPr>
      </w:pPr>
      <w:r w:rsidRPr="005B5CB6">
        <w:rPr>
          <w:rFonts w:ascii="Verdana" w:hAnsi="Verdana"/>
        </w:rPr>
        <w:t xml:space="preserve">One of the problems governments face in tackling this problem is the low standard of evidence in areas of this field, along with an evidence base skewed towards what is easiest to research. Our own research shows gaps in understanding between those looking at disinformation from a national security perspective and those starting from other perspectives, such as media, education and internet, as well as specific topics like public health. This leads to relatively isolated communities of expertise that could, and </w:t>
      </w:r>
      <w:r w:rsidRPr="005B5CB6">
        <w:rPr>
          <w:rFonts w:ascii="Verdana" w:hAnsi="Verdana"/>
        </w:rPr>
        <w:t xml:space="preserve">should, be more effective at working together and learning from one another.  </w:t>
      </w:r>
    </w:p>
    <w:p w:rsidR="00FB0B24" w:rsidRPr="005B5CB6" w:rsidP="00575F14">
      <w:pPr>
        <w:numPr>
          <w:ilvl w:val="0"/>
          <w:numId w:val="136"/>
        </w:numPr>
        <w:spacing w:after="164" w:line="247" w:lineRule="auto"/>
        <w:ind w:right="73" w:hanging="360"/>
        <w:jc w:val="both"/>
        <w:rPr>
          <w:rFonts w:ascii="Verdana" w:hAnsi="Verdana"/>
        </w:rPr>
      </w:pPr>
      <w:r w:rsidRPr="005B5CB6">
        <w:rPr>
          <w:rFonts w:ascii="Verdana" w:hAnsi="Verdana"/>
        </w:rPr>
        <w:t xml:space="preserve">We would urge more interdisciplinary work among these fields to identify gaps in evidence and share research methods and best practice, and the development of a comprehensive, useful, and accessible evidence base – perhaps led between UKRI, learned societies and other research institutions – to develop targeted cross-cutting research programmes. </w:t>
      </w:r>
    </w:p>
    <w:p w:rsidR="00FB0B24" w:rsidRPr="005B5CB6" w:rsidP="00575F14">
      <w:pPr>
        <w:numPr>
          <w:ilvl w:val="0"/>
          <w:numId w:val="136"/>
        </w:numPr>
        <w:spacing w:after="164" w:line="247" w:lineRule="auto"/>
        <w:ind w:right="73" w:hanging="360"/>
        <w:jc w:val="both"/>
        <w:rPr>
          <w:rFonts w:ascii="Verdana" w:hAnsi="Verdana"/>
        </w:rPr>
      </w:pPr>
      <w:r w:rsidRPr="005B5CB6">
        <w:rPr>
          <w:rFonts w:ascii="Verdana" w:hAnsi="Verdana"/>
        </w:rPr>
        <w:t xml:space="preserve">The government has proposed measures to mandate the use of fact checking services to address misinformation, especially in election periods. We are keen to do more of this work where it has a clear public benefit, but we would emphasise that the existence of highquality independent fact checking organisations is not inevitable. Funding work like Full Fact’s is extremely difficult.  </w:t>
      </w:r>
    </w:p>
    <w:p w:rsidR="00FB0B24" w:rsidRPr="005B5CB6" w:rsidP="00575F14">
      <w:pPr>
        <w:numPr>
          <w:ilvl w:val="0"/>
          <w:numId w:val="136"/>
        </w:numPr>
        <w:spacing w:after="164" w:line="247" w:lineRule="auto"/>
        <w:ind w:right="73" w:hanging="360"/>
        <w:jc w:val="both"/>
        <w:rPr>
          <w:rFonts w:ascii="Verdana" w:hAnsi="Verdana"/>
        </w:rPr>
      </w:pPr>
      <w:r w:rsidRPr="005B5CB6">
        <w:rPr>
          <w:rFonts w:ascii="Verdana" w:hAnsi="Verdana"/>
        </w:rPr>
        <w:t xml:space="preserve">Not only would it be a mistake to mandate any company to work with organisations that do not exist, it also raises questions of how to ensure that new entrants do not have lower standards or a pure profit motive. This could undercut the work of Full Fact as a charity and the work of media outlets doing high-quality fact checking. Ultimately, this risks reducing the quality of fact checking done online, thus damaging the public’s trust in the process of fact checking. </w:t>
      </w:r>
    </w:p>
    <w:p w:rsidR="00FB0B24" w:rsidRPr="005B5CB6" w:rsidP="00575F14">
      <w:pPr>
        <w:numPr>
          <w:ilvl w:val="0"/>
          <w:numId w:val="136"/>
        </w:numPr>
        <w:spacing w:after="164" w:line="247" w:lineRule="auto"/>
        <w:ind w:right="73" w:hanging="360"/>
        <w:jc w:val="both"/>
        <w:rPr>
          <w:rFonts w:ascii="Verdana" w:hAnsi="Verdana"/>
        </w:rPr>
      </w:pPr>
      <w:r w:rsidRPr="005B5CB6">
        <w:rPr>
          <w:rFonts w:ascii="Verdana" w:hAnsi="Verdana"/>
        </w:rPr>
        <w:t xml:space="preserve">At the same time, as mentioned previously in this response, internet companies could help fact checking organisations by providing them with more information about the posts that gain the most traction on social media, and the effects that fact checks have on the spread of that information. Without this data, it is impossible to know which approaches to tackling misinformation work best. </w:t>
      </w:r>
    </w:p>
    <w:p w:rsidR="00FB0B24" w:rsidRPr="005B5CB6" w:rsidP="00575F14">
      <w:pPr>
        <w:numPr>
          <w:ilvl w:val="0"/>
          <w:numId w:val="136"/>
        </w:numPr>
        <w:spacing w:after="164" w:line="247" w:lineRule="auto"/>
        <w:ind w:right="73" w:hanging="360"/>
        <w:jc w:val="both"/>
        <w:rPr>
          <w:rFonts w:ascii="Verdana" w:hAnsi="Verdana"/>
        </w:rPr>
      </w:pPr>
      <w:r w:rsidRPr="005B5CB6">
        <w:rPr>
          <w:rFonts w:ascii="Verdana" w:hAnsi="Verdana"/>
        </w:rPr>
        <w:t xml:space="preserve">The Online Harms White Paper called for greater transparency from social media internet companies to address misinformation in a number of areas, and we are cautiously optimistic about a proposed focus on better and clearer reporting processes and increased expectations around monitoring and evaluation.  </w:t>
      </w:r>
    </w:p>
    <w:p w:rsidR="00FB0B24" w:rsidRPr="005B5CB6" w:rsidP="00575F14">
      <w:pPr>
        <w:numPr>
          <w:ilvl w:val="0"/>
          <w:numId w:val="136"/>
        </w:numPr>
        <w:spacing w:after="164" w:line="247" w:lineRule="auto"/>
        <w:ind w:right="73" w:hanging="360"/>
        <w:jc w:val="both"/>
        <w:rPr>
          <w:rFonts w:ascii="Verdana" w:hAnsi="Verdana"/>
        </w:rPr>
      </w:pPr>
      <w:r w:rsidRPr="005B5CB6">
        <w:rPr>
          <w:rFonts w:ascii="Verdana" w:hAnsi="Verdana"/>
        </w:rPr>
        <w:t xml:space="preserve">Full Fact’s work would also benefit from better access to trusted data from institutions, ideally in machine readable formats, so we can do quicker and more automated fact checking over time.  </w:t>
      </w:r>
    </w:p>
    <w:p w:rsidR="00FB0B24" w:rsidRPr="005B5CB6" w:rsidP="00A72806">
      <w:pPr>
        <w:spacing w:after="0"/>
        <w:ind w:left="721"/>
        <w:jc w:val="both"/>
        <w:rPr>
          <w:rFonts w:ascii="Verdana" w:hAnsi="Verdana"/>
        </w:rPr>
      </w:pPr>
      <w:r w:rsidRPr="005B5CB6">
        <w:rPr>
          <w:rFonts w:ascii="Verdana" w:hAnsi="Verdana"/>
        </w:rPr>
        <w:t xml:space="preserve"> </w:t>
      </w:r>
    </w:p>
    <w:p w:rsidR="00FB0B24" w:rsidRPr="005B5CB6" w:rsidP="00A72806">
      <w:pPr>
        <w:spacing w:after="141" w:line="258" w:lineRule="auto"/>
        <w:ind w:left="731" w:right="9" w:hanging="10"/>
        <w:jc w:val="both"/>
        <w:rPr>
          <w:rFonts w:ascii="Verdana" w:hAnsi="Verdana"/>
        </w:rPr>
      </w:pPr>
      <w:r w:rsidRPr="005B5CB6">
        <w:rPr>
          <w:rFonts w:ascii="Verdana" w:hAnsi="Verdana"/>
          <w:b/>
        </w:rPr>
        <w:t xml:space="preserve">Moderation  </w:t>
      </w:r>
    </w:p>
    <w:p w:rsidR="00FB0B24" w:rsidRPr="005B5CB6" w:rsidP="00A72806">
      <w:pPr>
        <w:spacing w:after="191" w:line="258" w:lineRule="auto"/>
        <w:ind w:left="356" w:right="9" w:hanging="10"/>
        <w:jc w:val="both"/>
        <w:rPr>
          <w:rFonts w:ascii="Verdana" w:hAnsi="Verdana"/>
        </w:rPr>
      </w:pPr>
      <w:r w:rsidRPr="005B5CB6">
        <w:rPr>
          <w:rFonts w:ascii="Verdana" w:hAnsi="Verdana"/>
          <w:b/>
        </w:rPr>
        <w:t xml:space="preserve">11. How could the moderation processes of large technology companies be improved to better tackle abuse and misinformation, as well as helping public debate flourish?  </w:t>
      </w:r>
    </w:p>
    <w:p w:rsidR="00FB0B24" w:rsidRPr="005B5CB6" w:rsidP="00575F14">
      <w:pPr>
        <w:numPr>
          <w:ilvl w:val="0"/>
          <w:numId w:val="137"/>
        </w:numPr>
        <w:spacing w:after="164" w:line="247" w:lineRule="auto"/>
        <w:ind w:right="73" w:hanging="360"/>
        <w:jc w:val="both"/>
        <w:rPr>
          <w:rFonts w:ascii="Verdana" w:hAnsi="Verdana"/>
        </w:rPr>
      </w:pPr>
      <w:r w:rsidRPr="005B5CB6">
        <w:rPr>
          <w:rFonts w:ascii="Verdana" w:hAnsi="Verdana"/>
        </w:rPr>
        <w:t xml:space="preserve">A crucial question here is who moderates the content. As a fact checking organisation, we are part of this effort and our views on the abilities of such organisations to effectively tackle misinformation are outlined above.  </w:t>
      </w:r>
    </w:p>
    <w:p w:rsidR="00FB0B24" w:rsidRPr="005B5CB6" w:rsidP="00575F14">
      <w:pPr>
        <w:numPr>
          <w:ilvl w:val="0"/>
          <w:numId w:val="137"/>
        </w:numPr>
        <w:spacing w:after="11" w:line="247" w:lineRule="auto"/>
        <w:ind w:right="73" w:hanging="360"/>
        <w:jc w:val="both"/>
        <w:rPr>
          <w:rFonts w:ascii="Verdana" w:hAnsi="Verdana"/>
        </w:rPr>
      </w:pPr>
      <w:r w:rsidRPr="005B5CB6">
        <w:rPr>
          <w:rFonts w:ascii="Verdana" w:hAnsi="Verdana"/>
        </w:rPr>
        <w:t xml:space="preserve">However, there is a limited number of high-quality, independent organisations in this space </w:t>
      </w:r>
    </w:p>
    <w:p w:rsidR="00FB0B24" w:rsidRPr="005B5CB6" w:rsidP="00A72806">
      <w:pPr>
        <w:spacing w:after="164" w:line="247" w:lineRule="auto"/>
        <w:ind w:left="721" w:right="73"/>
        <w:jc w:val="both"/>
        <w:rPr>
          <w:rFonts w:ascii="Verdana" w:hAnsi="Verdana"/>
        </w:rPr>
      </w:pPr>
      <w:r w:rsidRPr="005B5CB6">
        <w:rPr>
          <w:rFonts w:ascii="Verdana" w:hAnsi="Verdana"/>
        </w:rPr>
        <w:t xml:space="preserve">(we would recommend the committee look at the Code of Practice of the International Fact Checking Network, which sets out a minimal baseline standard of transparency, and its signatories). Done properly, fact checking is also a time-consuming process, and so technology companies are looking for ways to increase the scale of fact checking. </w:t>
      </w:r>
    </w:p>
    <w:p w:rsidR="00FB0B24" w:rsidRPr="005B5CB6" w:rsidP="00575F14">
      <w:pPr>
        <w:numPr>
          <w:ilvl w:val="0"/>
          <w:numId w:val="137"/>
        </w:numPr>
        <w:spacing w:after="164" w:line="247" w:lineRule="auto"/>
        <w:ind w:right="73" w:hanging="360"/>
        <w:jc w:val="both"/>
        <w:rPr>
          <w:rFonts w:ascii="Verdana" w:hAnsi="Verdana"/>
        </w:rPr>
      </w:pPr>
      <w:r w:rsidRPr="005B5CB6">
        <w:rPr>
          <w:rFonts w:ascii="Verdana" w:hAnsi="Verdana"/>
        </w:rPr>
        <w:t>In April, Facebook proposed plans for a “community review” process</w:t>
      </w:r>
      <w:r w:rsidRPr="005B5CB6">
        <w:rPr>
          <w:rFonts w:ascii="Verdana" w:hAnsi="Verdana"/>
          <w:vertAlign w:val="superscript"/>
        </w:rPr>
        <w:t>xiv</w:t>
      </w:r>
      <w:r w:rsidRPr="005B5CB6">
        <w:rPr>
          <w:rFonts w:ascii="Verdana" w:hAnsi="Verdana"/>
        </w:rPr>
        <w:t xml:space="preserve">, which aims to allow users to point to journalistic sources to corroborate or contradict claims made in potentially false content. The company is in the process of consulting with fact checkers, among others, about the risks and benefits of this system.  </w:t>
      </w:r>
    </w:p>
    <w:p w:rsidR="00FB0B24" w:rsidRPr="005B5CB6" w:rsidP="00575F14">
      <w:pPr>
        <w:numPr>
          <w:ilvl w:val="0"/>
          <w:numId w:val="137"/>
        </w:numPr>
        <w:spacing w:after="164" w:line="247" w:lineRule="auto"/>
        <w:ind w:right="73" w:hanging="360"/>
        <w:jc w:val="both"/>
        <w:rPr>
          <w:rFonts w:ascii="Verdana" w:hAnsi="Verdana"/>
        </w:rPr>
      </w:pPr>
      <w:r w:rsidRPr="005B5CB6">
        <w:rPr>
          <w:rFonts w:ascii="Verdana" w:hAnsi="Verdana"/>
        </w:rPr>
        <w:t xml:space="preserve">We would be cautious about this approach until the specifics have been ironed out – it is true that there is the potential to involve more people in this work, but the success of this programme rests on who is allowed to carry out this review, and what effect this would have on the content they flag. Facebook would have to ensure it can prevent the system from being abused to limit free speech or attack certain groups or individuals. We would be happy to discuss this further or provide further evidence as we get more details. </w:t>
      </w:r>
    </w:p>
    <w:p w:rsidR="00FB0B24" w:rsidRPr="005B5CB6" w:rsidP="00A72806">
      <w:pPr>
        <w:spacing w:after="0"/>
        <w:ind w:left="721"/>
        <w:jc w:val="both"/>
        <w:rPr>
          <w:rFonts w:ascii="Verdana" w:hAnsi="Verdana"/>
        </w:rPr>
      </w:pPr>
      <w:r w:rsidRPr="005B5CB6">
        <w:rPr>
          <w:rFonts w:ascii="Verdana" w:hAnsi="Verdana"/>
        </w:rPr>
        <w:t xml:space="preserve"> </w:t>
      </w:r>
    </w:p>
    <w:p w:rsidR="00FB0B24" w:rsidRPr="005B5CB6" w:rsidP="00A72806">
      <w:pPr>
        <w:spacing w:after="141" w:line="258" w:lineRule="auto"/>
        <w:ind w:left="731" w:right="9" w:hanging="10"/>
        <w:jc w:val="both"/>
        <w:rPr>
          <w:rFonts w:ascii="Verdana" w:hAnsi="Verdana"/>
        </w:rPr>
      </w:pPr>
      <w:r w:rsidRPr="005B5CB6">
        <w:rPr>
          <w:rFonts w:ascii="Verdana" w:hAnsi="Verdana"/>
          <w:b/>
        </w:rPr>
        <w:t xml:space="preserve">Technology and democratic engagement  </w:t>
      </w:r>
    </w:p>
    <w:p w:rsidR="00FB0B24" w:rsidRPr="005B5CB6" w:rsidP="00A72806">
      <w:pPr>
        <w:spacing w:after="191" w:line="258" w:lineRule="auto"/>
        <w:ind w:left="356" w:right="9" w:hanging="10"/>
        <w:jc w:val="both"/>
        <w:rPr>
          <w:rFonts w:ascii="Verdana" w:hAnsi="Verdana"/>
        </w:rPr>
      </w:pPr>
      <w:r w:rsidRPr="005B5CB6">
        <w:rPr>
          <w:rFonts w:ascii="Verdana" w:hAnsi="Verdana"/>
          <w:b/>
        </w:rPr>
        <w:t xml:space="preserve">12. How could the Government better support the positive work of civil society organisations using technology to facilitate engagement with democratic processes?  </w:t>
      </w:r>
    </w:p>
    <w:p w:rsidR="00FB0B24" w:rsidRPr="005B5CB6" w:rsidP="00575F14">
      <w:pPr>
        <w:numPr>
          <w:ilvl w:val="0"/>
          <w:numId w:val="138"/>
        </w:numPr>
        <w:spacing w:after="164" w:line="247" w:lineRule="auto"/>
        <w:ind w:right="73" w:hanging="360"/>
        <w:jc w:val="both"/>
        <w:rPr>
          <w:rFonts w:ascii="Verdana" w:hAnsi="Verdana"/>
        </w:rPr>
      </w:pPr>
      <w:r w:rsidRPr="005B5CB6">
        <w:rPr>
          <w:rFonts w:ascii="Verdana" w:hAnsi="Verdana"/>
        </w:rPr>
        <w:t xml:space="preserve">Full Fact is leading the field with our work on automated fact checking, through which we are developing tools to detect and check claims in real time, and use the results generated to spot and track trends over time. We recently won the Google AI for Social Good Impact Challenge along with our partners AfricaCheck, Chequeado, and the Open Data Institute. </w:t>
      </w:r>
    </w:p>
    <w:p w:rsidR="00FB0B24" w:rsidRPr="005B5CB6" w:rsidP="00575F14">
      <w:pPr>
        <w:numPr>
          <w:ilvl w:val="0"/>
          <w:numId w:val="138"/>
        </w:numPr>
        <w:spacing w:after="164" w:line="247" w:lineRule="auto"/>
        <w:ind w:right="73" w:hanging="360"/>
        <w:jc w:val="both"/>
        <w:rPr>
          <w:rFonts w:ascii="Verdana" w:hAnsi="Verdana"/>
        </w:rPr>
      </w:pPr>
      <w:r w:rsidRPr="005B5CB6">
        <w:rPr>
          <w:rFonts w:ascii="Verdana" w:hAnsi="Verdana"/>
        </w:rPr>
        <w:t xml:space="preserve">As such our answers to these questions will mainly focus on the possibility of using technology to benefit fact checking, but we would recommend as a minimum that basic democratic data on candidates, MPs, affiliations and polling station locations are created and supplied for use by third parties. At the moment, these are gathered by third parties; when Google and Facebook want to send reminders to people to vote they use unofficial data that has been crowdsourced by volunteers instead of official lists. </w:t>
      </w:r>
    </w:p>
    <w:p w:rsidR="00FB0B24" w:rsidRPr="005B5CB6" w:rsidP="00575F14">
      <w:pPr>
        <w:numPr>
          <w:ilvl w:val="0"/>
          <w:numId w:val="138"/>
        </w:numPr>
        <w:spacing w:after="164" w:line="247" w:lineRule="auto"/>
        <w:ind w:right="73" w:hanging="360"/>
        <w:jc w:val="both"/>
        <w:rPr>
          <w:rFonts w:ascii="Verdana" w:hAnsi="Verdana"/>
        </w:rPr>
      </w:pPr>
      <w:r w:rsidRPr="005B5CB6">
        <w:rPr>
          <w:rFonts w:ascii="Verdana" w:hAnsi="Verdana"/>
        </w:rPr>
        <w:t xml:space="preserve">We would urge the committee to look to other organisations for a fuller response on wider issues of the impact of technology and democratic engagement. In particular, we would commend the work done by Democracy Club, mySociety, doteveryone, and Operation Black Vote.  </w:t>
      </w:r>
    </w:p>
    <w:p w:rsidR="00FB0B24" w:rsidRPr="005B5CB6" w:rsidP="00575F14">
      <w:pPr>
        <w:numPr>
          <w:ilvl w:val="0"/>
          <w:numId w:val="138"/>
        </w:numPr>
        <w:spacing w:after="164" w:line="247" w:lineRule="auto"/>
        <w:ind w:right="73" w:hanging="360"/>
        <w:jc w:val="both"/>
        <w:rPr>
          <w:rFonts w:ascii="Verdana" w:hAnsi="Verdana"/>
        </w:rPr>
      </w:pPr>
      <w:r w:rsidRPr="005B5CB6">
        <w:rPr>
          <w:rFonts w:ascii="Verdana" w:hAnsi="Verdana"/>
        </w:rPr>
        <w:t xml:space="preserve">Regarding technology innovation in fact checking, we believe there needs to be a public benefit focus, scrutiny and accountability. Care needs to be taken about who is disadvantaged by the unintended consequences of the tools. There are not enough actors in this space who have this kind of approach. </w:t>
      </w:r>
    </w:p>
    <w:p w:rsidR="00FB0B24" w:rsidRPr="005B5CB6" w:rsidP="00575F14">
      <w:pPr>
        <w:numPr>
          <w:ilvl w:val="0"/>
          <w:numId w:val="138"/>
        </w:numPr>
        <w:spacing w:after="136" w:line="247" w:lineRule="auto"/>
        <w:ind w:right="73" w:hanging="360"/>
        <w:jc w:val="both"/>
        <w:rPr>
          <w:rFonts w:ascii="Verdana" w:hAnsi="Verdana"/>
        </w:rPr>
      </w:pPr>
      <w:r w:rsidRPr="005B5CB6">
        <w:rPr>
          <w:rFonts w:ascii="Verdana" w:hAnsi="Verdana"/>
        </w:rPr>
        <w:t xml:space="preserve">There are two areas Full Fact believes the government could invest in to encourage a step change in the quality of work in this area – </w:t>
      </w:r>
    </w:p>
    <w:p w:rsidR="00FB0B24" w:rsidRPr="005B5CB6" w:rsidP="00575F14">
      <w:pPr>
        <w:numPr>
          <w:ilvl w:val="1"/>
          <w:numId w:val="138"/>
        </w:numPr>
        <w:spacing w:after="164" w:line="247" w:lineRule="auto"/>
        <w:ind w:right="73" w:hanging="360"/>
        <w:jc w:val="both"/>
        <w:rPr>
          <w:rFonts w:ascii="Verdana" w:hAnsi="Verdana"/>
        </w:rPr>
      </w:pPr>
      <w:r w:rsidRPr="005B5CB6">
        <w:rPr>
          <w:rFonts w:ascii="Verdana" w:hAnsi="Verdana"/>
        </w:rPr>
        <w:t xml:space="preserve">Review and support the development of better Natural Language Processing data and libraries for more languages, perhaps through the international development budget. Existing tools provide good support for some Western European languages, less support for Asian languages, and generally favour the languages of richer countries. This means that we are some way from being able to provide global technological solutions to what is a global problem. These limitations have hindered Full Fact’s and our international </w:t>
      </w:r>
    </w:p>
    <w:p w:rsidR="00FB0B24" w:rsidRPr="005B5CB6" w:rsidP="00A72806">
      <w:pPr>
        <w:spacing w:after="0" w:line="247" w:lineRule="auto"/>
        <w:ind w:left="1081" w:right="73"/>
        <w:jc w:val="both"/>
        <w:rPr>
          <w:rFonts w:ascii="Verdana" w:hAnsi="Verdana"/>
        </w:rPr>
      </w:pPr>
      <w:r w:rsidRPr="005B5CB6">
        <w:rPr>
          <w:rFonts w:ascii="Verdana" w:hAnsi="Verdana"/>
        </w:rPr>
        <w:t xml:space="preserve">peers’ work in this area and are a key barrier to the wider rollout of tools we already have. </w:t>
      </w:r>
    </w:p>
    <w:p w:rsidR="00FB0B24" w:rsidRPr="005B5CB6" w:rsidP="00575F14">
      <w:pPr>
        <w:numPr>
          <w:ilvl w:val="1"/>
          <w:numId w:val="138"/>
        </w:numPr>
        <w:spacing w:after="228" w:line="247" w:lineRule="auto"/>
        <w:ind w:right="73" w:hanging="360"/>
        <w:jc w:val="both"/>
        <w:rPr>
          <w:rFonts w:ascii="Verdana" w:hAnsi="Verdana"/>
        </w:rPr>
      </w:pPr>
      <w:r w:rsidRPr="005B5CB6">
        <w:rPr>
          <w:rFonts w:ascii="Verdana" w:hAnsi="Verdana"/>
        </w:rPr>
        <w:t xml:space="preserve">Support fact checkers and domain experts to provide independent assessments and benchmarks of proposed technologies by probing their strengths and weaknesses against carefully-designed test inputs. This function would be analogous to the role that Euro NCAP, the keeper of the crash test dummies, plays for the car industry. </w:t>
      </w:r>
    </w:p>
    <w:p w:rsidR="00FB0B24" w:rsidRPr="005B5CB6" w:rsidP="00575F14">
      <w:pPr>
        <w:numPr>
          <w:ilvl w:val="0"/>
          <w:numId w:val="138"/>
        </w:numPr>
        <w:spacing w:after="164" w:line="247" w:lineRule="auto"/>
        <w:ind w:right="73" w:hanging="360"/>
        <w:jc w:val="both"/>
        <w:rPr>
          <w:rFonts w:ascii="Verdana" w:hAnsi="Verdana"/>
        </w:rPr>
      </w:pPr>
      <w:r w:rsidRPr="005B5CB6">
        <w:rPr>
          <w:rFonts w:ascii="Verdana" w:hAnsi="Verdana"/>
        </w:rPr>
        <w:t xml:space="preserve">We would also note that developing ground-breaking technology in a non-profit environment is very difficult. Traditional sources of tech funding are profit oriented and focused on probabilities across their portfolio. Non-profit funding is smaller, focused on individual projects and less able to judge tech projects. Reaching scale is therefore hard, even when, as in Full Fact’s case, you are recognised as leaders in your field. </w:t>
      </w:r>
    </w:p>
    <w:p w:rsidR="00FB0B24" w:rsidRPr="005B5CB6" w:rsidP="00A72806">
      <w:pPr>
        <w:spacing w:after="0"/>
        <w:ind w:left="721"/>
        <w:jc w:val="both"/>
        <w:rPr>
          <w:rFonts w:ascii="Verdana" w:hAnsi="Verdana"/>
        </w:rPr>
      </w:pPr>
      <w:r w:rsidRPr="005B5CB6">
        <w:rPr>
          <w:rFonts w:ascii="Verdana" w:hAnsi="Verdana"/>
        </w:rPr>
        <w:t xml:space="preserve"> </w:t>
      </w:r>
    </w:p>
    <w:p w:rsidR="00FB0B24" w:rsidRPr="005B5CB6" w:rsidP="00A72806">
      <w:pPr>
        <w:spacing w:after="191" w:line="258" w:lineRule="auto"/>
        <w:ind w:left="356" w:right="9" w:hanging="10"/>
        <w:jc w:val="both"/>
        <w:rPr>
          <w:rFonts w:ascii="Verdana" w:hAnsi="Verdana"/>
        </w:rPr>
      </w:pPr>
      <w:r w:rsidRPr="005B5CB6">
        <w:rPr>
          <w:rFonts w:ascii="Verdana" w:hAnsi="Verdana"/>
          <w:b/>
        </w:rPr>
        <w:t xml:space="preserve">13. 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A72806">
      <w:pPr>
        <w:spacing w:after="164" w:line="247" w:lineRule="auto"/>
        <w:ind w:left="716" w:right="73" w:hanging="370"/>
        <w:jc w:val="both"/>
        <w:rPr>
          <w:rFonts w:ascii="Verdana" w:hAnsi="Verdana"/>
        </w:rPr>
      </w:pPr>
      <w:r w:rsidRPr="005B5CB6">
        <w:rPr>
          <w:rFonts w:ascii="Verdana" w:hAnsi="Verdana"/>
        </w:rPr>
        <w:t>66.</w:t>
      </w:r>
      <w:r w:rsidRPr="005B5CB6">
        <w:rPr>
          <w:rFonts w:ascii="Verdana" w:eastAsia="Arial" w:hAnsi="Verdana" w:cs="Arial"/>
        </w:rPr>
        <w:t xml:space="preserve"> </w:t>
      </w:r>
      <w:r w:rsidRPr="005B5CB6">
        <w:rPr>
          <w:rFonts w:ascii="Verdana" w:hAnsi="Verdana"/>
        </w:rPr>
        <w:t xml:space="preserve">If we are to ask elected representatives to use technology to better engage with the public, they should be given more support in using digital technology effectively. Doteveryone has done great work in this area, but these efforts should be built on by in-house support. There have already been good examples of this kind of work from the House of Commons. Similarly, we imagine that many staff across government would welcome from better training and support.  </w:t>
      </w:r>
    </w:p>
    <w:p w:rsidR="00FB0B24" w:rsidRPr="005B5CB6" w:rsidP="00A72806">
      <w:pPr>
        <w:spacing w:after="0"/>
        <w:ind w:left="721"/>
        <w:jc w:val="both"/>
        <w:rPr>
          <w:rFonts w:ascii="Verdana" w:hAnsi="Verdana"/>
        </w:rPr>
      </w:pPr>
      <w:r w:rsidRPr="005B5CB6">
        <w:rPr>
          <w:rFonts w:ascii="Verdana" w:hAnsi="Verdana"/>
        </w:rPr>
        <w:t xml:space="preserve"> </w:t>
      </w:r>
    </w:p>
    <w:p w:rsidR="00FB0B24" w:rsidRPr="005B5CB6" w:rsidP="00A72806">
      <w:pPr>
        <w:spacing w:after="191" w:line="258" w:lineRule="auto"/>
        <w:ind w:left="356" w:right="9" w:hanging="10"/>
        <w:jc w:val="both"/>
        <w:rPr>
          <w:rFonts w:ascii="Verdana" w:hAnsi="Verdana"/>
        </w:rPr>
      </w:pPr>
      <w:r w:rsidRPr="005B5CB6">
        <w:rPr>
          <w:rFonts w:ascii="Verdana" w:hAnsi="Verdana"/>
          <w:b/>
        </w:rPr>
        <w:t xml:space="preserve">14. What positive examples are there of technology being used to enhance democracy? </w:t>
      </w:r>
    </w:p>
    <w:p w:rsidR="00FB0B24" w:rsidRPr="005B5CB6" w:rsidP="00575F14">
      <w:pPr>
        <w:numPr>
          <w:ilvl w:val="0"/>
          <w:numId w:val="139"/>
        </w:numPr>
        <w:spacing w:after="164" w:line="247" w:lineRule="auto"/>
        <w:ind w:right="73" w:hanging="360"/>
        <w:jc w:val="both"/>
        <w:rPr>
          <w:rFonts w:ascii="Verdana" w:hAnsi="Verdana"/>
        </w:rPr>
      </w:pPr>
      <w:r w:rsidRPr="005B5CB6">
        <w:rPr>
          <w:rFonts w:ascii="Verdana" w:hAnsi="Verdana"/>
        </w:rPr>
        <w:t xml:space="preserve">We believe access to good information is a crucial part of democracy. We don’t expect people to make decisions based on facts alone, but we want people to be confident that they are not making a decision on the basis of a statement that may later turn out to be false, misleading or exaggerated. The internet allows Full Fact to serve millions of people every year. </w:t>
      </w:r>
    </w:p>
    <w:p w:rsidR="00FB0B24" w:rsidRPr="005B5CB6" w:rsidP="00575F14">
      <w:pPr>
        <w:numPr>
          <w:ilvl w:val="0"/>
          <w:numId w:val="139"/>
        </w:numPr>
        <w:spacing w:after="164" w:line="247" w:lineRule="auto"/>
        <w:ind w:right="73" w:hanging="360"/>
        <w:jc w:val="both"/>
        <w:rPr>
          <w:rFonts w:ascii="Verdana" w:hAnsi="Verdana"/>
        </w:rPr>
      </w:pPr>
      <w:r w:rsidRPr="005B5CB6">
        <w:rPr>
          <w:rFonts w:ascii="Verdana" w:hAnsi="Verdana"/>
        </w:rPr>
        <w:t xml:space="preserve">With a focus on fact checking, our approach is to identify solvable problems and develop technology to solve those specific issues, with the aim of using technology to scale, target, and dramatically increase the effectiveness of our work. We are already seeing the benefits of this, as our tools help us to live-check events like Prime Minister’s Questions and detect repeat claims that we can seek to correct. </w:t>
      </w:r>
    </w:p>
    <w:p w:rsidR="00FB0B24" w:rsidRPr="005B5CB6" w:rsidP="00575F14">
      <w:pPr>
        <w:numPr>
          <w:ilvl w:val="0"/>
          <w:numId w:val="139"/>
        </w:numPr>
        <w:spacing w:after="164" w:line="247" w:lineRule="auto"/>
        <w:ind w:right="73" w:hanging="360"/>
        <w:jc w:val="both"/>
        <w:rPr>
          <w:rFonts w:ascii="Verdana" w:hAnsi="Verdana"/>
        </w:rPr>
      </w:pPr>
      <w:r w:rsidRPr="005B5CB6">
        <w:rPr>
          <w:rFonts w:ascii="Verdana" w:hAnsi="Verdana"/>
        </w:rPr>
        <w:t xml:space="preserve">However, at the moment, we would be deeply sceptical about any technology claiming to be able to distinguish between trustworthy and untrustworthy information at scale in such a way that it could be used to promote or demote arbitrary content being shared online. Even if a technology appeared to deliver useful results, we would expect to find damaging unintended consequences when we scrutinised how it worked. </w:t>
      </w:r>
    </w:p>
    <w:p w:rsidR="00FB0B24" w:rsidRPr="005B5CB6" w:rsidP="00575F14">
      <w:pPr>
        <w:numPr>
          <w:ilvl w:val="0"/>
          <w:numId w:val="139"/>
        </w:numPr>
        <w:spacing w:after="137" w:line="247" w:lineRule="auto"/>
        <w:ind w:right="73" w:hanging="360"/>
        <w:jc w:val="both"/>
        <w:rPr>
          <w:rFonts w:ascii="Verdana" w:hAnsi="Verdana"/>
        </w:rPr>
      </w:pPr>
      <w:r w:rsidRPr="005B5CB6">
        <w:rPr>
          <w:rFonts w:ascii="Verdana" w:hAnsi="Verdana"/>
        </w:rPr>
        <w:t xml:space="preserve">Beyond this, we would again point to the excellent work done by the civic society organisations referred to earlier, many of which gather and record information that is used by many other organisations in this space. </w:t>
      </w:r>
    </w:p>
    <w:p w:rsidR="00FB0B24" w:rsidRPr="005B5CB6" w:rsidP="00A72806">
      <w:pPr>
        <w:spacing w:after="11" w:line="247" w:lineRule="auto"/>
        <w:ind w:left="346" w:right="73"/>
        <w:jc w:val="both"/>
        <w:rPr>
          <w:rFonts w:ascii="Verdana" w:hAnsi="Verdana"/>
        </w:rPr>
      </w:pPr>
      <w:r w:rsidRPr="005B5CB6">
        <w:rPr>
          <w:rFonts w:ascii="Verdana" w:hAnsi="Verdana"/>
        </w:rPr>
        <w:t>5.</w:t>
      </w:r>
      <w:r w:rsidRPr="005B5CB6">
        <w:rPr>
          <w:rFonts w:ascii="Verdana" w:eastAsia="Arial" w:hAnsi="Verdana" w:cs="Arial"/>
        </w:rPr>
        <w:t xml:space="preserve"> </w:t>
      </w:r>
      <w:r w:rsidRPr="005B5CB6">
        <w:rPr>
          <w:rFonts w:ascii="Verdana" w:hAnsi="Verdana"/>
          <w:noProof/>
        </w:rPr>
        <mc:AlternateContent>
          <mc:Choice Requires="wpg">
            <w:drawing>
              <wp:inline distT="0" distB="0" distL="0" distR="0">
                <wp:extent cx="1828800" cy="9144"/>
                <wp:effectExtent l="0" t="0" r="0" b="0"/>
                <wp:docPr id="553405" name="Group 55340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31" name="Shape 63593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27" style="height:0.72pt;mso-position-horizontal-relative:char;mso-position-vertical-relative:line;width:2in" coordsize="18288,91">
                <v:shape id="_x0000_s122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140"/>
        </w:numPr>
        <w:spacing w:after="4" w:line="256" w:lineRule="auto"/>
        <w:ind w:hanging="360"/>
        <w:jc w:val="both"/>
        <w:rPr>
          <w:rFonts w:ascii="Verdana" w:hAnsi="Verdana"/>
        </w:rPr>
      </w:pPr>
      <w:r w:rsidRPr="005B5CB6">
        <w:rPr>
          <w:rFonts w:ascii="Verdana" w:hAnsi="Verdana"/>
          <w:vertAlign w:val="superscript"/>
        </w:rPr>
        <w:t>i</w:t>
      </w:r>
      <w:r>
        <w:fldChar w:fldCharType="begin"/>
      </w:r>
      <w:r>
        <w:instrText xml:space="preserve"> HYPERLINK "https://www.buzzfeednews.com/article/craigsilverman/funders-are-ready-to-pull-out-of-facebooks-academic-data" </w:instrText>
      </w:r>
      <w:r>
        <w:fldChar w:fldCharType="separate"/>
      </w:r>
      <w:r w:rsidRPr="005B5CB6">
        <w:rPr>
          <w:rFonts w:ascii="Verdana" w:hAnsi="Verdana"/>
        </w:rPr>
        <w:t xml:space="preserve"> </w:t>
      </w:r>
      <w:r>
        <w:fldChar w:fldCharType="end"/>
      </w:r>
      <w:r>
        <w:fldChar w:fldCharType="begin"/>
      </w:r>
      <w:r>
        <w:instrText xml:space="preserve"> HYPERLINK "https://www.buzzfeednews.com/article/craigsilverman/funders-are-ready-to-pull-out-of-facebooks-academic-data" </w:instrText>
      </w:r>
      <w:r>
        <w:fldChar w:fldCharType="separate"/>
      </w:r>
      <w:r w:rsidRPr="005B5CB6">
        <w:rPr>
          <w:rFonts w:ascii="Verdana" w:hAnsi="Verdana"/>
          <w:color w:val="0563C1"/>
          <w:u w:val="single" w:color="0563C1"/>
        </w:rPr>
        <w:t>https://www.buzzfeednews.com/article/craigsilverman/funders-are-ready-to-pull-out-of-facebooks</w:t>
      </w:r>
      <w:r>
        <w:fldChar w:fldCharType="end"/>
      </w:r>
      <w:r>
        <w:fldChar w:fldCharType="begin"/>
      </w:r>
      <w:r>
        <w:instrText xml:space="preserve"> HYPERLINK "https://www.buzzfeednews.com/article/craigsilverman/funders-are-ready-to-pull-out-of-facebooks-academic-data" </w:instrText>
      </w:r>
      <w:r>
        <w:fldChar w:fldCharType="separate"/>
      </w:r>
      <w:r w:rsidRPr="005B5CB6">
        <w:rPr>
          <w:rFonts w:ascii="Verdana" w:hAnsi="Verdana"/>
          <w:color w:val="0563C1"/>
          <w:u w:val="single" w:color="0563C1"/>
        </w:rPr>
        <w:t>academic-data</w:t>
      </w:r>
      <w:r>
        <w:fldChar w:fldCharType="end"/>
      </w:r>
      <w:r>
        <w:fldChar w:fldCharType="begin"/>
      </w:r>
      <w:r>
        <w:instrText xml:space="preserve"> HYPERLINK "https://www.buzzfeednews.com/article/craigsilverman/funders-are-ready-to-pull-out-of-facebooks-academic-data" </w:instrText>
      </w:r>
      <w:r>
        <w:fldChar w:fldCharType="separate"/>
      </w:r>
      <w:r w:rsidRPr="005B5CB6">
        <w:rPr>
          <w:rFonts w:ascii="Verdana" w:hAnsi="Verdana"/>
        </w:rPr>
        <w:t xml:space="preserve"> </w:t>
      </w:r>
      <w:r>
        <w:fldChar w:fldCharType="end"/>
      </w:r>
    </w:p>
    <w:p w:rsidR="00FB0B24" w:rsidRPr="005B5CB6" w:rsidP="00575F14">
      <w:pPr>
        <w:numPr>
          <w:ilvl w:val="0"/>
          <w:numId w:val="140"/>
        </w:numPr>
        <w:spacing w:after="4" w:line="256" w:lineRule="auto"/>
        <w:ind w:hanging="360"/>
        <w:jc w:val="both"/>
        <w:rPr>
          <w:rFonts w:ascii="Verdana" w:hAnsi="Verdana"/>
        </w:rPr>
      </w:pPr>
      <w:r w:rsidRPr="005B5CB6">
        <w:rPr>
          <w:rFonts w:ascii="Verdana" w:hAnsi="Verdana"/>
          <w:vertAlign w:val="superscript"/>
        </w:rPr>
        <w:t>ii</w:t>
      </w:r>
      <w:r>
        <w:fldChar w:fldCharType="begin"/>
      </w:r>
      <w:r>
        <w:instrText xml:space="preserve"> HYPERLINK "https://fullfact.org/media/uploads/tpfc-q1q2-2019.pdf" </w:instrText>
      </w:r>
      <w:r>
        <w:fldChar w:fldCharType="separate"/>
      </w:r>
      <w:r w:rsidRPr="005B5CB6">
        <w:rPr>
          <w:rFonts w:ascii="Verdana" w:hAnsi="Verdana"/>
        </w:rPr>
        <w:t xml:space="preserve"> </w:t>
      </w:r>
      <w:r>
        <w:fldChar w:fldCharType="end"/>
      </w:r>
      <w:r>
        <w:fldChar w:fldCharType="begin"/>
      </w:r>
      <w:r>
        <w:instrText xml:space="preserve"> HYPERLINK "https://fullfact.org/media/uploads/tpfc-q1q2-2019.pdf" </w:instrText>
      </w:r>
      <w:r>
        <w:fldChar w:fldCharType="separate"/>
      </w:r>
      <w:r w:rsidRPr="005B5CB6">
        <w:rPr>
          <w:rFonts w:ascii="Verdana" w:hAnsi="Verdana"/>
          <w:color w:val="0563C1"/>
          <w:u w:val="single" w:color="0563C1"/>
        </w:rPr>
        <w:t>https://fullfact.org/media/uploads/tpfc-q1q2-2019.pdf</w:t>
      </w:r>
      <w:r>
        <w:fldChar w:fldCharType="end"/>
      </w:r>
      <w:r>
        <w:fldChar w:fldCharType="begin"/>
      </w:r>
      <w:r>
        <w:instrText xml:space="preserve"> HYPERLINK "https://fullfact.org/media/uploads/tpfc-q1q2-2019.pdf" </w:instrText>
      </w:r>
      <w:r>
        <w:fldChar w:fldCharType="separate"/>
      </w:r>
      <w:r w:rsidRPr="005B5CB6">
        <w:rPr>
          <w:rFonts w:ascii="Verdana" w:hAnsi="Verdana"/>
        </w:rPr>
        <w:t xml:space="preserve"> </w:t>
      </w:r>
      <w:r>
        <w:fldChar w:fldCharType="end"/>
      </w:r>
    </w:p>
    <w:p w:rsidR="00FB0B24" w:rsidRPr="005B5CB6" w:rsidP="00A72806">
      <w:pPr>
        <w:spacing w:after="11" w:line="247" w:lineRule="auto"/>
        <w:ind w:left="346" w:right="73"/>
        <w:jc w:val="both"/>
        <w:rPr>
          <w:rFonts w:ascii="Verdana" w:hAnsi="Verdana"/>
        </w:rPr>
      </w:pPr>
      <w:r w:rsidRPr="005B5CB6">
        <w:rPr>
          <w:rFonts w:ascii="Verdana" w:hAnsi="Verdana"/>
        </w:rPr>
        <w:t>7.</w:t>
      </w:r>
      <w:r w:rsidRPr="005B5CB6">
        <w:rPr>
          <w:rFonts w:ascii="Verdana" w:eastAsia="Arial" w:hAnsi="Verdana" w:cs="Arial"/>
        </w:rPr>
        <w:t xml:space="preserve"> </w:t>
      </w:r>
      <w:r w:rsidRPr="005B5CB6">
        <w:rPr>
          <w:rFonts w:ascii="Verdana" w:hAnsi="Verdana"/>
          <w:noProof/>
        </w:rPr>
        <mc:AlternateContent>
          <mc:Choice Requires="wpg">
            <w:drawing>
              <wp:inline distT="0" distB="0" distL="0" distR="0">
                <wp:extent cx="5274564" cy="9144"/>
                <wp:effectExtent l="0" t="0" r="0" b="0"/>
                <wp:docPr id="553760" name="Group 553760"/>
                <wp:cNvGraphicFramePr/>
                <a:graphic xmlns:a="http://schemas.openxmlformats.org/drawingml/2006/main">
                  <a:graphicData uri="http://schemas.microsoft.com/office/word/2010/wordprocessingGroup">
                    <wpg:wgp xmlns:wpg="http://schemas.microsoft.com/office/word/2010/wordprocessingGroup">
                      <wpg:cNvGrpSpPr/>
                      <wpg:grpSpPr>
                        <a:xfrm>
                          <a:off x="0" y="0"/>
                          <a:ext cx="5274564" cy="9144"/>
                          <a:chOff x="0" y="0"/>
                          <a:chExt cx="5274564" cy="9144"/>
                        </a:xfrm>
                      </wpg:grpSpPr>
                      <wps:wsp xmlns:wps="http://schemas.microsoft.com/office/word/2010/wordprocessingShape">
                        <wps:cNvPr id="635933" name="Shape 635933"/>
                        <wps:cNvSpPr/>
                        <wps:spPr>
                          <a:xfrm>
                            <a:off x="0" y="0"/>
                            <a:ext cx="5274564" cy="9144"/>
                          </a:xfrm>
                          <a:custGeom>
                            <a:avLst/>
                            <a:gdLst/>
                            <a:ahLst/>
                            <a:cxnLst/>
                            <a:rect l="0" t="0" r="0" b="0"/>
                            <a:pathLst>
                              <a:path w="5274564" h="9144">
                                <a:moveTo>
                                  <a:pt x="0" y="0"/>
                                </a:moveTo>
                                <a:lnTo>
                                  <a:pt x="5274564" y="0"/>
                                </a:lnTo>
                                <a:lnTo>
                                  <a:pt x="52745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29" style="height:0.72pt;mso-position-horizontal-relative:char;mso-position-vertical-relative:line;width:415.32pt" coordsize="52745,91">
                <v:shape id="_x0000_s1230" style="height:91;position:absolute;width:52745" coordsize="5274564,9144" path="m,l5274564,l5274564,9144l,9144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141"/>
        </w:numPr>
        <w:spacing w:after="4" w:line="256" w:lineRule="auto"/>
        <w:ind w:hanging="360"/>
        <w:jc w:val="both"/>
        <w:rPr>
          <w:rFonts w:ascii="Verdana" w:hAnsi="Verdana"/>
        </w:rPr>
      </w:pPr>
      <w:r w:rsidRPr="005B5CB6">
        <w:rPr>
          <w:rFonts w:ascii="Verdana" w:hAnsi="Verdana"/>
          <w:vertAlign w:val="superscript"/>
        </w:rPr>
        <w:t>iii</w:t>
      </w:r>
      <w:r>
        <w:fldChar w:fldCharType="begin"/>
      </w:r>
      <w:r>
        <w:instrText xml:space="preserve"> HYPERLINK "https://fullfact.org/toolkit/" </w:instrText>
      </w:r>
      <w:r>
        <w:fldChar w:fldCharType="separate"/>
      </w:r>
      <w:r w:rsidRPr="005B5CB6">
        <w:rPr>
          <w:rFonts w:ascii="Verdana" w:hAnsi="Verdana"/>
        </w:rPr>
        <w:t xml:space="preserve"> </w:t>
      </w:r>
      <w:r>
        <w:fldChar w:fldCharType="end"/>
      </w:r>
      <w:r>
        <w:fldChar w:fldCharType="begin"/>
      </w:r>
      <w:r>
        <w:instrText xml:space="preserve"> HYPERLINK "https://fullfact.org/toolkit/" </w:instrText>
      </w:r>
      <w:r>
        <w:fldChar w:fldCharType="separate"/>
      </w:r>
      <w:r w:rsidRPr="005B5CB6">
        <w:rPr>
          <w:rFonts w:ascii="Verdana" w:hAnsi="Verdana"/>
          <w:color w:val="0563C1"/>
          <w:u w:val="single" w:color="0563C1"/>
        </w:rPr>
        <w:t>https://fullfact.org/toolkit/</w:t>
      </w:r>
      <w:r>
        <w:fldChar w:fldCharType="end"/>
      </w:r>
      <w:r>
        <w:fldChar w:fldCharType="begin"/>
      </w:r>
      <w:r>
        <w:instrText xml:space="preserve"> HYPERLINK "https://fullfact.org/toolkit/" </w:instrText>
      </w:r>
      <w:r>
        <w:fldChar w:fldCharType="separate"/>
      </w:r>
      <w:r w:rsidRPr="005B5CB6">
        <w:rPr>
          <w:rFonts w:ascii="Verdana" w:hAnsi="Verdana"/>
        </w:rPr>
        <w:t xml:space="preserve"> </w:t>
      </w:r>
      <w:r>
        <w:fldChar w:fldCharType="end"/>
      </w:r>
    </w:p>
    <w:p w:rsidR="00FB0B24" w:rsidRPr="005B5CB6" w:rsidP="00575F14">
      <w:pPr>
        <w:numPr>
          <w:ilvl w:val="0"/>
          <w:numId w:val="141"/>
        </w:numPr>
        <w:spacing w:after="4" w:line="256" w:lineRule="auto"/>
        <w:ind w:hanging="360"/>
        <w:jc w:val="both"/>
        <w:rPr>
          <w:rFonts w:ascii="Verdana" w:hAnsi="Verdana"/>
        </w:rPr>
      </w:pPr>
      <w:r w:rsidRPr="005B5CB6">
        <w:rPr>
          <w:rFonts w:ascii="Verdana" w:hAnsi="Verdana"/>
          <w:vertAlign w:val="superscript"/>
        </w:rPr>
        <w:t>iv</w:t>
      </w:r>
      <w:r>
        <w:fldChar w:fldCharType="begin"/>
      </w:r>
      <w:r>
        <w:instrText xml:space="preserve"> HYPERLINK "https://www.gov.uk/government/publications/teaching-online-safety-in-schools" </w:instrText>
      </w:r>
      <w:r>
        <w:fldChar w:fldCharType="separate"/>
      </w:r>
      <w:r w:rsidRPr="005B5CB6">
        <w:rPr>
          <w:rFonts w:ascii="Verdana" w:hAnsi="Verdana"/>
        </w:rPr>
        <w:t xml:space="preserve"> </w:t>
      </w:r>
      <w:r>
        <w:fldChar w:fldCharType="end"/>
      </w:r>
      <w:r>
        <w:fldChar w:fldCharType="begin"/>
      </w:r>
      <w:r>
        <w:instrText xml:space="preserve"> HYPERLINK "https://www.gov.uk/government/publications/teaching-online-safety-in-schools" </w:instrText>
      </w:r>
      <w:r>
        <w:fldChar w:fldCharType="separate"/>
      </w:r>
      <w:r w:rsidRPr="005B5CB6">
        <w:rPr>
          <w:rFonts w:ascii="Verdana" w:hAnsi="Verdana"/>
          <w:color w:val="0563C1"/>
          <w:u w:val="single" w:color="0563C1"/>
        </w:rPr>
        <w:t>https://www.gov.uk/government/publications/teaching-online-safety-in-schools</w:t>
      </w:r>
      <w:r>
        <w:fldChar w:fldCharType="end"/>
      </w:r>
      <w:r>
        <w:fldChar w:fldCharType="begin"/>
      </w:r>
      <w:r>
        <w:instrText xml:space="preserve"> HYPERLINK "https://www.gov.uk/government/publications/teaching-online-safety-in-schools" </w:instrText>
      </w:r>
      <w:r>
        <w:fldChar w:fldCharType="separate"/>
      </w:r>
      <w:r w:rsidRPr="005B5CB6">
        <w:rPr>
          <w:rFonts w:ascii="Verdana" w:hAnsi="Verdana"/>
        </w:rPr>
        <w:t xml:space="preserve"> </w:t>
      </w:r>
      <w:r>
        <w:fldChar w:fldCharType="end"/>
      </w:r>
    </w:p>
    <w:p w:rsidR="00FB0B24" w:rsidRPr="005B5CB6" w:rsidP="00575F14">
      <w:pPr>
        <w:numPr>
          <w:ilvl w:val="0"/>
          <w:numId w:val="141"/>
        </w:numPr>
        <w:spacing w:after="2" w:line="255" w:lineRule="auto"/>
        <w:ind w:hanging="360"/>
        <w:jc w:val="both"/>
        <w:rPr>
          <w:rFonts w:ascii="Verdana" w:hAnsi="Verdana"/>
        </w:rPr>
      </w:pPr>
      <w:r w:rsidRPr="005B5CB6">
        <w:rPr>
          <w:rFonts w:ascii="Verdana" w:hAnsi="Verdana"/>
          <w:vertAlign w:val="superscript"/>
        </w:rPr>
        <w:t>v</w:t>
      </w:r>
      <w:r>
        <w:fldChar w:fldCharType="begin"/>
      </w:r>
      <w:r>
        <w:instrText xml:space="preserve"> HYPERLINK "https://www.parliament.uk/documents/commons-committees/culture-media-and-sport/Responses-to-Disinformation-Report.pdf" </w:instrText>
      </w:r>
      <w:r>
        <w:fldChar w:fldCharType="separate"/>
      </w:r>
      <w:r w:rsidRPr="005B5CB6">
        <w:rPr>
          <w:rFonts w:ascii="Verdana" w:hAnsi="Verdana"/>
        </w:rPr>
        <w:t xml:space="preserve"> </w:t>
      </w:r>
      <w:r>
        <w:fldChar w:fldCharType="end"/>
      </w:r>
      <w:r>
        <w:fldChar w:fldCharType="begin"/>
      </w:r>
      <w:r>
        <w:instrText xml:space="preserve"> HYPERLINK "https://www.parliament.uk/documents/commons-committees/culture-media-and-sport/Responses-to-Disinformation-Report.pdf" </w:instrText>
      </w:r>
      <w:r>
        <w:fldChar w:fldCharType="separate"/>
      </w:r>
      <w:r w:rsidRPr="005B5CB6">
        <w:rPr>
          <w:rFonts w:ascii="Verdana" w:hAnsi="Verdana"/>
          <w:color w:val="0000FF"/>
          <w:u w:val="single" w:color="0000FF"/>
        </w:rPr>
        <w:t>https://www.parliament.uk/documents/commons-committees/culture-media-and</w:t>
      </w:r>
      <w:r>
        <w:fldChar w:fldCharType="end"/>
      </w:r>
      <w:r>
        <w:fldChar w:fldCharType="begin"/>
      </w:r>
      <w:r>
        <w:instrText xml:space="preserve"> HYPERLINK "https://www.parliament.uk/documents/commons-committees/culture-media-and-sport/Responses-to-Disinformation-Report.pdf" </w:instrText>
      </w:r>
      <w:r>
        <w:fldChar w:fldCharType="separate"/>
      </w:r>
      <w:r w:rsidRPr="005B5CB6">
        <w:rPr>
          <w:rFonts w:ascii="Verdana" w:hAnsi="Verdana"/>
          <w:color w:val="0000FF"/>
          <w:u w:val="single" w:color="0000FF"/>
        </w:rPr>
        <w:t>sport/Responses-to-Disinformation-Report.pdf</w:t>
      </w:r>
      <w:r>
        <w:fldChar w:fldCharType="end"/>
      </w:r>
      <w:r>
        <w:fldChar w:fldCharType="begin"/>
      </w:r>
      <w:r>
        <w:instrText xml:space="preserve"> HYPERLINK "https://www.parliament.uk/documents/commons-committees/culture-media-and-sport/Responses-to-Disinformation-Report.pdf" </w:instrText>
      </w:r>
      <w:r>
        <w:fldChar w:fldCharType="separate"/>
      </w:r>
      <w:r w:rsidRPr="005B5CB6">
        <w:rPr>
          <w:rFonts w:ascii="Verdana" w:hAnsi="Verdana"/>
        </w:rPr>
        <w:t xml:space="preserve"> </w:t>
      </w:r>
      <w:r>
        <w:fldChar w:fldCharType="end"/>
      </w:r>
    </w:p>
    <w:p w:rsidR="00FB0B24" w:rsidRPr="005B5CB6" w:rsidP="00575F14">
      <w:pPr>
        <w:numPr>
          <w:ilvl w:val="0"/>
          <w:numId w:val="141"/>
        </w:numPr>
        <w:spacing w:after="2" w:line="255" w:lineRule="auto"/>
        <w:ind w:hanging="360"/>
        <w:jc w:val="both"/>
        <w:rPr>
          <w:rFonts w:ascii="Verdana" w:hAnsi="Verdana"/>
        </w:rPr>
      </w:pPr>
      <w:r w:rsidRPr="005B5CB6">
        <w:rPr>
          <w:rFonts w:ascii="Verdana" w:hAnsi="Verdana"/>
          <w:vertAlign w:val="superscript"/>
        </w:rPr>
        <w:t>vi</w:t>
      </w:r>
      <w:r>
        <w:fldChar w:fldCharType="begin"/>
      </w:r>
      <w:r>
        <w:instrText xml:space="preserve"> HYPERLINK "https://www.parliament.uk/business/committees/committees-a-z/commons-select/digital-culture-media-and-sport-committee/news/online-harms-report-published-17-19/" </w:instrText>
      </w:r>
      <w:r>
        <w:fldChar w:fldCharType="separate"/>
      </w:r>
      <w:r w:rsidRPr="005B5CB6">
        <w:rPr>
          <w:rFonts w:ascii="Verdana" w:hAnsi="Verdana"/>
        </w:rPr>
        <w:t xml:space="preserve"> </w:t>
      </w:r>
      <w:r>
        <w:fldChar w:fldCharType="end"/>
      </w:r>
      <w:r>
        <w:fldChar w:fldCharType="begin"/>
      </w:r>
      <w:r>
        <w:instrText xml:space="preserve"> HYPERLINK "https://www.parliament.uk/business/committees/committees-a-z/commons-select/digital-culture-media-and-sport-committee/news/online-harms-report-published-17-19/" </w:instrText>
      </w:r>
      <w:r>
        <w:fldChar w:fldCharType="separate"/>
      </w:r>
      <w:r w:rsidRPr="005B5CB6">
        <w:rPr>
          <w:rFonts w:ascii="Verdana" w:hAnsi="Verdana"/>
          <w:color w:val="0000FF"/>
          <w:u w:val="single" w:color="0000FF"/>
        </w:rPr>
        <w:t>https://www.parliament.uk/business/committees/committees-a-z/commons-select/digital-culture</w:t>
      </w:r>
      <w:r>
        <w:fldChar w:fldCharType="end"/>
      </w:r>
      <w:r>
        <w:fldChar w:fldCharType="begin"/>
      </w:r>
      <w:r>
        <w:instrText xml:space="preserve"> HYPERLINK "https://www.parliament.uk/business/committees/committees-a-z/commons-select/digital-culture-media-and-sport-committee/news/online-harms-report-published-17-19/" </w:instrText>
      </w:r>
      <w:r>
        <w:fldChar w:fldCharType="separate"/>
      </w:r>
      <w:r w:rsidRPr="005B5CB6">
        <w:rPr>
          <w:rFonts w:ascii="Verdana" w:hAnsi="Verdana"/>
          <w:color w:val="0000FF"/>
          <w:u w:val="single" w:color="0000FF"/>
        </w:rPr>
        <w:t>media-and-sport-committee/news/online-harms-report-published-17-19/</w:t>
      </w:r>
      <w:r>
        <w:fldChar w:fldCharType="end"/>
      </w:r>
      <w:r>
        <w:fldChar w:fldCharType="begin"/>
      </w:r>
      <w:r>
        <w:instrText xml:space="preserve"> HYPERLINK "https://www.parliament.uk/business/committees/committees-a-z/commons-select/digital-culture-media-and-sport-committee/news/online-harms-report-published-17-19/" </w:instrText>
      </w:r>
      <w:r>
        <w:fldChar w:fldCharType="separate"/>
      </w:r>
      <w:r w:rsidRPr="005B5CB6">
        <w:rPr>
          <w:rFonts w:ascii="Verdana" w:hAnsi="Verdana"/>
        </w:rPr>
        <w:t xml:space="preserve"> </w:t>
      </w:r>
      <w:r>
        <w:fldChar w:fldCharType="end"/>
      </w:r>
    </w:p>
    <w:p w:rsidR="00FB0B24" w:rsidRPr="005B5CB6" w:rsidP="00575F14">
      <w:pPr>
        <w:numPr>
          <w:ilvl w:val="0"/>
          <w:numId w:val="141"/>
        </w:numPr>
        <w:spacing w:after="2" w:line="255" w:lineRule="auto"/>
        <w:ind w:hanging="360"/>
        <w:jc w:val="both"/>
        <w:rPr>
          <w:rFonts w:ascii="Verdana" w:hAnsi="Verdana"/>
        </w:rPr>
      </w:pPr>
      <w:r w:rsidRPr="005B5CB6">
        <w:rPr>
          <w:rFonts w:ascii="Verdana" w:hAnsi="Verdana"/>
          <w:vertAlign w:val="superscript"/>
        </w:rPr>
        <w:t>vii</w:t>
      </w:r>
      <w:r>
        <w:fldChar w:fldCharType="begin"/>
      </w:r>
      <w:r>
        <w:instrText xml:space="preserve"> HYPERLINK "https://www.bloomberg.com/news/articles/2018-04-03/trump-s-campaign-said-it-was-better-at-facebook-facebook-agrees" </w:instrText>
      </w:r>
      <w:r>
        <w:fldChar w:fldCharType="separate"/>
      </w:r>
      <w:r w:rsidRPr="005B5CB6">
        <w:rPr>
          <w:rFonts w:ascii="Verdana" w:hAnsi="Verdana"/>
        </w:rPr>
        <w:t xml:space="preserve"> </w:t>
      </w:r>
      <w:r>
        <w:fldChar w:fldCharType="end"/>
      </w:r>
      <w:r>
        <w:fldChar w:fldCharType="begin"/>
      </w:r>
      <w:r>
        <w:instrText xml:space="preserve"> HYPERLINK "https://www.bloomberg.com/news/articles/2018-04-03/trump-s-campaign-said-it-was-better-at-facebook-facebook-agrees" </w:instrText>
      </w:r>
      <w:r>
        <w:fldChar w:fldCharType="separate"/>
      </w:r>
      <w:r w:rsidRPr="005B5CB6">
        <w:rPr>
          <w:rFonts w:ascii="Verdana" w:hAnsi="Verdana"/>
          <w:color w:val="0000FF"/>
          <w:u w:val="single" w:color="0000FF"/>
        </w:rPr>
        <w:t>https://www.bloomberg.com/news/articles/2018-04-03/trump-s-campaign-said-it-was-better-at</w:t>
      </w:r>
      <w:r>
        <w:fldChar w:fldCharType="end"/>
      </w:r>
      <w:r>
        <w:fldChar w:fldCharType="begin"/>
      </w:r>
      <w:r>
        <w:instrText xml:space="preserve"> HYPERLINK "https://www.bloomberg.com/news/articles/2018-04-03/trump-s-campaign-said-it-was-better-at-facebook-facebook-agrees" </w:instrText>
      </w:r>
      <w:r>
        <w:fldChar w:fldCharType="separate"/>
      </w:r>
      <w:r w:rsidRPr="005B5CB6">
        <w:rPr>
          <w:rFonts w:ascii="Verdana" w:hAnsi="Verdana"/>
          <w:color w:val="0000FF"/>
          <w:u w:val="single" w:color="0000FF"/>
        </w:rPr>
        <w:t>facebook-facebook-agrees</w:t>
      </w:r>
      <w:r>
        <w:fldChar w:fldCharType="end"/>
      </w:r>
      <w:r>
        <w:fldChar w:fldCharType="begin"/>
      </w:r>
      <w:r>
        <w:instrText xml:space="preserve"> HYPERLINK "https://www.bloomberg.com/news/articles/2018-04-03/trump-s-campaign-said-it-was-better-at-facebook-facebook-agrees" </w:instrText>
      </w:r>
      <w:r>
        <w:fldChar w:fldCharType="separate"/>
      </w:r>
      <w:r w:rsidRPr="005B5CB6">
        <w:rPr>
          <w:rFonts w:ascii="Verdana" w:hAnsi="Verdana"/>
        </w:rPr>
        <w:t xml:space="preserve"> </w:t>
      </w:r>
      <w:r>
        <w:fldChar w:fldCharType="end"/>
      </w:r>
      <w:r w:rsidRPr="005B5CB6">
        <w:rPr>
          <w:rFonts w:ascii="Verdana" w:hAnsi="Verdana"/>
        </w:rPr>
        <w:t xml:space="preserve"> </w:t>
      </w:r>
    </w:p>
    <w:p w:rsidR="00FB0B24" w:rsidRPr="005B5CB6" w:rsidP="00575F14">
      <w:pPr>
        <w:numPr>
          <w:ilvl w:val="0"/>
          <w:numId w:val="141"/>
        </w:numPr>
        <w:spacing w:after="4" w:line="256" w:lineRule="auto"/>
        <w:ind w:hanging="360"/>
        <w:jc w:val="both"/>
        <w:rPr>
          <w:rFonts w:ascii="Verdana" w:hAnsi="Verdana"/>
        </w:rPr>
      </w:pPr>
      <w:r w:rsidRPr="005B5CB6">
        <w:rPr>
          <w:rFonts w:ascii="Verdana" w:hAnsi="Verdana"/>
          <w:vertAlign w:val="superscript"/>
        </w:rPr>
        <w:t>viii</w:t>
      </w:r>
      <w:r>
        <w:fldChar w:fldCharType="begin"/>
      </w:r>
      <w:r>
        <w:instrText xml:space="preserve"> HYPERLINK "https://www.gov.uk/government/news/government-safeguards-uk-elections" </w:instrText>
      </w:r>
      <w:r>
        <w:fldChar w:fldCharType="separate"/>
      </w:r>
      <w:r w:rsidRPr="005B5CB6">
        <w:rPr>
          <w:rFonts w:ascii="Verdana" w:hAnsi="Verdana"/>
        </w:rPr>
        <w:t xml:space="preserve"> </w:t>
      </w:r>
      <w:r>
        <w:fldChar w:fldCharType="end"/>
      </w:r>
      <w:r>
        <w:fldChar w:fldCharType="begin"/>
      </w:r>
      <w:r>
        <w:instrText xml:space="preserve"> HYPERLINK "https://www.gov.uk/government/news/government-safeguards-uk-elections" </w:instrText>
      </w:r>
      <w:r>
        <w:fldChar w:fldCharType="separate"/>
      </w:r>
      <w:r w:rsidRPr="005B5CB6">
        <w:rPr>
          <w:rFonts w:ascii="Verdana" w:hAnsi="Verdana"/>
          <w:color w:val="0563C1"/>
          <w:u w:val="single" w:color="0563C1"/>
        </w:rPr>
        <w:t>https://www.gov.uk/government/news/government-safeguards-uk-elections</w:t>
      </w:r>
      <w:r>
        <w:fldChar w:fldCharType="end"/>
      </w:r>
      <w:r>
        <w:fldChar w:fldCharType="begin"/>
      </w:r>
      <w:r>
        <w:instrText xml:space="preserve"> HYPERLINK "https://www.gov.uk/government/news/government-safeguards-uk-elections" </w:instrText>
      </w:r>
      <w:r>
        <w:fldChar w:fldCharType="separate"/>
      </w:r>
      <w:r w:rsidRPr="005B5CB6">
        <w:rPr>
          <w:rFonts w:ascii="Verdana" w:hAnsi="Verdana"/>
        </w:rPr>
        <w:t xml:space="preserve"> </w:t>
      </w:r>
      <w:r>
        <w:fldChar w:fldCharType="end"/>
      </w:r>
    </w:p>
    <w:p w:rsidR="00FB0B24" w:rsidRPr="005B5CB6" w:rsidP="00575F14">
      <w:pPr>
        <w:numPr>
          <w:ilvl w:val="0"/>
          <w:numId w:val="141"/>
        </w:numPr>
        <w:spacing w:after="2" w:line="255" w:lineRule="auto"/>
        <w:ind w:hanging="360"/>
        <w:jc w:val="both"/>
        <w:rPr>
          <w:rFonts w:ascii="Verdana" w:hAnsi="Verdana"/>
        </w:rPr>
      </w:pPr>
      <w:r w:rsidRPr="005B5CB6">
        <w:rPr>
          <w:rFonts w:ascii="Verdana" w:hAnsi="Verdana"/>
          <w:vertAlign w:val="superscript"/>
        </w:rPr>
        <w:t>ix</w:t>
      </w:r>
      <w:r>
        <w:fldChar w:fldCharType="begin"/>
      </w:r>
      <w:r>
        <w:instrText xml:space="preserve"> HYPERLINK "https://www.politico.eu/article/general-election-boris-johnson-uk-facebook-digital-campaign-disinformation/" </w:instrText>
      </w:r>
      <w:r>
        <w:fldChar w:fldCharType="separate"/>
      </w:r>
      <w:r w:rsidRPr="005B5CB6">
        <w:rPr>
          <w:rFonts w:ascii="Verdana" w:hAnsi="Verdana"/>
        </w:rPr>
        <w:t xml:space="preserve"> </w:t>
      </w:r>
      <w:r>
        <w:fldChar w:fldCharType="end"/>
      </w:r>
      <w:r>
        <w:fldChar w:fldCharType="begin"/>
      </w:r>
      <w:r>
        <w:instrText xml:space="preserve"> HYPERLINK "https://www.politico.eu/article/general-election-boris-johnson-uk-facebook-digital-campaign-disinformation/" </w:instrText>
      </w:r>
      <w:r>
        <w:fldChar w:fldCharType="separate"/>
      </w:r>
      <w:r w:rsidRPr="005B5CB6">
        <w:rPr>
          <w:rFonts w:ascii="Verdana" w:hAnsi="Verdana"/>
          <w:color w:val="0000FF"/>
          <w:u w:val="single" w:color="0000FF"/>
        </w:rPr>
        <w:t>https://www.politico.eu/article/general-election-boris-johnson-uk-facebook-digital-campaign</w:t>
      </w:r>
      <w:r>
        <w:fldChar w:fldCharType="end"/>
      </w:r>
      <w:r>
        <w:fldChar w:fldCharType="begin"/>
      </w:r>
      <w:r>
        <w:instrText xml:space="preserve"> HYPERLINK "https://www.politico.eu/article/general-election-boris-johnson-uk-facebook-digital-campaign-disinformation/" </w:instrText>
      </w:r>
      <w:r>
        <w:fldChar w:fldCharType="separate"/>
      </w:r>
      <w:r w:rsidRPr="005B5CB6">
        <w:rPr>
          <w:rFonts w:ascii="Verdana" w:hAnsi="Verdana"/>
          <w:color w:val="0000FF"/>
          <w:u w:val="single" w:color="0000FF"/>
        </w:rPr>
        <w:t>disinformation/</w:t>
      </w:r>
      <w:r>
        <w:fldChar w:fldCharType="end"/>
      </w:r>
      <w:r>
        <w:fldChar w:fldCharType="begin"/>
      </w:r>
      <w:r>
        <w:instrText xml:space="preserve"> HYPERLINK "https://www.politico.eu/article/general-election-boris-johnson-uk-facebook-digital-campaign-disinformation/" </w:instrText>
      </w:r>
      <w:r>
        <w:fldChar w:fldCharType="separate"/>
      </w:r>
      <w:r w:rsidRPr="005B5CB6">
        <w:rPr>
          <w:rFonts w:ascii="Verdana" w:hAnsi="Verdana"/>
        </w:rPr>
        <w:t xml:space="preserve">  </w:t>
      </w:r>
      <w:r>
        <w:fldChar w:fldCharType="end"/>
      </w:r>
    </w:p>
    <w:p w:rsidR="00FB0B24" w:rsidRPr="005B5CB6" w:rsidP="00575F14">
      <w:pPr>
        <w:numPr>
          <w:ilvl w:val="0"/>
          <w:numId w:val="141"/>
        </w:numPr>
        <w:spacing w:after="2" w:line="255" w:lineRule="auto"/>
        <w:ind w:hanging="360"/>
        <w:jc w:val="both"/>
        <w:rPr>
          <w:rFonts w:ascii="Verdana" w:hAnsi="Verdana"/>
        </w:rPr>
      </w:pPr>
      <w:r w:rsidRPr="005B5CB6">
        <w:rPr>
          <w:rFonts w:ascii="Verdana" w:hAnsi="Verdana"/>
          <w:vertAlign w:val="superscript"/>
        </w:rPr>
        <w:t>x</w:t>
      </w:r>
      <w:r>
        <w:fldChar w:fldCharType="begin"/>
      </w:r>
      <w:r>
        <w:instrText xml:space="preserve"> HYPERLINK "https://www.canada.ca/en/democratic-institutions/services/protecting-democracy.html" </w:instrText>
      </w:r>
      <w:r>
        <w:fldChar w:fldCharType="separate"/>
      </w:r>
      <w:r w:rsidRPr="005B5CB6">
        <w:rPr>
          <w:rFonts w:ascii="Verdana" w:hAnsi="Verdana"/>
        </w:rPr>
        <w:t xml:space="preserve"> </w:t>
      </w:r>
      <w:r>
        <w:fldChar w:fldCharType="end"/>
      </w:r>
      <w:r>
        <w:fldChar w:fldCharType="begin"/>
      </w:r>
      <w:r>
        <w:instrText xml:space="preserve"> HYPERLINK "https://www.canada.ca/en/democratic-institutions/services/protecting-democracy.html" </w:instrText>
      </w:r>
      <w:r>
        <w:fldChar w:fldCharType="separate"/>
      </w:r>
      <w:r w:rsidRPr="005B5CB6">
        <w:rPr>
          <w:rFonts w:ascii="Verdana" w:hAnsi="Verdana"/>
          <w:color w:val="0000FF"/>
          <w:u w:val="single" w:color="0000FF"/>
        </w:rPr>
        <w:t>https://www.canada.ca/en/democratic-institutions/services/protecting-democracy.html</w:t>
      </w:r>
      <w:r>
        <w:fldChar w:fldCharType="end"/>
      </w:r>
      <w:r>
        <w:fldChar w:fldCharType="begin"/>
      </w:r>
      <w:r>
        <w:instrText xml:space="preserve"> HYPERLINK "https://www.canada.ca/en/democratic-institutions/services/protecting-democracy.html" </w:instrText>
      </w:r>
      <w:r>
        <w:fldChar w:fldCharType="separate"/>
      </w:r>
      <w:r w:rsidRPr="005B5CB6">
        <w:rPr>
          <w:rFonts w:ascii="Verdana" w:hAnsi="Verdana"/>
        </w:rPr>
        <w:t xml:space="preserve">  </w:t>
      </w:r>
      <w:r>
        <w:fldChar w:fldCharType="end"/>
      </w:r>
    </w:p>
    <w:p w:rsidR="00FB0B24" w:rsidRPr="005B5CB6" w:rsidP="00575F14">
      <w:pPr>
        <w:numPr>
          <w:ilvl w:val="0"/>
          <w:numId w:val="141"/>
        </w:numPr>
        <w:spacing w:after="4" w:line="256" w:lineRule="auto"/>
        <w:ind w:hanging="360"/>
        <w:jc w:val="both"/>
        <w:rPr>
          <w:rFonts w:ascii="Verdana" w:hAnsi="Verdana"/>
        </w:rPr>
      </w:pPr>
      <w:r w:rsidRPr="005B5CB6">
        <w:rPr>
          <w:rFonts w:ascii="Verdana" w:hAnsi="Verdana"/>
          <w:vertAlign w:val="superscript"/>
        </w:rPr>
        <w:t>xi</w:t>
      </w:r>
      <w:r>
        <w:fldChar w:fldCharType="begin"/>
      </w:r>
      <w:r>
        <w:instrText xml:space="preserve"> HYPERLINK "https://www.whatscrap.africa/" </w:instrText>
      </w:r>
      <w:r>
        <w:fldChar w:fldCharType="separate"/>
      </w:r>
      <w:r w:rsidRPr="005B5CB6">
        <w:rPr>
          <w:rFonts w:ascii="Verdana" w:hAnsi="Verdana"/>
        </w:rPr>
        <w:t xml:space="preserve"> </w:t>
      </w:r>
      <w:r>
        <w:fldChar w:fldCharType="end"/>
      </w:r>
      <w:r>
        <w:fldChar w:fldCharType="begin"/>
      </w:r>
      <w:r>
        <w:instrText xml:space="preserve"> HYPERLINK "https://www.whatscrap.africa/" </w:instrText>
      </w:r>
      <w:r>
        <w:fldChar w:fldCharType="separate"/>
      </w:r>
      <w:r w:rsidRPr="005B5CB6">
        <w:rPr>
          <w:rFonts w:ascii="Verdana" w:hAnsi="Verdana"/>
          <w:color w:val="0563C1"/>
          <w:u w:val="single" w:color="0563C1"/>
        </w:rPr>
        <w:t>https://www.whatscrap.africa/</w:t>
      </w:r>
      <w:r>
        <w:fldChar w:fldCharType="end"/>
      </w:r>
      <w:r>
        <w:fldChar w:fldCharType="begin"/>
      </w:r>
      <w:r>
        <w:instrText xml:space="preserve"> HYPERLINK "https://www.whatscrap.africa/" </w:instrText>
      </w:r>
      <w:r>
        <w:fldChar w:fldCharType="separate"/>
      </w:r>
      <w:r w:rsidRPr="005B5CB6">
        <w:rPr>
          <w:rFonts w:ascii="Verdana" w:hAnsi="Verdana"/>
        </w:rPr>
        <w:t xml:space="preserve"> </w:t>
      </w:r>
      <w:r>
        <w:fldChar w:fldCharType="end"/>
      </w:r>
    </w:p>
    <w:p w:rsidR="00FB0B24" w:rsidRPr="005B5CB6" w:rsidP="00575F14">
      <w:pPr>
        <w:numPr>
          <w:ilvl w:val="0"/>
          <w:numId w:val="141"/>
        </w:numPr>
        <w:spacing w:after="4" w:line="256" w:lineRule="auto"/>
        <w:ind w:hanging="360"/>
        <w:jc w:val="both"/>
        <w:rPr>
          <w:rFonts w:ascii="Verdana" w:hAnsi="Verdana"/>
        </w:rPr>
      </w:pPr>
      <w:r w:rsidRPr="005B5CB6">
        <w:rPr>
          <w:rFonts w:ascii="Verdana" w:hAnsi="Verdana"/>
          <w:vertAlign w:val="superscript"/>
        </w:rPr>
        <w:t>xii</w:t>
      </w:r>
      <w:r>
        <w:fldChar w:fldCharType="begin"/>
      </w:r>
      <w:r>
        <w:instrText xml:space="preserve"> HYPERLINK "https://maldita.es/recibe-los-desmentidos-de-maldito-bulo-en-whatsapp/" </w:instrText>
      </w:r>
      <w:r>
        <w:fldChar w:fldCharType="separate"/>
      </w:r>
      <w:r w:rsidRPr="005B5CB6">
        <w:rPr>
          <w:rFonts w:ascii="Verdana" w:hAnsi="Verdana"/>
        </w:rPr>
        <w:t xml:space="preserve"> </w:t>
      </w:r>
      <w:r>
        <w:fldChar w:fldCharType="end"/>
      </w:r>
      <w:r>
        <w:fldChar w:fldCharType="begin"/>
      </w:r>
      <w:r>
        <w:instrText xml:space="preserve"> HYPERLINK "https://maldita.es/recibe-los-desmentidos-de-maldito-bulo-en-whatsapp/" </w:instrText>
      </w:r>
      <w:r>
        <w:fldChar w:fldCharType="separate"/>
      </w:r>
      <w:r w:rsidRPr="005B5CB6">
        <w:rPr>
          <w:rFonts w:ascii="Verdana" w:hAnsi="Verdana"/>
          <w:color w:val="0563C1"/>
          <w:u w:val="single" w:color="0563C1"/>
        </w:rPr>
        <w:t>https://maldita.es/recibe-los-desmentidos-de-maldito-bulo-en-whatsapp/</w:t>
      </w:r>
      <w:r>
        <w:fldChar w:fldCharType="end"/>
      </w:r>
      <w:r>
        <w:fldChar w:fldCharType="begin"/>
      </w:r>
      <w:r>
        <w:instrText xml:space="preserve"> HYPERLINK "https://maldita.es/recibe-los-desmentidos-de-maldito-bulo-en-whatsapp/" </w:instrText>
      </w:r>
      <w:r>
        <w:fldChar w:fldCharType="separate"/>
      </w:r>
      <w:r w:rsidRPr="005B5CB6">
        <w:rPr>
          <w:rFonts w:ascii="Verdana" w:hAnsi="Verdana"/>
        </w:rPr>
        <w:t xml:space="preserve"> </w:t>
      </w:r>
      <w:r>
        <w:fldChar w:fldCharType="end"/>
      </w:r>
    </w:p>
    <w:p w:rsidR="00FB0B24" w:rsidRPr="005B5CB6" w:rsidP="00575F14">
      <w:pPr>
        <w:numPr>
          <w:ilvl w:val="0"/>
          <w:numId w:val="141"/>
        </w:numPr>
        <w:spacing w:after="4" w:line="256" w:lineRule="auto"/>
        <w:ind w:hanging="360"/>
        <w:jc w:val="both"/>
        <w:rPr>
          <w:rFonts w:ascii="Verdana" w:hAnsi="Verdana"/>
        </w:rPr>
      </w:pPr>
      <w:r w:rsidRPr="005B5CB6">
        <w:rPr>
          <w:rFonts w:ascii="Verdana" w:hAnsi="Verdana"/>
          <w:vertAlign w:val="superscript"/>
        </w:rPr>
        <w:t>xiii</w:t>
      </w:r>
      <w:r>
        <w:fldChar w:fldCharType="begin"/>
      </w:r>
      <w:r>
        <w:instrText xml:space="preserve"> HYPERLINK "https://medium.com/1st-draft/what-whatsapp-api-access-meant-for-comprova-b0e2944607ab" </w:instrText>
      </w:r>
      <w:r>
        <w:fldChar w:fldCharType="separate"/>
      </w:r>
      <w:r w:rsidRPr="005B5CB6">
        <w:rPr>
          <w:rFonts w:ascii="Verdana" w:hAnsi="Verdana"/>
        </w:rPr>
        <w:t xml:space="preserve"> </w:t>
      </w:r>
      <w:r>
        <w:fldChar w:fldCharType="end"/>
      </w:r>
      <w:r>
        <w:fldChar w:fldCharType="begin"/>
      </w:r>
      <w:r>
        <w:instrText xml:space="preserve"> HYPERLINK "https://medium.com/1st-draft/what-whatsapp-api-access-meant-for-comprova-b0e2944607ab" </w:instrText>
      </w:r>
      <w:r>
        <w:fldChar w:fldCharType="separate"/>
      </w:r>
      <w:r w:rsidRPr="005B5CB6">
        <w:rPr>
          <w:rFonts w:ascii="Verdana" w:hAnsi="Verdana"/>
          <w:color w:val="0563C1"/>
          <w:u w:val="single" w:color="0563C1"/>
        </w:rPr>
        <w:t>https://medium.com/1st-draft/what-whatsapp-api-access-meant-for-comprova-b0e2944607ab</w:t>
      </w:r>
      <w:r>
        <w:fldChar w:fldCharType="end"/>
      </w:r>
      <w:r>
        <w:fldChar w:fldCharType="begin"/>
      </w:r>
      <w:r>
        <w:instrText xml:space="preserve"> HYPERLINK "https://medium.com/1st-draft/what-whatsapp-api-access-meant-for-comprova-b0e2944607ab" </w:instrText>
      </w:r>
      <w:r>
        <w:fldChar w:fldCharType="separate"/>
      </w:r>
      <w:r w:rsidRPr="005B5CB6">
        <w:rPr>
          <w:rFonts w:ascii="Verdana" w:hAnsi="Verdana"/>
        </w:rPr>
        <w:t xml:space="preserve"> </w:t>
      </w:r>
      <w:r>
        <w:fldChar w:fldCharType="end"/>
      </w:r>
    </w:p>
    <w:p w:rsidR="00FB0B24" w:rsidRPr="005B5CB6" w:rsidP="00575F14">
      <w:pPr>
        <w:numPr>
          <w:ilvl w:val="0"/>
          <w:numId w:val="141"/>
        </w:numPr>
        <w:spacing w:after="2" w:line="255" w:lineRule="auto"/>
        <w:ind w:hanging="360"/>
        <w:jc w:val="both"/>
        <w:rPr>
          <w:rFonts w:ascii="Verdana" w:hAnsi="Verdana"/>
        </w:rPr>
      </w:pPr>
      <w:r w:rsidRPr="005B5CB6">
        <w:rPr>
          <w:rFonts w:ascii="Verdana" w:hAnsi="Verdana"/>
          <w:vertAlign w:val="superscript"/>
        </w:rPr>
        <w:t>xiv</w:t>
      </w:r>
      <w:r w:rsidRPr="005B5CB6">
        <w:rPr>
          <w:rFonts w:ascii="Verdana" w:hAnsi="Verdana"/>
        </w:rPr>
        <w:t xml:space="preserve">  </w:t>
      </w:r>
      <w:r>
        <w:fldChar w:fldCharType="begin"/>
      </w:r>
      <w:r>
        <w:instrText xml:space="preserve"> HYPERLINK "https://newsroom.fb.com/news/2019/04/remove-reduce-inform-new-steps/" \l "reduce" </w:instrText>
      </w:r>
      <w:r>
        <w:fldChar w:fldCharType="separate"/>
      </w:r>
      <w:r w:rsidRPr="005B5CB6">
        <w:rPr>
          <w:rFonts w:ascii="Verdana" w:hAnsi="Verdana"/>
          <w:color w:val="0000FF"/>
          <w:u w:val="single" w:color="0000FF"/>
        </w:rPr>
        <w:t>https://newsroom.fb.com/news/2019/04/remove-reduce-inform-new-steps/#reduce</w:t>
      </w:r>
      <w:r>
        <w:fldChar w:fldCharType="end"/>
      </w:r>
      <w:r>
        <w:fldChar w:fldCharType="begin"/>
      </w:r>
      <w:r>
        <w:instrText xml:space="preserve"> HYPERLINK "https://newsroom.fb.com/news/2019/04/remove-reduce-inform-new-steps/" \l "reduce" </w:instrText>
      </w:r>
      <w:r>
        <w:fldChar w:fldCharType="separate"/>
      </w:r>
      <w:r w:rsidRPr="005B5CB6">
        <w:rPr>
          <w:rFonts w:ascii="Verdana" w:hAnsi="Verdana"/>
        </w:rPr>
        <w:t xml:space="preserve">  </w:t>
      </w:r>
      <w:r>
        <w:fldChar w:fldCharType="end"/>
      </w:r>
      <w:r w:rsidRPr="005B5CB6">
        <w:rPr>
          <w:rFonts w:ascii="Verdana" w:hAnsi="Verdana"/>
        </w:rPr>
        <w:br w:type="page"/>
      </w:r>
    </w:p>
    <w:p w:rsidR="00FB0B24" w:rsidRPr="005B5CB6" w:rsidP="00A1624B">
      <w:pPr>
        <w:pStyle w:val="Heading1"/>
        <w:rPr>
          <w:sz w:val="22"/>
        </w:rPr>
      </w:pPr>
      <w:bookmarkStart w:id="38" w:name="_Toc44517726"/>
      <w:r w:rsidRPr="005B5CB6">
        <w:rPr>
          <w:sz w:val="22"/>
        </w:rPr>
        <w:t>Information Commissioner’s Office – written evidence (DAD0043)</w:t>
      </w:r>
      <w:bookmarkEnd w:id="38"/>
      <w:r w:rsidRPr="005B5CB6">
        <w:rPr>
          <w:sz w:val="22"/>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Introduction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42"/>
        </w:numPr>
        <w:spacing w:after="5" w:line="250" w:lineRule="auto"/>
        <w:ind w:right="11" w:hanging="360"/>
        <w:jc w:val="both"/>
        <w:rPr>
          <w:rFonts w:ascii="Verdana" w:hAnsi="Verdana"/>
        </w:rPr>
      </w:pPr>
      <w:r w:rsidRPr="005B5CB6">
        <w:rPr>
          <w:rFonts w:ascii="Verdana" w:eastAsia="Verdana" w:hAnsi="Verdana" w:cs="Verdana"/>
        </w:rPr>
        <w:t xml:space="preserve">The Information Commissioner has responsibility in the UK for promoting and enforcing the Data Protection Act 2018 (DPA18), the General Data Protection Regulation (GDPR), the Freedom of Information Act 2000 (FOIA) and the Privacy and Electronic Communications Regulations 2003 (PECR).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42"/>
        </w:numPr>
        <w:spacing w:after="5" w:line="250" w:lineRule="auto"/>
        <w:ind w:right="11" w:hanging="360"/>
        <w:jc w:val="both"/>
        <w:rPr>
          <w:rFonts w:ascii="Verdana" w:hAnsi="Verdana"/>
        </w:rPr>
      </w:pPr>
      <w:r w:rsidRPr="005B5CB6">
        <w:rPr>
          <w:rFonts w:ascii="Verdana" w:eastAsia="Verdana" w:hAnsi="Verdana" w:cs="Verdana"/>
        </w:rPr>
        <w:t xml:space="preserve">The Commissioner is independent of Government and upholds information rights in the public interest, promoting openness by public bodies and data privacy for individuals. She does this by providing guidance to organisations, solving problems where she can and taking appropriate action where the law is broken.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42"/>
        </w:numPr>
        <w:spacing w:after="5" w:line="250" w:lineRule="auto"/>
        <w:ind w:right="11" w:hanging="360"/>
        <w:jc w:val="both"/>
        <w:rPr>
          <w:rFonts w:ascii="Verdana" w:hAnsi="Verdana"/>
        </w:rPr>
      </w:pPr>
      <w:r w:rsidRPr="005B5CB6">
        <w:rPr>
          <w:rFonts w:ascii="Verdana" w:eastAsia="Verdana" w:hAnsi="Verdana" w:cs="Verdana"/>
        </w:rPr>
        <w:t xml:space="preserve">The Information Commissioner welcomes the opportunity to respond to the Committee’s inquiry. She has the unique experience of investigating a range of actors involved in the online political ecosystem and tackling online harms where data protection and privacy is concerned. This response touches on some of the main themes of the Committee’s terms of reference with links to further relevant evidence, including recent thinking by her office.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Transparency in digital political campaigning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42"/>
        </w:numPr>
        <w:spacing w:after="5" w:line="250" w:lineRule="auto"/>
        <w:ind w:right="11" w:hanging="360"/>
        <w:jc w:val="both"/>
        <w:rPr>
          <w:rFonts w:ascii="Verdana" w:hAnsi="Verdana"/>
        </w:rPr>
      </w:pPr>
      <w:r w:rsidRPr="005B5CB6">
        <w:rPr>
          <w:rFonts w:ascii="Verdana" w:eastAsia="Verdana" w:hAnsi="Verdana" w:cs="Verdana"/>
        </w:rPr>
        <w:t xml:space="preserve">It is vital for the democratic process for political parties and campaigners to be able to communicate effectively with voters. We have also seen in recent years the rapid development in and increased spending on new digital technologies and communication tools. What is concerning from a data protection perspective is the transparency deficit. Trust and confidence in the integrity of our democracy risks being undermined because voters are not always aware of the ‘invisible processing’ that is taking place to micro target them with political messaging.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42"/>
        </w:numPr>
        <w:spacing w:after="5" w:line="250" w:lineRule="auto"/>
        <w:ind w:right="11" w:hanging="360"/>
        <w:jc w:val="both"/>
        <w:rPr>
          <w:rFonts w:ascii="Verdana" w:hAnsi="Verdana"/>
        </w:rPr>
      </w:pPr>
      <w:r w:rsidRPr="005B5CB6">
        <w:rPr>
          <w:rFonts w:ascii="Verdana" w:eastAsia="Verdana" w:hAnsi="Verdana" w:cs="Verdana"/>
        </w:rPr>
        <w:t xml:space="preserve">Politics relies on open and collective debate. In free and fair elections and campaigns, it is important that voters have access to the full spectrum of political messaging and information, and that they know the source of the adverts and messages they see, including who funded them. Fairness is also a key principle under data protection law.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42"/>
        </w:numPr>
        <w:spacing w:after="5" w:line="250" w:lineRule="auto"/>
        <w:ind w:right="11" w:hanging="360"/>
        <w:jc w:val="both"/>
        <w:rPr>
          <w:rFonts w:ascii="Verdana" w:hAnsi="Verdana"/>
        </w:rPr>
      </w:pPr>
      <w:r w:rsidRPr="005B5CB6">
        <w:rPr>
          <w:rFonts w:ascii="Verdana" w:eastAsia="Verdana" w:hAnsi="Verdana" w:cs="Verdana"/>
        </w:rPr>
        <w:t>Our ‘Democracy</w:t>
      </w:r>
      <w:r w:rsidRPr="005B5CB6">
        <w:rPr>
          <w:rFonts w:ascii="Verdana" w:eastAsia="Verdana" w:hAnsi="Verdana" w:cs="Verdana"/>
          <w:i/>
        </w:rPr>
        <w:t xml:space="preserve"> Disrupted?</w:t>
      </w:r>
      <w:r w:rsidRPr="005B5CB6">
        <w:rPr>
          <w:rFonts w:ascii="Verdana" w:eastAsia="Verdana" w:hAnsi="Verdana" w:cs="Verdana"/>
        </w:rPr>
        <w:t xml:space="preserve"> report</w:t>
      </w:r>
      <w:r w:rsidRPr="005B5CB6">
        <w:rPr>
          <w:rFonts w:ascii="Verdana" w:eastAsia="Verdana" w:hAnsi="Verdana" w:cs="Verdana"/>
          <w:vertAlign w:val="superscript"/>
        </w:rPr>
        <w:t>1</w:t>
      </w:r>
      <w:r w:rsidRPr="005B5CB6">
        <w:rPr>
          <w:rFonts w:ascii="Verdana" w:eastAsia="Verdana" w:hAnsi="Verdana" w:cs="Verdana"/>
        </w:rPr>
        <w:t xml:space="preserve"> published in July 2018 provides a detailed account of our investigation and 10 policy recommendations to improve transparency in political campaigning.  </w:t>
      </w:r>
    </w:p>
    <w:p w:rsidR="00FB0B24" w:rsidRPr="005B5CB6" w:rsidP="001512F6">
      <w:pPr>
        <w:spacing w:after="0"/>
        <w:ind w:left="361"/>
        <w:jc w:val="both"/>
        <w:rPr>
          <w:rFonts w:ascii="Verdana" w:hAnsi="Verdana"/>
        </w:rPr>
      </w:pPr>
      <w:r w:rsidRPr="005B5CB6">
        <w:rPr>
          <w:rFonts w:ascii="Verdana" w:eastAsia="Verdana" w:hAnsi="Verdana" w:cs="Verdana"/>
        </w:rPr>
        <w:t xml:space="preserve"> </w:t>
      </w:r>
    </w:p>
    <w:p w:rsidR="00FB0B24" w:rsidRPr="005B5CB6" w:rsidP="00575F14">
      <w:pPr>
        <w:numPr>
          <w:ilvl w:val="0"/>
          <w:numId w:val="142"/>
        </w:numPr>
        <w:spacing w:after="167" w:line="250" w:lineRule="auto"/>
        <w:ind w:right="11" w:hanging="360"/>
        <w:jc w:val="both"/>
        <w:rPr>
          <w:rFonts w:ascii="Verdana" w:hAnsi="Verdana"/>
        </w:rPr>
      </w:pPr>
      <w:r w:rsidRPr="005B5CB6">
        <w:rPr>
          <w:rFonts w:ascii="Verdana" w:eastAsia="Verdana" w:hAnsi="Verdana" w:cs="Verdana"/>
        </w:rPr>
        <w:t xml:space="preserve">This report also illustrated the complex ecosystem that underpins modern digital campaigning – with the political parties or campaign groups at the centre.  All linked to digital services provided by social media companies, data brokers and data analytics companies.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53967" name="Group 55396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35" name="Shape 63593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31" style="height:0.72pt;mso-position-horizontal-relative:char;mso-position-vertical-relative:line;width:2in" coordsize="18288,91">
                <v:shape id="_x0000_s1232"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319"/>
        <w:ind w:left="-4" w:right="644" w:hanging="10"/>
        <w:jc w:val="both"/>
        <w:rPr>
          <w:rFonts w:ascii="Verdana" w:hAnsi="Verdana"/>
        </w:rPr>
      </w:pPr>
      <w:r w:rsidRPr="005B5CB6">
        <w:rPr>
          <w:rFonts w:ascii="Verdana" w:hAnsi="Verdana"/>
        </w:rPr>
        <w:t xml:space="preserve">1 </w:t>
      </w:r>
      <w:r w:rsidRPr="005B5CB6">
        <w:rPr>
          <w:rFonts w:ascii="Verdana" w:eastAsia="Verdana" w:hAnsi="Verdana" w:cs="Verdana"/>
        </w:rPr>
        <w:t>Democracy Disrupted? Personal information and political influence https://bit.ly/2NJgNFB</w:t>
      </w:r>
      <w:r w:rsidRPr="005B5CB6">
        <w:rPr>
          <w:rFonts w:ascii="Verdana" w:hAnsi="Verdana"/>
        </w:rPr>
        <w:t xml:space="preserve"> </w:t>
      </w:r>
    </w:p>
    <w:p w:rsidR="00FB0B24" w:rsidRPr="005B5CB6" w:rsidP="001512F6">
      <w:pPr>
        <w:spacing w:after="0"/>
        <w:ind w:left="10" w:right="-11" w:hanging="10"/>
        <w:jc w:val="both"/>
        <w:rPr>
          <w:rFonts w:ascii="Verdana" w:hAnsi="Verdana"/>
        </w:rPr>
      </w:pPr>
    </w:p>
    <w:p w:rsidR="00FB0B24" w:rsidRPr="005B5CB6" w:rsidP="001512F6">
      <w:pPr>
        <w:spacing w:after="0"/>
        <w:ind w:left="1"/>
        <w:jc w:val="both"/>
        <w:rPr>
          <w:rFonts w:ascii="Verdana" w:hAnsi="Verdana"/>
        </w:rPr>
      </w:pPr>
      <w:r w:rsidRPr="005B5CB6">
        <w:rPr>
          <w:rFonts w:ascii="Verdana" w:hAnsi="Verdana"/>
        </w:rPr>
        <w:t xml:space="preserve"> </w:t>
      </w:r>
    </w:p>
    <w:p w:rsidR="00FB0B24" w:rsidRPr="005B5CB6" w:rsidP="001512F6">
      <w:pPr>
        <w:spacing w:after="0"/>
        <w:ind w:left="361"/>
        <w:jc w:val="both"/>
        <w:rPr>
          <w:rFonts w:ascii="Verdana" w:hAnsi="Verdana"/>
        </w:rPr>
      </w:pPr>
      <w:r w:rsidRPr="005B5CB6">
        <w:rPr>
          <w:rFonts w:ascii="Verdana" w:eastAsia="Verdana" w:hAnsi="Verdana" w:cs="Verdana"/>
        </w:rPr>
        <w:t xml:space="preserve"> </w:t>
      </w:r>
    </w:p>
    <w:p w:rsidR="00FB0B24" w:rsidRPr="005B5CB6" w:rsidP="00575F14">
      <w:pPr>
        <w:numPr>
          <w:ilvl w:val="0"/>
          <w:numId w:val="143"/>
        </w:numPr>
        <w:spacing w:after="5" w:line="250" w:lineRule="auto"/>
        <w:ind w:right="11" w:hanging="360"/>
        <w:jc w:val="both"/>
        <w:rPr>
          <w:rFonts w:ascii="Verdana" w:hAnsi="Verdana"/>
        </w:rPr>
      </w:pPr>
      <w:r w:rsidRPr="005B5CB6">
        <w:rPr>
          <w:rFonts w:ascii="Verdana" w:eastAsia="Verdana" w:hAnsi="Verdana" w:cs="Verdana"/>
        </w:rPr>
        <w:t>Our draft framework code of practice for the use of personal data in political campaigning is out for consultation until 4 October 2019</w:t>
      </w:r>
      <w:r w:rsidRPr="005B5CB6">
        <w:rPr>
          <w:rFonts w:ascii="Verdana" w:eastAsia="Verdana" w:hAnsi="Verdana" w:cs="Verdana"/>
          <w:vertAlign w:val="superscript"/>
        </w:rPr>
        <w:t>2</w:t>
      </w:r>
      <w:r w:rsidRPr="005B5CB6">
        <w:rPr>
          <w:rFonts w:ascii="Verdana" w:eastAsia="Verdana" w:hAnsi="Verdana" w:cs="Verdana"/>
        </w:rPr>
        <w:t xml:space="preserve">. The aim is to set out a level playing field for all of the different actors who are using data for political purposes. As the regulator, we are not saying political parties and campaigners cannot use digital campaigning tools, indeed there are many vitally important benefits for democracy that come from the direct engagement they encourage.  Instead it is about how you use them safely and transparently in accordance with the law.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43"/>
        </w:numPr>
        <w:spacing w:after="5" w:line="250" w:lineRule="auto"/>
        <w:ind w:right="11" w:hanging="360"/>
        <w:jc w:val="both"/>
        <w:rPr>
          <w:rFonts w:ascii="Verdana" w:hAnsi="Verdana"/>
        </w:rPr>
      </w:pPr>
      <w:r w:rsidRPr="005B5CB6">
        <w:rPr>
          <w:rFonts w:ascii="Verdana" w:eastAsia="Verdana" w:hAnsi="Verdana" w:cs="Verdana"/>
        </w:rPr>
        <w:t>The Information Commissioner has also provided extensive evidence to various domestic and international parliamentary committees including the DCMS Select Committee</w:t>
      </w:r>
      <w:r w:rsidRPr="005B5CB6">
        <w:rPr>
          <w:rFonts w:ascii="Verdana" w:eastAsia="Verdana" w:hAnsi="Verdana" w:cs="Verdana"/>
          <w:vertAlign w:val="superscript"/>
        </w:rPr>
        <w:t>3</w:t>
      </w:r>
      <w:r w:rsidRPr="005B5CB6">
        <w:rPr>
          <w:rFonts w:ascii="Verdana" w:eastAsia="Verdana" w:hAnsi="Verdana" w:cs="Verdana"/>
        </w:rPr>
        <w:t xml:space="preserve"> and Joint Committee on Human Rights</w:t>
      </w:r>
      <w:r w:rsidRPr="005B5CB6">
        <w:rPr>
          <w:rFonts w:ascii="Verdana" w:eastAsia="Verdana" w:hAnsi="Verdana" w:cs="Verdana"/>
          <w:vertAlign w:val="superscript"/>
        </w:rPr>
        <w:t>4</w:t>
      </w:r>
      <w:r w:rsidRPr="005B5CB6">
        <w:rPr>
          <w:rFonts w:ascii="Verdana" w:eastAsia="Verdana" w:hAnsi="Verdana" w:cs="Verdana"/>
        </w:rPr>
        <w:t>. More recently, we published our thoughts on the Government’s Online Harms White Paper.</w:t>
      </w:r>
      <w:r w:rsidRPr="005B5CB6">
        <w:rPr>
          <w:rFonts w:ascii="Verdana" w:eastAsia="Verdana" w:hAnsi="Verdana" w:cs="Verdana"/>
          <w:vertAlign w:val="superscript"/>
        </w:rPr>
        <w:t>5</w:t>
      </w:r>
      <w:r w:rsidRPr="005B5CB6">
        <w:rPr>
          <w:rFonts w:ascii="Verdana" w:eastAsia="Verdana" w:hAnsi="Verdana" w:cs="Verdana"/>
        </w:rPr>
        <w:t xml:space="preserv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 xml:space="preserve">10.Data protection law has been modernised for the digital age but other areas of digital regulation have not been. Regulatory modernisation must catch up across the whole regulatory landscape.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Use and governance of algorithms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11.In terms of algorithmic transparency and auditing algorithms, we have the requirements and safeguards in the GDPR as a powerful tool, including provisions related to profiling. There are greater requirements for explainability for algorithms in the context of personal data. We are working with experts at pace in this area, including the appointment of an AI research fellow from the University of Oxford. We recently released an interim report called Project Expl</w:t>
      </w:r>
      <w:r w:rsidRPr="005B5CB6">
        <w:rPr>
          <w:rFonts w:ascii="Verdana" w:eastAsia="Verdana" w:hAnsi="Verdana" w:cs="Verdana"/>
          <w:i/>
        </w:rPr>
        <w:t>AI</w:t>
      </w:r>
      <w:r w:rsidRPr="005B5CB6">
        <w:rPr>
          <w:rFonts w:ascii="Verdana" w:eastAsia="Verdana" w:hAnsi="Verdana" w:cs="Verdana"/>
        </w:rPr>
        <w:t>n</w:t>
      </w:r>
      <w:r w:rsidRPr="005B5CB6">
        <w:rPr>
          <w:rFonts w:ascii="Verdana" w:eastAsia="Verdana" w:hAnsi="Verdana" w:cs="Verdana"/>
          <w:vertAlign w:val="superscript"/>
        </w:rPr>
        <w:t>6</w:t>
      </w:r>
      <w:r w:rsidRPr="005B5CB6">
        <w:rPr>
          <w:rFonts w:ascii="Verdana" w:eastAsia="Verdana" w:hAnsi="Verdana" w:cs="Verdana"/>
        </w:rPr>
        <w:t xml:space="preserve"> which may be of interest to the Committee. It sets out how we can provide meaningful transparency in the context of AI.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 xml:space="preserve">12.We are keen to continue to contribute to the debate. Government and Parliament have started to set the standards to address this societal issue. We will continue to work closely with other regulators working to ensure we provide joined up message on areas of common interest such as transparency.  </w:t>
      </w:r>
    </w:p>
    <w:p w:rsidR="00FB0B24" w:rsidRPr="005B5CB6" w:rsidP="001512F6">
      <w:pPr>
        <w:spacing w:after="0"/>
        <w:ind w:left="36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13.</w:t>
      </w:r>
      <w:r w:rsidRPr="005B5CB6">
        <w:rPr>
          <w:rFonts w:ascii="Verdana" w:eastAsia="Arial" w:hAnsi="Verdana" w:cs="Arial"/>
        </w:rPr>
        <w:t xml:space="preserve"> </w:t>
      </w:r>
      <w:r w:rsidRPr="005B5CB6">
        <w:rPr>
          <w:rFonts w:ascii="Verdana" w:eastAsia="Verdana" w:hAnsi="Verdana" w:cs="Verdana"/>
        </w:rPr>
        <w:t xml:space="preserve">   Should there be an area of interest to the Committee, the Information Commissioner would be happy to expand further. </w:t>
      </w:r>
      <w:r w:rsidRPr="005B5CB6">
        <w:rPr>
          <w:rFonts w:ascii="Verdana" w:eastAsia="Verdana" w:hAnsi="Verdana" w:cs="Verdana"/>
          <w:b/>
        </w:rPr>
        <w:t xml:space="preserv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54423" name="Group 55442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37" name="Shape 63593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33" style="height:0.72pt;mso-position-horizontal-relative:char;mso-position-vertical-relative:line;width:2in" coordsize="18288,91">
                <v:shape id="_x0000_s1234"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144"/>
        </w:numPr>
        <w:spacing w:after="0" w:line="359" w:lineRule="auto"/>
        <w:ind w:right="644" w:hanging="120"/>
        <w:jc w:val="both"/>
        <w:rPr>
          <w:rFonts w:ascii="Verdana" w:hAnsi="Verdana"/>
        </w:rPr>
      </w:pPr>
      <w:r w:rsidRPr="005B5CB6">
        <w:rPr>
          <w:rFonts w:ascii="Verdana" w:eastAsia="Verdana" w:hAnsi="Verdana" w:cs="Verdana"/>
        </w:rPr>
        <w:t>ICO consultation on the draft framework code of practice for the use of personal data in political campaigning https://bit.ly/2kuwzKT</w:t>
      </w:r>
      <w:r w:rsidRPr="005B5CB6">
        <w:rPr>
          <w:rFonts w:ascii="Verdana" w:hAnsi="Verdana"/>
        </w:rPr>
        <w:t xml:space="preserve">  </w:t>
      </w:r>
    </w:p>
    <w:p w:rsidR="00FB0B24" w:rsidRPr="005B5CB6" w:rsidP="00575F14">
      <w:pPr>
        <w:numPr>
          <w:ilvl w:val="0"/>
          <w:numId w:val="144"/>
        </w:numPr>
        <w:spacing w:after="99"/>
        <w:ind w:right="644" w:hanging="120"/>
        <w:jc w:val="both"/>
        <w:rPr>
          <w:rFonts w:ascii="Verdana" w:hAnsi="Verdana"/>
        </w:rPr>
      </w:pPr>
      <w:r w:rsidRPr="005B5CB6">
        <w:rPr>
          <w:rFonts w:ascii="Verdana" w:eastAsia="Verdana" w:hAnsi="Verdana" w:cs="Verdana"/>
        </w:rPr>
        <w:t xml:space="preserve">Oral evidence by Elizabeth Denham, Information Commissioner and James Dipple-Johnstone, Deputy Commissioner </w:t>
      </w:r>
    </w:p>
    <w:p w:rsidR="00FB0B24" w:rsidRPr="005B5CB6" w:rsidP="001512F6">
      <w:pPr>
        <w:spacing w:after="96"/>
        <w:ind w:left="-4" w:right="644" w:hanging="10"/>
        <w:jc w:val="both"/>
        <w:rPr>
          <w:rFonts w:ascii="Verdana" w:hAnsi="Verdana"/>
        </w:rPr>
      </w:pPr>
      <w:r w:rsidRPr="005B5CB6">
        <w:rPr>
          <w:rFonts w:ascii="Verdana" w:eastAsia="Verdana" w:hAnsi="Verdana" w:cs="Verdana"/>
        </w:rPr>
        <w:t>(Regulatory Supervision) on 27 November 2018 https://bit.ly/2m3JwMc</w:t>
      </w:r>
      <w:r w:rsidRPr="005B5CB6">
        <w:rPr>
          <w:rFonts w:ascii="Verdana" w:hAnsi="Verdana"/>
        </w:rPr>
        <w:t xml:space="preserve"> </w:t>
      </w:r>
    </w:p>
    <w:p w:rsidR="00FB0B24" w:rsidRPr="005B5CB6" w:rsidP="00575F14">
      <w:pPr>
        <w:numPr>
          <w:ilvl w:val="0"/>
          <w:numId w:val="144"/>
        </w:numPr>
        <w:spacing w:after="0" w:line="346" w:lineRule="auto"/>
        <w:ind w:right="644" w:hanging="120"/>
        <w:jc w:val="both"/>
        <w:rPr>
          <w:rFonts w:ascii="Verdana" w:hAnsi="Verdana"/>
        </w:rPr>
      </w:pPr>
      <w:r w:rsidRPr="005B5CB6">
        <w:rPr>
          <w:rFonts w:ascii="Verdana" w:eastAsia="Verdana" w:hAnsi="Verdana" w:cs="Verdana"/>
        </w:rPr>
        <w:t>Joint Committee on Human Right: The right to privacy (Article 8) and the digital revolution https://bit.ly/2lXJRzZ</w:t>
      </w:r>
      <w:r w:rsidRPr="005B5CB6">
        <w:rPr>
          <w:rFonts w:ascii="Verdana" w:hAnsi="Verdana"/>
        </w:rPr>
        <w:t xml:space="preserve"> 5 </w:t>
      </w:r>
      <w:r w:rsidRPr="005B5CB6">
        <w:rPr>
          <w:rFonts w:ascii="Verdana" w:eastAsia="Verdana" w:hAnsi="Verdana" w:cs="Verdana"/>
        </w:rPr>
        <w:t>ICO’s response to the Department for Digital, Culture, Media and Sport consultation on the Online Harms White Paper https://bit.ly/2mrU6N7</w:t>
      </w:r>
      <w:r w:rsidRPr="005B5CB6">
        <w:rPr>
          <w:rFonts w:ascii="Verdana" w:hAnsi="Verdana"/>
        </w:rPr>
        <w:t xml:space="preserve"> </w:t>
      </w:r>
    </w:p>
    <w:p w:rsidR="00FB0B24" w:rsidRPr="005B5CB6" w:rsidP="001512F6">
      <w:pPr>
        <w:spacing w:after="80"/>
        <w:ind w:left="-4" w:right="644" w:hanging="10"/>
        <w:jc w:val="both"/>
        <w:rPr>
          <w:rFonts w:ascii="Verdana" w:hAnsi="Verdana"/>
        </w:rPr>
      </w:pPr>
      <w:r w:rsidRPr="005B5CB6">
        <w:rPr>
          <w:rFonts w:ascii="Verdana" w:hAnsi="Verdana"/>
        </w:rPr>
        <w:t xml:space="preserve">6 </w:t>
      </w:r>
      <w:r w:rsidRPr="005B5CB6">
        <w:rPr>
          <w:rFonts w:ascii="Verdana" w:eastAsia="Verdana" w:hAnsi="Verdana" w:cs="Verdana"/>
        </w:rPr>
        <w:t xml:space="preserve">Project Explain interim report https://bit.ly/2kn8ohc  </w:t>
      </w:r>
    </w:p>
    <w:p w:rsidR="00FB0B24" w:rsidRPr="005B5CB6" w:rsidP="001512F6">
      <w:pPr>
        <w:spacing w:after="193"/>
        <w:ind w:left="1"/>
        <w:jc w:val="both"/>
        <w:rPr>
          <w:rFonts w:ascii="Verdana" w:hAnsi="Verdana"/>
        </w:rPr>
      </w:pPr>
      <w:r w:rsidRPr="005B5CB6">
        <w:rPr>
          <w:rFonts w:ascii="Verdana" w:hAnsi="Verdana"/>
        </w:rPr>
        <w:t xml:space="preserve"> </w:t>
      </w:r>
    </w:p>
    <w:p w:rsidR="00FB0B24" w:rsidRPr="005B5CB6" w:rsidP="001512F6">
      <w:pPr>
        <w:spacing w:after="0"/>
        <w:ind w:left="10" w:right="-11" w:hanging="10"/>
        <w:jc w:val="both"/>
        <w:rPr>
          <w:rFonts w:ascii="Verdana" w:hAnsi="Verdana"/>
        </w:rPr>
        <w:sectPr w:rsidSect="006562C6">
          <w:headerReference w:type="even" r:id="rId213"/>
          <w:headerReference w:type="default" r:id="rId214"/>
          <w:footerReference w:type="even" r:id="rId215"/>
          <w:footerReference w:type="default" r:id="rId216"/>
          <w:headerReference w:type="first" r:id="rId217"/>
          <w:footerReference w:type="first" r:id="rId218"/>
          <w:pgSz w:w="11906" w:h="16838"/>
          <w:pgMar w:top="751" w:right="1362" w:bottom="709" w:left="1439" w:header="720" w:footer="720" w:gutter="0"/>
          <w:cols w:space="720"/>
        </w:sectPr>
      </w:pPr>
    </w:p>
    <w:p w:rsidR="00FB0B24" w:rsidRPr="005B5CB6" w:rsidP="00A1624B">
      <w:pPr>
        <w:pStyle w:val="Heading1"/>
        <w:rPr>
          <w:sz w:val="22"/>
        </w:rPr>
      </w:pPr>
      <w:bookmarkStart w:id="39" w:name="_Toc44517727"/>
      <w:r w:rsidRPr="005B5CB6">
        <w:rPr>
          <w:sz w:val="22"/>
        </w:rPr>
        <w:t>Dr Dominic Burbidge – written evidence (DAD0044)</w:t>
      </w:r>
      <w:bookmarkEnd w:id="39"/>
      <w:r w:rsidRPr="005B5CB6">
        <w:rPr>
          <w:sz w:val="22"/>
        </w:rPr>
        <w:t xml:space="preserve"> </w:t>
      </w:r>
    </w:p>
    <w:p w:rsidR="00FB0B24" w:rsidRPr="005B5CB6" w:rsidP="001512F6">
      <w:pPr>
        <w:spacing w:after="156"/>
        <w:ind w:left="118"/>
        <w:jc w:val="both"/>
        <w:rPr>
          <w:rFonts w:ascii="Verdana" w:hAnsi="Verdana"/>
        </w:rPr>
      </w:pPr>
      <w:r w:rsidRPr="005B5CB6">
        <w:rPr>
          <w:rFonts w:ascii="Verdana" w:eastAsia="Verdana" w:hAnsi="Verdana" w:cs="Verdana"/>
          <w:i/>
        </w:rPr>
        <w:t xml:space="preserve"> </w:t>
      </w:r>
    </w:p>
    <w:p w:rsidR="00FB0B24" w:rsidRPr="005B5CB6" w:rsidP="001512F6">
      <w:pPr>
        <w:spacing w:after="168" w:line="249" w:lineRule="auto"/>
        <w:ind w:left="10" w:hanging="10"/>
        <w:jc w:val="both"/>
        <w:rPr>
          <w:rFonts w:ascii="Verdana" w:hAnsi="Verdana"/>
        </w:rPr>
      </w:pPr>
      <w:r w:rsidRPr="005B5CB6">
        <w:rPr>
          <w:rFonts w:ascii="Verdana" w:eastAsia="Verdana" w:hAnsi="Verdana" w:cs="Verdana"/>
          <w:i/>
        </w:rPr>
        <w:t xml:space="preserve">Research Director, University of Oxford; Lecturer in Politics, University of Oxford; External Advisor, Templeton World Charity Foundation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Most relevant Committee questions: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3. What role should every stage of education play in helping to create a healthy, active, digitally literate democracy? </w:t>
      </w:r>
    </w:p>
    <w:p w:rsidR="00FB0B24" w:rsidRPr="005B5CB6" w:rsidP="00575F14">
      <w:pPr>
        <w:numPr>
          <w:ilvl w:val="0"/>
          <w:numId w:val="145"/>
        </w:numPr>
        <w:spacing w:after="165" w:line="250" w:lineRule="auto"/>
        <w:ind w:left="23" w:right="11" w:hanging="8"/>
        <w:jc w:val="both"/>
        <w:rPr>
          <w:rFonts w:ascii="Verdana" w:hAnsi="Verdana"/>
        </w:rPr>
      </w:pPr>
      <w:r w:rsidRPr="005B5CB6">
        <w:rPr>
          <w:rFonts w:ascii="Verdana" w:eastAsia="Verdana" w:hAnsi="Verdana" w:cs="Verdana"/>
        </w:rPr>
        <w:t xml:space="preserve">To what extent does social media negatively shape public debate, either through encouraging polarisation or through abuse deterring individuals from engaging in public life? </w:t>
      </w:r>
    </w:p>
    <w:p w:rsidR="00FB0B24" w:rsidRPr="005B5CB6" w:rsidP="00575F14">
      <w:pPr>
        <w:numPr>
          <w:ilvl w:val="0"/>
          <w:numId w:val="145"/>
        </w:numPr>
        <w:spacing w:after="165" w:line="250" w:lineRule="auto"/>
        <w:ind w:left="23" w:right="11" w:hanging="8"/>
        <w:jc w:val="both"/>
        <w:rPr>
          <w:rFonts w:ascii="Verdana" w:hAnsi="Verdana"/>
        </w:rPr>
      </w:pPr>
      <w:r w:rsidRPr="005B5CB6">
        <w:rPr>
          <w:rFonts w:ascii="Verdana" w:eastAsia="Verdana" w:hAnsi="Verdana" w:cs="Verdana"/>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575F14">
      <w:pPr>
        <w:numPr>
          <w:ilvl w:val="0"/>
          <w:numId w:val="145"/>
        </w:numPr>
        <w:spacing w:after="168" w:line="250" w:lineRule="auto"/>
        <w:ind w:left="23" w:right="11" w:hanging="8"/>
        <w:jc w:val="both"/>
        <w:rPr>
          <w:rFonts w:ascii="Verdana" w:hAnsi="Verdana"/>
        </w:rPr>
      </w:pPr>
      <w:r w:rsidRPr="005B5CB6">
        <w:rPr>
          <w:rFonts w:ascii="Verdana" w:eastAsia="Verdana" w:hAnsi="Verdana" w:cs="Verdana"/>
        </w:rPr>
        <w:t xml:space="preserve">What might be the best ways of reducing the effects of misinformation on social media platforms?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WRITTEN SUBMISSION: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575F14">
      <w:pPr>
        <w:numPr>
          <w:ilvl w:val="1"/>
          <w:numId w:val="145"/>
        </w:numPr>
        <w:spacing w:after="5" w:line="310" w:lineRule="auto"/>
        <w:ind w:right="477" w:hanging="9"/>
        <w:jc w:val="both"/>
        <w:rPr>
          <w:rFonts w:ascii="Verdana" w:hAnsi="Verdana"/>
        </w:rPr>
      </w:pPr>
      <w:r w:rsidRPr="005B5CB6">
        <w:rPr>
          <w:rFonts w:ascii="Verdana" w:eastAsia="Verdana" w:hAnsi="Verdana" w:cs="Verdana"/>
        </w:rPr>
        <w:t xml:space="preserve">Changes currently afoot over what our human community </w:t>
      </w:r>
      <w:r w:rsidRPr="005B5CB6">
        <w:rPr>
          <w:rFonts w:ascii="Verdana" w:eastAsia="Verdana" w:hAnsi="Verdana" w:cs="Verdana"/>
          <w:i/>
        </w:rPr>
        <w:t>is</w:t>
      </w:r>
      <w:r w:rsidRPr="005B5CB6">
        <w:rPr>
          <w:rFonts w:ascii="Verdana" w:eastAsia="Verdana" w:hAnsi="Verdana" w:cs="Verdana"/>
        </w:rPr>
        <w:t xml:space="preserve"> and </w:t>
      </w:r>
      <w:r w:rsidRPr="005B5CB6">
        <w:rPr>
          <w:rFonts w:ascii="Verdana" w:eastAsia="Verdana" w:hAnsi="Verdana" w:cs="Verdana"/>
          <w:i/>
        </w:rPr>
        <w:t>for</w:t>
      </w:r>
      <w:r w:rsidRPr="005B5CB6">
        <w:rPr>
          <w:rFonts w:ascii="Verdana" w:eastAsia="Verdana" w:hAnsi="Verdana" w:cs="Verdana"/>
        </w:rPr>
        <w:t xml:space="preserve"> require us to look anew at our civic ideals. We must take seriously the dilemma of being </w:t>
      </w:r>
      <w:r w:rsidRPr="005B5CB6">
        <w:rPr>
          <w:rFonts w:ascii="Verdana" w:eastAsia="Verdana" w:hAnsi="Verdana" w:cs="Verdana"/>
          <w:i/>
        </w:rPr>
        <w:t>only one citizen</w:t>
      </w:r>
      <w:r w:rsidRPr="005B5CB6">
        <w:rPr>
          <w:rFonts w:ascii="Verdana" w:eastAsia="Verdana" w:hAnsi="Verdana" w:cs="Verdana"/>
        </w:rPr>
        <w:t xml:space="preserve"> as the human community grows and becomes ever more interconnected. As my community grows, I may not grow; as my community becomes more interconnected, I may not become as interconnected as everyone else. Analysis of the internet, digital technologies and artificial intelligence has so far tended to look at how they change society and the world as a whole, underappreciating the fact that in the midst of any change I remain just one person. The assumption has been that being more interconnected means being more interdependent. From the individual citizen’s point of view, however, progress in the expansion of digital technologies and artificial intelligence may mean that </w:t>
      </w:r>
      <w:r w:rsidRPr="005B5CB6">
        <w:rPr>
          <w:rFonts w:ascii="Verdana" w:eastAsia="Verdana" w:hAnsi="Verdana" w:cs="Verdana"/>
          <w:i/>
        </w:rPr>
        <w:t>my own contribution</w:t>
      </w:r>
      <w:r w:rsidRPr="005B5CB6">
        <w:rPr>
          <w:rFonts w:ascii="Verdana" w:eastAsia="Verdana" w:hAnsi="Verdana" w:cs="Verdana"/>
        </w:rPr>
        <w:t xml:space="preserve"> and </w:t>
      </w:r>
      <w:r w:rsidRPr="005B5CB6">
        <w:rPr>
          <w:rFonts w:ascii="Verdana" w:eastAsia="Verdana" w:hAnsi="Verdana" w:cs="Verdana"/>
          <w:i/>
        </w:rPr>
        <w:t>my own sense of self</w:t>
      </w:r>
      <w:r w:rsidRPr="005B5CB6">
        <w:rPr>
          <w:rFonts w:ascii="Verdana" w:eastAsia="Verdana" w:hAnsi="Verdana" w:cs="Verdana"/>
        </w:rPr>
        <w:t xml:space="preserve"> reduce, and that reduction is accelerated in line with accelerated erosion of interpersonal barriers. </w:t>
      </w:r>
    </w:p>
    <w:p w:rsidR="00FB0B24" w:rsidRPr="005B5CB6" w:rsidP="001512F6">
      <w:pPr>
        <w:spacing w:after="58"/>
        <w:ind w:left="566"/>
        <w:jc w:val="both"/>
        <w:rPr>
          <w:rFonts w:ascii="Verdana" w:hAnsi="Verdana"/>
        </w:rPr>
      </w:pPr>
      <w:r w:rsidRPr="005B5CB6">
        <w:rPr>
          <w:rFonts w:ascii="Verdana" w:eastAsia="Verdana" w:hAnsi="Verdana" w:cs="Verdana"/>
        </w:rPr>
        <w:t xml:space="preserve"> </w:t>
      </w:r>
    </w:p>
    <w:p w:rsidR="00FB0B24" w:rsidRPr="005B5CB6" w:rsidP="00575F14">
      <w:pPr>
        <w:numPr>
          <w:ilvl w:val="1"/>
          <w:numId w:val="145"/>
        </w:numPr>
        <w:spacing w:after="5" w:line="310" w:lineRule="auto"/>
        <w:ind w:right="477" w:hanging="9"/>
        <w:jc w:val="both"/>
        <w:rPr>
          <w:rFonts w:ascii="Verdana" w:hAnsi="Verdana"/>
        </w:rPr>
      </w:pPr>
      <w:r w:rsidRPr="005B5CB6">
        <w:rPr>
          <w:rFonts w:ascii="Verdana" w:eastAsia="Verdana" w:hAnsi="Verdana" w:cs="Verdana"/>
        </w:rPr>
        <w:t xml:space="preserve">The networked age is not yet fully emergent, making us at times appear more like a set of specific users of services and platforms and, at other times, more like a genuine collectivity or citizenry. We entered the </w:t>
      </w:r>
      <w:r w:rsidRPr="005B5CB6">
        <w:rPr>
          <w:rFonts w:ascii="Verdana" w:eastAsia="Verdana" w:hAnsi="Verdana" w:cs="Verdana"/>
        </w:rPr>
        <w:t xml:space="preserve">networked age on </w:t>
      </w:r>
      <w:r w:rsidRPr="005B5CB6">
        <w:rPr>
          <w:rFonts w:ascii="Verdana" w:eastAsia="Verdana" w:hAnsi="Verdana" w:cs="Verdana"/>
          <w:i/>
        </w:rPr>
        <w:t xml:space="preserve">transactional and contractual terms </w:t>
      </w:r>
      <w:r w:rsidRPr="005B5CB6">
        <w:rPr>
          <w:rFonts w:ascii="Verdana" w:eastAsia="Verdana" w:hAnsi="Verdana" w:cs="Verdana"/>
        </w:rPr>
        <w:t xml:space="preserve">with digital technologies that appeared to make our lives easier, bit by bit; we stay on </w:t>
      </w:r>
      <w:r w:rsidRPr="005B5CB6">
        <w:rPr>
          <w:rFonts w:ascii="Verdana" w:eastAsia="Verdana" w:hAnsi="Verdana" w:cs="Verdana"/>
          <w:i/>
        </w:rPr>
        <w:t>covenantal terms</w:t>
      </w:r>
      <w:r w:rsidRPr="005B5CB6">
        <w:rPr>
          <w:rFonts w:ascii="Verdana" w:eastAsia="Verdana" w:hAnsi="Verdana" w:cs="Verdana"/>
        </w:rPr>
        <w:t xml:space="preserve"> with digital technologies that share our being and our identity, and make promises about future efficiency gains and data consolidations. The latter trend forms the basis to membership of a collectivity, while the former, set membership. We are each travelling this road from </w:t>
      </w:r>
      <w:r w:rsidRPr="005B5CB6">
        <w:rPr>
          <w:rFonts w:ascii="Verdana" w:eastAsia="Verdana" w:hAnsi="Verdana" w:cs="Verdana"/>
          <w:i/>
        </w:rPr>
        <w:t>contractual</w:t>
      </w:r>
      <w:r w:rsidRPr="005B5CB6">
        <w:rPr>
          <w:rFonts w:ascii="Verdana" w:eastAsia="Verdana" w:hAnsi="Verdana" w:cs="Verdana"/>
        </w:rPr>
        <w:t xml:space="preserve"> to </w:t>
      </w:r>
      <w:r w:rsidRPr="005B5CB6">
        <w:rPr>
          <w:rFonts w:ascii="Verdana" w:eastAsia="Verdana" w:hAnsi="Verdana" w:cs="Verdana"/>
          <w:i/>
        </w:rPr>
        <w:t>covenantal</w:t>
      </w:r>
      <w:r w:rsidRPr="005B5CB6">
        <w:rPr>
          <w:rFonts w:ascii="Verdana" w:eastAsia="Verdana" w:hAnsi="Verdana" w:cs="Verdana"/>
        </w:rPr>
        <w:t xml:space="preserve"> at different speeds, with some far behind and some far ahead, though the general direction is clearly oneway. There is grave need that our coming of age not be a</w:t>
      </w:r>
      <w:r w:rsidRPr="005B5CB6">
        <w:rPr>
          <w:rFonts w:ascii="Verdana" w:eastAsia="Verdana" w:hAnsi="Verdana" w:cs="Verdana"/>
          <w:i/>
        </w:rPr>
        <w:t xml:space="preserve"> growth in dependency </w:t>
      </w:r>
      <w:r w:rsidRPr="005B5CB6">
        <w:rPr>
          <w:rFonts w:ascii="Verdana" w:eastAsia="Verdana" w:hAnsi="Verdana" w:cs="Verdana"/>
        </w:rPr>
        <w:t xml:space="preserve">but an </w:t>
      </w:r>
      <w:r w:rsidRPr="005B5CB6">
        <w:rPr>
          <w:rFonts w:ascii="Verdana" w:eastAsia="Verdana" w:hAnsi="Verdana" w:cs="Verdana"/>
          <w:i/>
        </w:rPr>
        <w:t>emergence of a citizenry</w:t>
      </w:r>
      <w:r w:rsidRPr="005B5CB6">
        <w:rPr>
          <w:rFonts w:ascii="Verdana" w:eastAsia="Verdana" w:hAnsi="Verdana" w:cs="Verdana"/>
        </w:rPr>
        <w:t xml:space="preserve">, guided not just by regulations but also civic ideals that are able to apply to our new habits and habitat simultaneously. </w:t>
      </w:r>
    </w:p>
    <w:p w:rsidR="00FB0B24" w:rsidRPr="005B5CB6" w:rsidP="001512F6">
      <w:pPr>
        <w:spacing w:after="58"/>
        <w:ind w:left="566"/>
        <w:jc w:val="both"/>
        <w:rPr>
          <w:rFonts w:ascii="Verdana" w:hAnsi="Verdana"/>
        </w:rPr>
      </w:pPr>
      <w:r w:rsidRPr="005B5CB6">
        <w:rPr>
          <w:rFonts w:ascii="Verdana" w:eastAsia="Verdana" w:hAnsi="Verdana" w:cs="Verdana"/>
        </w:rPr>
        <w:t xml:space="preserve"> </w:t>
      </w:r>
    </w:p>
    <w:p w:rsidR="00FB0B24" w:rsidRPr="005B5CB6" w:rsidP="00575F14">
      <w:pPr>
        <w:numPr>
          <w:ilvl w:val="1"/>
          <w:numId w:val="145"/>
        </w:numPr>
        <w:spacing w:after="5" w:line="311" w:lineRule="auto"/>
        <w:ind w:right="477" w:hanging="9"/>
        <w:jc w:val="both"/>
        <w:rPr>
          <w:rFonts w:ascii="Verdana" w:hAnsi="Verdana"/>
        </w:rPr>
      </w:pPr>
      <w:r w:rsidRPr="005B5CB6">
        <w:rPr>
          <w:rFonts w:ascii="Verdana" w:eastAsia="Verdana" w:hAnsi="Verdana" w:cs="Verdana"/>
        </w:rPr>
        <w:t xml:space="preserve">An important test case is the introduction of algorithms and artificial intelligence into our public sphere decision-making, changes which are set to deeply affect our spirit of public service, justice, neighbourliness, democratic participation and moral reasoning. While numerous institutions and experts have focused on the changes technology and artificial intelligence are having on our personal mental development, our economy and jobs, and even the security of the entire human race, there has been less analysis of what the changes mean for the normative underpinnings to our citizenship. </w:t>
      </w:r>
    </w:p>
    <w:p w:rsidR="00FB0B24" w:rsidRPr="005B5CB6" w:rsidP="001512F6">
      <w:pPr>
        <w:spacing w:after="58"/>
        <w:ind w:left="566"/>
        <w:jc w:val="both"/>
        <w:rPr>
          <w:rFonts w:ascii="Verdana" w:hAnsi="Verdana"/>
        </w:rPr>
      </w:pPr>
      <w:r w:rsidRPr="005B5CB6">
        <w:rPr>
          <w:rFonts w:ascii="Verdana" w:eastAsia="Verdana" w:hAnsi="Verdana" w:cs="Verdana"/>
        </w:rPr>
        <w:t xml:space="preserve"> </w:t>
      </w:r>
    </w:p>
    <w:p w:rsidR="00FB0B24" w:rsidRPr="005B5CB6" w:rsidP="00575F14">
      <w:pPr>
        <w:numPr>
          <w:ilvl w:val="1"/>
          <w:numId w:val="145"/>
        </w:numPr>
        <w:spacing w:after="5" w:line="311" w:lineRule="auto"/>
        <w:ind w:right="477" w:hanging="9"/>
        <w:jc w:val="both"/>
        <w:rPr>
          <w:rFonts w:ascii="Verdana" w:hAnsi="Verdana"/>
        </w:rPr>
      </w:pPr>
      <w:r w:rsidRPr="005B5CB6">
        <w:rPr>
          <w:rFonts w:ascii="Verdana" w:eastAsia="Verdana" w:hAnsi="Verdana" w:cs="Verdana"/>
        </w:rPr>
        <w:t xml:space="preserve">Our normative ideals of citizenship are being shattered in the networked age, an age which threatens to take decision-making out of the hands of individuals and splinter the notion of one’s community. Increasingly, we are following the decisions and recommendations of algorithms and artificial intelligence to understand what would be in our interests, and communicate in siloed groups that are purpose-built around particular aims or views rather than the common good. Our silos of communication can be created or collapsed at any time, and have reduced regard for members’ wellbeing over time.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1"/>
          <w:numId w:val="145"/>
        </w:numPr>
        <w:spacing w:after="5" w:line="311" w:lineRule="auto"/>
        <w:ind w:right="477" w:hanging="9"/>
        <w:jc w:val="both"/>
        <w:rPr>
          <w:rFonts w:ascii="Verdana" w:hAnsi="Verdana"/>
        </w:rPr>
      </w:pPr>
      <w:r w:rsidRPr="005B5CB6">
        <w:rPr>
          <w:rFonts w:ascii="Verdana" w:eastAsia="Verdana" w:hAnsi="Verdana" w:cs="Verdana"/>
        </w:rPr>
        <w:t xml:space="preserve">A number of the changes taking place to our civic engagement are already quite clear: </w:t>
      </w:r>
    </w:p>
    <w:p w:rsidR="00FB0B24" w:rsidRPr="005B5CB6" w:rsidP="001512F6">
      <w:pPr>
        <w:spacing w:after="55"/>
        <w:ind w:left="720"/>
        <w:jc w:val="both"/>
        <w:rPr>
          <w:rFonts w:ascii="Verdana" w:hAnsi="Verdana"/>
        </w:rPr>
      </w:pPr>
      <w:r w:rsidRPr="005B5CB6">
        <w:rPr>
          <w:rFonts w:ascii="Verdana" w:eastAsia="Verdana" w:hAnsi="Verdana" w:cs="Verdana"/>
        </w:rPr>
        <w:t xml:space="preserve"> </w:t>
      </w:r>
    </w:p>
    <w:p w:rsidR="00FB0B24" w:rsidRPr="005B5CB6" w:rsidP="00575F14">
      <w:pPr>
        <w:numPr>
          <w:ilvl w:val="2"/>
          <w:numId w:val="145"/>
        </w:numPr>
        <w:spacing w:after="5" w:line="311" w:lineRule="auto"/>
        <w:ind w:right="477" w:hanging="360"/>
        <w:jc w:val="both"/>
        <w:rPr>
          <w:rFonts w:ascii="Verdana" w:hAnsi="Verdana"/>
        </w:rPr>
      </w:pPr>
      <w:r w:rsidRPr="005B5CB6">
        <w:rPr>
          <w:rFonts w:ascii="Verdana" w:eastAsia="Verdana" w:hAnsi="Verdana" w:cs="Verdana"/>
        </w:rPr>
        <w:t xml:space="preserve">A growing commitment to algorithmic decision-making in public affairs due to its assumed neutrality, expertise and rapidity, in turn framing public participation by citizens as relatively sentimental, inept and slow; greater out-sourcing of moral and </w:t>
      </w:r>
      <w:r w:rsidRPr="005B5CB6">
        <w:rPr>
          <w:rFonts w:ascii="Verdana" w:eastAsia="Verdana" w:hAnsi="Verdana" w:cs="Verdana"/>
        </w:rPr>
        <w:t xml:space="preserve">judicial decisionmaking to algorithms, which are believed impartial, framing citizen decision-making as biased and individualistic. </w:t>
      </w:r>
    </w:p>
    <w:p w:rsidR="00FB0B24" w:rsidRPr="005B5CB6" w:rsidP="001512F6">
      <w:pPr>
        <w:spacing w:after="58"/>
        <w:ind w:left="1440"/>
        <w:jc w:val="both"/>
        <w:rPr>
          <w:rFonts w:ascii="Verdana" w:hAnsi="Verdana"/>
        </w:rPr>
      </w:pPr>
      <w:r w:rsidRPr="005B5CB6">
        <w:rPr>
          <w:rFonts w:ascii="Verdana" w:eastAsia="Verdana" w:hAnsi="Verdana" w:cs="Verdana"/>
        </w:rPr>
        <w:t xml:space="preserve"> </w:t>
      </w:r>
    </w:p>
    <w:p w:rsidR="00FB0B24" w:rsidRPr="005B5CB6" w:rsidP="00575F14">
      <w:pPr>
        <w:numPr>
          <w:ilvl w:val="2"/>
          <w:numId w:val="145"/>
        </w:numPr>
        <w:spacing w:after="5" w:line="311" w:lineRule="auto"/>
        <w:ind w:right="477" w:hanging="360"/>
        <w:jc w:val="both"/>
        <w:rPr>
          <w:rFonts w:ascii="Verdana" w:hAnsi="Verdana"/>
        </w:rPr>
      </w:pPr>
      <w:r w:rsidRPr="005B5CB6">
        <w:rPr>
          <w:rFonts w:ascii="Verdana" w:eastAsia="Verdana" w:hAnsi="Verdana" w:cs="Verdana"/>
        </w:rPr>
        <w:t xml:space="preserve">Reduced opportunity among citizens to develop political views in closed settings before sharing them with the wider public. </w:t>
      </w:r>
    </w:p>
    <w:p w:rsidR="00FB0B24" w:rsidRPr="005B5CB6" w:rsidP="001512F6">
      <w:pPr>
        <w:spacing w:after="58"/>
        <w:ind w:left="720"/>
        <w:jc w:val="both"/>
        <w:rPr>
          <w:rFonts w:ascii="Verdana" w:hAnsi="Verdana"/>
        </w:rPr>
      </w:pPr>
      <w:r w:rsidRPr="005B5CB6">
        <w:rPr>
          <w:rFonts w:ascii="Verdana" w:eastAsia="Verdana" w:hAnsi="Verdana" w:cs="Verdana"/>
        </w:rPr>
        <w:t xml:space="preserve"> </w:t>
      </w:r>
    </w:p>
    <w:p w:rsidR="00FB0B24" w:rsidRPr="005B5CB6" w:rsidP="00575F14">
      <w:pPr>
        <w:numPr>
          <w:ilvl w:val="2"/>
          <w:numId w:val="145"/>
        </w:numPr>
        <w:spacing w:after="67" w:line="250" w:lineRule="auto"/>
        <w:ind w:right="477" w:hanging="360"/>
        <w:jc w:val="both"/>
        <w:rPr>
          <w:rFonts w:ascii="Verdana" w:hAnsi="Verdana"/>
        </w:rPr>
      </w:pPr>
      <w:r w:rsidRPr="005B5CB6">
        <w:rPr>
          <w:rFonts w:ascii="Verdana" w:eastAsia="Verdana" w:hAnsi="Verdana" w:cs="Verdana"/>
        </w:rPr>
        <w:t xml:space="preserve">Declining natural forgetfulness for bad or incorrect things said. </w:t>
      </w:r>
    </w:p>
    <w:p w:rsidR="00FB0B24" w:rsidRPr="005B5CB6" w:rsidP="001512F6">
      <w:pPr>
        <w:spacing w:after="55"/>
        <w:ind w:left="720"/>
        <w:jc w:val="both"/>
        <w:rPr>
          <w:rFonts w:ascii="Verdana" w:hAnsi="Verdana"/>
        </w:rPr>
      </w:pPr>
      <w:r w:rsidRPr="005B5CB6">
        <w:rPr>
          <w:rFonts w:ascii="Verdana" w:eastAsia="Verdana" w:hAnsi="Verdana" w:cs="Verdana"/>
        </w:rPr>
        <w:t xml:space="preserve"> </w:t>
      </w:r>
    </w:p>
    <w:p w:rsidR="00FB0B24" w:rsidRPr="005B5CB6" w:rsidP="00575F14">
      <w:pPr>
        <w:numPr>
          <w:ilvl w:val="2"/>
          <w:numId w:val="145"/>
        </w:numPr>
        <w:spacing w:after="5" w:line="311" w:lineRule="auto"/>
        <w:ind w:right="477" w:hanging="360"/>
        <w:jc w:val="both"/>
        <w:rPr>
          <w:rFonts w:ascii="Verdana" w:hAnsi="Verdana"/>
        </w:rPr>
      </w:pPr>
      <w:r w:rsidRPr="005B5CB6">
        <w:rPr>
          <w:rFonts w:ascii="Verdana" w:eastAsia="Verdana" w:hAnsi="Verdana" w:cs="Verdana"/>
        </w:rPr>
        <w:t xml:space="preserve">Curtailment of one’s social network away from those with alternative viewpoints, especially during important political moments. </w:t>
      </w:r>
    </w:p>
    <w:p w:rsidR="00FB0B24" w:rsidRPr="005B5CB6" w:rsidP="001512F6">
      <w:pPr>
        <w:spacing w:after="58"/>
        <w:ind w:left="720"/>
        <w:jc w:val="both"/>
        <w:rPr>
          <w:rFonts w:ascii="Verdana" w:hAnsi="Verdana"/>
        </w:rPr>
      </w:pPr>
      <w:r w:rsidRPr="005B5CB6">
        <w:rPr>
          <w:rFonts w:ascii="Verdana" w:eastAsia="Verdana" w:hAnsi="Verdana" w:cs="Verdana"/>
        </w:rPr>
        <w:t xml:space="preserve"> </w:t>
      </w:r>
    </w:p>
    <w:p w:rsidR="00FB0B24" w:rsidRPr="005B5CB6" w:rsidP="00575F14">
      <w:pPr>
        <w:numPr>
          <w:ilvl w:val="2"/>
          <w:numId w:val="145"/>
        </w:numPr>
        <w:spacing w:after="5" w:line="311" w:lineRule="auto"/>
        <w:ind w:right="477" w:hanging="360"/>
        <w:jc w:val="both"/>
        <w:rPr>
          <w:rFonts w:ascii="Verdana" w:hAnsi="Verdana"/>
        </w:rPr>
      </w:pPr>
      <w:r w:rsidRPr="005B5CB6">
        <w:rPr>
          <w:rFonts w:ascii="Verdana" w:eastAsia="Verdana" w:hAnsi="Verdana" w:cs="Verdana"/>
        </w:rPr>
        <w:t xml:space="preserve">A weakening ability to boycott online services that hold one’s data and history, and do not charge money for the service. </w:t>
      </w:r>
    </w:p>
    <w:p w:rsidR="00FB0B24" w:rsidRPr="005B5CB6" w:rsidP="001512F6">
      <w:pPr>
        <w:spacing w:after="58"/>
        <w:ind w:left="720"/>
        <w:jc w:val="both"/>
        <w:rPr>
          <w:rFonts w:ascii="Verdana" w:hAnsi="Verdana"/>
        </w:rPr>
      </w:pPr>
      <w:r w:rsidRPr="005B5CB6">
        <w:rPr>
          <w:rFonts w:ascii="Verdana" w:eastAsia="Verdana" w:hAnsi="Verdana" w:cs="Verdana"/>
        </w:rPr>
        <w:t xml:space="preserve"> </w:t>
      </w:r>
    </w:p>
    <w:p w:rsidR="00FB0B24" w:rsidRPr="005B5CB6" w:rsidP="00575F14">
      <w:pPr>
        <w:numPr>
          <w:ilvl w:val="2"/>
          <w:numId w:val="145"/>
        </w:numPr>
        <w:spacing w:after="5" w:line="311" w:lineRule="auto"/>
        <w:ind w:right="477" w:hanging="360"/>
        <w:jc w:val="both"/>
        <w:rPr>
          <w:rFonts w:ascii="Verdana" w:hAnsi="Verdana"/>
        </w:rPr>
      </w:pPr>
      <w:r w:rsidRPr="005B5CB6">
        <w:rPr>
          <w:rFonts w:ascii="Verdana" w:eastAsia="Verdana" w:hAnsi="Verdana" w:cs="Verdana"/>
        </w:rPr>
        <w:t xml:space="preserve">Increased quantification of public goals and application of utilitarian principles for balancing competing interests, as opposed to deliberating over human values. </w:t>
      </w:r>
    </w:p>
    <w:p w:rsidR="00FB0B24" w:rsidRPr="005B5CB6" w:rsidP="001512F6">
      <w:pPr>
        <w:spacing w:after="55"/>
        <w:ind w:left="720"/>
        <w:jc w:val="both"/>
        <w:rPr>
          <w:rFonts w:ascii="Verdana" w:hAnsi="Verdana"/>
        </w:rPr>
      </w:pPr>
      <w:r w:rsidRPr="005B5CB6">
        <w:rPr>
          <w:rFonts w:ascii="Verdana" w:eastAsia="Verdana" w:hAnsi="Verdana" w:cs="Verdana"/>
        </w:rPr>
        <w:t xml:space="preserve"> </w:t>
      </w:r>
    </w:p>
    <w:p w:rsidR="00FB0B24" w:rsidRPr="005B5CB6" w:rsidP="00575F14">
      <w:pPr>
        <w:numPr>
          <w:ilvl w:val="2"/>
          <w:numId w:val="145"/>
        </w:numPr>
        <w:spacing w:after="5" w:line="311" w:lineRule="auto"/>
        <w:ind w:right="477" w:hanging="360"/>
        <w:jc w:val="both"/>
        <w:rPr>
          <w:rFonts w:ascii="Verdana" w:hAnsi="Verdana"/>
        </w:rPr>
      </w:pPr>
      <w:r w:rsidRPr="005B5CB6">
        <w:rPr>
          <w:rFonts w:ascii="Verdana" w:eastAsia="Verdana" w:hAnsi="Verdana" w:cs="Verdana"/>
        </w:rPr>
        <w:t xml:space="preserve">Growing disconnect between global moral views and local living; increased anxiety over who the ultimate decision-makers really are. </w:t>
      </w:r>
    </w:p>
    <w:p w:rsidR="00FB0B24" w:rsidRPr="005B5CB6" w:rsidP="001512F6">
      <w:pPr>
        <w:spacing w:after="58"/>
        <w:ind w:left="720"/>
        <w:jc w:val="both"/>
        <w:rPr>
          <w:rFonts w:ascii="Verdana" w:hAnsi="Verdana"/>
        </w:rPr>
      </w:pPr>
      <w:r w:rsidRPr="005B5CB6">
        <w:rPr>
          <w:rFonts w:ascii="Verdana" w:eastAsia="Verdana" w:hAnsi="Verdana" w:cs="Verdana"/>
        </w:rPr>
        <w:t xml:space="preserve"> </w:t>
      </w:r>
    </w:p>
    <w:p w:rsidR="00FB0B24" w:rsidRPr="005B5CB6" w:rsidP="00575F14">
      <w:pPr>
        <w:numPr>
          <w:ilvl w:val="2"/>
          <w:numId w:val="145"/>
        </w:numPr>
        <w:spacing w:after="5" w:line="311" w:lineRule="auto"/>
        <w:ind w:right="477" w:hanging="360"/>
        <w:jc w:val="both"/>
        <w:rPr>
          <w:rFonts w:ascii="Verdana" w:hAnsi="Verdana"/>
        </w:rPr>
      </w:pPr>
      <w:r w:rsidRPr="005B5CB6">
        <w:rPr>
          <w:rFonts w:ascii="Verdana" w:eastAsia="Verdana" w:hAnsi="Verdana" w:cs="Verdana"/>
        </w:rPr>
        <w:t xml:space="preserve">A burgeoning plurality of cybergovernance institutions and a weakening of the authority of national laws, in turn making the target of democratic advocacy less clear. </w:t>
      </w:r>
    </w:p>
    <w:p w:rsidR="00FB0B24" w:rsidRPr="005B5CB6" w:rsidP="001512F6">
      <w:pPr>
        <w:spacing w:after="58"/>
        <w:ind w:left="720"/>
        <w:jc w:val="both"/>
        <w:rPr>
          <w:rFonts w:ascii="Verdana" w:hAnsi="Verdana"/>
        </w:rPr>
      </w:pPr>
      <w:r w:rsidRPr="005B5CB6">
        <w:rPr>
          <w:rFonts w:ascii="Verdana" w:eastAsia="Verdana" w:hAnsi="Verdana" w:cs="Verdana"/>
        </w:rPr>
        <w:t xml:space="preserve"> </w:t>
      </w:r>
    </w:p>
    <w:p w:rsidR="00FB0B24" w:rsidRPr="005B5CB6" w:rsidP="00575F14">
      <w:pPr>
        <w:numPr>
          <w:ilvl w:val="2"/>
          <w:numId w:val="145"/>
        </w:numPr>
        <w:spacing w:after="5" w:line="311" w:lineRule="auto"/>
        <w:ind w:right="477" w:hanging="360"/>
        <w:jc w:val="both"/>
        <w:rPr>
          <w:rFonts w:ascii="Verdana" w:hAnsi="Verdana"/>
        </w:rPr>
      </w:pPr>
      <w:r w:rsidRPr="005B5CB6">
        <w:rPr>
          <w:rFonts w:ascii="Verdana" w:eastAsia="Verdana" w:hAnsi="Verdana" w:cs="Verdana"/>
        </w:rPr>
        <w:t xml:space="preserve">Increased hate speech and misinformation; civic engagement narrowly focused on chastising those who have spoken hatefully or falsely. </w:t>
      </w:r>
    </w:p>
    <w:p w:rsidR="00FB0B24" w:rsidRPr="005B5CB6" w:rsidP="001512F6">
      <w:pPr>
        <w:spacing w:after="0"/>
        <w:ind w:left="566"/>
        <w:jc w:val="both"/>
        <w:rPr>
          <w:rFonts w:ascii="Verdana" w:hAnsi="Verdana"/>
        </w:rPr>
      </w:pPr>
      <w:r w:rsidRPr="005B5CB6">
        <w:rPr>
          <w:rFonts w:ascii="Verdana" w:eastAsia="Verdana" w:hAnsi="Verdana" w:cs="Verdana"/>
        </w:rPr>
        <w:t xml:space="preserve"> </w:t>
      </w:r>
    </w:p>
    <w:p w:rsidR="00FB0B24" w:rsidRPr="005B5CB6" w:rsidP="00575F14">
      <w:pPr>
        <w:numPr>
          <w:ilvl w:val="2"/>
          <w:numId w:val="146"/>
        </w:numPr>
        <w:spacing w:after="5" w:line="315" w:lineRule="auto"/>
        <w:ind w:right="477" w:hanging="9"/>
        <w:jc w:val="both"/>
        <w:rPr>
          <w:rFonts w:ascii="Verdana" w:hAnsi="Verdana"/>
        </w:rPr>
      </w:pPr>
      <w:r w:rsidRPr="005B5CB6">
        <w:rPr>
          <w:rFonts w:ascii="Verdana" w:eastAsia="Verdana" w:hAnsi="Verdana" w:cs="Verdana"/>
        </w:rPr>
        <w:t>These changes in one sense share a great deal with 20</w:t>
      </w:r>
      <w:r w:rsidRPr="005B5CB6">
        <w:rPr>
          <w:rFonts w:ascii="Verdana" w:eastAsia="Verdana" w:hAnsi="Verdana" w:cs="Verdana"/>
          <w:vertAlign w:val="superscript"/>
        </w:rPr>
        <w:t>th</w:t>
      </w:r>
      <w:r w:rsidRPr="005B5CB6">
        <w:rPr>
          <w:rFonts w:ascii="Verdana" w:eastAsia="Verdana" w:hAnsi="Verdana" w:cs="Verdana"/>
        </w:rPr>
        <w:t xml:space="preserve"> century marketization of human relations and sustained urbanisation, but they also deviate significantly from traditional capitalistic trends through involving an extraordinary personalisation of the laws of supply and demand. 20</w:t>
      </w:r>
      <w:r w:rsidRPr="005B5CB6">
        <w:rPr>
          <w:rFonts w:ascii="Verdana" w:eastAsia="Verdana" w:hAnsi="Verdana" w:cs="Verdana"/>
          <w:vertAlign w:val="superscript"/>
        </w:rPr>
        <w:t>th</w:t>
      </w:r>
      <w:r w:rsidRPr="005B5CB6">
        <w:rPr>
          <w:rFonts w:ascii="Verdana" w:eastAsia="Verdana" w:hAnsi="Verdana" w:cs="Verdana"/>
        </w:rPr>
        <w:t xml:space="preserve"> century industrialism helped everyone buy the same things; 21</w:t>
      </w:r>
      <w:r w:rsidRPr="005B5CB6">
        <w:rPr>
          <w:rFonts w:ascii="Verdana" w:eastAsia="Verdana" w:hAnsi="Verdana" w:cs="Verdana"/>
          <w:vertAlign w:val="superscript"/>
        </w:rPr>
        <w:t>st</w:t>
      </w:r>
      <w:r w:rsidRPr="005B5CB6">
        <w:rPr>
          <w:rFonts w:ascii="Verdana" w:eastAsia="Verdana" w:hAnsi="Verdana" w:cs="Verdana"/>
        </w:rPr>
        <w:t xml:space="preserve"> century personalisation of the laws of supply and demand gives everyone their own, individualised economy. In threatening our ability to be citizens and act well as citizens in pursuit of a common good, these </w:t>
      </w:r>
      <w:r w:rsidRPr="005B5CB6">
        <w:rPr>
          <w:rFonts w:ascii="Verdana" w:eastAsia="Verdana" w:hAnsi="Verdana" w:cs="Verdana"/>
        </w:rPr>
        <w:t xml:space="preserve">trends risk a breakdown in social solidarity and a growth in channels of arbitrary authority. In this sense, growing distrust between the “haves” and the “have nots” is not simply an economic question of appropriate distribution but a growing existential question about who the decision-makers really are. </w:t>
      </w:r>
    </w:p>
    <w:p w:rsidR="00FB0B24" w:rsidRPr="005B5CB6" w:rsidP="001512F6">
      <w:pPr>
        <w:spacing w:after="58"/>
        <w:ind w:left="567"/>
        <w:jc w:val="both"/>
        <w:rPr>
          <w:rFonts w:ascii="Verdana" w:hAnsi="Verdana"/>
        </w:rPr>
      </w:pPr>
      <w:r w:rsidRPr="005B5CB6">
        <w:rPr>
          <w:rFonts w:ascii="Verdana" w:eastAsia="Verdana" w:hAnsi="Verdana" w:cs="Verdana"/>
        </w:rPr>
        <w:t xml:space="preserve"> </w:t>
      </w:r>
    </w:p>
    <w:p w:rsidR="00FB0B24" w:rsidRPr="005B5CB6" w:rsidP="00575F14">
      <w:pPr>
        <w:numPr>
          <w:ilvl w:val="2"/>
          <w:numId w:val="146"/>
        </w:numPr>
        <w:spacing w:after="5" w:line="311" w:lineRule="auto"/>
        <w:ind w:right="477" w:hanging="9"/>
        <w:jc w:val="both"/>
        <w:rPr>
          <w:rFonts w:ascii="Verdana" w:hAnsi="Verdana"/>
        </w:rPr>
      </w:pPr>
      <w:r w:rsidRPr="005B5CB6">
        <w:rPr>
          <w:rFonts w:ascii="Verdana" w:eastAsia="Verdana" w:hAnsi="Verdana" w:cs="Verdana"/>
        </w:rPr>
        <w:t xml:space="preserve">Despite these areas of grave concern, the displacement of human decision-making and democratic deliberation through algorithms, machinelearning and digital technologies are not a threat to democracy itself because human decision-making is unique in the way it is able to order pursuit of the common good and find consensus. Humans do so through </w:t>
      </w:r>
      <w:r w:rsidRPr="005B5CB6">
        <w:rPr>
          <w:rFonts w:ascii="Verdana" w:eastAsia="Verdana" w:hAnsi="Verdana" w:cs="Verdana"/>
          <w:i/>
        </w:rPr>
        <w:t>developing hierarchies of goods</w:t>
      </w:r>
      <w:r w:rsidRPr="005B5CB6">
        <w:rPr>
          <w:rFonts w:ascii="Verdana" w:eastAsia="Verdana" w:hAnsi="Verdana" w:cs="Verdana"/>
        </w:rPr>
        <w:t xml:space="preserve"> while </w:t>
      </w:r>
      <w:r w:rsidRPr="005B5CB6">
        <w:rPr>
          <w:rFonts w:ascii="Verdana" w:eastAsia="Verdana" w:hAnsi="Verdana" w:cs="Verdana"/>
          <w:i/>
        </w:rPr>
        <w:t>retaining interest in the goods dismissed</w:t>
      </w:r>
      <w:r w:rsidRPr="005B5CB6">
        <w:rPr>
          <w:rFonts w:ascii="Verdana" w:eastAsia="Verdana" w:hAnsi="Verdana" w:cs="Verdana"/>
        </w:rPr>
        <w:t xml:space="preserve">. Optimisation through algorithms instead demands </w:t>
      </w:r>
      <w:r w:rsidRPr="005B5CB6">
        <w:rPr>
          <w:rFonts w:ascii="Verdana" w:eastAsia="Verdana" w:hAnsi="Verdana" w:cs="Verdana"/>
          <w:i/>
        </w:rPr>
        <w:t>horizontal flattening of goods</w:t>
      </w:r>
      <w:r w:rsidRPr="005B5CB6">
        <w:rPr>
          <w:rFonts w:ascii="Verdana" w:eastAsia="Verdana" w:hAnsi="Verdana" w:cs="Verdana"/>
        </w:rPr>
        <w:t xml:space="preserve"> while </w:t>
      </w:r>
      <w:r w:rsidRPr="005B5CB6">
        <w:rPr>
          <w:rFonts w:ascii="Verdana" w:eastAsia="Verdana" w:hAnsi="Verdana" w:cs="Verdana"/>
          <w:i/>
        </w:rPr>
        <w:t>dismissing those goods not of interest</w:t>
      </w:r>
      <w:r w:rsidRPr="005B5CB6">
        <w:rPr>
          <w:rFonts w:ascii="Verdana" w:eastAsia="Verdana" w:hAnsi="Verdana" w:cs="Verdana"/>
        </w:rPr>
        <w:t xml:space="preserve">. </w:t>
      </w:r>
    </w:p>
    <w:p w:rsidR="00FB0B24" w:rsidRPr="005B5CB6" w:rsidP="001512F6">
      <w:pPr>
        <w:spacing w:after="58"/>
        <w:ind w:left="567"/>
        <w:jc w:val="both"/>
        <w:rPr>
          <w:rFonts w:ascii="Verdana" w:hAnsi="Verdana"/>
        </w:rPr>
      </w:pPr>
      <w:r w:rsidRPr="005B5CB6">
        <w:rPr>
          <w:rFonts w:ascii="Verdana" w:eastAsia="Verdana" w:hAnsi="Verdana" w:cs="Verdana"/>
        </w:rPr>
        <w:t xml:space="preserve"> </w:t>
      </w:r>
    </w:p>
    <w:p w:rsidR="00FB0B24" w:rsidRPr="005B5CB6" w:rsidP="00575F14">
      <w:pPr>
        <w:numPr>
          <w:ilvl w:val="2"/>
          <w:numId w:val="146"/>
        </w:numPr>
        <w:spacing w:after="5" w:line="311" w:lineRule="auto"/>
        <w:ind w:right="477" w:hanging="9"/>
        <w:jc w:val="both"/>
        <w:rPr>
          <w:rFonts w:ascii="Verdana" w:hAnsi="Verdana"/>
        </w:rPr>
      </w:pPr>
      <w:r w:rsidRPr="005B5CB6">
        <w:rPr>
          <w:rFonts w:ascii="Verdana" w:eastAsia="Verdana" w:hAnsi="Verdana" w:cs="Verdana"/>
        </w:rPr>
        <w:t xml:space="preserve">Democratic societies are uniquely able to aim at social unity as a good in itself, regardless of the public choices that democratic institutions make. This grants their permanence, despite all manner of technological changes. Indeed, the goal of interpersonal unity lies behind all of our social engagements and can be factored into evaluations of whether decisionmaking structures are efficient or optimal. As a uniquely human-executable goal, interpersonal unity is to be jealously guarded through insistence on the universal and timeless value of representative democracy. </w:t>
      </w:r>
    </w:p>
    <w:p w:rsidR="00FB0B24" w:rsidRPr="005B5CB6" w:rsidP="001512F6">
      <w:pPr>
        <w:spacing w:after="58"/>
        <w:ind w:left="567"/>
        <w:jc w:val="both"/>
        <w:rPr>
          <w:rFonts w:ascii="Verdana" w:hAnsi="Verdana"/>
        </w:rPr>
      </w:pPr>
      <w:r w:rsidRPr="005B5CB6">
        <w:rPr>
          <w:rFonts w:ascii="Verdana" w:eastAsia="Verdana" w:hAnsi="Verdana" w:cs="Verdana"/>
        </w:rPr>
        <w:t xml:space="preserve"> </w:t>
      </w:r>
    </w:p>
    <w:p w:rsidR="006136B1" w:rsidRPr="005B5CB6" w:rsidP="00575F14">
      <w:pPr>
        <w:numPr>
          <w:ilvl w:val="2"/>
          <w:numId w:val="146"/>
        </w:numPr>
        <w:spacing w:after="42" w:line="310" w:lineRule="auto"/>
        <w:ind w:right="477" w:hanging="9"/>
        <w:jc w:val="both"/>
        <w:rPr>
          <w:rFonts w:ascii="Verdana" w:eastAsia="Verdana" w:hAnsi="Verdana" w:cs="Verdana"/>
        </w:rPr>
      </w:pPr>
      <w:r w:rsidRPr="005B5CB6">
        <w:rPr>
          <w:rFonts w:ascii="Verdana" w:eastAsia="Verdana" w:hAnsi="Verdana" w:cs="Verdana"/>
        </w:rPr>
        <w:t xml:space="preserve">The “civic virtue” most appropriate for the networked age is that of </w:t>
      </w:r>
      <w:r w:rsidRPr="005B5CB6">
        <w:rPr>
          <w:rFonts w:ascii="Verdana" w:eastAsia="Verdana" w:hAnsi="Verdana" w:cs="Verdana"/>
          <w:i/>
        </w:rPr>
        <w:t>listening</w:t>
      </w:r>
      <w:r w:rsidRPr="005B5CB6">
        <w:rPr>
          <w:rFonts w:ascii="Verdana" w:eastAsia="Verdana" w:hAnsi="Verdana" w:cs="Verdana"/>
        </w:rPr>
        <w:t xml:space="preserve">. While education has had a major focus from Ancient Greece onwards on the art of rhetoric and what it means to be a </w:t>
      </w:r>
      <w:r w:rsidRPr="005B5CB6">
        <w:rPr>
          <w:rFonts w:ascii="Verdana" w:eastAsia="Verdana" w:hAnsi="Verdana" w:cs="Verdana"/>
          <w:i/>
        </w:rPr>
        <w:t>good</w:t>
      </w:r>
      <w:r w:rsidRPr="005B5CB6">
        <w:rPr>
          <w:rFonts w:ascii="Verdana" w:eastAsia="Verdana" w:hAnsi="Verdana" w:cs="Verdana"/>
        </w:rPr>
        <w:t xml:space="preserve"> </w:t>
      </w:r>
      <w:r w:rsidRPr="005B5CB6">
        <w:rPr>
          <w:rFonts w:ascii="Verdana" w:eastAsia="Verdana" w:hAnsi="Verdana" w:cs="Verdana"/>
          <w:i/>
        </w:rPr>
        <w:t>speaker</w:t>
      </w:r>
      <w:r w:rsidRPr="005B5CB6">
        <w:rPr>
          <w:rFonts w:ascii="Verdana" w:eastAsia="Verdana" w:hAnsi="Verdana" w:cs="Verdana"/>
        </w:rPr>
        <w:t xml:space="preserve">, we are now entering an age where primacy must be placed on being a </w:t>
      </w:r>
      <w:r w:rsidRPr="005B5CB6">
        <w:rPr>
          <w:rFonts w:ascii="Verdana" w:eastAsia="Verdana" w:hAnsi="Verdana" w:cs="Verdana"/>
          <w:i/>
        </w:rPr>
        <w:t>good listener</w:t>
      </w:r>
      <w:r w:rsidRPr="005B5CB6">
        <w:rPr>
          <w:rFonts w:ascii="Verdana" w:eastAsia="Verdana" w:hAnsi="Verdana" w:cs="Verdana"/>
        </w:rPr>
        <w:t xml:space="preserve">. </w:t>
      </w:r>
    </w:p>
    <w:p w:rsidR="00FB0B24" w:rsidRPr="005B5CB6" w:rsidP="001512F6">
      <w:pPr>
        <w:rPr>
          <w:rFonts w:ascii="Verdana" w:eastAsia="Verdana" w:hAnsi="Verdana" w:cs="Verdana"/>
        </w:rPr>
      </w:pPr>
      <w:r w:rsidRPr="005B5CB6">
        <w:rPr>
          <w:rFonts w:ascii="Verdana" w:eastAsia="Verdana" w:hAnsi="Verdana" w:cs="Verdana"/>
        </w:rPr>
        <w:br w:type="page"/>
      </w:r>
    </w:p>
    <w:p w:rsidR="00FB0B24" w:rsidRPr="005B5CB6" w:rsidP="00A1624B">
      <w:pPr>
        <w:pStyle w:val="Heading1"/>
        <w:rPr>
          <w:sz w:val="22"/>
        </w:rPr>
      </w:pPr>
      <w:bookmarkStart w:id="40" w:name="_Toc44517728"/>
      <w:r w:rsidRPr="005B5CB6">
        <w:rPr>
          <w:sz w:val="22"/>
        </w:rPr>
        <w:t>Dr Gillian Bolsover – written evidence (DAD0046)</w:t>
      </w:r>
      <w:bookmarkEnd w:id="40"/>
      <w:r w:rsidRPr="005B5CB6">
        <w:rPr>
          <w:sz w:val="22"/>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112" w:line="250" w:lineRule="auto"/>
        <w:ind w:left="23" w:right="11" w:hanging="8"/>
        <w:jc w:val="both"/>
        <w:rPr>
          <w:rFonts w:ascii="Verdana" w:hAnsi="Verdana"/>
        </w:rPr>
      </w:pPr>
      <w:r w:rsidRPr="005B5CB6">
        <w:rPr>
          <w:rFonts w:ascii="Verdana" w:eastAsia="Verdana" w:hAnsi="Verdana" w:cs="Verdana"/>
        </w:rPr>
        <w:t xml:space="preserve">I am a Lecturer in Politics and Media at the University of Leeds. I research the impact of digital technologies on political and social life in different political systems and the changing nature of citizenship in the Internet age. The majority of my research focuses on China and the US either individually or comparatively to understand how digital technologies are used in different ways and have different effects in different political systems. I am just finishing a book manuscript that investigates how increasing commercialisation and growing authoritarianism are changing the balance of political power in the Internet age. I enclose below brief responses to a number of the questions put forward in this call for evidence. These opinions are my own and not intended to represent the views of my institution or other affiliations.  </w:t>
      </w:r>
    </w:p>
    <w:p w:rsidR="00FB0B24" w:rsidRPr="005B5CB6" w:rsidP="001512F6">
      <w:pPr>
        <w:spacing w:after="112" w:line="250" w:lineRule="auto"/>
        <w:ind w:left="11" w:hanging="10"/>
        <w:jc w:val="both"/>
        <w:rPr>
          <w:rFonts w:ascii="Verdana" w:hAnsi="Verdana"/>
        </w:rPr>
      </w:pPr>
      <w:r w:rsidRPr="005B5CB6">
        <w:rPr>
          <w:rFonts w:ascii="Verdana" w:eastAsia="Verdana" w:hAnsi="Verdana" w:cs="Verdana"/>
          <w:b/>
        </w:rPr>
        <w:t xml:space="preserve">How has digital technology changed the way that democracy works in the UK and has this been a net positive or negative effect? </w:t>
      </w:r>
    </w:p>
    <w:p w:rsidR="00FB0B24" w:rsidRPr="005B5CB6" w:rsidP="001512F6">
      <w:pPr>
        <w:spacing w:after="5" w:line="250" w:lineRule="auto"/>
        <w:ind w:left="720" w:right="11" w:hanging="360"/>
        <w:jc w:val="both"/>
        <w:rPr>
          <w:rFonts w:ascii="Verdana" w:hAnsi="Verdana"/>
        </w:rPr>
      </w:pPr>
      <w:r w:rsidRPr="005B5CB6">
        <w:rPr>
          <w:rFonts w:ascii="Verdana" w:eastAsia="Verdana" w:hAnsi="Verdana" w:cs="Verdana"/>
        </w:rPr>
        <w:t>1.</w:t>
      </w:r>
      <w:r w:rsidRPr="005B5CB6">
        <w:rPr>
          <w:rFonts w:ascii="Verdana" w:eastAsia="Arial" w:hAnsi="Verdana" w:cs="Arial"/>
        </w:rPr>
        <w:t xml:space="preserve"> </w:t>
      </w:r>
      <w:r w:rsidRPr="005B5CB6">
        <w:rPr>
          <w:rFonts w:ascii="Verdana" w:eastAsia="Verdana" w:hAnsi="Verdana" w:cs="Verdana"/>
        </w:rPr>
        <w:t xml:space="preserve">1.1 The way that digital technologies have changed politics can be divided into four main areas related to the functionalities of these technologies: the spaces that technologies provide, the data technologies produce, the way that these technologies work (e.g. based on algorithms) and the functionalities these technologies provide.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1.2. As a space, digital technologies were hoped to provide a new public sphere and invigorate offline civic life. They have become a key place that politics now takes place but, particularly due to the dominance of digital technologies by powerful commercial entities, these spaces do not match up to the hopes that people had for these technologies to positively effect politics. The commercialisation of digital spaces has accelerated processes of an entertainmentisation of politics and vastly increased political polarisation, as individual political activity needs to be shaped to meet the commercial needs of these companies. This situation, plus the pervasiveness of digital technologies in modern life, leads to cognitive dissonance on the part of individuals and resignation to the status quo (e.g. it is too hard to get off Facebook, it is too expensive to pay for journalism).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1.3. The vast amounts of data produced by digital technologies has enabled new and powerful corporations, with monopolistic economies of scale, whose business models are based on a monetisation of human behaviour (this argument is laid out in the popular 2019 book Surveillance Capitalism by Harvard Business School Professor Shoshana Zuboff). It is through a combination of this surveillance capitalist approach, based on this abundant data and the computing power to analyse and predict based on this data, and channelled through the algorithms and affordances of digital giants such as Facebook and Google, that leads to targeted political marketing such as that of Cambridge Analytica. This leads to greater entertainmentisation of politics and political polarisation, as mentioned above. In addition, tendencies toward targeted political advertising based on analysis of abundant digital data helps to normalise extreme views through playing on and exacerbating these emotions to ensure maximum appeal of this system of advertisement.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1.4. These technologies work based on algorithms that tailor content to each individual user within a system in which functionalities are restricted by the (commercial) platform. In this system, each user of digital technologies receives different content. The vast majority of theories of how politics works rely on individuals having access to a relatively small number of relatively impartial news media that report similar issues and facts (as theorised by Benedict Anderson). Digital technologies have fundamentally these assumptions leading to examples such as the one detailed by Eli Pariser in The Filter Bubble in which two people with similar demographic profiles searching for the word Egypt in Google around the time of the protests in Tahir Square receive very different information: one largely news about the protests and one information about holidays. Citizen bodies cannot form when the readily available information consumed is that different. In addition, arbitrary design choices of digital technologies can have big and unintended effects. The choice to limit Twitter posts to 140 characters, which was based on the length of an SMS, fundamentally changes the kinds information that can be shared and discussions that can be had. The quality of debate is often better on Chinese social media (where the 140-character limit was maintained) partly because approximately five times as much information can be conveyed in 140 Chinese characters. These design choices are compounded by the scale of these platforms, for instance, an A-B test on Facebook in the US 2012 midterm elections generated an estimated 340,000 additional votes in the election by showing some users faces of six of their friends who had clicked an i-voted button on the site (Bond et al., 2012). The reliance on black-box commercial sites for political functions means that control over how politics works is lost to states and citizens, with the companies that create and control these digital technologies not equipped to evaluate or deal with the potential power of tiny choices (such as the Facebook i-voted button). This plays into the changes already mentioned: entertainmentisation of politics, political participation as gratification rather than civic responsibility, political polarisation, cognitive dissonance and resignation to the status quo in terms of the ownership, use and functionality of digital technologies.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112" w:line="250" w:lineRule="auto"/>
        <w:ind w:left="728" w:right="11" w:hanging="8"/>
        <w:jc w:val="both"/>
        <w:rPr>
          <w:rFonts w:ascii="Verdana" w:hAnsi="Verdana"/>
        </w:rPr>
      </w:pPr>
      <w:r w:rsidRPr="005B5CB6">
        <w:rPr>
          <w:rFonts w:ascii="Verdana" w:eastAsia="Verdana" w:hAnsi="Verdana" w:cs="Verdana"/>
        </w:rPr>
        <w:t xml:space="preserve">1.5. Lastly, the functionalities of these technologies have afforded new opportunities for citizen oversight and organisation. There are notable benefits here, such as the use of cell phone video to document police brutality against African Americans in the US propelling the issue into the public consciousness. However, political participation on digital technologies tends to produce leaderless movements that although massive, suffer from problems such as lack of coherent platforms that means massive political participations may not achieve any change (e.g. the Women's marches in the US). This has led to increased volatility and turbulence in the political system, as massive movements can arise unpredictably, but this also means that participants can be disillusioned when their activity does not lead to results. Digital technology fuelled political participation tends to be through channels outside formal politics. Many do not see their activity as political and this increases disillusionment with the political system. The greater strength of Brexit positions compared to party affiliation among the British </w:t>
      </w:r>
      <w:r w:rsidRPr="005B5CB6">
        <w:rPr>
          <w:rFonts w:ascii="Verdana" w:eastAsia="Verdana" w:hAnsi="Verdana" w:cs="Verdana"/>
        </w:rPr>
        <w:t xml:space="preserve">public is a testament to the increased strength of issue publics and how that breaks down existing ways of doing politics. These movements empower and create fertile ground political candidates who run against the existing system and existing processes, which is extremely dangerous for the long-term health of democracy. Politicians have moved online as a response to citizen movements there, but communication and campaigning over digital technologies undermines professionalism, changes the tone and substance of politics and increases volatility and entertainmentisation of politics. The functionalities of technology have also been exploited to manipulate public opinion for political or commercial gain through misinformation, disinformation and just plain distraction, which is dealt with in a later question.  </w:t>
      </w:r>
    </w:p>
    <w:p w:rsidR="00FB0B24" w:rsidRPr="005B5CB6" w:rsidP="001512F6">
      <w:pPr>
        <w:spacing w:after="110" w:line="249" w:lineRule="auto"/>
        <w:ind w:left="-2" w:hanging="10"/>
        <w:jc w:val="both"/>
        <w:rPr>
          <w:rFonts w:ascii="Verdana" w:hAnsi="Verdana"/>
        </w:rPr>
      </w:pPr>
      <w:r w:rsidRPr="005B5CB6">
        <w:rPr>
          <w:rFonts w:ascii="Verdana" w:eastAsia="Verdana" w:hAnsi="Verdana" w:cs="Verdana"/>
          <w:b/>
        </w:rPr>
        <w:t xml:space="preserve">How have the design of algorithms used by social media platforms shaped democratic debate? To what extent should there be greater accountability for the design of these algorithms?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2.</w:t>
      </w:r>
      <w:r w:rsidRPr="005B5CB6">
        <w:rPr>
          <w:rFonts w:ascii="Verdana" w:eastAsia="Arial" w:hAnsi="Verdana" w:cs="Arial"/>
        </w:rPr>
        <w:t xml:space="preserve"> </w:t>
      </w:r>
      <w:r w:rsidRPr="005B5CB6">
        <w:rPr>
          <w:rFonts w:ascii="Verdana" w:eastAsia="Verdana" w:hAnsi="Verdana" w:cs="Verdana"/>
        </w:rPr>
        <w:t xml:space="preserve">The main effects have been: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2.1. An entertainmentisation of politics: Political information must compete online in an attention-grabbing environment, rewarding politicians, providers and information types (e.g. opinion rather than reporting) that can and are willing to compete for attention. The democratic functionalities of social media mean that a year-long piece of investigative journalism has the same space and presentation as a blog post on a partisan 'junk news' site and an offhand comment from a celebrity. In this system, hyperpartisan quasi-news providers have flourished. This presents a more widespread and complex problem than simple mis- or disinformation. With the online click-based system, it does not matter if a user reads or believes the information, if a user clicks the creator is rewarded. The previous 24hour news cycle of cable TV has become a more intrusive notification-based cycle.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2.2. Political polarisation: Algorithms tailor content to users. This has resulted in less diversity in opinions and voices in consumed information, leading to political polarisation, breaking broad communities of citizens and normalising extreme opinions.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2.3. Loss of control: Even though who create these algorithms cannot predict what they will do. This is a major problem (and potential) of artificial intelligence. These algorithms often to tend toward a lowest common denominator (e.g. music recommendation systems would tend toward mainstream popular bands with the broadest appeal) with high emotional impact (as the system functions simply on clicks rather than effect it pays to incite emption and reaction whatever the form). These algorithms also exacerbate existing structural problems, e.g. Microsoft's chatbot that replicated racist messages found in the Twitter tweets it was programmed to learn from or the fears about the use of AI in policing exacerbating existing bias against minority populations which results in datasets that present an impression of higher levels of illegality in these populations, for instance because they are more likely to be the subject of a stop and search. These algorithms (created by commercial companies) mean that the state and </w:t>
      </w:r>
      <w:r w:rsidRPr="005B5CB6">
        <w:rPr>
          <w:rFonts w:ascii="Verdana" w:eastAsia="Verdana" w:hAnsi="Verdana" w:cs="Verdana"/>
        </w:rPr>
        <w:t xml:space="preserve">citizens lose control over how the system works. Citizens are disempowered because they do not know why they see the information they see online and have little control over how they are profiles. The AI algorithms used by these companies for profiling are designed to fill in the blanks on a user's profile, e.g. guessing race or gender from videos watched, removing the ability to opt out of the system.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109" w:line="250" w:lineRule="auto"/>
        <w:ind w:left="728" w:right="11" w:hanging="8"/>
        <w:jc w:val="both"/>
        <w:rPr>
          <w:rFonts w:ascii="Verdana" w:hAnsi="Verdana"/>
        </w:rPr>
      </w:pPr>
      <w:r w:rsidRPr="005B5CB6">
        <w:rPr>
          <w:rFonts w:ascii="Verdana" w:eastAsia="Verdana" w:hAnsi="Verdana" w:cs="Verdana"/>
        </w:rPr>
        <w:t xml:space="preserve">2.4. Unfortunately, to try to make these algorithms more accountable undermines their potential as well as their pitfalls. I believe the fundamental problem is not the algorithms themselves but largely their ownership (i.e. they are designed and implemented by commercial companies for commercial purposes). Yes, there are problems with the use of algorithms by states (as in the policing example above) but a more pressing issue is who uses the vast majority of algorithms and for what reasons. Technologies themselves are largely neutral and the question is who is using them, why and what for.  </w:t>
      </w:r>
    </w:p>
    <w:p w:rsidR="00FB0B24" w:rsidRPr="005B5CB6" w:rsidP="001512F6">
      <w:pPr>
        <w:spacing w:after="112" w:line="250" w:lineRule="auto"/>
        <w:ind w:left="11" w:hanging="10"/>
        <w:jc w:val="both"/>
        <w:rPr>
          <w:rFonts w:ascii="Verdana" w:hAnsi="Verdana"/>
        </w:rPr>
      </w:pPr>
      <w:r w:rsidRPr="005B5CB6">
        <w:rPr>
          <w:rFonts w:ascii="Verdana" w:eastAsia="Verdana" w:hAnsi="Verdana" w:cs="Verdana"/>
          <w:b/>
        </w:rPr>
        <w:t xml:space="preserve">What role should every stage of education play in helping to create a healthy, active, digitally literate democracy? </w:t>
      </w:r>
    </w:p>
    <w:p w:rsidR="00FB0B24" w:rsidRPr="005B5CB6" w:rsidP="00575F14">
      <w:pPr>
        <w:numPr>
          <w:ilvl w:val="1"/>
          <w:numId w:val="147"/>
        </w:numPr>
        <w:spacing w:after="112" w:line="250" w:lineRule="auto"/>
        <w:ind w:right="11" w:hanging="360"/>
        <w:jc w:val="both"/>
        <w:rPr>
          <w:rFonts w:ascii="Verdana" w:hAnsi="Verdana"/>
        </w:rPr>
      </w:pPr>
      <w:r w:rsidRPr="005B5CB6">
        <w:rPr>
          <w:rFonts w:ascii="Verdana" w:eastAsia="Verdana" w:hAnsi="Verdana" w:cs="Verdana"/>
        </w:rPr>
        <w:t xml:space="preserve">I believe that we need to be thinking more widely than digital literacy. Thinking about digital literacy takes the current system as a given and thinks about how we need to educate people to function in this system; we need to be thinking more about how to change the system. I think we need to be thinking wider than the Internet or digital technology to think about the wider system that both precipitated and has been created by this system. As discussed about, core aspects of this system are the commercialisation and entertainmentisation of both political and social life. The movement to this system has been based on ideas of trading privacy and freedom for efficiency, predictability and safety. While digital literacy is important, I would argue that of wider and more profound importance is to counteract in education these messages of for efficiency, predictability and safety coming from a capitalist system that profits from them, less so from the sale of products to the consumer and more from the sale of data produced by the consumer during the use of these products. Civic education needs to emphasise that sacrifice of time, money, ease, comfort is necessary for a healthy democracy. Our biggest problem is not that people don't know that they are being exploited by social media companies or that reducing the consumption of meat and dairy is a necessary part of preventing further climate change; the biggest problem is that people are unwilling to make the changes in their lives necessary to bring their private lives in-line with their personal ethics.  </w:t>
      </w:r>
    </w:p>
    <w:p w:rsidR="00FB0B24" w:rsidRPr="005B5CB6" w:rsidP="001512F6">
      <w:pPr>
        <w:spacing w:after="109" w:line="250" w:lineRule="auto"/>
        <w:ind w:left="11" w:hanging="10"/>
        <w:jc w:val="both"/>
        <w:rPr>
          <w:rFonts w:ascii="Verdana" w:hAnsi="Verdana"/>
        </w:rPr>
      </w:pPr>
      <w:r w:rsidRPr="005B5CB6">
        <w:rPr>
          <w:rFonts w:ascii="Verdana" w:eastAsia="Verdana" w:hAnsi="Verdana" w:cs="Verdana"/>
          <w:b/>
        </w:rPr>
        <w:t xml:space="preserve">To what extent does increasing use of encrypted messaging and private groups present a challenge to the democratic process? </w:t>
      </w:r>
    </w:p>
    <w:p w:rsidR="00FB0B24" w:rsidRPr="005B5CB6" w:rsidP="00575F14">
      <w:pPr>
        <w:numPr>
          <w:ilvl w:val="1"/>
          <w:numId w:val="147"/>
        </w:numPr>
        <w:spacing w:after="109" w:line="250" w:lineRule="auto"/>
        <w:ind w:right="11" w:hanging="360"/>
        <w:jc w:val="both"/>
        <w:rPr>
          <w:rFonts w:ascii="Verdana" w:hAnsi="Verdana"/>
        </w:rPr>
      </w:pPr>
      <w:r w:rsidRPr="005B5CB6">
        <w:rPr>
          <w:rFonts w:ascii="Verdana" w:eastAsia="Verdana" w:hAnsi="Verdana" w:cs="Verdana"/>
        </w:rPr>
        <w:t xml:space="preserve">I strongly support movement towards the encryption of personal information and communication. While realising that encryption means that data, for instance about illegal activities that could be of use to law enforcement to prosecute or prevent crimes, is hidden, I believe that in balance the personal liberty and right of an individual to have ultimate control over their personal data is more important. I accept the risk that encryption might be used to </w:t>
      </w:r>
      <w:r w:rsidRPr="005B5CB6">
        <w:rPr>
          <w:rFonts w:ascii="Verdana" w:eastAsia="Verdana" w:hAnsi="Verdana" w:cs="Verdana"/>
        </w:rPr>
        <w:t xml:space="preserve">plan and execute crimes that could affect my personal safety and security in order that the way I conduct my own life might be free from surveillance and profiling. Democracy is predicated on the fundamental liberty of individuals; perhaps a benevolent dictator would in the short-term produce faster and better results but we do not endorse this system because (a) it goes against fundamental principles of liberty and freedom that are worth risk in order to preserve and (b) it is too easily abused or slips from benevolence to malevolence. Arguments against encryption are similar. Arguments have been made that technology companies should provide a back-door so that encrypted messages can be accessed by, for instance, law enforcement officials. However, this system is too easily abused. A back-door provided for a legitimate and wellmeaning democratic government can be used just as easily by an authoritarian one and provides a route of attack for exploitation. It also invites function creep. For instance, once established as a means to investigate, for instance, terrorist attacks it is then easy to make the argument that it should be used to prevent lesser and lesser crimes. Digital data never disappears and is readily processable in ways that far outpace a pre-digital era. As the situation regarding homosexuality in Brazil shows, we are always only one government away from a previously safe behaviour being unsafe. Using encrypted communications for data that will never go away preserves the freedom and liberty of people against future changes. Encryption, in balance, will help individuals reclaim freedom and bolster democracy rather than undermining it.  </w:t>
      </w:r>
    </w:p>
    <w:p w:rsidR="00FB0B24" w:rsidRPr="005B5CB6" w:rsidP="001512F6">
      <w:pPr>
        <w:spacing w:after="112" w:line="250" w:lineRule="auto"/>
        <w:ind w:left="11" w:hanging="10"/>
        <w:jc w:val="both"/>
        <w:rPr>
          <w:rFonts w:ascii="Verdana" w:hAnsi="Verdana"/>
        </w:rPr>
      </w:pPr>
      <w:r w:rsidRPr="005B5CB6">
        <w:rPr>
          <w:rFonts w:ascii="Verdana" w:eastAsia="Verdana" w:hAnsi="Verdana" w:cs="Verdana"/>
          <w:b/>
        </w:rPr>
        <w:t xml:space="preserve">What might be the best ways of reducing the effects of misinformation on social media platforms? </w:t>
      </w:r>
    </w:p>
    <w:p w:rsidR="00FB0B24" w:rsidRPr="005B5CB6" w:rsidP="00575F14">
      <w:pPr>
        <w:numPr>
          <w:ilvl w:val="1"/>
          <w:numId w:val="147"/>
        </w:numPr>
        <w:spacing w:after="5" w:line="250" w:lineRule="auto"/>
        <w:ind w:right="11" w:hanging="360"/>
        <w:jc w:val="both"/>
        <w:rPr>
          <w:rFonts w:ascii="Verdana" w:hAnsi="Verdana"/>
        </w:rPr>
      </w:pPr>
      <w:r w:rsidRPr="005B5CB6">
        <w:rPr>
          <w:rFonts w:ascii="Verdana" w:eastAsia="Verdana" w:hAnsi="Verdana" w:cs="Verdana"/>
        </w:rPr>
        <w:t xml:space="preserve">Misinformation is not a new problem in society and the proliferation of hyper-partisan, emotional information (propaganda) is more of a problem than strictly factually incorrect information.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5.1. One important way to reduce the effects of misinformation is to support the provision and proliferation of traditional journalism. This is not about traditional journalists adapting to digital technologies, as that entails a movement to attention-grabbing, easy to process information. It is rather, re-recognising a civic responsibility in being well informed. The BBC is important and we should aim to (re-)build trust in and consumption of the platform. Investigative journalism and journalistic training should be supported. Library closures need to be reversed. Newspaper subscriptions should be available at schools, community centres, doctor's offices, integrated, where possible, in service provision (such as through school assignments) and subsidised for low-income individuals and families.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112" w:line="250" w:lineRule="auto"/>
        <w:ind w:left="728" w:right="11" w:hanging="8"/>
        <w:jc w:val="both"/>
        <w:rPr>
          <w:rFonts w:ascii="Verdana" w:hAnsi="Verdana"/>
        </w:rPr>
      </w:pPr>
      <w:r w:rsidRPr="005B5CB6">
        <w:rPr>
          <w:rFonts w:ascii="Verdana" w:eastAsia="Verdana" w:hAnsi="Verdana" w:cs="Verdana"/>
        </w:rPr>
        <w:t xml:space="preserve">5.2. The second important way is to emphasise that the problem of misinformation comes from the commercial nature of the system. It is telling that a great deal of the misinformation produced around the 2016 US Presidential Election was not produced by people who had an interest in one side or another winning but rather by Macedonian teenagers who realised how much money they could make writing salacious headlines that people would click on. To the extent that we continue to access political information through commercial social media sites, we will always have a problem with </w:t>
      </w:r>
      <w:r w:rsidRPr="005B5CB6">
        <w:rPr>
          <w:rFonts w:ascii="Verdana" w:eastAsia="Verdana" w:hAnsi="Verdana" w:cs="Verdana"/>
        </w:rPr>
        <w:t xml:space="preserve">misinformation as misinformation performs well in grabbing attention, encouraging click-through and gives audiences entertainment satisfaction. The consumption of political information cannot be filtered through structures, algorithms and processes that are primarily commercial. One way to fight this is to create and encourage noncommercial and civic-minded alternatives. Right now, this is next to impossible because of the economies of scale of digital technologies and their resultant network effect (e.g. it is hard to get off Facebook when all your contacts are still using Facebook). In order to facilitate the breaking of monopolies and the cultivation of non-commercial and civic-focused alternatives, there needs to be portability of user data between platforms and the ability of users on different platforms to communicate. Digital communication technologies have become a vital infrastructure. Early commercial builders of the London Underground did not want to allow passengers to interchange between lines build by different companies. Early phone companies did not want to allow users on one provider to call a user on another provider. The ability to interchange seamlessly between infrastructure build and owned by different companies is vital to the utility of these services. The same is now true for our digital technologies. If users were able to move their contacts from one platform to another and to communicate with users of different platforms within the same messaging services, we could move away from economies of scale and support the development of alternative choices in contrast to the current near-global monopolies.  </w:t>
      </w:r>
    </w:p>
    <w:p w:rsidR="00FB0B24" w:rsidRPr="005B5CB6" w:rsidP="001512F6">
      <w:pPr>
        <w:spacing w:after="96"/>
        <w:jc w:val="both"/>
        <w:rPr>
          <w:rFonts w:ascii="Verdana" w:hAnsi="Verdana"/>
        </w:rPr>
      </w:pPr>
      <w:r w:rsidRPr="005B5CB6">
        <w:rPr>
          <w:rFonts w:ascii="Verdana" w:eastAsia="Verdana" w:hAnsi="Verdana" w:cs="Verdana"/>
        </w:rPr>
        <w:t xml:space="preserve"> </w:t>
      </w:r>
    </w:p>
    <w:p w:rsidR="00FB0B24" w:rsidRPr="005B5CB6" w:rsidP="001512F6">
      <w:pPr>
        <w:spacing w:after="109" w:line="250" w:lineRule="auto"/>
        <w:ind w:left="23" w:right="11" w:hanging="8"/>
        <w:jc w:val="both"/>
        <w:rPr>
          <w:rFonts w:ascii="Verdana" w:hAnsi="Verdana"/>
        </w:rPr>
      </w:pPr>
      <w:r w:rsidRPr="005B5CB6">
        <w:rPr>
          <w:rFonts w:ascii="Verdana" w:eastAsia="Verdana" w:hAnsi="Verdana" w:cs="Verdana"/>
        </w:rPr>
        <w:t xml:space="preserve">6. In sum, my core argument here is not about the digital technologies themselves but about their ownership. The majority of the current issues arise because of the commercial ownership of these technologies, rather than a particular underlying principle of the technology. We need to facilitate competition as well as non-commercial and civic-minded alternatives to current technologies and work to reinvigorate and rehabilitate traditional media and civic spaces and life.  Currently, commercial media sell us the idea that they are sufficient and efficient for democratic engagement. This is not true; it is just their advertising message. Politics cannot function largely through on commercial spaces and processes. The idea of giving up freedom and privacy for efficiently, predictability and safety needs to be fought and we will need to accept that it will be less efficient and less predictable to reclaim democratic political life for civic bodies from commercial digital technology providers, who have made large amounts of money by taking private ownership of political processes and functions that need to be public.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1F462D">
          <w:headerReference w:type="even" r:id="rId219"/>
          <w:headerReference w:type="default" r:id="rId220"/>
          <w:footerReference w:type="even" r:id="rId221"/>
          <w:footerReference w:type="default" r:id="rId222"/>
          <w:headerReference w:type="first" r:id="rId223"/>
          <w:footerReference w:type="first" r:id="rId224"/>
          <w:pgSz w:w="11899" w:h="16841"/>
          <w:pgMar w:top="1413" w:right="1362" w:bottom="1363" w:left="1361" w:header="720" w:footer="711" w:gutter="0"/>
          <w:cols w:space="720"/>
        </w:sectPr>
      </w:pPr>
    </w:p>
    <w:p w:rsidR="00FB0B24" w:rsidRPr="005B5CB6" w:rsidP="001512F6">
      <w:pPr>
        <w:spacing w:after="368"/>
        <w:jc w:val="both"/>
        <w:rPr>
          <w:rFonts w:ascii="Verdana" w:hAnsi="Verdana"/>
        </w:rPr>
      </w:pPr>
      <w:r w:rsidRPr="005B5CB6">
        <w:rPr>
          <w:rFonts w:ascii="Verdana" w:eastAsia="Verdana" w:hAnsi="Verdana" w:cs="Verdana"/>
          <w:b/>
          <w:color w:val="2B2E3D"/>
        </w:rPr>
        <w:t xml:space="preserve">BrandsEye – written evidence (DAD0047)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By Jean Pierre Kloppers, Group Chief Executive of BrandsEye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Technology and democratic engagement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i/>
        </w:rPr>
        <w:t xml:space="preserve">13. 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Social media is a tool and data source that should be embraced by democracies to support democratic engagement. This submission answers question 13 in the Call for Evidence and outlines how social media can be used by parliament and government to engage the public in decision making, support democratic engagement, and efficacy of the democratic process.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Social media is a constant stream of citizens voicing their opinions about the decisions taken by elected representatives and their experiences of government services.  It is an incredible reservoir of public opinion containing the collective will of the people. And government would be wise to listen. The challenge in listening, is there is simply too much noise to be able to find the signal; the will of the people.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However, by accurately listening to and engaging with citizens online, particularly on social media, elected representatives are able to better understand public opinion and encourage democratic engagement on legislative issues and other matters of national debate. Social media has the potential to connect decision-makers in government to a younger demographic of citizens who prefer to express their concerns on a range of socio-political matters online.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Much of the optimism that surrounded social media as a force for facilitating democratic processes and empowering civic engagement has been overshadowed by scandals involving actors who have interfered in these very processes. The lack of internal checks and balances at social media companies has opened them up to abuse by actors, who view them as fertile ground for surveillance and political manipulation. The Cambridge Analytica scandal, in particular, raised fundamental issues about personal data protection and dangers of these platforms. The ongoing debates about how these platforms and user data are regulated are critical and must continue.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343" w:line="250" w:lineRule="auto"/>
        <w:ind w:left="23" w:right="11" w:hanging="8"/>
        <w:jc w:val="both"/>
        <w:rPr>
          <w:rFonts w:ascii="Verdana" w:hAnsi="Verdana"/>
        </w:rPr>
      </w:pPr>
      <w:r w:rsidRPr="005B5CB6">
        <w:rPr>
          <w:rFonts w:ascii="Verdana" w:eastAsia="Verdana" w:hAnsi="Verdana" w:cs="Verdana"/>
        </w:rPr>
        <w:t xml:space="preserve">But one should not forget the significant role that social media has played in championing free speech, democratising public opinion and organising civic movements. Thanks to the proliferation of social media, we have seen the rise of important social movements like #MeToo and the mass mobilisation of millions in the pro-democracy Arab Spring. Its potential as a tool to support citizen engagement, public participation and better serve citizens is untapped.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work of unethical companies should not stop social media platforms from being explored as a tool for civic engagement and improved service delivery. Businesses are already doing this, governments should too. The mining of public – and not private – data can be a force that empowers the government to ultimately better serve its citizens.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By using ethical data-mining tools, government institutions are able to better understand citizen sentiment and opinion on a variety of issues. These ethical tools do not target or profile users or manipulate them based on their preferences. Instead, they function as a new polling companies of spontaneous and volunteered opinions. These opinions are carefully and accurately analysed for both sentiment and the underlying issues driving sentiment. This data, from users who chose to share their views publicly, on platforms like Twitter, can be used by government agencies and organisations, like city councils to provide better quality services or products. The social media user, the citizen, is the winner.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By listening to citizens online, government organisations and political parties are able to keep their finger on the pulse of public sentiment and how it shifts in response to unfolding events. Social media data provides a real-time and location-specific assessment of public opinion about the issues that citizens care about. Traditional polling methods cannot account for the fast-paced nature of the 24-hour news cycle and social media activism. For example, traditional polling or focus groups cannot keep up with the fast-changing and unpredictable nature of important national issues, like Brexit. By the time the findings are in from research polls, new developments will have transpired in parliament. Social media provides a live read on citizen opinion. This means that elected representatives no longer need to postulate about what the public wants, they can use data to know how the public feel, and what they want.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Slowly governments around the world are tapping into social media data as a valuable source of citizen opinion to help improve service delivery. One valuable example that helped save a city from catastrophe is the City of Cape Town. The City, who recently faced their worst drought in 300 years and the possibility of taps running dry, used social media data to help reduce water consumption by more than 50% in three years. The City realised that an effective communication campaign was going to be required to keep residents informed during the crisis and to significantly shift their water consumption behaviour. Social media was a critical part of citizen communication and a preferred channel by many Capetonians. Working with highly accurate public data,  the City was able to inform responsive communication interventions to rectify misinformation regarding the drought and drive fact-based conversations online. By accessing real-time data, the city was able to identify conversations that were detrimental to building a water-saving culture among residents.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199" w:line="250" w:lineRule="auto"/>
        <w:ind w:left="23" w:right="11" w:hanging="8"/>
        <w:jc w:val="both"/>
        <w:rPr>
          <w:rFonts w:ascii="Verdana" w:hAnsi="Verdana"/>
        </w:rPr>
      </w:pPr>
      <w:r w:rsidRPr="005B5CB6">
        <w:rPr>
          <w:rFonts w:ascii="Verdana" w:eastAsia="Verdana" w:hAnsi="Verdana" w:cs="Verdana"/>
        </w:rPr>
        <w:t xml:space="preserve">Social media holds great potential to connect the needs of the people with decision-makers inside the government. Governments, political leaders and MPs are able to better prioritise the most pressing concerns of their constituents and find out how they feel about important national and legislative issues.  Social media also connects decision makers to a younger generation of constituents who prefer to express their views online, rather than traditional channels.  </w:t>
      </w:r>
    </w:p>
    <w:p w:rsidR="00FB0B24" w:rsidRPr="005B5CB6" w:rsidP="001512F6">
      <w:pPr>
        <w:spacing w:after="3"/>
        <w:ind w:left="10" w:right="-10" w:hanging="10"/>
        <w:jc w:val="both"/>
        <w:rPr>
          <w:rFonts w:ascii="Verdana" w:hAnsi="Verdana"/>
        </w:rPr>
        <w:sectPr w:rsidSect="006562C6">
          <w:headerReference w:type="even" r:id="rId225"/>
          <w:headerReference w:type="default" r:id="rId226"/>
          <w:footerReference w:type="even" r:id="rId227"/>
          <w:footerReference w:type="default" r:id="rId228"/>
          <w:headerReference w:type="first" r:id="rId229"/>
          <w:footerReference w:type="first" r:id="rId230"/>
          <w:pgSz w:w="11899" w:h="16841"/>
          <w:pgMar w:top="1492" w:right="1441" w:bottom="708" w:left="1440" w:header="720" w:footer="720" w:gutter="0"/>
          <w:cols w:space="720"/>
        </w:sectPr>
      </w:pPr>
    </w:p>
    <w:p w:rsidR="00FB0B24" w:rsidRPr="005B5CB6" w:rsidP="00A1624B">
      <w:pPr>
        <w:pStyle w:val="Heading1"/>
        <w:rPr>
          <w:sz w:val="22"/>
        </w:rPr>
      </w:pPr>
      <w:bookmarkStart w:id="41" w:name="_Toc44517729"/>
      <w:r w:rsidRPr="005B5CB6">
        <w:rPr>
          <w:sz w:val="22"/>
        </w:rPr>
        <w:t>Dr Luke Temple – written evidence (DAD0048)</w:t>
      </w:r>
      <w:bookmarkEnd w:id="41"/>
      <w:r w:rsidRPr="005B5CB6">
        <w:rPr>
          <w:sz w:val="22"/>
        </w:rPr>
        <w:t xml:space="preserve">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This consultation response is written by Dr Ana Langer (University of Glasgow) and Luke Temple (University of Sheffield). Dr Langer is an expert in political communication, with focus on how the use of media impacts on the quality of the democratic process, especially during elections. She has also done work on the use of electronic petitions of different kinds by civil society actors trying to influence policy. Dr Temple is an expert in political participation and electoral geography. The response is primarily focused on the section on technology and engagement and other related questions, and partly draws on a current project funded by a British Academy/Leverhulme grant about how non-party organisations use digital technologies for campaigning  </w:t>
      </w:r>
    </w:p>
    <w:p w:rsidR="00FB0B24" w:rsidRPr="005B5CB6" w:rsidP="001512F6">
      <w:pPr>
        <w:spacing w:after="165" w:line="250" w:lineRule="auto"/>
        <w:ind w:left="11" w:hanging="10"/>
        <w:jc w:val="both"/>
        <w:rPr>
          <w:rFonts w:ascii="Verdana" w:hAnsi="Verdana"/>
        </w:rPr>
      </w:pPr>
      <w:r w:rsidRPr="005B5CB6">
        <w:rPr>
          <w:rFonts w:ascii="Verdana" w:eastAsia="Verdana" w:hAnsi="Verdana" w:cs="Verdana"/>
          <w:b/>
        </w:rPr>
        <w:t xml:space="preserve">General </w:t>
      </w:r>
      <w:r w:rsidRPr="005B5CB6">
        <w:rPr>
          <w:rFonts w:ascii="Verdana" w:eastAsia="Verdana" w:hAnsi="Verdana" w:cs="Verdana"/>
        </w:rPr>
        <w:t xml:space="preserve"> </w:t>
      </w:r>
    </w:p>
    <w:p w:rsidR="00FB0B24" w:rsidRPr="005B5CB6" w:rsidP="001512F6">
      <w:pPr>
        <w:spacing w:after="166" w:line="249" w:lineRule="auto"/>
        <w:ind w:left="9" w:hanging="10"/>
        <w:jc w:val="both"/>
        <w:rPr>
          <w:rFonts w:ascii="Verdana" w:hAnsi="Verdana"/>
        </w:rPr>
      </w:pPr>
      <w:r w:rsidRPr="005B5CB6">
        <w:rPr>
          <w:rFonts w:ascii="Verdana" w:eastAsia="Verdana" w:hAnsi="Verdana" w:cs="Verdana"/>
          <w:b/>
          <w:i/>
        </w:rPr>
        <w:t xml:space="preserve">Q1. How has digital technology changed the way that democracy works in the UK and has this been a net positive or negative effect?  </w:t>
      </w:r>
    </w:p>
    <w:p w:rsidR="00FB0B24" w:rsidRPr="005B5CB6" w:rsidP="00575F14">
      <w:pPr>
        <w:numPr>
          <w:ilvl w:val="0"/>
          <w:numId w:val="148"/>
        </w:numPr>
        <w:spacing w:after="5" w:line="250" w:lineRule="auto"/>
        <w:ind w:right="11" w:hanging="360"/>
        <w:jc w:val="both"/>
        <w:rPr>
          <w:rFonts w:ascii="Verdana" w:hAnsi="Verdana"/>
        </w:rPr>
      </w:pPr>
      <w:r w:rsidRPr="005B5CB6">
        <w:rPr>
          <w:rFonts w:ascii="Verdana" w:eastAsia="Verdana" w:hAnsi="Verdana" w:cs="Verdana"/>
        </w:rPr>
        <w:t xml:space="preserve">The ways in which digital technologies have changed how democracy works are countless and often in the background of how organisations (government, civil society and media) work. The most impactful tools are often overlooked in these debates: email, Customer Relations Management Systems (CRM), collaborative tools (especially G suite) and messaging systems such as </w:t>
      </w:r>
    </w:p>
    <w:p w:rsidR="00FB0B24" w:rsidRPr="005B5CB6" w:rsidP="001512F6">
      <w:pPr>
        <w:spacing w:after="5" w:line="268" w:lineRule="auto"/>
        <w:ind w:left="289" w:right="207" w:hanging="10"/>
        <w:jc w:val="both"/>
        <w:rPr>
          <w:rFonts w:ascii="Verdana" w:hAnsi="Verdana"/>
        </w:rPr>
      </w:pPr>
      <w:r w:rsidRPr="005B5CB6">
        <w:rPr>
          <w:rFonts w:ascii="Verdana" w:eastAsia="Verdana" w:hAnsi="Verdana" w:cs="Verdana"/>
        </w:rPr>
        <w:t xml:space="preserve">WhatsApp and Telegram. Social media comes a clear second in many cases.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575F14">
      <w:pPr>
        <w:numPr>
          <w:ilvl w:val="0"/>
          <w:numId w:val="148"/>
        </w:numPr>
        <w:spacing w:after="5" w:line="250" w:lineRule="auto"/>
        <w:ind w:right="11" w:hanging="360"/>
        <w:jc w:val="both"/>
        <w:rPr>
          <w:rFonts w:ascii="Verdana" w:hAnsi="Verdana"/>
        </w:rPr>
      </w:pPr>
      <w:r w:rsidRPr="005B5CB6">
        <w:rPr>
          <w:rFonts w:ascii="Verdana" w:eastAsia="Verdana" w:hAnsi="Verdana" w:cs="Verdana"/>
        </w:rPr>
        <w:t xml:space="preserve">It is not possible to speak overall of a net positive or negative effect, and it’s probably not all that helpful to think this way; often the same digital tool can be used to aid different agendas in different ways. Generalising, and focusing on social media, the most obvious effect is that they have lowered the cost of engagement and mobilisation for civil society actors both in positive (democratic causes of all kinds) and negative ways (hate groups, incivility, threats to privacy, and misinformation). This allows for a sense of a nearpermanent election campaign – however, this is also influenced by the current heightened state of politics. </w:t>
      </w:r>
      <w:r w:rsidRPr="005B5CB6">
        <w:rPr>
          <w:rFonts w:ascii="Verdana" w:eastAsia="Verdana" w:hAnsi="Verdana" w:cs="Verdana"/>
          <w:i/>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48"/>
        </w:numPr>
        <w:spacing w:after="5" w:line="250" w:lineRule="auto"/>
        <w:ind w:right="11" w:hanging="360"/>
        <w:jc w:val="both"/>
        <w:rPr>
          <w:rFonts w:ascii="Verdana" w:hAnsi="Verdana"/>
        </w:rPr>
      </w:pPr>
      <w:r w:rsidRPr="005B5CB6">
        <w:rPr>
          <w:rFonts w:ascii="Verdana" w:eastAsia="Verdana" w:hAnsi="Verdana" w:cs="Verdana"/>
        </w:rPr>
        <w:t xml:space="preserve">One major concern is how digital technologies, and especially the role of quasi-monopolies such as Google and Facebook, threaten news organisation business models and therefore their sustainability, especially at the local level. Part of this space has been filled on social media by citizenship journalism organisations with an anti-mainstream media agenda that have considerable biases of their own. At the positive end, the use of electronic petitions (by Parliament but also by other organisations such as change.org and 38degrees) have enabled some citizens to engage with Parliament, the policy process and encourage debate. </w:t>
      </w:r>
      <w:r w:rsidRPr="005B5CB6">
        <w:rPr>
          <w:rFonts w:ascii="Verdana" w:eastAsia="Verdana" w:hAnsi="Verdana" w:cs="Verdana"/>
          <w:i/>
        </w:rPr>
        <w:t xml:space="preserve"> </w:t>
      </w:r>
    </w:p>
    <w:p w:rsidR="00FB0B24" w:rsidRPr="005B5CB6" w:rsidP="001512F6">
      <w:pPr>
        <w:spacing w:after="0"/>
        <w:ind w:left="720"/>
        <w:jc w:val="both"/>
        <w:rPr>
          <w:rFonts w:ascii="Verdana" w:hAnsi="Verdana"/>
        </w:rPr>
      </w:pPr>
      <w:r w:rsidRPr="005B5CB6">
        <w:rPr>
          <w:rFonts w:ascii="Verdana" w:eastAsia="Verdana" w:hAnsi="Verdana" w:cs="Verdana"/>
          <w:i/>
        </w:rPr>
        <w:t xml:space="preserve"> </w:t>
      </w:r>
    </w:p>
    <w:p w:rsidR="00FB0B24" w:rsidRPr="005B5CB6" w:rsidP="001512F6">
      <w:pPr>
        <w:spacing w:after="0"/>
        <w:ind w:left="361"/>
        <w:jc w:val="both"/>
        <w:rPr>
          <w:rFonts w:ascii="Verdana" w:hAnsi="Verdana"/>
        </w:rPr>
      </w:pPr>
      <w:r w:rsidRPr="005B5CB6">
        <w:rPr>
          <w:rFonts w:ascii="Verdana" w:eastAsia="Verdana" w:hAnsi="Verdana" w:cs="Verdana"/>
          <w:b/>
          <w:i/>
        </w:rPr>
        <w:t xml:space="preserve"> </w:t>
      </w:r>
    </w:p>
    <w:p w:rsidR="00FB0B24" w:rsidRPr="005B5CB6" w:rsidP="001512F6">
      <w:pPr>
        <w:spacing w:after="188" w:line="249" w:lineRule="auto"/>
        <w:ind w:left="9" w:hanging="10"/>
        <w:jc w:val="both"/>
        <w:rPr>
          <w:rFonts w:ascii="Verdana" w:hAnsi="Verdana"/>
        </w:rPr>
      </w:pPr>
      <w:r w:rsidRPr="005B5CB6">
        <w:rPr>
          <w:rFonts w:ascii="Verdana" w:eastAsia="Verdana" w:hAnsi="Verdana" w:cs="Verdana"/>
          <w:b/>
          <w:i/>
        </w:rPr>
        <w:t xml:space="preserve">Q2. How have the design of algorithms used by social media platforms shaped democratic debate? To what extent should there be greater accountability for the design of these algorithms?  </w:t>
      </w:r>
    </w:p>
    <w:p w:rsidR="00FB0B24" w:rsidRPr="005B5CB6" w:rsidP="00575F14">
      <w:pPr>
        <w:numPr>
          <w:ilvl w:val="0"/>
          <w:numId w:val="148"/>
        </w:numPr>
        <w:spacing w:after="5" w:line="250" w:lineRule="auto"/>
        <w:ind w:right="11" w:hanging="360"/>
        <w:jc w:val="both"/>
        <w:rPr>
          <w:rFonts w:ascii="Verdana" w:hAnsi="Verdana"/>
        </w:rPr>
      </w:pPr>
      <w:r w:rsidRPr="005B5CB6">
        <w:rPr>
          <w:rFonts w:ascii="Verdana" w:eastAsia="Verdana" w:hAnsi="Verdana" w:cs="Verdana"/>
        </w:rPr>
        <w:t xml:space="preserve">The short answer: enormously and therefore yes, there should be more accountability. Democratic debate is enabled by the production and distribution of high-quality information. An increasing proportion (especially among younger generations) of people access news online, especially via social media and search engines. These platforms dominate the advertising market and hence news organisations’ major source of income (with exception of the BBC). A change in Facebook’s (or Google’s) algorithm, even if minor, has a massive impact on how much and which news people consume as well as, crucially, on the news organisations’ business model.  </w:t>
      </w:r>
    </w:p>
    <w:p w:rsidR="00FB0B24" w:rsidRPr="005B5CB6" w:rsidP="00575F14">
      <w:pPr>
        <w:numPr>
          <w:ilvl w:val="0"/>
          <w:numId w:val="148"/>
        </w:numPr>
        <w:spacing w:after="168" w:line="250" w:lineRule="auto"/>
        <w:ind w:right="11" w:hanging="360"/>
        <w:jc w:val="both"/>
        <w:rPr>
          <w:rFonts w:ascii="Verdana" w:hAnsi="Verdana"/>
        </w:rPr>
      </w:pPr>
      <w:r w:rsidRPr="005B5CB6">
        <w:rPr>
          <w:rFonts w:ascii="Verdana" w:eastAsia="Verdana" w:hAnsi="Verdana" w:cs="Verdana"/>
        </w:rPr>
        <w:t xml:space="preserve">For these reasons, there should be greater accountability regarding these algorithms. As these are private corporations there are limits to what it is viable, </w:t>
      </w:r>
      <w:r w:rsidRPr="005B5CB6">
        <w:rPr>
          <w:rFonts w:ascii="Verdana" w:eastAsia="Verdana" w:hAnsi="Verdana" w:cs="Verdana"/>
          <w:u w:val="single" w:color="000000"/>
        </w:rPr>
        <w:t>but</w:t>
      </w:r>
      <w:r w:rsidRPr="005B5CB6">
        <w:rPr>
          <w:rFonts w:ascii="Verdana" w:eastAsia="Verdana" w:hAnsi="Verdana" w:cs="Verdana"/>
        </w:rPr>
        <w:t xml:space="preserve"> they are also providing an essentially public service of vital influence in the democratic process. Facebook, whilst originally being resistant, has seemingly come to acknowledge that is a publisher of information and not just a ‘neutral’ platform. This suggests that algorithms act as editors and require thinking about in terms of responsibility and public accountability. However, a possible consequence of this (suggested to us by campaigners we’ve spoken to) is that in response we can expect Facebook to shift emphasis from Public Pages to Closed Groups – therefore moving these debating forums into less visible spaces which are harder to regulate. </w:t>
      </w:r>
    </w:p>
    <w:p w:rsidR="00FB0B24" w:rsidRPr="005B5CB6" w:rsidP="001512F6">
      <w:pPr>
        <w:spacing w:after="165" w:line="250" w:lineRule="auto"/>
        <w:ind w:left="11" w:hanging="10"/>
        <w:jc w:val="both"/>
        <w:rPr>
          <w:rFonts w:ascii="Verdana" w:hAnsi="Verdana"/>
        </w:rPr>
      </w:pPr>
      <w:r w:rsidRPr="005B5CB6">
        <w:rPr>
          <w:rFonts w:ascii="Verdana" w:eastAsia="Verdana" w:hAnsi="Verdana" w:cs="Verdana"/>
          <w:b/>
        </w:rPr>
        <w:t xml:space="preserve">Education </w:t>
      </w:r>
    </w:p>
    <w:p w:rsidR="00FB0B24" w:rsidRPr="005B5CB6" w:rsidP="001512F6">
      <w:pPr>
        <w:spacing w:after="166" w:line="249" w:lineRule="auto"/>
        <w:ind w:left="9" w:hanging="10"/>
        <w:jc w:val="both"/>
        <w:rPr>
          <w:rFonts w:ascii="Verdana" w:hAnsi="Verdana"/>
        </w:rPr>
      </w:pPr>
      <w:r w:rsidRPr="005B5CB6">
        <w:rPr>
          <w:rFonts w:ascii="Verdana" w:eastAsia="Verdana" w:hAnsi="Verdana" w:cs="Verdana"/>
          <w:b/>
          <w:i/>
        </w:rPr>
        <w:t xml:space="preserve">Q3. What role should every stage of education play in helping to create a healthy, active, digitally literature democracy? </w:t>
      </w:r>
    </w:p>
    <w:p w:rsidR="00FB0B24" w:rsidRPr="005B5CB6" w:rsidP="00575F14">
      <w:pPr>
        <w:numPr>
          <w:ilvl w:val="0"/>
          <w:numId w:val="148"/>
        </w:numPr>
        <w:spacing w:after="5" w:line="250" w:lineRule="auto"/>
        <w:ind w:right="11" w:hanging="360"/>
        <w:jc w:val="both"/>
        <w:rPr>
          <w:rFonts w:ascii="Verdana" w:hAnsi="Verdana"/>
        </w:rPr>
      </w:pPr>
      <w:r w:rsidRPr="005B5CB6">
        <w:rPr>
          <w:rFonts w:ascii="Verdana" w:eastAsia="Verdana" w:hAnsi="Verdana" w:cs="Verdana"/>
        </w:rPr>
        <w:t xml:space="preserve">Fast-paced change in this area can leave citizens unprepared and unaware. We have spoken to non-partisan organisations who focus on political education and technology. A key message from them is shock at the lack of teaching about our political system in primary and secondary schools. Some organisations run schemes going into schools and providing resources to staff to teach about the system more generally, as well as how to navigate the digital side of politics. These organisations provide crucial services but suffer from funding gaps as, despite being non-partisan, they can be viewed as ‘political’ and therefore risky. Therefore, they are established as companies or social enterprises instead (see below on funding). They have also highlighted the low level of digital literacy among teaching staff, which makes these kinds of initiatives harder.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575F14">
      <w:pPr>
        <w:numPr>
          <w:ilvl w:val="0"/>
          <w:numId w:val="148"/>
        </w:numPr>
        <w:spacing w:after="168" w:line="250" w:lineRule="auto"/>
        <w:ind w:right="11" w:hanging="360"/>
        <w:jc w:val="both"/>
        <w:rPr>
          <w:rFonts w:ascii="Verdana" w:hAnsi="Verdana"/>
        </w:rPr>
      </w:pPr>
      <w:r w:rsidRPr="005B5CB6">
        <w:rPr>
          <w:rFonts w:ascii="Verdana" w:eastAsia="Verdana" w:hAnsi="Verdana" w:cs="Verdana"/>
        </w:rPr>
        <w:t>It is important however to note that these issues effect all ages, for instance studies have suggested those most likely to share fake news articles are over the age of 65. Teaching digital literacy to groups outside the education system will be an ongoing challenge as technology continues to develop.</w:t>
      </w:r>
      <w:r w:rsidRPr="005B5CB6">
        <w:rPr>
          <w:rFonts w:ascii="Verdana" w:eastAsia="Verdana" w:hAnsi="Verdana" w:cs="Verdana"/>
          <w:b/>
        </w:rPr>
        <w:t xml:space="preserve"> </w:t>
      </w:r>
    </w:p>
    <w:p w:rsidR="00FB0B24" w:rsidRPr="005B5CB6" w:rsidP="001512F6">
      <w:pPr>
        <w:spacing w:after="165" w:line="250" w:lineRule="auto"/>
        <w:ind w:left="11" w:hanging="10"/>
        <w:jc w:val="both"/>
        <w:rPr>
          <w:rFonts w:ascii="Verdana" w:hAnsi="Verdana"/>
        </w:rPr>
      </w:pPr>
      <w:r w:rsidRPr="005B5CB6">
        <w:rPr>
          <w:rFonts w:ascii="Verdana" w:eastAsia="Verdana" w:hAnsi="Verdana" w:cs="Verdana"/>
          <w:b/>
        </w:rPr>
        <w:t xml:space="preserve">Online campaigning </w:t>
      </w:r>
      <w:r w:rsidRPr="005B5CB6">
        <w:rPr>
          <w:rFonts w:ascii="Verdana" w:eastAsia="Verdana" w:hAnsi="Verdana" w:cs="Verdana"/>
        </w:rPr>
        <w:t xml:space="preserve"> </w:t>
      </w:r>
    </w:p>
    <w:p w:rsidR="00FB0B24" w:rsidRPr="005B5CB6" w:rsidP="001512F6">
      <w:pPr>
        <w:spacing w:after="188" w:line="249" w:lineRule="auto"/>
        <w:ind w:left="9" w:hanging="10"/>
        <w:jc w:val="both"/>
        <w:rPr>
          <w:rFonts w:ascii="Verdana" w:hAnsi="Verdana"/>
        </w:rPr>
      </w:pPr>
      <w:r w:rsidRPr="005B5CB6">
        <w:rPr>
          <w:rFonts w:ascii="Verdana" w:eastAsia="Verdana" w:hAnsi="Verdana" w:cs="Verdana"/>
          <w:b/>
          <w:i/>
        </w:rPr>
        <w:t xml:space="preserve">Q4. Would greater transparency in the online spending and campaigning of political groups improve the electoral process in the UK by ensuring accountability, and if so what should this transparency look like?  </w:t>
      </w:r>
    </w:p>
    <w:p w:rsidR="00FB0B24" w:rsidRPr="005B5CB6" w:rsidP="00575F14">
      <w:pPr>
        <w:numPr>
          <w:ilvl w:val="0"/>
          <w:numId w:val="148"/>
        </w:numPr>
        <w:spacing w:after="5" w:line="250" w:lineRule="auto"/>
        <w:ind w:right="11" w:hanging="360"/>
        <w:jc w:val="both"/>
        <w:rPr>
          <w:rFonts w:ascii="Verdana" w:hAnsi="Verdana"/>
        </w:rPr>
      </w:pPr>
      <w:r w:rsidRPr="005B5CB6">
        <w:rPr>
          <w:rFonts w:ascii="Verdana" w:eastAsia="Verdana" w:hAnsi="Verdana" w:cs="Verdana"/>
        </w:rPr>
        <w:t xml:space="preserve">Yes BUT rules designed to increase transparency can also have detrimental effects on small organisations, which are crucial for the vitality of civil society. It is clear from interviews we have done as part of our project that these organisations do not have access to the lawyers and accountants often needed to navigate the rules, and hence might opt-out from participating in the electoral process. In contrast, well-funded organisations can afford the advice required to play the rules to their advantage.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575F14">
      <w:pPr>
        <w:numPr>
          <w:ilvl w:val="0"/>
          <w:numId w:val="148"/>
        </w:numPr>
        <w:spacing w:after="5" w:line="250" w:lineRule="auto"/>
        <w:ind w:right="11" w:hanging="360"/>
        <w:jc w:val="both"/>
        <w:rPr>
          <w:rFonts w:ascii="Verdana" w:hAnsi="Verdana"/>
        </w:rPr>
      </w:pPr>
      <w:r w:rsidRPr="005B5CB6">
        <w:rPr>
          <w:rFonts w:ascii="Verdana" w:eastAsia="Verdana" w:hAnsi="Verdana" w:cs="Verdana"/>
        </w:rPr>
        <w:t xml:space="preserve">Therefore, greater transparency must be accompanied with </w:t>
      </w:r>
      <w:r w:rsidRPr="005B5CB6">
        <w:rPr>
          <w:rFonts w:ascii="Verdana" w:eastAsia="Verdana" w:hAnsi="Verdana" w:cs="Verdana"/>
          <w:i/>
        </w:rPr>
        <w:t>clear rules and extensive, free, well-resourced advice</w:t>
      </w:r>
      <w:r w:rsidRPr="005B5CB6">
        <w:rPr>
          <w:rFonts w:ascii="Verdana" w:eastAsia="Verdana" w:hAnsi="Verdana" w:cs="Verdana"/>
        </w:rPr>
        <w:t xml:space="preserve"> on how these rules apply to specific cases. Transparency should include: </w:t>
      </w:r>
    </w:p>
    <w:p w:rsidR="00FB0B24" w:rsidRPr="005B5CB6" w:rsidP="00575F14">
      <w:pPr>
        <w:numPr>
          <w:ilvl w:val="1"/>
          <w:numId w:val="148"/>
        </w:numPr>
        <w:spacing w:after="5" w:line="250" w:lineRule="auto"/>
        <w:ind w:left="720" w:right="11" w:hanging="360"/>
        <w:jc w:val="both"/>
        <w:rPr>
          <w:rFonts w:ascii="Verdana" w:hAnsi="Verdana"/>
        </w:rPr>
      </w:pPr>
      <w:r w:rsidRPr="005B5CB6">
        <w:rPr>
          <w:rFonts w:ascii="Verdana" w:eastAsia="Verdana" w:hAnsi="Verdana" w:cs="Verdana"/>
        </w:rPr>
        <w:t xml:space="preserve">Add a separate category of digital advertising (and sub-categories of social media, search engine, etc) in the reports to the Electoral Commission  </w:t>
      </w:r>
    </w:p>
    <w:p w:rsidR="00FB0B24" w:rsidRPr="005B5CB6" w:rsidP="00575F14">
      <w:pPr>
        <w:numPr>
          <w:ilvl w:val="1"/>
          <w:numId w:val="148"/>
        </w:numPr>
        <w:spacing w:after="5" w:line="250" w:lineRule="auto"/>
        <w:ind w:left="720" w:right="11" w:hanging="360"/>
        <w:jc w:val="both"/>
        <w:rPr>
          <w:rFonts w:ascii="Verdana" w:hAnsi="Verdana"/>
        </w:rPr>
      </w:pPr>
      <w:r w:rsidRPr="005B5CB6">
        <w:rPr>
          <w:rFonts w:ascii="Verdana" w:eastAsia="Verdana" w:hAnsi="Verdana" w:cs="Verdana"/>
        </w:rPr>
        <w:t xml:space="preserve">In-house advice from platforms (i.e. someone seconded to e.g. a party during campaigns, even if part-time) to be included as spending ‘in kind’.  </w:t>
      </w:r>
    </w:p>
    <w:p w:rsidR="00FB0B24" w:rsidRPr="005B5CB6" w:rsidP="00575F14">
      <w:pPr>
        <w:numPr>
          <w:ilvl w:val="1"/>
          <w:numId w:val="148"/>
        </w:numPr>
        <w:spacing w:after="5" w:line="250" w:lineRule="auto"/>
        <w:ind w:left="720" w:right="11" w:hanging="360"/>
        <w:jc w:val="both"/>
        <w:rPr>
          <w:rFonts w:ascii="Verdana" w:hAnsi="Verdana"/>
        </w:rPr>
      </w:pPr>
      <w:r w:rsidRPr="005B5CB6">
        <w:rPr>
          <w:rFonts w:ascii="Verdana" w:eastAsia="Verdana" w:hAnsi="Verdana" w:cs="Verdana"/>
        </w:rPr>
        <w:t xml:space="preserve">Re-think the distinction between constituency and national spending. Digital technologies have made them increasingly hard to distinguish. This is due to how ads are targeted (despite all the talk about micro-targeting a lot of online advertising is not that precise) but also because there are increasing (and democratically legitimate) attempts to encourage tactical voting, which cut across specific constituencies.  </w:t>
      </w:r>
    </w:p>
    <w:p w:rsidR="00FB0B24" w:rsidRPr="005B5CB6" w:rsidP="00575F14">
      <w:pPr>
        <w:numPr>
          <w:ilvl w:val="1"/>
          <w:numId w:val="148"/>
        </w:numPr>
        <w:spacing w:after="5" w:line="250" w:lineRule="auto"/>
        <w:ind w:left="720" w:right="11" w:hanging="360"/>
        <w:jc w:val="both"/>
        <w:rPr>
          <w:rFonts w:ascii="Verdana" w:hAnsi="Verdana"/>
        </w:rPr>
      </w:pPr>
      <w:r w:rsidRPr="005B5CB6">
        <w:rPr>
          <w:rFonts w:ascii="Verdana" w:eastAsia="Verdana" w:hAnsi="Verdana" w:cs="Verdana"/>
        </w:rPr>
        <w:t xml:space="preserve">Platforms to be legally obliged to include the name of the entity or individual in </w:t>
      </w:r>
      <w:r w:rsidRPr="005B5CB6">
        <w:rPr>
          <w:rFonts w:ascii="Verdana" w:eastAsia="Verdana" w:hAnsi="Verdana" w:cs="Verdana"/>
          <w:i/>
        </w:rPr>
        <w:t>all</w:t>
      </w:r>
      <w:r w:rsidRPr="005B5CB6">
        <w:rPr>
          <w:rFonts w:ascii="Verdana" w:eastAsia="Verdana" w:hAnsi="Verdana" w:cs="Verdana"/>
        </w:rPr>
        <w:t xml:space="preserve"> social media advertising, regardless of whether it is considered electoral or political. A clear-cut definition of these categories is all but impossible and hence prone to manipulation. If there is a legal obligation for every entity paying for advertising, regardless of categorisation, to be named, then this problem disappears. We acknowledge that this would make the amount of data rather vast, and harder to navigate. But this problem can be minimised using computational methods. </w:t>
      </w:r>
    </w:p>
    <w:p w:rsidR="00FB0B24" w:rsidRPr="005B5CB6" w:rsidP="00575F14">
      <w:pPr>
        <w:numPr>
          <w:ilvl w:val="1"/>
          <w:numId w:val="148"/>
        </w:numPr>
        <w:spacing w:after="5" w:line="250" w:lineRule="auto"/>
        <w:ind w:left="720" w:right="11" w:hanging="360"/>
        <w:jc w:val="both"/>
        <w:rPr>
          <w:rFonts w:ascii="Verdana" w:hAnsi="Verdana"/>
        </w:rPr>
      </w:pPr>
      <w:r w:rsidRPr="005B5CB6">
        <w:rPr>
          <w:rFonts w:ascii="Verdana" w:eastAsia="Verdana" w:hAnsi="Verdana" w:cs="Verdana"/>
        </w:rPr>
        <w:t xml:space="preserve">Making users of social media aware of that the ad is micro-targeted and which data was used for doing so – see the work of WhoTargetsMe. </w:t>
      </w:r>
    </w:p>
    <w:p w:rsidR="00FB0B24" w:rsidRPr="005B5CB6" w:rsidP="00575F14">
      <w:pPr>
        <w:numPr>
          <w:ilvl w:val="1"/>
          <w:numId w:val="148"/>
        </w:numPr>
        <w:spacing w:after="5" w:line="250" w:lineRule="auto"/>
        <w:ind w:left="720" w:right="11" w:hanging="360"/>
        <w:jc w:val="both"/>
        <w:rPr>
          <w:rFonts w:ascii="Verdana" w:hAnsi="Verdana"/>
        </w:rPr>
      </w:pPr>
      <w:r w:rsidRPr="005B5CB6">
        <w:rPr>
          <w:rFonts w:ascii="Verdana" w:eastAsia="Verdana" w:hAnsi="Verdana" w:cs="Verdana"/>
        </w:rPr>
        <w:t xml:space="preserve">Publicly available data on complaints made to digital platforms (e.g. about targeting, inflammatory speech, dubious organisations) and how it was dealt with.  </w:t>
      </w:r>
    </w:p>
    <w:p w:rsidR="00FB0B24" w:rsidRPr="005B5CB6" w:rsidP="00575F14">
      <w:pPr>
        <w:numPr>
          <w:ilvl w:val="1"/>
          <w:numId w:val="148"/>
        </w:numPr>
        <w:spacing w:after="5" w:line="250" w:lineRule="auto"/>
        <w:ind w:left="720" w:right="11" w:hanging="360"/>
        <w:jc w:val="both"/>
        <w:rPr>
          <w:rFonts w:ascii="Verdana" w:hAnsi="Verdana"/>
        </w:rPr>
      </w:pPr>
      <w:r w:rsidRPr="005B5CB6">
        <w:rPr>
          <w:rFonts w:ascii="Verdana" w:eastAsia="Verdana" w:hAnsi="Verdana" w:cs="Verdana"/>
        </w:rPr>
        <w:t xml:space="preserve">Complete ad libraries. There have been positive developments in this regard, both for Facebook and Google, but there is need for this to be mandatory and require greater detail about who was targeted, any why (which data it is based on), as well as reach.  </w:t>
      </w:r>
    </w:p>
    <w:p w:rsidR="00FB0B24" w:rsidRPr="005B5CB6" w:rsidP="00575F14">
      <w:pPr>
        <w:numPr>
          <w:ilvl w:val="1"/>
          <w:numId w:val="148"/>
        </w:numPr>
        <w:spacing w:after="165" w:line="250" w:lineRule="auto"/>
        <w:ind w:left="720" w:right="11" w:hanging="360"/>
        <w:jc w:val="both"/>
        <w:rPr>
          <w:rFonts w:ascii="Verdana" w:hAnsi="Verdana"/>
        </w:rPr>
      </w:pPr>
      <w:r w:rsidRPr="005B5CB6">
        <w:rPr>
          <w:rFonts w:ascii="Verdana" w:eastAsia="Verdana" w:hAnsi="Verdana" w:cs="Verdana"/>
        </w:rPr>
        <w:t xml:space="preserve">Consider restricting the categories of ‘look alike’ that could be regarded as discriminatory / inflammatory, e.g. people who are sympathetic to islamophobia or anti-Semitism.  </w:t>
      </w:r>
    </w:p>
    <w:p w:rsidR="00FB0B24" w:rsidRPr="005B5CB6" w:rsidP="001512F6">
      <w:pPr>
        <w:spacing w:after="9" w:line="249" w:lineRule="auto"/>
        <w:ind w:left="9" w:hanging="10"/>
        <w:jc w:val="both"/>
        <w:rPr>
          <w:rFonts w:ascii="Verdana" w:hAnsi="Verdana"/>
        </w:rPr>
      </w:pPr>
      <w:r w:rsidRPr="005B5CB6">
        <w:rPr>
          <w:rFonts w:ascii="Verdana" w:eastAsia="Verdana" w:hAnsi="Verdana" w:cs="Verdana"/>
          <w:b/>
          <w:i/>
        </w:rPr>
        <w:t xml:space="preserve">Q5. What effect does online targeted advertising have on the political process, and what effects could it have in the future? Should there be additional regulation of political advertising?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 xml:space="preserve">10.Researchers are yet to develop a comprehensive evidence base regarding effects. It likely depends on the nature of the advert. We don’t know how effective online political advertising is when it comes to </w:t>
      </w:r>
      <w:r w:rsidRPr="005B5CB6">
        <w:rPr>
          <w:rFonts w:ascii="Verdana" w:eastAsia="Verdana" w:hAnsi="Verdana" w:cs="Verdana"/>
          <w:i/>
        </w:rPr>
        <w:t>changing someone’s mind</w:t>
      </w:r>
      <w:r w:rsidRPr="005B5CB6">
        <w:rPr>
          <w:rFonts w:ascii="Verdana" w:eastAsia="Verdana" w:hAnsi="Verdana" w:cs="Verdana"/>
        </w:rPr>
        <w:t xml:space="preserve"> about who they might vote for. It might simply remind them to vote for </w:t>
      </w:r>
      <w:r w:rsidRPr="005B5CB6">
        <w:rPr>
          <w:rFonts w:ascii="Verdana" w:eastAsia="Verdana" w:hAnsi="Verdana" w:cs="Verdana"/>
        </w:rPr>
        <w:t xml:space="preserve">who they were going to vote for anyway, in which case it acts a boost to turnout. However, advertising based on misinformation (for instance an ‘X can’t win here’ message based on false data) could depress turnout. Some organisations we have spoken to believe this is happening (but again, we don’t have evidence of any </w:t>
      </w:r>
      <w:r w:rsidRPr="005B5CB6">
        <w:rPr>
          <w:rFonts w:ascii="Verdana" w:eastAsia="Verdana" w:hAnsi="Verdana" w:cs="Verdana"/>
          <w:i/>
        </w:rPr>
        <w:t>impact</w:t>
      </w:r>
      <w:r w:rsidRPr="005B5CB6">
        <w:rPr>
          <w:rFonts w:ascii="Verdana" w:eastAsia="Verdana" w:hAnsi="Verdana" w:cs="Verdana"/>
        </w:rPr>
        <w:t>).</w:t>
      </w:r>
      <w:r w:rsidRPr="005B5CB6">
        <w:rPr>
          <w:rFonts w:ascii="Verdana" w:eastAsia="Verdana" w:hAnsi="Verdana" w:cs="Verdana"/>
          <w:b/>
        </w:rPr>
        <w:t xml:space="preserve"> </w:t>
      </w:r>
    </w:p>
    <w:p w:rsidR="00FB0B24" w:rsidRPr="005B5CB6" w:rsidP="001512F6">
      <w:pPr>
        <w:spacing w:after="0"/>
        <w:ind w:left="360"/>
        <w:jc w:val="both"/>
        <w:rPr>
          <w:rFonts w:ascii="Verdana" w:hAnsi="Verdana"/>
        </w:rPr>
      </w:pPr>
      <w:r w:rsidRPr="005B5CB6">
        <w:rPr>
          <w:rFonts w:ascii="Verdana" w:eastAsia="Verdana" w:hAnsi="Verdana" w:cs="Verdana"/>
          <w:b/>
        </w:rPr>
        <w:t xml:space="preserve"> </w:t>
      </w:r>
    </w:p>
    <w:p w:rsidR="00FB0B24" w:rsidRPr="005B5CB6" w:rsidP="001512F6">
      <w:pPr>
        <w:spacing w:after="168" w:line="250" w:lineRule="auto"/>
        <w:ind w:left="375" w:right="11" w:hanging="360"/>
        <w:jc w:val="both"/>
        <w:rPr>
          <w:rFonts w:ascii="Verdana" w:hAnsi="Verdana"/>
        </w:rPr>
      </w:pPr>
      <w:r w:rsidRPr="005B5CB6">
        <w:rPr>
          <w:rFonts w:ascii="Verdana" w:eastAsia="Verdana" w:hAnsi="Verdana" w:cs="Verdana"/>
        </w:rPr>
        <w:t>11.It could be beneficial that all political advertising using statistics provides a clickable link to the source – however, the problem with that is that even basic election data in the UK is fragmented and unreliable (see below).</w:t>
      </w:r>
      <w:r w:rsidRPr="005B5CB6">
        <w:rPr>
          <w:rFonts w:ascii="Verdana" w:eastAsia="Verdana" w:hAnsi="Verdana" w:cs="Verdana"/>
          <w:b/>
        </w:rPr>
        <w:t xml:space="preserve"> </w:t>
      </w:r>
    </w:p>
    <w:p w:rsidR="00FB0B24" w:rsidRPr="005B5CB6" w:rsidP="001512F6">
      <w:pPr>
        <w:spacing w:after="163" w:line="250" w:lineRule="auto"/>
        <w:ind w:left="11" w:hanging="10"/>
        <w:jc w:val="both"/>
        <w:rPr>
          <w:rFonts w:ascii="Verdana" w:hAnsi="Verdana"/>
        </w:rPr>
      </w:pPr>
      <w:r w:rsidRPr="005B5CB6">
        <w:rPr>
          <w:rFonts w:ascii="Verdana" w:eastAsia="Verdana" w:hAnsi="Verdana" w:cs="Verdana"/>
          <w:b/>
        </w:rPr>
        <w:t xml:space="preserve">Technology and democratic engagement </w:t>
      </w:r>
      <w:r w:rsidRPr="005B5CB6">
        <w:rPr>
          <w:rFonts w:ascii="Verdana" w:eastAsia="Verdana" w:hAnsi="Verdana" w:cs="Verdana"/>
        </w:rPr>
        <w:t xml:space="preserve"> </w:t>
      </w:r>
    </w:p>
    <w:p w:rsidR="00FB0B24" w:rsidRPr="005B5CB6" w:rsidP="001512F6">
      <w:pPr>
        <w:spacing w:after="165" w:line="249" w:lineRule="auto"/>
        <w:ind w:left="9" w:hanging="10"/>
        <w:jc w:val="both"/>
        <w:rPr>
          <w:rFonts w:ascii="Verdana" w:hAnsi="Verdana"/>
        </w:rPr>
      </w:pPr>
      <w:r w:rsidRPr="005B5CB6">
        <w:rPr>
          <w:rFonts w:ascii="Verdana" w:eastAsia="Verdana" w:hAnsi="Verdana" w:cs="Verdana"/>
          <w:b/>
          <w:i/>
        </w:rPr>
        <w:t xml:space="preserve">Q12. How could the Government better support the positive work of civil society organisations using technology to facilitate engagement with democratic processes?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 xml:space="preserve">12.There are several crucial issues for the sustainability of ‘tech for good’ organisations. We name each below and how they might be potentially tackled: </w:t>
      </w:r>
    </w:p>
    <w:p w:rsidR="00FB0B24" w:rsidRPr="005B5CB6" w:rsidP="00575F14">
      <w:pPr>
        <w:numPr>
          <w:ilvl w:val="0"/>
          <w:numId w:val="149"/>
        </w:numPr>
        <w:spacing w:after="5" w:line="250" w:lineRule="auto"/>
        <w:ind w:right="11" w:hanging="360"/>
        <w:jc w:val="both"/>
        <w:rPr>
          <w:rFonts w:ascii="Verdana" w:hAnsi="Verdana"/>
        </w:rPr>
      </w:pPr>
      <w:r w:rsidRPr="005B5CB6">
        <w:rPr>
          <w:rFonts w:ascii="Verdana" w:eastAsia="Verdana" w:hAnsi="Verdana" w:cs="Verdana"/>
          <w:i/>
        </w:rPr>
        <w:t>Funding</w:t>
      </w:r>
      <w:r w:rsidRPr="005B5CB6">
        <w:rPr>
          <w:rFonts w:ascii="Verdana" w:eastAsia="Verdana" w:hAnsi="Verdana" w:cs="Verdana"/>
        </w:rPr>
        <w:t xml:space="preserve">: the perennial and hard-to-solve problem, and where the state can have only minimal involvement. However, small amounts of funding can go a long way for these types of entities, as they are often partly run by volunteers and have access to highly skilled individuals. Two specific suggestions: provide competitive funding streams, especially for running costs, to try to minimise one of the Achilles heels of start-ups: high rate of emergence but low sustainability. Secondly, make competitive funding available for organisations that provide services that enable the work of others (e.g. open data), including for network organisations. Some of these funding could be tied up with the organisations running digital literacy training.  </w:t>
      </w:r>
    </w:p>
    <w:p w:rsidR="00FB0B24" w:rsidRPr="005B5CB6" w:rsidP="00575F14">
      <w:pPr>
        <w:numPr>
          <w:ilvl w:val="0"/>
          <w:numId w:val="149"/>
        </w:numPr>
        <w:spacing w:after="5" w:line="250" w:lineRule="auto"/>
        <w:ind w:right="11" w:hanging="360"/>
        <w:jc w:val="both"/>
        <w:rPr>
          <w:rFonts w:ascii="Verdana" w:hAnsi="Verdana"/>
        </w:rPr>
      </w:pPr>
      <w:r w:rsidRPr="005B5CB6">
        <w:rPr>
          <w:rFonts w:ascii="Verdana" w:eastAsia="Verdana" w:hAnsi="Verdana" w:cs="Verdana"/>
        </w:rPr>
        <w:t xml:space="preserve">Issues to do with </w:t>
      </w:r>
      <w:r w:rsidRPr="005B5CB6">
        <w:rPr>
          <w:rFonts w:ascii="Verdana" w:eastAsia="Verdana" w:hAnsi="Verdana" w:cs="Verdana"/>
          <w:i/>
        </w:rPr>
        <w:t>legal status</w:t>
      </w:r>
      <w:r w:rsidRPr="005B5CB6">
        <w:rPr>
          <w:rFonts w:ascii="Verdana" w:eastAsia="Verdana" w:hAnsi="Verdana" w:cs="Verdana"/>
        </w:rPr>
        <w:t xml:space="preserve">, which also affects their access to funding. As above, the government should try to increase transparency, clarity and support in regulation about spending as well as about legal status (e.g. what can be done in the political realm while remaining a charity).  </w:t>
      </w:r>
    </w:p>
    <w:p w:rsidR="00FB0B24" w:rsidRPr="005B5CB6" w:rsidP="00575F14">
      <w:pPr>
        <w:numPr>
          <w:ilvl w:val="0"/>
          <w:numId w:val="149"/>
        </w:numPr>
        <w:spacing w:after="5" w:line="250" w:lineRule="auto"/>
        <w:ind w:right="11" w:hanging="360"/>
        <w:jc w:val="both"/>
        <w:rPr>
          <w:rFonts w:ascii="Verdana" w:hAnsi="Verdana"/>
        </w:rPr>
      </w:pPr>
      <w:r w:rsidRPr="005B5CB6">
        <w:rPr>
          <w:rFonts w:ascii="Verdana" w:eastAsia="Verdana" w:hAnsi="Verdana" w:cs="Verdana"/>
          <w:i/>
        </w:rPr>
        <w:t>Access to data</w:t>
      </w:r>
      <w:r w:rsidRPr="005B5CB6">
        <w:rPr>
          <w:rFonts w:ascii="Verdana" w:eastAsia="Verdana" w:hAnsi="Verdana" w:cs="Verdana"/>
        </w:rPr>
        <w:t xml:space="preserve">: there has been very good work done in this respect by the government digital service, including for example in relation to Parliament petitions. More could be done, however, including enabling more access to proprietary data as discussed above. Also, encourage investment (for instance via NESTA) on open source data initiatives. A large amount of work done by civic tech groups is attempting to scrape together data (i.e. election results or candidate voting histories) and make it accessible. </w:t>
      </w:r>
    </w:p>
    <w:p w:rsidR="00FB0B24" w:rsidRPr="005B5CB6" w:rsidP="00575F14">
      <w:pPr>
        <w:numPr>
          <w:ilvl w:val="0"/>
          <w:numId w:val="149"/>
        </w:numPr>
        <w:spacing w:after="5" w:line="249" w:lineRule="auto"/>
        <w:ind w:right="11" w:hanging="360"/>
        <w:jc w:val="both"/>
        <w:rPr>
          <w:rFonts w:ascii="Verdana" w:hAnsi="Verdana"/>
        </w:rPr>
      </w:pPr>
      <w:r w:rsidRPr="005B5CB6">
        <w:rPr>
          <w:rFonts w:ascii="Verdana" w:eastAsia="Verdana" w:hAnsi="Verdana" w:cs="Verdana"/>
          <w:i/>
        </w:rPr>
        <w:t xml:space="preserve">Scale and digital distribution costs: </w:t>
      </w:r>
      <w:r w:rsidRPr="005B5CB6">
        <w:rPr>
          <w:rFonts w:ascii="Verdana" w:eastAsia="Verdana" w:hAnsi="Verdana" w:cs="Verdana"/>
        </w:rPr>
        <w:t xml:space="preserve">as explained in Hindman’s book </w:t>
      </w:r>
    </w:p>
    <w:p w:rsidR="00FB0B24" w:rsidRPr="005B5CB6" w:rsidP="001512F6">
      <w:pPr>
        <w:spacing w:after="5" w:line="250" w:lineRule="auto"/>
        <w:ind w:left="1088" w:right="11" w:hanging="8"/>
        <w:jc w:val="both"/>
        <w:rPr>
          <w:rFonts w:ascii="Verdana" w:hAnsi="Verdana"/>
        </w:rPr>
      </w:pPr>
      <w:r>
        <w:fldChar w:fldCharType="begin"/>
      </w:r>
      <w:r>
        <w:instrText xml:space="preserve"> HYPERLINK "https://press.princeton.edu/titles/13236.html" </w:instrText>
      </w:r>
      <w:r>
        <w:fldChar w:fldCharType="separate"/>
      </w:r>
      <w:r w:rsidRPr="005B5CB6" w:rsidR="00A72806">
        <w:rPr>
          <w:rFonts w:ascii="Verdana" w:eastAsia="Verdana" w:hAnsi="Verdana" w:cs="Verdana"/>
          <w:u w:val="single" w:color="000000"/>
        </w:rPr>
        <w:t>The Internet Trap</w:t>
      </w:r>
      <w:r>
        <w:fldChar w:fldCharType="end"/>
      </w:r>
      <w:r>
        <w:fldChar w:fldCharType="begin"/>
      </w:r>
      <w:r>
        <w:instrText xml:space="preserve"> HYPERLINK "https://press.princeton.edu/titles/13236.html"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on the Internet ‘seemingly tiny advantages in </w:t>
      </w:r>
    </w:p>
    <w:p w:rsidR="00FB0B24" w:rsidRPr="005B5CB6" w:rsidP="001512F6">
      <w:pPr>
        <w:spacing w:after="165" w:line="250" w:lineRule="auto"/>
        <w:ind w:left="1088" w:right="11" w:hanging="8"/>
        <w:jc w:val="both"/>
        <w:rPr>
          <w:rFonts w:ascii="Verdana" w:hAnsi="Verdana"/>
        </w:rPr>
      </w:pPr>
      <w:r w:rsidRPr="005B5CB6">
        <w:rPr>
          <w:rFonts w:ascii="Verdana" w:eastAsia="Verdana" w:hAnsi="Verdana" w:cs="Verdana"/>
        </w:rPr>
        <w:t xml:space="preserve">attracting users can snowball over time’. So, organisations need welldesigned and fast-loading platforms, regular content updates, and a large number of visitors. These advantages are also compounded. This makes it very hard for small players to survive and explains why we have quasi-monopolies like Google or Facebook. It also has strong implications for organisations trying to use digital for enhancing democracy. There is not a separate solution as such for this, but it </w:t>
      </w:r>
      <w:r w:rsidRPr="005B5CB6">
        <w:rPr>
          <w:rFonts w:ascii="Verdana" w:eastAsia="Verdana" w:hAnsi="Verdana" w:cs="Verdana"/>
        </w:rPr>
        <w:t xml:space="preserve">makes even more urgent to deal with the above. It also highlights again the key role that platforms play in the eco-system, and how digital technologies tend to centralise rather than decentralise, as often believed. </w:t>
      </w:r>
      <w:r w:rsidRPr="005B5CB6">
        <w:rPr>
          <w:rFonts w:ascii="Verdana" w:eastAsia="Verdana" w:hAnsi="Verdana" w:cs="Verdana"/>
          <w:color w:val="FF0000"/>
        </w:rPr>
        <w:t xml:space="preserve"> </w:t>
      </w:r>
    </w:p>
    <w:p w:rsidR="00FB0B24" w:rsidRPr="005B5CB6" w:rsidP="001512F6">
      <w:pPr>
        <w:spacing w:after="165" w:line="249" w:lineRule="auto"/>
        <w:ind w:left="9" w:hanging="10"/>
        <w:jc w:val="both"/>
        <w:rPr>
          <w:rFonts w:ascii="Verdana" w:hAnsi="Verdana"/>
        </w:rPr>
      </w:pPr>
      <w:r w:rsidRPr="005B5CB6">
        <w:rPr>
          <w:rFonts w:ascii="Verdana" w:eastAsia="Verdana" w:hAnsi="Verdana" w:cs="Verdana"/>
          <w:b/>
          <w:i/>
        </w:rPr>
        <w:t xml:space="preserve">Q14. What positive examples are there of technology being used to enhance democracy?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 xml:space="preserve">13.There is lot of important enhancing-democracy work carried out by what the sector calls ‘tech for good’ or ‘civic tech’, by both non-partisan and partisan organisations (‘third parties’ in the parlance of the Electoral Commission). We focus specifically on this type of organisation (all small, some very small) because when discussing digital there is the risk of focusing too much on the technology and not enough on those who enable the use of it in positive ways. Equally, there tends to be a lot of emphasis on what appears as spontaneous mobilisation. We mention here four different kinds to illustrate the diverse ways in which technology can be used to enhance democracy.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 xml:space="preserve">They are of course by no means exhaustive. </w:t>
      </w:r>
    </w:p>
    <w:p w:rsidR="00FB0B24" w:rsidRPr="005B5CB6" w:rsidP="00575F14">
      <w:pPr>
        <w:numPr>
          <w:ilvl w:val="0"/>
          <w:numId w:val="150"/>
        </w:numPr>
        <w:spacing w:after="5" w:line="250" w:lineRule="auto"/>
        <w:ind w:right="11" w:hanging="360"/>
        <w:jc w:val="both"/>
        <w:rPr>
          <w:rFonts w:ascii="Verdana" w:hAnsi="Verdana"/>
        </w:rPr>
      </w:pPr>
      <w:r w:rsidRPr="005B5CB6">
        <w:rPr>
          <w:rFonts w:ascii="Verdana" w:eastAsia="Verdana" w:hAnsi="Verdana" w:cs="Verdana"/>
          <w:i/>
        </w:rPr>
        <w:t>Democracy Club</w:t>
      </w:r>
      <w:r w:rsidRPr="005B5CB6">
        <w:rPr>
          <w:rFonts w:ascii="Verdana" w:eastAsia="Verdana" w:hAnsi="Verdana" w:cs="Verdana"/>
        </w:rPr>
        <w:t xml:space="preserve"> (</w:t>
      </w:r>
      <w:r>
        <w:fldChar w:fldCharType="begin"/>
      </w:r>
      <w:r>
        <w:instrText xml:space="preserve"> HYPERLINK "https://democracyclub.org.uk/" </w:instrText>
      </w:r>
      <w:r>
        <w:fldChar w:fldCharType="separate"/>
      </w:r>
      <w:r w:rsidRPr="005B5CB6">
        <w:rPr>
          <w:rFonts w:ascii="Verdana" w:eastAsia="Verdana" w:hAnsi="Verdana" w:cs="Verdana"/>
          <w:color w:val="0000FF"/>
          <w:u w:val="single" w:color="0000FF"/>
        </w:rPr>
        <w:t>https://democracyclub.org.uk/</w:t>
      </w:r>
      <w:r>
        <w:fldChar w:fldCharType="end"/>
      </w:r>
      <w:r>
        <w:fldChar w:fldCharType="begin"/>
      </w:r>
      <w:r>
        <w:instrText xml:space="preserve"> HYPERLINK "https://democracyclub.org.uk/"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create tools to aggregate what they call ‘data for democracy’ (e.g. polling stations, lists of candidates including their social media addresses) and make it widely available. They coordinate a ‘club’ of about 1,000 volunteers working remotely and coordinated by digital tools such as Slack and partly motivated by a digital ‘leader board’. They work on developing databases and apps (e.g. 'Where do I vote?'). They have also created a Wiki page for all candidates. Many civic-tech organisations in the GE2015 and GE2017 used Democracy Club data, both partisan and non-partisan, and so they are crucial in the ‘tech for good’ eco-system and more generally for the campaign environment. They have received grants from the Electoral Commission and Google, among others.  </w:t>
      </w:r>
    </w:p>
    <w:p w:rsidR="00FB0B24" w:rsidRPr="005B5CB6" w:rsidP="00575F14">
      <w:pPr>
        <w:numPr>
          <w:ilvl w:val="0"/>
          <w:numId w:val="150"/>
        </w:numPr>
        <w:spacing w:after="5" w:line="250" w:lineRule="auto"/>
        <w:ind w:right="11" w:hanging="360"/>
        <w:jc w:val="both"/>
        <w:rPr>
          <w:rFonts w:ascii="Verdana" w:hAnsi="Verdana"/>
        </w:rPr>
      </w:pPr>
      <w:r w:rsidRPr="005B5CB6">
        <w:rPr>
          <w:rFonts w:ascii="Verdana" w:eastAsia="Verdana" w:hAnsi="Verdana" w:cs="Verdana"/>
          <w:i/>
        </w:rPr>
        <w:t>Who Targets Me</w:t>
      </w:r>
      <w:r w:rsidRPr="005B5CB6">
        <w:rPr>
          <w:rFonts w:ascii="Verdana" w:eastAsia="Verdana" w:hAnsi="Verdana" w:cs="Verdana"/>
        </w:rPr>
        <w:t xml:space="preserve"> (</w:t>
      </w:r>
      <w:r>
        <w:fldChar w:fldCharType="begin"/>
      </w:r>
      <w:r>
        <w:instrText xml:space="preserve"> HYPERLINK "https://whotargets.me/en/" </w:instrText>
      </w:r>
      <w:r>
        <w:fldChar w:fldCharType="separate"/>
      </w:r>
      <w:r w:rsidRPr="005B5CB6">
        <w:rPr>
          <w:rFonts w:ascii="Verdana" w:eastAsia="Verdana" w:hAnsi="Verdana" w:cs="Verdana"/>
          <w:color w:val="0000FF"/>
          <w:u w:val="single" w:color="0000FF"/>
        </w:rPr>
        <w:t>https://whotargets.me/en/</w:t>
      </w:r>
      <w:r>
        <w:fldChar w:fldCharType="end"/>
      </w:r>
      <w:r>
        <w:fldChar w:fldCharType="begin"/>
      </w:r>
      <w:r>
        <w:instrText xml:space="preserve"> HYPERLINK "https://whotargets.me/en/"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monitors the use of political advertising on social media. Involves a browser extension on Facebook used to track social media trace data and how it is used for micro-targeting: Facebook has a lot of data about us which is monetised for use by political campaigns but we (users) do not know we are being targeted and why. </w:t>
      </w:r>
      <w:r w:rsidRPr="005B5CB6">
        <w:rPr>
          <w:rFonts w:ascii="Verdana" w:eastAsia="Verdana" w:hAnsi="Verdana" w:cs="Verdana"/>
          <w:i/>
        </w:rPr>
        <w:t>Who Targets Me</w:t>
      </w:r>
      <w:r w:rsidRPr="005B5CB6">
        <w:rPr>
          <w:rFonts w:ascii="Verdana" w:eastAsia="Verdana" w:hAnsi="Verdana" w:cs="Verdana"/>
        </w:rPr>
        <w:t xml:space="preserve"> analyses the anonymous advertising data crowd-collected by those who install the software and provides it to partnered academics and journalists, helping to provide transparency and increase understanding of how micro-targeting works. Now it is present internationally in up to 60 countries.  </w:t>
      </w:r>
    </w:p>
    <w:p w:rsidR="00FB0B24" w:rsidRPr="005B5CB6" w:rsidP="00575F14">
      <w:pPr>
        <w:numPr>
          <w:ilvl w:val="0"/>
          <w:numId w:val="150"/>
        </w:numPr>
        <w:spacing w:after="5" w:line="250" w:lineRule="auto"/>
        <w:ind w:right="11" w:hanging="360"/>
        <w:jc w:val="both"/>
        <w:rPr>
          <w:rFonts w:ascii="Verdana" w:hAnsi="Verdana"/>
        </w:rPr>
      </w:pPr>
      <w:r w:rsidRPr="005B5CB6">
        <w:rPr>
          <w:rFonts w:ascii="Verdana" w:eastAsia="Verdana" w:hAnsi="Verdana" w:cs="Verdana"/>
          <w:i/>
        </w:rPr>
        <w:t>Stop Funding Hate</w:t>
      </w:r>
      <w:r w:rsidRPr="005B5CB6">
        <w:rPr>
          <w:rFonts w:ascii="Verdana" w:eastAsia="Verdana" w:hAnsi="Verdana" w:cs="Verdana"/>
        </w:rPr>
        <w:t xml:space="preserve"> (</w:t>
      </w:r>
      <w:r>
        <w:fldChar w:fldCharType="begin"/>
      </w:r>
      <w:r>
        <w:instrText xml:space="preserve"> HYPERLINK "https://stopfundinghate.info/" </w:instrText>
      </w:r>
      <w:r>
        <w:fldChar w:fldCharType="separate"/>
      </w:r>
      <w:r w:rsidRPr="005B5CB6">
        <w:rPr>
          <w:rFonts w:ascii="Verdana" w:eastAsia="Verdana" w:hAnsi="Verdana" w:cs="Verdana"/>
          <w:color w:val="0000FF"/>
          <w:u w:val="single" w:color="0000FF"/>
        </w:rPr>
        <w:t>https://stopfundinghate.info/</w:t>
      </w:r>
      <w:r>
        <w:fldChar w:fldCharType="end"/>
      </w:r>
      <w:r>
        <w:fldChar w:fldCharType="begin"/>
      </w:r>
      <w:r>
        <w:instrText xml:space="preserve"> HYPERLINK "https://stopfundinghate.info/"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a digital campaign organisationused social media very successfully to help change advertising patterns away from hate inciting outlets, especially Daily Mail, The Express and The Sun. This is done by crowdsourcing customers to put pressure on companies who advertise on these outlets. No boycott of either media outlets or companies involved. This has led to them developing a wider agenda of ‘ethical advertising’. </w:t>
      </w:r>
    </w:p>
    <w:p w:rsidR="00FB0B24" w:rsidRPr="005B5CB6" w:rsidP="00575F14">
      <w:pPr>
        <w:numPr>
          <w:ilvl w:val="0"/>
          <w:numId w:val="150"/>
        </w:numPr>
        <w:spacing w:after="5" w:line="249" w:lineRule="auto"/>
        <w:ind w:right="11" w:hanging="360"/>
        <w:jc w:val="both"/>
        <w:rPr>
          <w:rFonts w:ascii="Verdana" w:hAnsi="Verdana"/>
        </w:rPr>
      </w:pPr>
      <w:r w:rsidRPr="005B5CB6">
        <w:rPr>
          <w:rFonts w:ascii="Verdana" w:eastAsia="Verdana" w:hAnsi="Verdana" w:cs="Verdana"/>
          <w:i/>
        </w:rPr>
        <w:t>ShoutOutUK</w:t>
      </w:r>
      <w:r w:rsidRPr="005B5CB6">
        <w:rPr>
          <w:rFonts w:ascii="Verdana" w:eastAsia="Verdana" w:hAnsi="Verdana" w:cs="Verdana"/>
        </w:rPr>
        <w:t xml:space="preserve"> (</w:t>
      </w:r>
      <w:r>
        <w:fldChar w:fldCharType="begin"/>
      </w:r>
      <w:r>
        <w:instrText xml:space="preserve"> HYPERLINK "https://www.shoutoutuk.org/" </w:instrText>
      </w:r>
      <w:r>
        <w:fldChar w:fldCharType="separate"/>
      </w:r>
      <w:r w:rsidRPr="005B5CB6">
        <w:rPr>
          <w:rFonts w:ascii="Verdana" w:eastAsia="Verdana" w:hAnsi="Verdana" w:cs="Verdana"/>
          <w:color w:val="0000FF"/>
          <w:u w:val="single" w:color="0000FF"/>
        </w:rPr>
        <w:t>shoutoutuk.org/</w:t>
      </w:r>
      <w:r>
        <w:fldChar w:fldCharType="end"/>
      </w:r>
      <w:r>
        <w:fldChar w:fldCharType="begin"/>
      </w:r>
      <w:r>
        <w:instrText xml:space="preserve"> HYPERLINK "https://www.shoutoutuk.org/"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 </w:t>
      </w:r>
      <w:r w:rsidRPr="005B5CB6">
        <w:rPr>
          <w:rFonts w:ascii="Verdana" w:eastAsia="Verdana" w:hAnsi="Verdana" w:cs="Verdana"/>
          <w:i/>
        </w:rPr>
        <w:t xml:space="preserve">Simple Politics </w:t>
      </w:r>
    </w:p>
    <w:p w:rsidR="00FB0B24" w:rsidRPr="005B5CB6" w:rsidP="001512F6">
      <w:pPr>
        <w:spacing w:after="168" w:line="250" w:lineRule="auto"/>
        <w:ind w:left="1088" w:right="11" w:hanging="8"/>
        <w:jc w:val="both"/>
        <w:rPr>
          <w:rFonts w:ascii="Verdana" w:hAnsi="Verdana"/>
        </w:rPr>
      </w:pPr>
      <w:r>
        <w:fldChar w:fldCharType="begin"/>
      </w:r>
      <w:r>
        <w:instrText xml:space="preserve"> HYPERLINK "http://simplepolitics.co.uk/" </w:instrText>
      </w:r>
      <w:r>
        <w:fldChar w:fldCharType="separate"/>
      </w:r>
      <w:r w:rsidRPr="005B5CB6" w:rsidR="00A72806">
        <w:rPr>
          <w:rFonts w:ascii="Verdana" w:eastAsia="Verdana" w:hAnsi="Verdana" w:cs="Verdana"/>
        </w:rPr>
        <w:t>(</w:t>
      </w:r>
      <w:r>
        <w:fldChar w:fldCharType="end"/>
      </w:r>
      <w:r>
        <w:fldChar w:fldCharType="begin"/>
      </w:r>
      <w:r>
        <w:instrText xml:space="preserve"> HYPERLINK "http://simplepolitics.co.uk/" </w:instrText>
      </w:r>
      <w:r>
        <w:fldChar w:fldCharType="separate"/>
      </w:r>
      <w:r w:rsidRPr="005B5CB6" w:rsidR="00A72806">
        <w:rPr>
          <w:rFonts w:ascii="Verdana" w:eastAsia="Verdana" w:hAnsi="Verdana" w:cs="Verdana"/>
          <w:color w:val="0000FF"/>
          <w:u w:val="single" w:color="0000FF"/>
        </w:rPr>
        <w:t>http://simplepolitics.co.uk/</w:t>
      </w:r>
      <w:r>
        <w:fldChar w:fldCharType="end"/>
      </w:r>
      <w:r>
        <w:fldChar w:fldCharType="begin"/>
      </w:r>
      <w:r>
        <w:instrText xml:space="preserve"> HYPERLINK "http://simplepolitics.co.uk/"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Two organisations that work to improve political literacy, including going into schools and putting on public events for children.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1F462D">
          <w:headerReference w:type="even" r:id="rId231"/>
          <w:headerReference w:type="default" r:id="rId232"/>
          <w:footerReference w:type="even" r:id="rId233"/>
          <w:footerReference w:type="default" r:id="rId234"/>
          <w:headerReference w:type="first" r:id="rId235"/>
          <w:footerReference w:type="first" r:id="rId236"/>
          <w:pgSz w:w="11906" w:h="16838"/>
          <w:pgMar w:top="1492" w:right="1441" w:bottom="1610" w:left="1440" w:header="720" w:footer="709" w:gutter="0"/>
          <w:cols w:space="720"/>
        </w:sectPr>
      </w:pPr>
    </w:p>
    <w:p w:rsidR="00FB0B24" w:rsidRPr="005B5CB6" w:rsidP="00A1624B">
      <w:pPr>
        <w:pStyle w:val="Heading1"/>
        <w:rPr>
          <w:sz w:val="22"/>
        </w:rPr>
      </w:pPr>
      <w:bookmarkStart w:id="42" w:name="_Toc44517730"/>
      <w:r w:rsidRPr="005B5CB6">
        <w:rPr>
          <w:sz w:val="22"/>
        </w:rPr>
        <w:t>Ofcom – written evidence (DAD0049)</w:t>
      </w:r>
      <w:bookmarkEnd w:id="42"/>
      <w:r w:rsidRPr="005B5CB6">
        <w:rPr>
          <w:sz w:val="22"/>
        </w:rPr>
        <w:t xml:space="preserve"> </w:t>
      </w:r>
    </w:p>
    <w:p w:rsidR="00DE1165" w:rsidRPr="005B5CB6" w:rsidP="00DE1165">
      <w:pPr>
        <w:rPr>
          <w:rFonts w:ascii="Verdana" w:hAnsi="Verdana"/>
        </w:rPr>
      </w:pPr>
    </w:p>
    <w:p w:rsidR="00FB0B24" w:rsidRPr="005B5CB6" w:rsidP="00575F14">
      <w:pPr>
        <w:numPr>
          <w:ilvl w:val="1"/>
          <w:numId w:val="151"/>
        </w:numPr>
        <w:spacing w:after="224" w:line="250" w:lineRule="auto"/>
        <w:ind w:right="11" w:hanging="852"/>
        <w:jc w:val="both"/>
        <w:rPr>
          <w:rFonts w:ascii="Verdana" w:hAnsi="Verdana"/>
        </w:rPr>
      </w:pPr>
      <w:r w:rsidRPr="005B5CB6">
        <w:rPr>
          <w:rFonts w:ascii="Verdana" w:eastAsia="Verdana" w:hAnsi="Verdana" w:cs="Verdana"/>
        </w:rPr>
        <w:t xml:space="preserve">Ofcom is the regulator for communications services. We regulate the television, radio and video-on-demand sectors, fixed-line telecoms, mobiles and postal services, plus the airwaves over which wireless devices operate.  </w:t>
      </w:r>
    </w:p>
    <w:p w:rsidR="00FB0B24" w:rsidRPr="005B5CB6" w:rsidP="001512F6">
      <w:pPr>
        <w:spacing w:after="225" w:line="250" w:lineRule="auto"/>
        <w:ind w:left="11" w:hanging="10"/>
        <w:jc w:val="both"/>
        <w:rPr>
          <w:rFonts w:ascii="Verdana" w:hAnsi="Verdana"/>
        </w:rPr>
      </w:pPr>
      <w:r w:rsidRPr="005B5CB6">
        <w:rPr>
          <w:rFonts w:ascii="Verdana" w:eastAsia="Verdana" w:hAnsi="Verdana" w:cs="Verdana"/>
          <w:b/>
        </w:rPr>
        <w:t xml:space="preserve">Ofcom’s role  </w:t>
      </w:r>
    </w:p>
    <w:p w:rsidR="00FB0B24" w:rsidRPr="005B5CB6" w:rsidP="001512F6">
      <w:pPr>
        <w:spacing w:after="236" w:line="250" w:lineRule="auto"/>
        <w:ind w:left="11" w:hanging="10"/>
        <w:jc w:val="both"/>
        <w:rPr>
          <w:rFonts w:ascii="Verdana" w:hAnsi="Verdana"/>
        </w:rPr>
      </w:pPr>
      <w:r w:rsidRPr="005B5CB6">
        <w:rPr>
          <w:rFonts w:ascii="Verdana" w:eastAsia="Verdana" w:hAnsi="Verdana" w:cs="Verdana"/>
          <w:b/>
        </w:rPr>
        <w:t xml:space="preserve">Making Sense of Media </w:t>
      </w:r>
    </w:p>
    <w:p w:rsidR="00FB0B24" w:rsidRPr="005B5CB6" w:rsidP="00575F14">
      <w:pPr>
        <w:numPr>
          <w:ilvl w:val="1"/>
          <w:numId w:val="151"/>
        </w:numPr>
        <w:spacing w:after="154" w:line="250" w:lineRule="auto"/>
        <w:ind w:right="11" w:hanging="852"/>
        <w:jc w:val="both"/>
        <w:rPr>
          <w:rFonts w:ascii="Verdana" w:hAnsi="Verdana"/>
        </w:rPr>
      </w:pPr>
      <w:r w:rsidRPr="005B5CB6">
        <w:rPr>
          <w:rFonts w:ascii="Verdana" w:eastAsia="Verdana" w:hAnsi="Verdana" w:cs="Verdana"/>
        </w:rPr>
        <w:t xml:space="preserve">Ofcom’s media literacy duties, set out in sections 11 and 14(6)(a) of the Communications Act 2003, include that Ofcom must take steps to bring about, or encourage others to bring about, a better public understanding of materials that are broadcast or are distributed by an electronic communications network (i.e., online).  This includes understanding of the nature and characteristics of such materials, the processes by which they are selected or made available, the systems available to regulate them, and how consumers can control and use material received. Ofcom also has a duty to encourage the development of technologies and systems for regulating access to such material and to conduct research into the above provisions. </w:t>
      </w:r>
    </w:p>
    <w:p w:rsidR="00FB0B24" w:rsidRPr="005B5CB6" w:rsidP="00575F14">
      <w:pPr>
        <w:numPr>
          <w:ilvl w:val="1"/>
          <w:numId w:val="151"/>
        </w:numPr>
        <w:spacing w:after="154" w:line="250" w:lineRule="auto"/>
        <w:ind w:right="11" w:hanging="852"/>
        <w:jc w:val="both"/>
        <w:rPr>
          <w:rFonts w:ascii="Verdana" w:hAnsi="Verdana"/>
        </w:rPr>
      </w:pPr>
      <w:r w:rsidRPr="005B5CB6">
        <w:rPr>
          <w:rFonts w:ascii="Verdana" w:eastAsia="Verdana" w:hAnsi="Verdana" w:cs="Verdana"/>
        </w:rPr>
        <w:t xml:space="preserve">As part of our media literacy role we launched the Making Sense of Media programme in 2019. This is Ofcom’s programme of work to help improve the online skills, knowledge and understanding of UK adults and children, through providing robust research, and collaboration with/coordination of relevant stakeholders and their activities.   </w:t>
      </w:r>
    </w:p>
    <w:p w:rsidR="00FB0B24" w:rsidRPr="005B5CB6" w:rsidP="00575F14">
      <w:pPr>
        <w:numPr>
          <w:ilvl w:val="1"/>
          <w:numId w:val="151"/>
        </w:numPr>
        <w:spacing w:after="154" w:line="250" w:lineRule="auto"/>
        <w:ind w:right="11" w:hanging="852"/>
        <w:jc w:val="both"/>
        <w:rPr>
          <w:rFonts w:ascii="Verdana" w:hAnsi="Verdana"/>
        </w:rPr>
      </w:pPr>
      <w:r w:rsidRPr="005B5CB6">
        <w:rPr>
          <w:rFonts w:ascii="Verdana" w:eastAsia="Verdana" w:hAnsi="Verdana" w:cs="Verdana"/>
        </w:rPr>
        <w:t xml:space="preserve">We have described below some of the research that is most likely to be relevant to the Committee’s work.  Another core element of the programme is the Making Sense of Media Network, bringing together organisations and individuals with expertise in media literacy to work towards a shared goal of improving the online skills, knowledge and understanding of UK adults and children. </w:t>
      </w:r>
    </w:p>
    <w:p w:rsidR="00FB0B24" w:rsidRPr="005B5CB6" w:rsidP="00575F14">
      <w:pPr>
        <w:numPr>
          <w:ilvl w:val="1"/>
          <w:numId w:val="151"/>
        </w:numPr>
        <w:spacing w:after="154" w:line="250" w:lineRule="auto"/>
        <w:ind w:right="11" w:hanging="852"/>
        <w:jc w:val="both"/>
        <w:rPr>
          <w:rFonts w:ascii="Verdana" w:hAnsi="Verdana"/>
        </w:rPr>
      </w:pPr>
      <w:r w:rsidRPr="005B5CB6">
        <w:rPr>
          <w:rFonts w:ascii="Verdana" w:eastAsia="Verdana" w:hAnsi="Verdana" w:cs="Verdana"/>
        </w:rPr>
        <w:t xml:space="preserve">Additionally, our Making Sense of Media Advisory Panel, established in July 2019, brings together expert representatives from across industry, the third sector and academia, to debate and inform the development of Ofcom’s media literacy research and policy work. </w:t>
      </w:r>
    </w:p>
    <w:p w:rsidR="00FB0B24" w:rsidRPr="005B5CB6" w:rsidP="00575F14">
      <w:pPr>
        <w:numPr>
          <w:ilvl w:val="1"/>
          <w:numId w:val="151"/>
        </w:numPr>
        <w:spacing w:after="155" w:line="250" w:lineRule="auto"/>
        <w:ind w:right="11" w:hanging="852"/>
        <w:jc w:val="both"/>
        <w:rPr>
          <w:rFonts w:ascii="Verdana" w:hAnsi="Verdana"/>
        </w:rPr>
      </w:pPr>
      <w:r w:rsidRPr="005B5CB6">
        <w:rPr>
          <w:rFonts w:ascii="Verdana" w:eastAsia="Verdana" w:hAnsi="Verdana" w:cs="Verdana"/>
        </w:rPr>
        <w:t xml:space="preserve">The panel's aims include: </w:t>
      </w:r>
    </w:p>
    <w:p w:rsidR="00FB0B24" w:rsidRPr="005B5CB6" w:rsidP="00575F14">
      <w:pPr>
        <w:numPr>
          <w:ilvl w:val="0"/>
          <w:numId w:val="152"/>
        </w:numPr>
        <w:spacing w:after="26" w:line="250" w:lineRule="auto"/>
        <w:ind w:right="11" w:hanging="338"/>
        <w:jc w:val="both"/>
        <w:rPr>
          <w:rFonts w:ascii="Verdana" w:hAnsi="Verdana"/>
        </w:rPr>
      </w:pPr>
      <w:r w:rsidRPr="005B5CB6">
        <w:rPr>
          <w:rFonts w:ascii="Verdana" w:eastAsia="Verdana" w:hAnsi="Verdana" w:cs="Verdana"/>
        </w:rPr>
        <w:t xml:space="preserve">Advising on the overall direction of Ofcom's ‘Making Sense of Media’ programme. </w:t>
      </w:r>
    </w:p>
    <w:p w:rsidR="00FB0B24" w:rsidRPr="005B5CB6" w:rsidP="00575F14">
      <w:pPr>
        <w:numPr>
          <w:ilvl w:val="0"/>
          <w:numId w:val="152"/>
        </w:numPr>
        <w:spacing w:after="27" w:line="249" w:lineRule="auto"/>
        <w:ind w:right="11" w:hanging="338"/>
        <w:jc w:val="both"/>
        <w:rPr>
          <w:rFonts w:ascii="Verdana" w:hAnsi="Verdana"/>
        </w:rPr>
      </w:pPr>
      <w:r w:rsidRPr="005B5CB6">
        <w:rPr>
          <w:rFonts w:ascii="Verdana" w:eastAsia="Verdana" w:hAnsi="Verdana" w:cs="Verdana"/>
        </w:rPr>
        <w:t xml:space="preserve">Informing robust and relevant research and its dissemination. </w:t>
      </w:r>
    </w:p>
    <w:p w:rsidR="00FB0B24" w:rsidRPr="005B5CB6" w:rsidP="00575F14">
      <w:pPr>
        <w:numPr>
          <w:ilvl w:val="0"/>
          <w:numId w:val="152"/>
        </w:numPr>
        <w:spacing w:after="5" w:line="250" w:lineRule="auto"/>
        <w:ind w:right="11" w:hanging="338"/>
        <w:jc w:val="both"/>
        <w:rPr>
          <w:rFonts w:ascii="Verdana" w:hAnsi="Verdana"/>
        </w:rPr>
      </w:pPr>
      <w:r w:rsidRPr="005B5CB6">
        <w:rPr>
          <w:rFonts w:ascii="Verdana" w:eastAsia="Verdana" w:hAnsi="Verdana" w:cs="Verdana"/>
        </w:rPr>
        <w:t xml:space="preserve">Working with the wider Making Sense of Media network to support Ofcom in bringing together media literacy resources and activity. </w:t>
      </w:r>
    </w:p>
    <w:p w:rsidR="00FB0B24" w:rsidRPr="005B5CB6" w:rsidP="001512F6">
      <w:pPr>
        <w:spacing w:after="236" w:line="250" w:lineRule="auto"/>
        <w:ind w:left="11" w:hanging="10"/>
        <w:jc w:val="both"/>
        <w:rPr>
          <w:rFonts w:ascii="Verdana" w:hAnsi="Verdana"/>
        </w:rPr>
      </w:pPr>
      <w:r w:rsidRPr="005B5CB6">
        <w:rPr>
          <w:rFonts w:ascii="Verdana" w:eastAsia="Verdana" w:hAnsi="Verdana" w:cs="Verdana"/>
          <w:b/>
        </w:rPr>
        <w:t xml:space="preserve">Ofcom’s role in elections  </w:t>
      </w:r>
    </w:p>
    <w:p w:rsidR="00FB0B24" w:rsidRPr="005B5CB6" w:rsidP="00575F14">
      <w:pPr>
        <w:numPr>
          <w:ilvl w:val="1"/>
          <w:numId w:val="156"/>
        </w:numPr>
        <w:spacing w:after="153" w:line="250" w:lineRule="auto"/>
        <w:ind w:right="11" w:hanging="852"/>
        <w:jc w:val="both"/>
        <w:rPr>
          <w:rFonts w:ascii="Verdana" w:hAnsi="Verdana"/>
        </w:rPr>
      </w:pPr>
      <w:r w:rsidRPr="005B5CB6">
        <w:rPr>
          <w:rFonts w:ascii="Verdana" w:eastAsia="Verdana" w:hAnsi="Verdana" w:cs="Verdana"/>
        </w:rPr>
        <w:t>Ofcom has a specific role in relation to elections and referendums in the UK. This is set out in Section Six of the Broadcast Code</w:t>
      </w:r>
      <w:r>
        <w:rPr>
          <w:rFonts w:ascii="Verdana" w:eastAsia="Verdana" w:hAnsi="Verdana" w:cs="Verdana"/>
          <w:vertAlign w:val="superscript"/>
        </w:rPr>
        <w:footnoteReference w:id="218"/>
      </w:r>
      <w:r w:rsidRPr="005B5CB6">
        <w:rPr>
          <w:rFonts w:ascii="Verdana" w:eastAsia="Verdana" w:hAnsi="Verdana" w:cs="Verdana"/>
        </w:rPr>
        <w:t xml:space="preserve">. The principle behind these rules is to ensure that the special impartiality requirements set out in statute relating to broadcasting on elections and referendums, are applied at the time of elections and referendums. </w:t>
      </w:r>
    </w:p>
    <w:p w:rsidR="00FB0B24" w:rsidRPr="005B5CB6" w:rsidP="00575F14">
      <w:pPr>
        <w:numPr>
          <w:ilvl w:val="1"/>
          <w:numId w:val="156"/>
        </w:numPr>
        <w:spacing w:after="226" w:line="250" w:lineRule="auto"/>
        <w:ind w:right="11" w:hanging="852"/>
        <w:jc w:val="both"/>
        <w:rPr>
          <w:rFonts w:ascii="Verdana" w:hAnsi="Verdana"/>
        </w:rPr>
      </w:pPr>
      <w:r w:rsidRPr="005B5CB6">
        <w:rPr>
          <w:rFonts w:ascii="Verdana" w:eastAsia="Verdana" w:hAnsi="Verdana" w:cs="Verdana"/>
        </w:rPr>
        <w:t>A key part of this role is ensuring rules relating to matters of major political or industrial controversy and major matters relating to current public policy in Section Five of the Broadcast Code</w:t>
      </w:r>
      <w:r>
        <w:rPr>
          <w:rFonts w:ascii="Verdana" w:eastAsia="Verdana" w:hAnsi="Verdana" w:cs="Verdana"/>
          <w:vertAlign w:val="superscript"/>
        </w:rPr>
        <w:footnoteReference w:id="219"/>
      </w:r>
      <w:r w:rsidRPr="005B5CB6">
        <w:rPr>
          <w:rFonts w:ascii="Verdana" w:eastAsia="Verdana" w:hAnsi="Verdana" w:cs="Verdana"/>
        </w:rPr>
        <w:t xml:space="preserve"> apply to the coverage of elections and referendums. These include ensuring that people reporting the news and service providers do not express their personal opinion and ensuring that news is reported with due accuracy and due impartiality.  </w:t>
      </w:r>
    </w:p>
    <w:p w:rsidR="00FB0B24" w:rsidRPr="005B5CB6" w:rsidP="001512F6">
      <w:pPr>
        <w:spacing w:after="234" w:line="250" w:lineRule="auto"/>
        <w:ind w:left="11" w:hanging="10"/>
        <w:jc w:val="both"/>
        <w:rPr>
          <w:rFonts w:ascii="Verdana" w:hAnsi="Verdana"/>
        </w:rPr>
      </w:pPr>
      <w:r w:rsidRPr="005B5CB6">
        <w:rPr>
          <w:rFonts w:ascii="Verdana" w:eastAsia="Verdana" w:hAnsi="Verdana" w:cs="Verdana"/>
          <w:b/>
        </w:rPr>
        <w:t xml:space="preserve">Ofcom’s research </w:t>
      </w:r>
    </w:p>
    <w:p w:rsidR="00FB0B24" w:rsidRPr="005B5CB6" w:rsidP="00575F14">
      <w:pPr>
        <w:numPr>
          <w:ilvl w:val="1"/>
          <w:numId w:val="156"/>
        </w:numPr>
        <w:spacing w:after="154" w:line="250" w:lineRule="auto"/>
        <w:ind w:right="11" w:hanging="852"/>
        <w:jc w:val="both"/>
        <w:rPr>
          <w:rFonts w:ascii="Verdana" w:hAnsi="Verdana"/>
        </w:rPr>
      </w:pPr>
      <w:r w:rsidRPr="005B5CB6">
        <w:rPr>
          <w:rFonts w:ascii="Verdana" w:eastAsia="Verdana" w:hAnsi="Verdana" w:cs="Verdana"/>
        </w:rPr>
        <w:t xml:space="preserve">Ofcom is an evidence-based regulator, so many of our decisions are informed by research evidence and the Communications Act 2003 requires us to carry out various pieces of research. Our market research ensures that we have a thorough, robust and up-to-date understanding of consumers in the UK.  </w:t>
      </w:r>
    </w:p>
    <w:p w:rsidR="00FB0B24" w:rsidRPr="005B5CB6" w:rsidP="00575F14">
      <w:pPr>
        <w:numPr>
          <w:ilvl w:val="1"/>
          <w:numId w:val="156"/>
        </w:numPr>
        <w:spacing w:after="213" w:line="250" w:lineRule="auto"/>
        <w:ind w:right="11" w:hanging="852"/>
        <w:jc w:val="both"/>
        <w:rPr>
          <w:rFonts w:ascii="Verdana" w:hAnsi="Verdana"/>
        </w:rPr>
      </w:pPr>
      <w:r w:rsidRPr="005B5CB6">
        <w:rPr>
          <w:rFonts w:ascii="Verdana" w:eastAsia="Verdana" w:hAnsi="Verdana" w:cs="Verdana"/>
        </w:rPr>
        <w:t xml:space="preserve">Below we detail a number of research reports from the past year and highlight key trends that may be relevant to your inquiry.  </w:t>
      </w:r>
    </w:p>
    <w:p w:rsidR="00FB0B24" w:rsidRPr="005B5CB6" w:rsidP="001512F6">
      <w:pPr>
        <w:spacing w:after="266" w:line="250" w:lineRule="auto"/>
        <w:ind w:left="11" w:hanging="10"/>
        <w:jc w:val="both"/>
        <w:rPr>
          <w:rFonts w:ascii="Verdana" w:hAnsi="Verdana"/>
        </w:rPr>
      </w:pPr>
      <w:r w:rsidRPr="005B5CB6">
        <w:rPr>
          <w:rFonts w:ascii="Verdana" w:eastAsia="Verdana" w:hAnsi="Verdana" w:cs="Verdana"/>
          <w:b/>
        </w:rPr>
        <w:t>News consumption survey</w:t>
      </w:r>
      <w:r>
        <w:rPr>
          <w:rFonts w:ascii="Verdana" w:eastAsia="Verdana" w:hAnsi="Verdana" w:cs="Verdana"/>
          <w:b/>
          <w:vertAlign w:val="superscript"/>
        </w:rPr>
        <w:footnoteReference w:id="220"/>
      </w:r>
      <w:r w:rsidRPr="005B5CB6">
        <w:rPr>
          <w:rFonts w:ascii="Verdana" w:eastAsia="Verdana" w:hAnsi="Verdana" w:cs="Verdana"/>
          <w:b/>
        </w:rPr>
        <w:t xml:space="preserve"> </w:t>
      </w:r>
    </w:p>
    <w:p w:rsidR="00FB0B24" w:rsidRPr="005B5CB6" w:rsidP="00575F14">
      <w:pPr>
        <w:numPr>
          <w:ilvl w:val="1"/>
          <w:numId w:val="156"/>
        </w:numPr>
        <w:spacing w:after="153" w:line="250" w:lineRule="auto"/>
        <w:ind w:right="11" w:hanging="852"/>
        <w:jc w:val="both"/>
        <w:rPr>
          <w:rFonts w:ascii="Verdana" w:hAnsi="Verdana"/>
        </w:rPr>
      </w:pPr>
      <w:r w:rsidRPr="005B5CB6">
        <w:rPr>
          <w:rFonts w:ascii="Verdana" w:eastAsia="Verdana" w:hAnsi="Verdana" w:cs="Verdana"/>
        </w:rPr>
        <w:t xml:space="preserve">The aim of this series of reports is to inform an understanding of news consumption across the UK, and within each UK nation. </w:t>
      </w:r>
    </w:p>
    <w:p w:rsidR="00FB0B24" w:rsidRPr="005B5CB6" w:rsidP="00575F14">
      <w:pPr>
        <w:numPr>
          <w:ilvl w:val="1"/>
          <w:numId w:val="156"/>
        </w:numPr>
        <w:spacing w:after="154" w:line="250" w:lineRule="auto"/>
        <w:ind w:right="11" w:hanging="852"/>
        <w:jc w:val="both"/>
        <w:rPr>
          <w:rFonts w:ascii="Verdana" w:hAnsi="Verdana"/>
        </w:rPr>
      </w:pPr>
      <w:r w:rsidRPr="005B5CB6">
        <w:rPr>
          <w:rFonts w:ascii="Verdana" w:eastAsia="Verdana" w:hAnsi="Verdana" w:cs="Verdana"/>
        </w:rPr>
        <w:t xml:space="preserve">Points which may be particularly relevant for the Committee’s work:  </w:t>
      </w:r>
    </w:p>
    <w:p w:rsidR="00FB0B24" w:rsidRPr="005B5CB6" w:rsidP="00575F14">
      <w:pPr>
        <w:numPr>
          <w:ilvl w:val="0"/>
          <w:numId w:val="152"/>
        </w:numPr>
        <w:spacing w:after="5" w:line="250" w:lineRule="auto"/>
        <w:ind w:right="11" w:hanging="338"/>
        <w:jc w:val="both"/>
        <w:rPr>
          <w:rFonts w:ascii="Verdana" w:hAnsi="Verdana"/>
        </w:rPr>
      </w:pPr>
      <w:r w:rsidRPr="005B5CB6">
        <w:rPr>
          <w:rFonts w:ascii="Verdana" w:eastAsia="Verdana" w:hAnsi="Verdana" w:cs="Verdana"/>
        </w:rPr>
        <w:t xml:space="preserve">TV remains the most-used platform among UK adults for news nowadays (75%), despite an overall decrease in use since last year (79%). At the same time, use of social media has gone up, with nearly half (49%) of all adults saying they use it for news (vs. 44% last year). </w:t>
      </w:r>
    </w:p>
    <w:p w:rsidR="00FB0B24" w:rsidRPr="005B5CB6" w:rsidP="00575F14">
      <w:pPr>
        <w:numPr>
          <w:ilvl w:val="0"/>
          <w:numId w:val="152"/>
        </w:numPr>
        <w:spacing w:after="5" w:line="250" w:lineRule="auto"/>
        <w:ind w:right="11" w:hanging="338"/>
        <w:jc w:val="both"/>
        <w:rPr>
          <w:rFonts w:ascii="Verdana" w:hAnsi="Verdana"/>
        </w:rPr>
      </w:pPr>
      <w:r w:rsidRPr="005B5CB6">
        <w:rPr>
          <w:rFonts w:ascii="Verdana" w:eastAsia="Verdana" w:hAnsi="Verdana" w:cs="Verdana"/>
        </w:rPr>
        <w:t xml:space="preserve">There is evidence that UK adults are consuming news more actively via social media. </w:t>
      </w:r>
    </w:p>
    <w:p w:rsidR="00FB0B24" w:rsidRPr="005B5CB6" w:rsidP="00575F14">
      <w:pPr>
        <w:numPr>
          <w:ilvl w:val="0"/>
          <w:numId w:val="152"/>
        </w:numPr>
        <w:spacing w:after="443" w:line="250" w:lineRule="auto"/>
        <w:ind w:right="11" w:hanging="338"/>
        <w:jc w:val="both"/>
        <w:rPr>
          <w:rFonts w:ascii="Verdana" w:hAnsi="Verdana"/>
        </w:rPr>
      </w:pPr>
      <w:r w:rsidRPr="005B5CB6">
        <w:rPr>
          <w:rFonts w:ascii="Verdana" w:eastAsia="Verdana" w:hAnsi="Verdana" w:cs="Verdana"/>
        </w:rPr>
        <w:t xml:space="preserve">News on social media platforms is rated relatively low in comparison to other forms of media on various attributes such as ‘is trustworthy’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57886" name="Group 55788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45" name="Shape 63594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inline>
            </w:drawing>
          </mc:Choice>
          <mc:Fallback>
            <w:pict>
              <v:group id="_x0000_i1235" style="height:0.72pt;mso-position-horizontal-relative:char;mso-position-vertical-relative:line;width:2in" coordsize="18288,91">
                <v:shape id="_x0000_s1236" style="height:91;position:absolute;width:18288" coordsize="1828800,9144" path="m,l1828800,l1828800,9144l,9144l,e">
                  <v:stroke joinstyle="miter" endcap="flat" opacity="0"/>
                </v:shape>
                <w10:wrap type="none"/>
              </v:group>
            </w:pict>
          </mc:Fallback>
        </mc:AlternateContent>
      </w:r>
      <w:r w:rsidRPr="005B5CB6">
        <w:rPr>
          <w:rFonts w:ascii="Verdana" w:hAnsi="Verdana"/>
          <w:color w:val="404040"/>
        </w:rPr>
        <w:t xml:space="preserve"> </w:t>
      </w:r>
    </w:p>
    <w:p w:rsidR="00FB0B24" w:rsidRPr="005B5CB6" w:rsidP="001512F6">
      <w:pPr>
        <w:spacing w:after="214" w:line="250" w:lineRule="auto"/>
        <w:ind w:left="1199" w:right="11" w:hanging="8"/>
        <w:jc w:val="both"/>
        <w:rPr>
          <w:rFonts w:ascii="Verdana" w:hAnsi="Verdana"/>
        </w:rPr>
      </w:pPr>
      <w:r w:rsidRPr="005B5CB6">
        <w:rPr>
          <w:rFonts w:ascii="Verdana" w:eastAsia="Verdana" w:hAnsi="Verdana" w:cs="Verdana"/>
        </w:rPr>
        <w:t xml:space="preserve">(38%) and ‘is impartial’ (37%) but also ‘helps me make up my mind’ (42%). </w:t>
      </w:r>
    </w:p>
    <w:p w:rsidR="00FB0B24" w:rsidRPr="005B5CB6" w:rsidP="001512F6">
      <w:pPr>
        <w:spacing w:after="268" w:line="250" w:lineRule="auto"/>
        <w:ind w:left="11" w:hanging="10"/>
        <w:jc w:val="both"/>
        <w:rPr>
          <w:rFonts w:ascii="Verdana" w:hAnsi="Verdana"/>
        </w:rPr>
      </w:pPr>
      <w:r w:rsidRPr="005B5CB6">
        <w:rPr>
          <w:rFonts w:ascii="Verdana" w:eastAsia="Verdana" w:hAnsi="Verdana" w:cs="Verdana"/>
          <w:b/>
        </w:rPr>
        <w:t>Online Nation</w:t>
      </w:r>
      <w:r>
        <w:rPr>
          <w:rFonts w:ascii="Verdana" w:eastAsia="Verdana" w:hAnsi="Verdana" w:cs="Verdana"/>
          <w:b/>
          <w:vertAlign w:val="superscript"/>
        </w:rPr>
        <w:footnoteReference w:id="221"/>
      </w:r>
      <w:r w:rsidRPr="005B5CB6">
        <w:rPr>
          <w:rFonts w:ascii="Verdana" w:eastAsia="Verdana" w:hAnsi="Verdana" w:cs="Verdana"/>
          <w:b/>
        </w:rPr>
        <w:t xml:space="preserve"> </w:t>
      </w:r>
    </w:p>
    <w:p w:rsidR="00FB0B24" w:rsidRPr="005B5CB6" w:rsidP="00575F14">
      <w:pPr>
        <w:numPr>
          <w:ilvl w:val="1"/>
          <w:numId w:val="153"/>
        </w:numPr>
        <w:spacing w:after="154" w:line="250" w:lineRule="auto"/>
        <w:ind w:right="11" w:hanging="852"/>
        <w:jc w:val="both"/>
        <w:rPr>
          <w:rFonts w:ascii="Verdana" w:hAnsi="Verdana"/>
        </w:rPr>
      </w:pPr>
      <w:r w:rsidRPr="005B5CB6">
        <w:rPr>
          <w:rFonts w:ascii="Verdana" w:eastAsia="Verdana" w:hAnsi="Verdana" w:cs="Verdana"/>
        </w:rPr>
        <w:t xml:space="preserve">Online Nation is a new annual report that looks at what people are doing online, how they are served by online content providers and platforms, and their attitudes to and experiences of using the internet. </w:t>
      </w:r>
    </w:p>
    <w:p w:rsidR="00FB0B24" w:rsidRPr="005B5CB6" w:rsidP="00575F14">
      <w:pPr>
        <w:numPr>
          <w:ilvl w:val="1"/>
          <w:numId w:val="153"/>
        </w:numPr>
        <w:spacing w:after="154" w:line="250" w:lineRule="auto"/>
        <w:ind w:right="11" w:hanging="852"/>
        <w:jc w:val="both"/>
        <w:rPr>
          <w:rFonts w:ascii="Verdana" w:hAnsi="Verdana"/>
        </w:rPr>
      </w:pPr>
      <w:r w:rsidRPr="005B5CB6">
        <w:rPr>
          <w:rFonts w:ascii="Verdana" w:eastAsia="Verdana" w:hAnsi="Verdana" w:cs="Verdana"/>
        </w:rPr>
        <w:t xml:space="preserve">Points which may be particularly relevant for the Committee’s work:  </w:t>
      </w:r>
    </w:p>
    <w:p w:rsidR="00FB0B24" w:rsidRPr="005B5CB6" w:rsidP="00575F14">
      <w:pPr>
        <w:numPr>
          <w:ilvl w:val="0"/>
          <w:numId w:val="152"/>
        </w:numPr>
        <w:spacing w:after="214" w:line="250" w:lineRule="auto"/>
        <w:ind w:right="11" w:hanging="338"/>
        <w:jc w:val="both"/>
        <w:rPr>
          <w:rFonts w:ascii="Verdana" w:hAnsi="Verdana"/>
        </w:rPr>
      </w:pPr>
      <w:r w:rsidRPr="005B5CB6">
        <w:rPr>
          <w:rFonts w:ascii="Verdana" w:eastAsia="Verdana" w:hAnsi="Verdana" w:cs="Verdana"/>
        </w:rPr>
        <w:t xml:space="preserve">Social media sites, and Facebook in particular, are the most commonly-cited source of online harm for most of the types of potential harm we asked about. For example, 25% of UK adults said they had come across fake news and 69% of those adults said they had come across fake news on Facebook. </w:t>
      </w:r>
    </w:p>
    <w:p w:rsidR="00FB0B24" w:rsidRPr="005B5CB6" w:rsidP="001512F6">
      <w:pPr>
        <w:spacing w:after="265" w:line="250" w:lineRule="auto"/>
        <w:ind w:left="11" w:hanging="10"/>
        <w:jc w:val="both"/>
        <w:rPr>
          <w:rFonts w:ascii="Verdana" w:hAnsi="Verdana"/>
        </w:rPr>
      </w:pPr>
      <w:r w:rsidRPr="005B5CB6">
        <w:rPr>
          <w:rFonts w:ascii="Verdana" w:eastAsia="Verdana" w:hAnsi="Verdana" w:cs="Verdana"/>
          <w:b/>
        </w:rPr>
        <w:t>Adult media use and attitudes</w:t>
      </w:r>
      <w:r>
        <w:rPr>
          <w:rFonts w:ascii="Verdana" w:eastAsia="Verdana" w:hAnsi="Verdana" w:cs="Verdana"/>
          <w:b/>
          <w:vertAlign w:val="superscript"/>
        </w:rPr>
        <w:footnoteReference w:id="222"/>
      </w:r>
      <w:r w:rsidRPr="005B5CB6">
        <w:rPr>
          <w:rFonts w:ascii="Verdana" w:eastAsia="Verdana" w:hAnsi="Verdana" w:cs="Verdana"/>
          <w:b/>
        </w:rPr>
        <w:t xml:space="preserve"> </w:t>
      </w:r>
    </w:p>
    <w:p w:rsidR="00FB0B24" w:rsidRPr="005B5CB6" w:rsidP="00575F14">
      <w:pPr>
        <w:numPr>
          <w:ilvl w:val="1"/>
          <w:numId w:val="154"/>
        </w:numPr>
        <w:spacing w:after="154" w:line="250" w:lineRule="auto"/>
        <w:ind w:right="11" w:hanging="852"/>
        <w:jc w:val="both"/>
        <w:rPr>
          <w:rFonts w:ascii="Verdana" w:hAnsi="Verdana"/>
        </w:rPr>
      </w:pPr>
      <w:r w:rsidRPr="005B5CB6">
        <w:rPr>
          <w:rFonts w:ascii="Verdana" w:eastAsia="Verdana" w:hAnsi="Verdana" w:cs="Verdana"/>
        </w:rPr>
        <w:t xml:space="preserve">The annual adults’ media use and attitudes report provides research that looks at media use, attitudes and understanding, and how these change over time. The report also includes a particular focus on those who tend not to participate digitally. </w:t>
      </w:r>
    </w:p>
    <w:p w:rsidR="00FB0B24" w:rsidRPr="005B5CB6" w:rsidP="00575F14">
      <w:pPr>
        <w:numPr>
          <w:ilvl w:val="1"/>
          <w:numId w:val="154"/>
        </w:numPr>
        <w:spacing w:after="154" w:line="250" w:lineRule="auto"/>
        <w:ind w:right="11" w:hanging="852"/>
        <w:jc w:val="both"/>
        <w:rPr>
          <w:rFonts w:ascii="Verdana" w:hAnsi="Verdana"/>
        </w:rPr>
      </w:pPr>
      <w:r w:rsidRPr="005B5CB6">
        <w:rPr>
          <w:rFonts w:ascii="Verdana" w:eastAsia="Verdana" w:hAnsi="Verdana" w:cs="Verdana"/>
        </w:rPr>
        <w:t xml:space="preserve">Points which may be particularly relevant for the Committee’s work:  </w:t>
      </w:r>
    </w:p>
    <w:p w:rsidR="00FB0B24" w:rsidRPr="005B5CB6" w:rsidP="00575F14">
      <w:pPr>
        <w:numPr>
          <w:ilvl w:val="0"/>
          <w:numId w:val="152"/>
        </w:numPr>
        <w:spacing w:after="5" w:line="250" w:lineRule="auto"/>
        <w:ind w:right="11" w:hanging="338"/>
        <w:jc w:val="both"/>
        <w:rPr>
          <w:rFonts w:ascii="Verdana" w:hAnsi="Verdana"/>
        </w:rPr>
      </w:pPr>
      <w:r w:rsidRPr="005B5CB6">
        <w:rPr>
          <w:rFonts w:ascii="Verdana" w:eastAsia="Verdana" w:hAnsi="Verdana" w:cs="Verdana"/>
        </w:rPr>
        <w:t xml:space="preserve">Compared to 2017, social media users are less likely to say they see views they disagree with; a quarter say they ‘rarely’ see views on social media they disagree with (vs. 18% in 2017). As such, more social media users say they ‘rarely’ see views they disagree with (24%) than say they ‘often’ see views they disagree with (17%). </w:t>
      </w:r>
    </w:p>
    <w:p w:rsidR="00FB0B24" w:rsidRPr="005B5CB6" w:rsidP="00575F14">
      <w:pPr>
        <w:numPr>
          <w:ilvl w:val="0"/>
          <w:numId w:val="152"/>
        </w:numPr>
        <w:spacing w:after="5" w:line="250" w:lineRule="auto"/>
        <w:ind w:right="11" w:hanging="338"/>
        <w:jc w:val="both"/>
        <w:rPr>
          <w:rFonts w:ascii="Verdana" w:hAnsi="Verdana"/>
        </w:rPr>
      </w:pPr>
      <w:r w:rsidRPr="005B5CB6">
        <w:rPr>
          <w:rFonts w:ascii="Verdana" w:eastAsia="Verdana" w:hAnsi="Verdana" w:cs="Verdana"/>
        </w:rPr>
        <w:t xml:space="preserve">Despite there being high awareness of reporting functions on Facebook, Twitter and YouTube, around half of those that saw inappropriate content did not report it </w:t>
      </w:r>
    </w:p>
    <w:p w:rsidR="00FB0B24" w:rsidRPr="005B5CB6" w:rsidP="00575F14">
      <w:pPr>
        <w:numPr>
          <w:ilvl w:val="0"/>
          <w:numId w:val="152"/>
        </w:numPr>
        <w:spacing w:after="5" w:line="250" w:lineRule="auto"/>
        <w:ind w:right="11" w:hanging="338"/>
        <w:jc w:val="both"/>
        <w:rPr>
          <w:rFonts w:ascii="Verdana" w:hAnsi="Verdana"/>
        </w:rPr>
      </w:pPr>
      <w:r w:rsidRPr="005B5CB6">
        <w:rPr>
          <w:rFonts w:ascii="Verdana" w:eastAsia="Verdana" w:hAnsi="Verdana" w:cs="Verdana"/>
        </w:rPr>
        <w:t xml:space="preserve">Despite almost all internet users using search engines to look for information online, only six in ten understand that not all the websites returned will be accurate and unbiased </w:t>
      </w:r>
    </w:p>
    <w:p w:rsidR="00FB0B24" w:rsidRPr="005B5CB6" w:rsidP="00575F14">
      <w:pPr>
        <w:numPr>
          <w:ilvl w:val="0"/>
          <w:numId w:val="152"/>
        </w:numPr>
        <w:spacing w:after="1645" w:line="250" w:lineRule="auto"/>
        <w:ind w:right="11" w:hanging="338"/>
        <w:jc w:val="both"/>
        <w:rPr>
          <w:rFonts w:ascii="Verdana" w:hAnsi="Verdana"/>
        </w:rPr>
      </w:pPr>
      <w:r w:rsidRPr="005B5CB6">
        <w:rPr>
          <w:rFonts w:ascii="Verdana" w:eastAsia="Verdana" w:hAnsi="Verdana" w:cs="Verdana"/>
        </w:rPr>
        <w:t xml:space="preserve">One in ten internet users don’t think about the truthfulness of online content, although those who do are more likely than in 2017 to make checks to verify the information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57635" name="Group 55763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47" name="Shape 63594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inline>
            </w:drawing>
          </mc:Choice>
          <mc:Fallback>
            <w:pict>
              <v:group id="_x0000_i1237" style="height:0.72pt;mso-position-horizontal-relative:char;mso-position-vertical-relative:line;width:2in" coordsize="18288,91">
                <v:shape id="_x0000_s1238" style="height:91;position:absolute;width:18288" coordsize="1828800,9144" path="m,l1828800,l1828800,9144l,9144l,e">
                  <v:stroke joinstyle="miter" endcap="flat" opacity="0"/>
                </v:shape>
                <w10:wrap type="none"/>
              </v:group>
            </w:pict>
          </mc:Fallback>
        </mc:AlternateContent>
      </w:r>
      <w:r w:rsidRPr="005B5CB6">
        <w:rPr>
          <w:rFonts w:ascii="Verdana" w:hAnsi="Verdana"/>
          <w:color w:val="404040"/>
        </w:rPr>
        <w:t xml:space="preserve"> </w:t>
      </w:r>
    </w:p>
    <w:p w:rsidR="00FB0B24" w:rsidRPr="005B5CB6" w:rsidP="001512F6">
      <w:pPr>
        <w:spacing w:after="268" w:line="250" w:lineRule="auto"/>
        <w:ind w:left="11" w:hanging="10"/>
        <w:jc w:val="both"/>
        <w:rPr>
          <w:rFonts w:ascii="Verdana" w:hAnsi="Verdana"/>
        </w:rPr>
      </w:pPr>
      <w:r w:rsidRPr="005B5CB6">
        <w:rPr>
          <w:rFonts w:ascii="Verdana" w:eastAsia="Verdana" w:hAnsi="Verdana" w:cs="Verdana"/>
          <w:b/>
        </w:rPr>
        <w:t>Internet users’ online experiences and attitudes</w:t>
      </w:r>
      <w:r>
        <w:rPr>
          <w:rFonts w:ascii="Verdana" w:eastAsia="Verdana" w:hAnsi="Verdana" w:cs="Verdana"/>
          <w:b/>
          <w:vertAlign w:val="superscript"/>
        </w:rPr>
        <w:footnoteReference w:id="223"/>
      </w:r>
      <w:r w:rsidRPr="005B5CB6">
        <w:rPr>
          <w:rFonts w:ascii="Verdana" w:eastAsia="Verdana" w:hAnsi="Verdana" w:cs="Verdana"/>
          <w:b/>
        </w:rPr>
        <w:t xml:space="preserve"> and online experiences and attitudes qualitative summary report 2019</w:t>
      </w:r>
      <w:r>
        <w:rPr>
          <w:rFonts w:ascii="Verdana" w:eastAsia="Verdana" w:hAnsi="Verdana" w:cs="Verdana"/>
          <w:b/>
          <w:vertAlign w:val="superscript"/>
        </w:rPr>
        <w:footnoteReference w:id="224"/>
      </w:r>
      <w:r w:rsidRPr="005B5CB6">
        <w:rPr>
          <w:rFonts w:ascii="Verdana" w:eastAsia="Verdana" w:hAnsi="Verdana" w:cs="Verdana"/>
          <w:b/>
        </w:rPr>
        <w:t xml:space="preserve"> </w:t>
      </w:r>
    </w:p>
    <w:p w:rsidR="00FB0B24" w:rsidRPr="005B5CB6" w:rsidP="00575F14">
      <w:pPr>
        <w:numPr>
          <w:ilvl w:val="1"/>
          <w:numId w:val="157"/>
        </w:numPr>
        <w:spacing w:after="154" w:line="250" w:lineRule="auto"/>
        <w:ind w:right="11" w:hanging="852"/>
        <w:jc w:val="both"/>
        <w:rPr>
          <w:rFonts w:ascii="Verdana" w:hAnsi="Verdana"/>
        </w:rPr>
      </w:pPr>
      <w:r w:rsidRPr="005B5CB6">
        <w:rPr>
          <w:rFonts w:ascii="Verdana" w:eastAsia="Verdana" w:hAnsi="Verdana" w:cs="Verdana"/>
        </w:rPr>
        <w:t xml:space="preserve">These research pieces quantified concerns about, reported experiences of and potential sources of online harm. They also explored public experiences of and attitudes towards the internet. They were commissioned by Ofcom with advice on the research design provided by the Information Commissioner’s Office.  </w:t>
      </w:r>
    </w:p>
    <w:p w:rsidR="00FB0B24" w:rsidRPr="005B5CB6" w:rsidP="00575F14">
      <w:pPr>
        <w:numPr>
          <w:ilvl w:val="1"/>
          <w:numId w:val="157"/>
        </w:numPr>
        <w:spacing w:after="154" w:line="250" w:lineRule="auto"/>
        <w:ind w:right="11" w:hanging="852"/>
        <w:jc w:val="both"/>
        <w:rPr>
          <w:rFonts w:ascii="Verdana" w:hAnsi="Verdana"/>
        </w:rPr>
      </w:pPr>
      <w:r w:rsidRPr="005B5CB6">
        <w:rPr>
          <w:rFonts w:ascii="Verdana" w:eastAsia="Verdana" w:hAnsi="Verdana" w:cs="Verdana"/>
        </w:rPr>
        <w:t xml:space="preserve">Points which may be particularly relevant for the Committee’s work:  </w:t>
      </w:r>
    </w:p>
    <w:p w:rsidR="00FB0B24" w:rsidRPr="005B5CB6" w:rsidP="00575F14">
      <w:pPr>
        <w:numPr>
          <w:ilvl w:val="0"/>
          <w:numId w:val="152"/>
        </w:numPr>
        <w:spacing w:after="26" w:line="250" w:lineRule="auto"/>
        <w:ind w:right="11" w:hanging="338"/>
        <w:jc w:val="both"/>
        <w:rPr>
          <w:rFonts w:ascii="Verdana" w:hAnsi="Verdana"/>
        </w:rPr>
      </w:pPr>
      <w:r w:rsidRPr="005B5CB6">
        <w:rPr>
          <w:rFonts w:ascii="Verdana" w:eastAsia="Verdana" w:hAnsi="Verdana" w:cs="Verdana"/>
        </w:rPr>
        <w:t xml:space="preserve">There was confusion about the meaning of fake news. Participants discussed examples of both biased and fabricated content, using fake news as a catch-all term for anything that was “not strictly true”.  </w:t>
      </w:r>
    </w:p>
    <w:p w:rsidR="00FB0B24" w:rsidRPr="005B5CB6" w:rsidP="00575F14">
      <w:pPr>
        <w:numPr>
          <w:ilvl w:val="0"/>
          <w:numId w:val="152"/>
        </w:numPr>
        <w:spacing w:after="5" w:line="250" w:lineRule="auto"/>
        <w:ind w:right="11" w:hanging="338"/>
        <w:jc w:val="both"/>
        <w:rPr>
          <w:rFonts w:ascii="Verdana" w:hAnsi="Verdana"/>
        </w:rPr>
      </w:pPr>
      <w:r w:rsidRPr="005B5CB6">
        <w:rPr>
          <w:rFonts w:ascii="Verdana" w:eastAsia="Verdana" w:hAnsi="Verdana" w:cs="Verdana"/>
        </w:rPr>
        <w:t xml:space="preserve">The two areas we prompted responses on (one of which was fake news) did not emerge as important spontaneous concerns. While participants were worried about these issues after considering them in more detail, overall concerns were not as strong as in other areas.  </w:t>
      </w:r>
    </w:p>
    <w:p w:rsidR="00FB0B24" w:rsidRPr="005B5CB6" w:rsidP="00575F14">
      <w:pPr>
        <w:numPr>
          <w:ilvl w:val="0"/>
          <w:numId w:val="152"/>
        </w:numPr>
        <w:spacing w:after="5" w:line="250" w:lineRule="auto"/>
        <w:ind w:right="11" w:hanging="338"/>
        <w:jc w:val="both"/>
        <w:rPr>
          <w:rFonts w:ascii="Verdana" w:hAnsi="Verdana"/>
        </w:rPr>
      </w:pPr>
      <w:r w:rsidRPr="005B5CB6">
        <w:rPr>
          <w:rFonts w:ascii="Verdana" w:eastAsia="Verdana" w:hAnsi="Verdana" w:cs="Verdana"/>
        </w:rPr>
        <w:t xml:space="preserve">Participants assumed they could identify and manage their encounters with fake news Participants did not tend to see themselves as personally susceptible to fake news, and could not see why they would be targeted with disinformation. However, they worried that other people could be influenced by fake news, believing in false stories particularly if someone repeatedly saw similar content. </w:t>
      </w:r>
    </w:p>
    <w:p w:rsidR="00FB0B24" w:rsidRPr="005B5CB6" w:rsidP="00575F14">
      <w:pPr>
        <w:numPr>
          <w:ilvl w:val="0"/>
          <w:numId w:val="152"/>
        </w:numPr>
        <w:spacing w:after="5" w:line="250" w:lineRule="auto"/>
        <w:ind w:right="11" w:hanging="338"/>
        <w:jc w:val="both"/>
        <w:rPr>
          <w:rFonts w:ascii="Verdana" w:hAnsi="Verdana"/>
        </w:rPr>
      </w:pPr>
      <w:r w:rsidRPr="005B5CB6">
        <w:rPr>
          <w:rFonts w:ascii="Verdana" w:eastAsia="Verdana" w:hAnsi="Verdana" w:cs="Verdana"/>
        </w:rPr>
        <w:t xml:space="preserve">Individuals were seen as responsible for protecting themselves from fake news. </w:t>
      </w:r>
    </w:p>
    <w:p w:rsidR="00FB0B24" w:rsidRPr="005B5CB6" w:rsidP="00575F14">
      <w:pPr>
        <w:numPr>
          <w:ilvl w:val="0"/>
          <w:numId w:val="152"/>
        </w:numPr>
        <w:spacing w:after="214" w:line="250" w:lineRule="auto"/>
        <w:ind w:right="11" w:hanging="338"/>
        <w:jc w:val="both"/>
        <w:rPr>
          <w:rFonts w:ascii="Verdana" w:hAnsi="Verdana"/>
        </w:rPr>
      </w:pPr>
      <w:r w:rsidRPr="005B5CB6">
        <w:rPr>
          <w:rFonts w:ascii="Verdana" w:eastAsia="Verdana" w:hAnsi="Verdana" w:cs="Verdana"/>
        </w:rPr>
        <w:t xml:space="preserve">It was difficult for participants to identify feasible protections from fake news that did not affect online freedoms.  </w:t>
      </w:r>
    </w:p>
    <w:p w:rsidR="00FB0B24" w:rsidRPr="005B5CB6" w:rsidP="001512F6">
      <w:pPr>
        <w:spacing w:after="265" w:line="250" w:lineRule="auto"/>
        <w:ind w:left="11" w:hanging="10"/>
        <w:jc w:val="both"/>
        <w:rPr>
          <w:rFonts w:ascii="Verdana" w:hAnsi="Verdana"/>
        </w:rPr>
      </w:pPr>
      <w:r w:rsidRPr="005B5CB6">
        <w:rPr>
          <w:rFonts w:ascii="Verdana" w:eastAsia="Verdana" w:hAnsi="Verdana" w:cs="Verdana"/>
          <w:b/>
        </w:rPr>
        <w:t>Use of AI in content moderation</w:t>
      </w:r>
      <w:r>
        <w:rPr>
          <w:rFonts w:ascii="Verdana" w:eastAsia="Verdana" w:hAnsi="Verdana" w:cs="Verdana"/>
          <w:b/>
          <w:vertAlign w:val="superscript"/>
        </w:rPr>
        <w:footnoteReference w:id="225"/>
      </w:r>
      <w:r w:rsidRPr="005B5CB6">
        <w:rPr>
          <w:rFonts w:ascii="Verdana" w:eastAsia="Verdana" w:hAnsi="Verdana" w:cs="Verdana"/>
          <w:b/>
        </w:rPr>
        <w:t xml:space="preserve"> </w:t>
      </w:r>
    </w:p>
    <w:p w:rsidR="00FB0B24" w:rsidRPr="005B5CB6" w:rsidP="00575F14">
      <w:pPr>
        <w:numPr>
          <w:ilvl w:val="1"/>
          <w:numId w:val="155"/>
        </w:numPr>
        <w:spacing w:after="2466" w:line="250" w:lineRule="auto"/>
        <w:ind w:right="11" w:hanging="852"/>
        <w:jc w:val="both"/>
        <w:rPr>
          <w:rFonts w:ascii="Verdana" w:hAnsi="Verdana"/>
        </w:rPr>
      </w:pPr>
      <w:r w:rsidRPr="005B5CB6">
        <w:rPr>
          <w:rFonts w:ascii="Verdana" w:eastAsia="Verdana" w:hAnsi="Verdana" w:cs="Verdana"/>
        </w:rPr>
        <w:t xml:space="preserve">Ofcom commissioned Cambridge Consultants to produce this report as a contribution to the evidence base on people’s use of and attitudes towards online services.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57714" name="Group 55771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49" name="Shape 63594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inline>
            </w:drawing>
          </mc:Choice>
          <mc:Fallback>
            <w:pict>
              <v:group id="_x0000_i1239" style="height:0.72pt;mso-position-horizontal-relative:char;mso-position-vertical-relative:line;width:2in" coordsize="18288,91">
                <v:shape id="_x0000_s1240" style="height:91;position:absolute;width:18288" coordsize="1828800,9144" path="m,l1828800,l1828800,9144l,9144l,e">
                  <v:stroke joinstyle="miter" endcap="flat" opacity="0"/>
                </v:shape>
                <w10:wrap type="none"/>
              </v:group>
            </w:pict>
          </mc:Fallback>
        </mc:AlternateContent>
      </w:r>
      <w:r w:rsidRPr="005B5CB6">
        <w:rPr>
          <w:rFonts w:ascii="Verdana" w:hAnsi="Verdana"/>
          <w:color w:val="404040"/>
        </w:rPr>
        <w:t xml:space="preserve"> </w:t>
      </w:r>
    </w:p>
    <w:p w:rsidR="00FB0B24" w:rsidRPr="005B5CB6" w:rsidP="00575F14">
      <w:pPr>
        <w:numPr>
          <w:ilvl w:val="1"/>
          <w:numId w:val="155"/>
        </w:numPr>
        <w:spacing w:after="29" w:line="250" w:lineRule="auto"/>
        <w:ind w:right="11" w:hanging="852"/>
        <w:jc w:val="both"/>
        <w:rPr>
          <w:rFonts w:ascii="Verdana" w:hAnsi="Verdana"/>
        </w:rPr>
      </w:pPr>
      <w:r w:rsidRPr="005B5CB6">
        <w:rPr>
          <w:rFonts w:ascii="Verdana" w:eastAsia="Verdana" w:hAnsi="Verdana" w:cs="Verdana"/>
        </w:rPr>
        <w:t xml:space="preserve">The report identified three areas where AI technologies can assist content moderation activities as seen in the diagram below.  </w:t>
      </w:r>
    </w:p>
    <w:p w:rsidR="00FB0B24" w:rsidRPr="005B5CB6" w:rsidP="001512F6">
      <w:pPr>
        <w:spacing w:after="52"/>
        <w:ind w:left="406"/>
        <w:jc w:val="both"/>
        <w:rPr>
          <w:rFonts w:ascii="Verdana" w:hAnsi="Verdana"/>
        </w:rPr>
      </w:pPr>
      <w:r w:rsidRPr="005B5CB6">
        <w:rPr>
          <w:rFonts w:ascii="Verdana" w:hAnsi="Verdana"/>
          <w:noProof/>
        </w:rPr>
        <w:drawing>
          <wp:inline distT="0" distB="0" distL="0" distR="0">
            <wp:extent cx="5395596" cy="2800185"/>
            <wp:effectExtent l="0" t="0" r="0" b="0"/>
            <wp:docPr id="25642" name="Picture 25642"/>
            <wp:cNvGraphicFramePr/>
            <a:graphic xmlns:a="http://schemas.openxmlformats.org/drawingml/2006/main">
              <a:graphicData uri="http://schemas.openxmlformats.org/drawingml/2006/picture">
                <pic:pic xmlns:pic="http://schemas.openxmlformats.org/drawingml/2006/picture">
                  <pic:nvPicPr>
                    <pic:cNvPr id="25642" name="Picture 25642"/>
                    <pic:cNvPicPr/>
                  </pic:nvPicPr>
                  <pic:blipFill>
                    <a:blip xmlns:r="http://schemas.openxmlformats.org/officeDocument/2006/relationships" r:embed="rId237"/>
                    <a:stretch>
                      <a:fillRect/>
                    </a:stretch>
                  </pic:blipFill>
                  <pic:spPr>
                    <a:xfrm>
                      <a:off x="0" y="0"/>
                      <a:ext cx="5395596" cy="2800185"/>
                    </a:xfrm>
                    <a:prstGeom prst="rect">
                      <a:avLst/>
                    </a:prstGeom>
                  </pic:spPr>
                </pic:pic>
              </a:graphicData>
            </a:graphic>
          </wp:inline>
        </w:drawing>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DE1165">
          <w:headerReference w:type="even" r:id="rId238"/>
          <w:headerReference w:type="default" r:id="rId239"/>
          <w:footerReference w:type="even" r:id="rId240"/>
          <w:footerReference w:type="default" r:id="rId241"/>
          <w:headerReference w:type="first" r:id="rId242"/>
          <w:footerReference w:type="first" r:id="rId243"/>
          <w:pgSz w:w="11899" w:h="16841"/>
          <w:pgMar w:top="1753" w:right="1436" w:bottom="1567" w:left="1439" w:header="720" w:footer="869" w:gutter="0"/>
          <w:cols w:space="720"/>
        </w:sectPr>
      </w:pPr>
    </w:p>
    <w:p w:rsidR="00FB0B24" w:rsidRPr="005B5CB6" w:rsidP="00A1624B">
      <w:pPr>
        <w:pStyle w:val="Heading1"/>
        <w:rPr>
          <w:sz w:val="22"/>
        </w:rPr>
      </w:pPr>
      <w:bookmarkStart w:id="43" w:name="_Toc44517731"/>
      <w:r w:rsidRPr="005B5CB6">
        <w:rPr>
          <w:sz w:val="22"/>
        </w:rPr>
        <w:t>Microsoft – written evidence (DAD0050)</w:t>
      </w:r>
      <w:bookmarkEnd w:id="43"/>
      <w:r w:rsidRPr="005B5CB6">
        <w:rPr>
          <w:sz w:val="22"/>
        </w:rPr>
        <w:t xml:space="preserve">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We welcome the opportunity to respond to your Committee’s call for evidence on how representative democracy can be supported, rather than undermined, in a digital world.  Microsoft is one of the world’s leading digital engineering businesses and operates a hyperscale cloud business that supports AI innovation. Established in the UK for over thirty years, today Microsoft UK employs some 5,000 people, including over 150 world class computer scientists at our research lab in Cambridge, and works with over 25,000 partners across the country.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1512F6">
      <w:pPr>
        <w:spacing w:after="165" w:line="250" w:lineRule="auto"/>
        <w:ind w:left="11" w:hanging="10"/>
        <w:jc w:val="both"/>
        <w:rPr>
          <w:rFonts w:ascii="Verdana" w:hAnsi="Verdana"/>
        </w:rPr>
      </w:pPr>
      <w:r w:rsidRPr="005B5CB6">
        <w:rPr>
          <w:rFonts w:ascii="Verdana" w:eastAsia="Verdana" w:hAnsi="Verdana" w:cs="Verdana"/>
          <w:b/>
        </w:rPr>
        <w:t xml:space="preserve">General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Digital technology has impacted every part of our lives. From delivering personalised recommendations on music or film streaming services to helping us book our next holiday or register for recycling services from the local authority. This digital revolution has democratised access to information that twenty years ago was only available to a small section of society. This process has also opened up the political process. At the time of the 1997 general election the UK had three 24/7 news channels and a number of local and regional media outlets. The 2017 general election campaign was covered by traditional media and fought in the digital space with all campaigns making use of targeted advertising, search engine optimisation and social media to both communicate directly with voters and to solicit donations. Whilst we would not comment on whether this has been a net positive or negative, it is worth noting that all technology divides opinion and has potential to be used for positive or negative ends.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Microsoft is not a social media company, although we offer services such as LinkedIn or Gitthub, that share some of the characteristics of social media platforms. Data driven and automated technologies are being developed and used across a number of Microsoft’s products, from Azure Cognitive services, through our search engine Bing to the xBox games platform.  These technologies can be used separately or combined to yield systems that perceive, classify, predict, or otherwise reason in an automated manner. Microsoft has been developing and embedding an ethical framework in our AI development that stresses that AI systems should treat all people fairly (fairness); empower everyone and engage people (inclusiveness); perform reliably and safely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(reliability); be understandable (transparency); be secure and respect privacy (privacy and security); and should have algorithmic accountability (accountability).  </w:t>
      </w:r>
    </w:p>
    <w:p w:rsidR="00FB0B24" w:rsidRPr="005B5CB6" w:rsidP="001512F6">
      <w:pPr>
        <w:spacing w:after="162"/>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Arial" w:hAnsi="Verdana" w:cs="Arial"/>
        </w:rPr>
        <w:t xml:space="preserve"> </w:t>
      </w:r>
      <w:r w:rsidRPr="005B5CB6">
        <w:rPr>
          <w:rFonts w:ascii="Verdana" w:eastAsia="Verdana" w:hAnsi="Verdana" w:cs="Verdana"/>
        </w:rPr>
        <w:t xml:space="preserv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Transparency and accountability are responses to the challenge of how to engage with the public before deployment of algorithms in decision making.  System explainability is an essential element in building public trust in AI, especially when AI is deployed in situations that may impact people’s lives. Many of the most </w:t>
      </w:r>
      <w:r w:rsidRPr="005B5CB6">
        <w:rPr>
          <w:rFonts w:ascii="Verdana" w:eastAsia="Verdana" w:hAnsi="Verdana" w:cs="Verdana"/>
        </w:rPr>
        <w:t xml:space="preserve">powerful techniques currently available, such as deep learning neural networks, are often opaque, even to the engineers who created them. It is critical, therefore, to develop effective and trusted ways to  describe these systems in a manner that is meaningful and understandable, but without compromising system quality and accuracy, or exposing trade secrets.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Just as today when consulting a doctor over a medical issue, or a lawyer over a legal challenge, we can seek a second opinion or redress when something goes wrong, in the world of algorithms knowing who is accountable when something goes wrong is equally important. Maintaining public trust will require clear line of sight over who is accountable for an AI’s operation in the real world. It is vital that all organisations, from business to government, academia to civil society, are aware of the potential ethical issues raised by AI and have appropriate processes in place at all stages of design, development, and deployment. This will go a long way towards addressing accountability concerns.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1512F6">
      <w:pPr>
        <w:spacing w:after="165" w:line="250" w:lineRule="auto"/>
        <w:ind w:left="11" w:hanging="10"/>
        <w:jc w:val="both"/>
        <w:rPr>
          <w:rFonts w:ascii="Verdana" w:hAnsi="Verdana"/>
        </w:rPr>
      </w:pPr>
      <w:r w:rsidRPr="005B5CB6">
        <w:rPr>
          <w:rFonts w:ascii="Verdana" w:eastAsia="Verdana" w:hAnsi="Verdana" w:cs="Verdana"/>
          <w:b/>
        </w:rPr>
        <w:t xml:space="preserve">Misinformation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In April 2018 we launched our Defending Democracy Programme. As part of this activity, Microsoft committed to individual and sector-wide actions to play our part in tackling misinformation online and those who seek to distort democracy through disinformation.   As part of this work, in the summer of 2018 we entered into a partnership with NewsGuard  Technologies, to empower voters by providing them with high-quality information about the integrity and transparency of online news sites.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NewsGuard employs conservative and liberal media analysts who review online news sites, compiling their findings across a series of nine journalistic integrity criteria into a “Nutrition Label” which then map to a Red/Green Reliability Rating. The objective is not to preclude access to any news content but to empower readers with additional information on the source and reliability of that content as they consume and/or share it. The NewsGuard service is available through downloading a free add on for the Microsoft Edge browser, as well as for the Google Chrome and Apple Safari browsers. </w:t>
      </w:r>
    </w:p>
    <w:p w:rsidR="00FB0B24" w:rsidRPr="005B5CB6" w:rsidP="001512F6">
      <w:pPr>
        <w:spacing w:after="159"/>
        <w:jc w:val="both"/>
        <w:rPr>
          <w:rFonts w:ascii="Verdana" w:hAnsi="Verdana"/>
        </w:rPr>
      </w:pPr>
      <w:r w:rsidRPr="005B5CB6">
        <w:rPr>
          <w:rFonts w:ascii="Verdana" w:eastAsia="Verdana" w:hAnsi="Verdana" w:cs="Verdana"/>
        </w:rPr>
        <w:t xml:space="preserve"> </w:t>
      </w:r>
    </w:p>
    <w:p w:rsidR="00FB0B24" w:rsidRPr="005B5CB6" w:rsidP="001512F6">
      <w:pPr>
        <w:spacing w:after="163" w:line="250" w:lineRule="auto"/>
        <w:ind w:left="11" w:hanging="10"/>
        <w:jc w:val="both"/>
        <w:rPr>
          <w:rFonts w:ascii="Verdana" w:hAnsi="Verdana"/>
        </w:rPr>
      </w:pPr>
      <w:r w:rsidRPr="005B5CB6">
        <w:rPr>
          <w:rFonts w:ascii="Verdana" w:eastAsia="Verdana" w:hAnsi="Verdana" w:cs="Verdana"/>
          <w:b/>
        </w:rPr>
        <w:t xml:space="preserve">Technology and democratic engagement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The productivity gain that modern cloud based technology can offer should be taken up by Parliament and Government to drive better data insights for policy makers, and to allow members of Parliament to better serve their constituents whilst in Westminster.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In 2018 we launched the Defending Democracy Programme. The programme works with stakeholders in democratic countries globally to protect campaigns </w:t>
      </w:r>
      <w:r w:rsidRPr="005B5CB6">
        <w:rPr>
          <w:rFonts w:ascii="Verdana" w:eastAsia="Verdana" w:hAnsi="Verdana" w:cs="Verdana"/>
        </w:rPr>
        <w:t xml:space="preserve">from hacking through increased cyber resilience measures, enhanced account monitoring and incident response capabilities. As part of the programme we brought our Account Guard service to the UK in autumn 2018. Account Guard is offered on a non-partisan basis to all U.K political parties registered with the electoral commission at the national, devolved, regional and local level, political technology companies, and political non-profits, who are current O365 customers at no additional cost to their existing service with Microsoft.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Political organisations that register for our Account Guard programme can apply the service to both the organisation and personal email accounts of staff members, employees, board members, consultants, advisors, volunteers, interns, and other associates who choose to participate. This allows Microsoft’s global security centre to notify participating entities of attacks by nation-state attackers that we track in a unified way across both organisational and personal outlook.com and hotmail.com email systems, and to then work to defend against an attack or help the organisation or individual secure and recover their system following a cyber-attack.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The Defending Democracy programme also looks to explore technological solutions to preserve and protect electoral processes and engage with national, devolved and local officials to identify and remediate cyber threats; and defend against disinformation campaigns in partnership with organisations such as NewsGuard, academic institutions and think tanks dedicated to countering statesponsored computational propaganda and disinformation campaigns. The recent paper by the Centre for Data Ethics and Innovation on the threat posed by AI and deepfakes highlighted one of the disinformation challenges posed by AI, and this is a issue that our company president, Brad Smith, addresses further in his new book ‘Tools and Weapons.’ </w:t>
      </w:r>
    </w:p>
    <w:p w:rsidR="00FB0B24" w:rsidRPr="005B5CB6" w:rsidP="001512F6">
      <w:pPr>
        <w:spacing w:after="159"/>
        <w:ind w:left="1"/>
        <w:jc w:val="both"/>
        <w:rPr>
          <w:rFonts w:ascii="Verdana" w:hAnsi="Verdana"/>
        </w:rPr>
      </w:pPr>
      <w:r w:rsidRPr="005B5CB6">
        <w:rPr>
          <w:rFonts w:ascii="Verdana" w:eastAsia="Verdana" w:hAnsi="Verdana" w:cs="Verdana"/>
        </w:rPr>
        <w:t xml:space="preserv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We look forward to continuing to work with the Committee on this enquiry. </w:t>
      </w:r>
    </w:p>
    <w:p w:rsidR="00FB0B24" w:rsidRPr="005B5CB6" w:rsidP="001512F6">
      <w:pPr>
        <w:spacing w:after="159"/>
        <w:ind w:left="1"/>
        <w:jc w:val="both"/>
        <w:rPr>
          <w:rFonts w:ascii="Verdana" w:hAnsi="Verdana"/>
        </w:rPr>
      </w:pPr>
      <w:r w:rsidRPr="005B5CB6">
        <w:rPr>
          <w:rFonts w:ascii="Verdana" w:eastAsia="Verdana" w:hAnsi="Verdana" w:cs="Verdana"/>
        </w:rPr>
        <w:t xml:space="preserv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Yours sincerely </w:t>
      </w:r>
    </w:p>
    <w:p w:rsidR="00FB0B24" w:rsidRPr="005B5CB6" w:rsidP="001512F6">
      <w:pPr>
        <w:spacing w:after="159"/>
        <w:ind w:left="1"/>
        <w:jc w:val="both"/>
        <w:rPr>
          <w:rFonts w:ascii="Verdana" w:hAnsi="Verdana"/>
        </w:rPr>
      </w:pPr>
      <w:r w:rsidRPr="005B5CB6">
        <w:rPr>
          <w:rFonts w:ascii="Verdana" w:eastAsia="Verdana" w:hAnsi="Verdana" w:cs="Verdana"/>
        </w:rPr>
        <w:t xml:space="preserv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David Frank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Government Affairs Manager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Microsoft UK </w:t>
      </w:r>
    </w:p>
    <w:p w:rsidR="00FB0B24" w:rsidRPr="005B5CB6" w:rsidP="001512F6">
      <w:pPr>
        <w:jc w:val="both"/>
        <w:rPr>
          <w:rFonts w:ascii="Verdana" w:hAnsi="Verdana"/>
        </w:rPr>
        <w:sectPr w:rsidSect="00DE1165">
          <w:headerReference w:type="even" r:id="rId244"/>
          <w:headerReference w:type="default" r:id="rId245"/>
          <w:footerReference w:type="even" r:id="rId246"/>
          <w:footerReference w:type="default" r:id="rId247"/>
          <w:headerReference w:type="first" r:id="rId248"/>
          <w:footerReference w:type="first" r:id="rId249"/>
          <w:pgSz w:w="11906" w:h="16838"/>
          <w:pgMar w:top="1492" w:right="1453" w:bottom="1642" w:left="1440" w:header="720" w:footer="891" w:gutter="0"/>
          <w:cols w:space="720"/>
        </w:sectPr>
      </w:pPr>
    </w:p>
    <w:p w:rsidR="00FB0B24" w:rsidRPr="005B5CB6" w:rsidP="00A1624B">
      <w:pPr>
        <w:pStyle w:val="Heading1"/>
        <w:rPr>
          <w:sz w:val="22"/>
        </w:rPr>
      </w:pPr>
      <w:bookmarkStart w:id="44" w:name="_Toc44517732"/>
      <w:r w:rsidRPr="005B5CB6">
        <w:rPr>
          <w:sz w:val="22"/>
        </w:rPr>
        <w:t>Andrew Kemp – written evidence (DAD0052)</w:t>
      </w:r>
      <w:bookmarkEnd w:id="44"/>
      <w:r w:rsidRPr="005B5CB6">
        <w:rPr>
          <w:sz w:val="22"/>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231" w:hanging="8"/>
        <w:jc w:val="both"/>
        <w:rPr>
          <w:rFonts w:ascii="Verdana" w:hAnsi="Verdana"/>
        </w:rPr>
      </w:pPr>
      <w:r w:rsidRPr="005B5CB6">
        <w:rPr>
          <w:rFonts w:ascii="Verdana" w:eastAsia="Verdana" w:hAnsi="Verdana" w:cs="Verdana"/>
        </w:rPr>
        <w:t xml:space="preserve">I write on the issue of how representative democracy can be supported, rather than undermined, in a digital world, with particular reference to a petition ‘To establish a Public Inquiry into the conduct of the 2016 EU Referendum’, which this week passed the 100,000 mark, thus assuring parliamentary consideration.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petition was created by Colin Talbot and made the case that: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730" w:hanging="10"/>
        <w:jc w:val="both"/>
        <w:rPr>
          <w:rFonts w:ascii="Verdana" w:hAnsi="Verdana"/>
        </w:rPr>
      </w:pPr>
      <w:r w:rsidRPr="005B5CB6">
        <w:rPr>
          <w:rFonts w:ascii="Verdana" w:eastAsia="Verdana" w:hAnsi="Verdana" w:cs="Verdana"/>
          <w:i/>
        </w:rPr>
        <w:t>‘There is now strong evidence of serious misconduct during the 2016 EU Referendum, including interference by foreign actors and governments. This must be investigated under the Inquiries Act (2005)’</w:t>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Government responded on 24.04.19: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730" w:hanging="10"/>
        <w:jc w:val="both"/>
        <w:rPr>
          <w:rFonts w:ascii="Verdana" w:hAnsi="Verdana"/>
        </w:rPr>
      </w:pPr>
      <w:r w:rsidRPr="005B5CB6">
        <w:rPr>
          <w:rFonts w:ascii="Verdana" w:eastAsia="Verdana" w:hAnsi="Verdana" w:cs="Verdana"/>
          <w:i/>
        </w:rPr>
        <w:t xml:space="preserve">‘There are no plans to establish a public inquiry on the conduct during the 2016 EU Referendum’.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When the petition was originally launched in April the Government stated that it would not consider a public inquiry, justifying its decision with two assertions that are demonstrably untrue and which, in my opinion, are of particular relevance to committees’ call for evidence: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58"/>
        </w:numPr>
        <w:spacing w:after="5" w:line="250" w:lineRule="auto"/>
        <w:ind w:right="11" w:hanging="360"/>
        <w:jc w:val="both"/>
        <w:rPr>
          <w:rFonts w:ascii="Verdana" w:hAnsi="Verdana"/>
        </w:rPr>
      </w:pPr>
      <w:r w:rsidRPr="005B5CB6">
        <w:rPr>
          <w:rFonts w:ascii="Verdana" w:eastAsia="Verdana" w:hAnsi="Verdana" w:cs="Verdana"/>
        </w:rPr>
        <w:t xml:space="preserve">It has seen no evidence of successful interference in the UK democratic processes.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58"/>
        </w:numPr>
        <w:spacing w:after="5" w:line="250" w:lineRule="auto"/>
        <w:ind w:right="11" w:hanging="360"/>
        <w:jc w:val="both"/>
        <w:rPr>
          <w:rFonts w:ascii="Verdana" w:hAnsi="Verdana"/>
        </w:rPr>
      </w:pPr>
      <w:r w:rsidRPr="005B5CB6">
        <w:rPr>
          <w:rFonts w:ascii="Verdana" w:eastAsia="Verdana" w:hAnsi="Verdana" w:cs="Verdana"/>
        </w:rPr>
        <w:t xml:space="preserve">Pro-Remain groups outspent pro-Leave groups by £4 million in the referendum campaign.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I hope that the committee will consider the following: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61" w:hanging="360"/>
        <w:jc w:val="both"/>
        <w:rPr>
          <w:rFonts w:ascii="Verdana" w:hAnsi="Verdana"/>
        </w:rPr>
      </w:pPr>
      <w:r w:rsidRPr="005B5CB6">
        <w:rPr>
          <w:rFonts w:ascii="Verdana" w:eastAsia="Verdana" w:hAnsi="Verdana" w:cs="Verdana"/>
          <w:b/>
        </w:rPr>
        <w:t>1.</w:t>
      </w:r>
      <w:r w:rsidRPr="005B5CB6">
        <w:rPr>
          <w:rFonts w:ascii="Verdana" w:eastAsia="Arial" w:hAnsi="Verdana" w:cs="Arial"/>
          <w:b/>
        </w:rPr>
        <w:t xml:space="preserve"> </w:t>
      </w:r>
      <w:r w:rsidRPr="005B5CB6">
        <w:rPr>
          <w:rFonts w:ascii="Verdana" w:eastAsia="Verdana" w:hAnsi="Verdana" w:cs="Verdana"/>
          <w:b/>
        </w:rPr>
        <w:t xml:space="preserve">There is evidence of successful interference in the UK democratic purpose </w:t>
      </w:r>
    </w:p>
    <w:p w:rsidR="00FB0B24" w:rsidRPr="005B5CB6" w:rsidP="001512F6">
      <w:pPr>
        <w:spacing w:after="0"/>
        <w:ind w:left="36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Despite the Government’s assertion that there is no such evidence, on 18 February 2019, the Commons Select Committee on Culture, Media and Sport published a report into Disinformation and 'Fake News', in which it stated that the Government:</w:t>
      </w:r>
      <w:r w:rsidRPr="005B5CB6">
        <w:rPr>
          <w:rFonts w:ascii="Verdana" w:eastAsia="Verdana" w:hAnsi="Verdana" w:cs="Verdana"/>
          <w:b/>
        </w:rPr>
        <w:t xml:space="preserve"> </w:t>
      </w:r>
    </w:p>
    <w:p w:rsidR="00FB0B24" w:rsidRPr="005B5CB6" w:rsidP="001512F6">
      <w:pPr>
        <w:spacing w:after="0"/>
        <w:ind w:left="360"/>
        <w:jc w:val="both"/>
        <w:rPr>
          <w:rFonts w:ascii="Verdana" w:hAnsi="Verdana"/>
        </w:rPr>
      </w:pPr>
      <w:r w:rsidRPr="005B5CB6">
        <w:rPr>
          <w:rFonts w:ascii="Verdana" w:eastAsia="Verdana" w:hAnsi="Verdana" w:cs="Verdana"/>
          <w:b/>
        </w:rPr>
        <w:t xml:space="preserve"> </w:t>
      </w:r>
    </w:p>
    <w:p w:rsidR="00FB0B24" w:rsidRPr="005B5CB6" w:rsidP="001512F6">
      <w:pPr>
        <w:spacing w:after="5" w:line="249" w:lineRule="auto"/>
        <w:ind w:left="730" w:hanging="10"/>
        <w:jc w:val="both"/>
        <w:rPr>
          <w:rFonts w:ascii="Verdana" w:hAnsi="Verdana"/>
        </w:rPr>
      </w:pPr>
      <w:r w:rsidRPr="005B5CB6">
        <w:rPr>
          <w:rFonts w:ascii="Verdana" w:eastAsia="Verdana" w:hAnsi="Verdana" w:cs="Verdana"/>
          <w:i/>
        </w:rPr>
        <w:t>‘cannot state definitively that there was “no evidence of successful interference” in our democratic processes, as the term “successful” is impossible to define in retrospect. There is, however, strong evidence that points to hostile state actors influencing democratic processes. Cardiff University and the Digital Forensics Lab of the Atlantic Council have both detailed ways in which the Kremlin attempted to influence attitudes in UK politics.’</w:t>
      </w:r>
      <w:r w:rsidRPr="005B5CB6">
        <w:rPr>
          <w:rFonts w:ascii="Verdana" w:eastAsia="Verdana" w:hAnsi="Verdana" w:cs="Verdana"/>
          <w:b/>
          <w:i/>
        </w:rPr>
        <w:t xml:space="preserve"> </w:t>
      </w:r>
    </w:p>
    <w:p w:rsidR="00FB0B24" w:rsidRPr="005B5CB6" w:rsidP="001512F6">
      <w:pPr>
        <w:spacing w:after="0"/>
        <w:ind w:left="360"/>
        <w:jc w:val="both"/>
        <w:rPr>
          <w:rFonts w:ascii="Verdana" w:hAnsi="Verdana"/>
        </w:rPr>
      </w:pPr>
      <w:r w:rsidRPr="005B5CB6">
        <w:rPr>
          <w:rFonts w:ascii="Verdana" w:eastAsia="Verdana" w:hAnsi="Verdana" w:cs="Verdana"/>
          <w:b/>
          <w:i/>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Indeed, in a speech at the Lord Mayor’s Banquet on 13th November 2017, the Prime Minister herself accused Russia of meddling in elections and planting fake news, in an attempt to ‘</w:t>
      </w:r>
      <w:r w:rsidRPr="005B5CB6">
        <w:rPr>
          <w:rFonts w:ascii="Verdana" w:eastAsia="Verdana" w:hAnsi="Verdana" w:cs="Verdana"/>
          <w:i/>
        </w:rPr>
        <w:t>weaponise information</w:t>
      </w:r>
      <w:r w:rsidRPr="005B5CB6">
        <w:rPr>
          <w:rFonts w:ascii="Verdana" w:eastAsia="Verdana" w:hAnsi="Verdana" w:cs="Verdana"/>
        </w:rPr>
        <w:t xml:space="preserve">’ and sow discord in the West.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 xml:space="preserve">The aforementioned report also described how Kremlin-aligned media published significant numbers of unique articles about the EU referendum. The report highlighted how researchers from the campaigning organisation, 89 Up, analysed the most shared of the articles and identified 261 with a clear anti-EU bias. The two main outlets were Russia Today (RT), and Sputnik, with video produced by Ruptly.271, a video news agency owned by RT. The articles that went most viral had the heaviest anti-EU bias. The social reach of these anti-EU articles published by the Kremlin-owned channels was a staggering 134 million potential impressions, in comparison with a total reach of just 33 million and 11 million potential impressions for all content shared from the Vote Leave and Leave.EU websites respectively. The value for a comparable paid social media campaign would be between £1.4 and 4.14 million.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Data released by Twitter last year revealed too that, on the day of the Brexit vote (23.06.15, an ‘</w:t>
      </w:r>
      <w:r w:rsidRPr="005B5CB6">
        <w:rPr>
          <w:rFonts w:ascii="Verdana" w:eastAsia="Verdana" w:hAnsi="Verdana" w:cs="Verdana"/>
          <w:i/>
        </w:rPr>
        <w:t>army’</w:t>
      </w:r>
      <w:r w:rsidRPr="005B5CB6">
        <w:rPr>
          <w:rFonts w:ascii="Verdana" w:eastAsia="Verdana" w:hAnsi="Verdana" w:cs="Verdana"/>
        </w:rPr>
        <w:t xml:space="preserve"> of Russian trolls sent thousands of messages with the hashtag </w:t>
      </w:r>
      <w:r w:rsidRPr="005B5CB6">
        <w:rPr>
          <w:rFonts w:ascii="Verdana" w:eastAsia="Verdana" w:hAnsi="Verdana" w:cs="Verdana"/>
          <w:i/>
        </w:rPr>
        <w:t>#ReasonsToLeaveEU</w:t>
      </w:r>
      <w:r w:rsidRPr="005B5CB6">
        <w:rPr>
          <w:rFonts w:ascii="Verdana" w:eastAsia="Verdana" w:hAnsi="Verdana" w:cs="Verdana"/>
        </w:rPr>
        <w:t xml:space="preserve">. At one stage 3,800 fake accounts tweeted out 1,102 posts with the hashtag. In total, data from Twitter showed Russian and Iranian internet trolls sent more than 10 million tweets around the time of the referendum in an effort to spread disinformation. </w:t>
      </w:r>
    </w:p>
    <w:p w:rsidR="00FB0B24" w:rsidRPr="005B5CB6" w:rsidP="001512F6">
      <w:pPr>
        <w:spacing w:after="0"/>
        <w:ind w:left="360"/>
        <w:jc w:val="both"/>
        <w:rPr>
          <w:rFonts w:ascii="Verdana" w:hAnsi="Verdana"/>
        </w:rPr>
      </w:pPr>
      <w:r w:rsidRPr="005B5CB6">
        <w:rPr>
          <w:rFonts w:ascii="Verdana" w:eastAsia="Verdana" w:hAnsi="Verdana" w:cs="Verdana"/>
          <w:i/>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 xml:space="preserve">The Commons Select Committee report also refers to Facebook’s removal on 17 January 2019 of 289 pages and 75 accounts from its site, accounts that had about 790,000 followers and had spent around $135,000 on ads between October 2013 and January 2019. These sites had been run by employees at the Russian state-owned news agency Sputnik, who represented themselves as independent news or general interest pages. Around 190 events were hosted by these pages (the first was scheduled for August 2015 and the most recent was scheduled for January 2019). </w:t>
      </w:r>
    </w:p>
    <w:p w:rsidR="00FB0B24" w:rsidRPr="005B5CB6" w:rsidP="001512F6">
      <w:pPr>
        <w:spacing w:after="0"/>
        <w:ind w:left="361"/>
        <w:jc w:val="both"/>
        <w:rPr>
          <w:rFonts w:ascii="Verdana" w:hAnsi="Verdana"/>
        </w:rPr>
      </w:pPr>
      <w:r w:rsidRPr="005B5CB6">
        <w:rPr>
          <w:rFonts w:ascii="Verdana" w:eastAsia="Verdana" w:hAnsi="Verdana" w:cs="Verdana"/>
          <w:i/>
        </w:rPr>
        <w:t xml:space="preserve"> </w:t>
      </w:r>
    </w:p>
    <w:p w:rsidR="00FB0B24" w:rsidRPr="005B5CB6" w:rsidP="001512F6">
      <w:pPr>
        <w:spacing w:after="5" w:line="250" w:lineRule="auto"/>
        <w:ind w:left="369" w:right="11" w:hanging="8"/>
        <w:jc w:val="both"/>
        <w:rPr>
          <w:rFonts w:ascii="Verdana" w:hAnsi="Verdana"/>
        </w:rPr>
      </w:pPr>
      <w:r w:rsidRPr="005B5CB6">
        <w:rPr>
          <w:rFonts w:ascii="Verdana" w:eastAsia="Verdana" w:hAnsi="Verdana" w:cs="Verdana"/>
        </w:rPr>
        <w:t xml:space="preserve">Nathaniel Gleicher, Facebook’s head of cybersecurity policy, wrote: </w:t>
      </w:r>
    </w:p>
    <w:p w:rsidR="00FB0B24" w:rsidRPr="005B5CB6" w:rsidP="001512F6">
      <w:pPr>
        <w:spacing w:after="0"/>
        <w:ind w:left="361"/>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730" w:hanging="10"/>
        <w:jc w:val="both"/>
        <w:rPr>
          <w:rFonts w:ascii="Verdana" w:hAnsi="Verdana"/>
        </w:rPr>
      </w:pPr>
      <w:r w:rsidRPr="005B5CB6">
        <w:rPr>
          <w:rFonts w:ascii="Verdana" w:eastAsia="Verdana" w:hAnsi="Verdana" w:cs="Verdana"/>
          <w:i/>
        </w:rPr>
        <w:t xml:space="preserve">“Despite their misrepresentations of their identities, we found that these pages and accounts were linked to employees of Sputnik, a news agency based in Moscow, and that some of the pages frequently posted about topics like anti-NATO sentiment, protest movements, and anti-corruption.”  </w:t>
      </w:r>
    </w:p>
    <w:p w:rsidR="00FB0B24" w:rsidRPr="005B5CB6" w:rsidP="001512F6">
      <w:pPr>
        <w:spacing w:after="0"/>
        <w:ind w:left="721"/>
        <w:jc w:val="both"/>
        <w:rPr>
          <w:rFonts w:ascii="Verdana" w:hAnsi="Verdana"/>
        </w:rPr>
      </w:pPr>
      <w:r w:rsidRPr="005B5CB6">
        <w:rPr>
          <w:rFonts w:ascii="Verdana" w:eastAsia="Verdana" w:hAnsi="Verdana" w:cs="Verdana"/>
          <w:i/>
        </w:rPr>
        <w:t xml:space="preserve"> </w:t>
      </w:r>
    </w:p>
    <w:p w:rsidR="00FB0B24" w:rsidRPr="005B5CB6" w:rsidP="001512F6">
      <w:pPr>
        <w:spacing w:after="5" w:line="250" w:lineRule="auto"/>
        <w:ind w:left="369" w:right="11" w:hanging="8"/>
        <w:jc w:val="both"/>
        <w:rPr>
          <w:rFonts w:ascii="Verdana" w:hAnsi="Verdana"/>
        </w:rPr>
      </w:pPr>
      <w:r w:rsidRPr="005B5CB6">
        <w:rPr>
          <w:rFonts w:ascii="Verdana" w:eastAsia="Verdana" w:hAnsi="Verdana" w:cs="Verdana"/>
        </w:rPr>
        <w:t xml:space="preserve">Facebook also removed 107 pages, groups and accounts that were designed to look as if they were run from Ukraine but were part of a network that originated in Russia. </w:t>
      </w:r>
    </w:p>
    <w:p w:rsidR="00FB0B24" w:rsidRPr="005B5CB6" w:rsidP="001512F6">
      <w:pPr>
        <w:spacing w:after="0"/>
        <w:ind w:left="361"/>
        <w:jc w:val="both"/>
        <w:rPr>
          <w:rFonts w:ascii="Verdana" w:hAnsi="Verdana"/>
        </w:rPr>
      </w:pPr>
      <w:r w:rsidRPr="005B5CB6">
        <w:rPr>
          <w:rFonts w:ascii="Verdana" w:eastAsia="Verdana" w:hAnsi="Verdana" w:cs="Verdana"/>
          <w:i/>
        </w:rPr>
        <w:t xml:space="preserve"> </w:t>
      </w:r>
    </w:p>
    <w:p w:rsidR="00FB0B24" w:rsidRPr="005B5CB6" w:rsidP="001512F6">
      <w:pPr>
        <w:spacing w:after="5" w:line="250" w:lineRule="auto"/>
        <w:ind w:left="369" w:right="11" w:hanging="8"/>
        <w:jc w:val="both"/>
        <w:rPr>
          <w:rFonts w:ascii="Verdana" w:hAnsi="Verdana"/>
        </w:rPr>
      </w:pPr>
      <w:r w:rsidRPr="005B5CB6">
        <w:rPr>
          <w:rFonts w:ascii="Verdana" w:eastAsia="Verdana" w:hAnsi="Verdana" w:cs="Verdana"/>
        </w:rPr>
        <w:t xml:space="preserve">Ben Nimmo, from the Digital Forensics Lab of the Atlantic Council, has detailed attempts to influence attitudes to the Scottish Referendum, for instance, which included a Russian election observer calling the referendum not in line with international standards, and Twitter accounts calling into question its </w:t>
      </w:r>
      <w:r w:rsidRPr="005B5CB6">
        <w:rPr>
          <w:rFonts w:ascii="Verdana" w:eastAsia="Verdana" w:hAnsi="Verdana" w:cs="Verdana"/>
        </w:rPr>
        <w:t>legitimacy. The behaviour of these accounts, Mr Nimmo argued, is pro-Kremlin, and consistent with the behaviour of accounts known to be run by the so-called “</w:t>
      </w:r>
      <w:r w:rsidRPr="005B5CB6">
        <w:rPr>
          <w:rFonts w:ascii="Verdana" w:eastAsia="Verdana" w:hAnsi="Verdana" w:cs="Verdana"/>
          <w:i/>
        </w:rPr>
        <w:t>troll factory</w:t>
      </w:r>
      <w:r w:rsidRPr="005B5CB6">
        <w:rPr>
          <w:rFonts w:ascii="Verdana" w:eastAsia="Verdana" w:hAnsi="Verdana" w:cs="Verdana"/>
        </w:rPr>
        <w:t xml:space="preserve">” in St. Petersburg, Russia, during the United States 2016 presidential election and beyond.  </w:t>
      </w:r>
    </w:p>
    <w:p w:rsidR="00FB0B24" w:rsidRPr="005B5CB6" w:rsidP="001512F6">
      <w:pPr>
        <w:spacing w:after="0"/>
        <w:ind w:left="360"/>
        <w:jc w:val="both"/>
        <w:rPr>
          <w:rFonts w:ascii="Verdana" w:hAnsi="Verdana"/>
        </w:rPr>
      </w:pPr>
      <w:r w:rsidRPr="005B5CB6">
        <w:rPr>
          <w:rFonts w:ascii="Verdana" w:eastAsia="Verdana" w:hAnsi="Verdana" w:cs="Verdana"/>
          <w:i/>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 xml:space="preserve">As the Secretary of State has said, Russia also used malign digital influence campaigns to undermine the Government’s communication of evidence in the aftermath of the poisoning of the Skripals. Research by the Centre for Research and Evidence on Security Threats at Cardiff University showed how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w:t>
      </w:r>
      <w:r w:rsidRPr="005B5CB6">
        <w:rPr>
          <w:rFonts w:ascii="Verdana" w:eastAsia="Verdana" w:hAnsi="Verdana" w:cs="Verdana"/>
          <w:i/>
        </w:rPr>
        <w:t>sock puppet</w:t>
      </w:r>
      <w:r w:rsidRPr="005B5CB6">
        <w:rPr>
          <w:rFonts w:ascii="Verdana" w:eastAsia="Verdana" w:hAnsi="Verdana" w:cs="Verdana"/>
        </w:rPr>
        <w:t xml:space="preserve">’ Twitter accounts, controlled by the St Petersburg-based ‘Internet Research Agency’, tried to fuel social divisions, including religious tensions, in the aftermath of the Westminster, Manchester, London Bridge and Finsbury Park terror attacks. Furthermore, the methods through which malign influence can be deployed are also constantly being expanded. While Twitter has been responsive in shutting down abusive and fake accounts,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 xml:space="preserve">Facebook remains reluctant to do so. Research by the Institute for Strategic Dialogue and the LSE Arena Program into the German 2017 elections discovered Facebook Groups created by unverifiable administrators, directing Russian state-backed media during the election period, with regularity, across social media. </w:t>
      </w:r>
    </w:p>
    <w:p w:rsidR="00FB0B24" w:rsidRPr="005B5CB6" w:rsidP="001512F6">
      <w:pPr>
        <w:spacing w:after="0"/>
        <w:ind w:left="360"/>
        <w:jc w:val="both"/>
        <w:rPr>
          <w:rFonts w:ascii="Verdana" w:hAnsi="Verdana"/>
        </w:rPr>
      </w:pPr>
      <w:r w:rsidRPr="005B5CB6">
        <w:rPr>
          <w:rFonts w:ascii="Verdana" w:eastAsia="Verdana" w:hAnsi="Verdana" w:cs="Verdana"/>
          <w:i/>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 xml:space="preserve">The Government has been very ready to accept the evidence of Russian activity in the Skripal case, an acceptance justified by the evidence. However, it is reluctant to accept evidence of interference in the 2016 Referendum in the UK. If the Government wishes the public to treat its statements on these important matters of national security and democracy seriously, it must report the position impartially, uninfluenced by the political implications of any such report. </w:t>
      </w:r>
    </w:p>
    <w:p w:rsidR="00FB0B24" w:rsidRPr="005B5CB6" w:rsidP="001512F6">
      <w:pPr>
        <w:spacing w:after="0"/>
        <w:ind w:left="360"/>
        <w:jc w:val="both"/>
        <w:rPr>
          <w:rFonts w:ascii="Verdana" w:hAnsi="Verdana"/>
        </w:rPr>
      </w:pPr>
      <w:r w:rsidRPr="005B5CB6">
        <w:rPr>
          <w:rFonts w:ascii="Verdana" w:eastAsia="Verdana" w:hAnsi="Verdana" w:cs="Verdana"/>
          <w:i/>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 xml:space="preserve">As the Government’s own Commons Select Committee on Culture, Media and Sport states, in common with other countries, the UK is clearly vulnerable to covert digital influence campaigns and the Government should be conducting analysis to understand the extent of the targeting of voters by foreign players during past elections. It asks the Government whether current legislation to protect the electoral process from malign influence is sufficient arguing that legislation should be in line with the latest technological developments and should be explicit on the illegal influencing of the democratic process by foreign players, urging the  Government to look into this issue and to respond in its White Paper.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61" w:hanging="360"/>
        <w:jc w:val="both"/>
        <w:rPr>
          <w:rFonts w:ascii="Verdana" w:hAnsi="Verdana"/>
        </w:rPr>
      </w:pPr>
      <w:r w:rsidRPr="005B5CB6">
        <w:rPr>
          <w:rFonts w:ascii="Verdana" w:eastAsia="Verdana" w:hAnsi="Verdana" w:cs="Verdana"/>
          <w:b/>
        </w:rPr>
        <w:t>2.</w:t>
      </w:r>
      <w:r w:rsidRPr="005B5CB6">
        <w:rPr>
          <w:rFonts w:ascii="Verdana" w:eastAsia="Arial" w:hAnsi="Verdana" w:cs="Arial"/>
          <w:b/>
        </w:rPr>
        <w:t xml:space="preserve"> </w:t>
      </w:r>
      <w:r w:rsidRPr="005B5CB6">
        <w:rPr>
          <w:rFonts w:ascii="Verdana" w:eastAsia="Verdana" w:hAnsi="Verdana" w:cs="Verdana"/>
          <w:b/>
        </w:rPr>
        <w:t xml:space="preserve">The Government’s assertion that Pro-Remain groups outspent proLeave groups by £4 million in the referendum campaign is incorrect. </w:t>
      </w:r>
    </w:p>
    <w:p w:rsidR="00FB0B24" w:rsidRPr="005B5CB6" w:rsidP="001512F6">
      <w:pPr>
        <w:spacing w:after="0"/>
        <w:ind w:left="36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The Electoral Commission reports that one hundred and twenty-three organisations and individuals registered as campaigners at the EU referendum, spending the following amounts:</w:t>
      </w:r>
      <w:r w:rsidRPr="005B5CB6">
        <w:rPr>
          <w:rFonts w:ascii="Verdana" w:eastAsia="Verdana" w:hAnsi="Verdana" w:cs="Verdana"/>
          <w:b/>
        </w:rPr>
        <w:t xml:space="preserve"> </w:t>
      </w:r>
    </w:p>
    <w:p w:rsidR="00FB0B24" w:rsidRPr="005B5CB6" w:rsidP="001512F6">
      <w:pPr>
        <w:spacing w:after="0"/>
        <w:ind w:left="360"/>
        <w:jc w:val="both"/>
        <w:rPr>
          <w:rFonts w:ascii="Verdana" w:hAnsi="Verdana"/>
        </w:rPr>
      </w:pPr>
      <w:r w:rsidRPr="005B5CB6">
        <w:rPr>
          <w:rFonts w:ascii="Verdana" w:eastAsia="Verdana" w:hAnsi="Verdana" w:cs="Verdana"/>
          <w:b/>
        </w:rPr>
        <w:t xml:space="preserve"> </w:t>
      </w:r>
    </w:p>
    <w:p w:rsidR="00FB0B24" w:rsidRPr="005B5CB6" w:rsidP="001512F6">
      <w:pPr>
        <w:tabs>
          <w:tab w:val="center" w:pos="825"/>
          <w:tab w:val="center" w:pos="2870"/>
        </w:tabs>
        <w:spacing w:after="5" w:line="250" w:lineRule="auto"/>
        <w:jc w:val="both"/>
        <w:rPr>
          <w:rFonts w:ascii="Verdana" w:hAnsi="Verdana"/>
        </w:rPr>
      </w:pPr>
      <w:r w:rsidRPr="005B5CB6">
        <w:rPr>
          <w:rFonts w:ascii="Verdana" w:hAnsi="Verdana"/>
        </w:rPr>
        <w:tab/>
      </w:r>
      <w:r w:rsidRPr="005B5CB6">
        <w:rPr>
          <w:rFonts w:ascii="Verdana" w:eastAsia="Verdana" w:hAnsi="Verdana" w:cs="Verdana"/>
        </w:rPr>
        <w:t xml:space="preserve">Remain:   </w:t>
      </w:r>
      <w:r w:rsidRPr="005B5CB6">
        <w:rPr>
          <w:rFonts w:ascii="Verdana" w:eastAsia="Verdana" w:hAnsi="Verdana" w:cs="Verdana"/>
        </w:rPr>
        <w:tab/>
        <w:t xml:space="preserve">£19,309,588 </w:t>
      </w:r>
    </w:p>
    <w:p w:rsidR="00FB0B24" w:rsidRPr="005B5CB6" w:rsidP="001512F6">
      <w:pPr>
        <w:tabs>
          <w:tab w:val="center" w:pos="734"/>
          <w:tab w:val="center" w:pos="2870"/>
        </w:tabs>
        <w:spacing w:after="5" w:line="250" w:lineRule="auto"/>
        <w:jc w:val="both"/>
        <w:rPr>
          <w:rFonts w:ascii="Verdana" w:hAnsi="Verdana"/>
        </w:rPr>
      </w:pPr>
      <w:r w:rsidRPr="005B5CB6">
        <w:rPr>
          <w:rFonts w:ascii="Verdana" w:hAnsi="Verdana"/>
        </w:rPr>
        <w:tab/>
      </w:r>
      <w:r w:rsidRPr="005B5CB6">
        <w:rPr>
          <w:rFonts w:ascii="Verdana" w:eastAsia="Verdana" w:hAnsi="Verdana" w:cs="Verdana"/>
        </w:rPr>
        <w:t xml:space="preserve">Leave:   </w:t>
      </w:r>
      <w:r w:rsidRPr="005B5CB6">
        <w:rPr>
          <w:rFonts w:ascii="Verdana" w:eastAsia="Verdana" w:hAnsi="Verdana" w:cs="Verdana"/>
        </w:rPr>
        <w:tab/>
        <w:t xml:space="preserve">£13,332,569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Although no doubt accurate, reliance on these Electoral Commission figures alone does not present an accurate picture of actual spending and its influence on the results of the EU Referendum.  As referred to earlier, the then Prime Minister, Theresa May, accused Russia of meddling in elections and planting fake news in an attempt to ‘</w:t>
      </w:r>
      <w:r w:rsidRPr="005B5CB6">
        <w:rPr>
          <w:rFonts w:ascii="Verdana" w:eastAsia="Verdana" w:hAnsi="Verdana" w:cs="Verdana"/>
          <w:i/>
        </w:rPr>
        <w:t>weaponise information</w:t>
      </w:r>
      <w:r w:rsidRPr="005B5CB6">
        <w:rPr>
          <w:rFonts w:ascii="Verdana" w:eastAsia="Verdana" w:hAnsi="Verdana" w:cs="Verdana"/>
        </w:rPr>
        <w:t xml:space="preserve">’ and sow discord in the West, but the Government ignored this influence in its response.  The social reach of the anti-EU articles referred to earlier, for example, represented a comparable paid social media campaign of up to £4.14 million.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 xml:space="preserve">Furthermore, the Government’s reliance on the figures published by the Electoral Commission alone ignores Facebook spending. We have no idea who saw what ads, what impact they had, what data was used to target people, who placed the ads, how much money was spent, or even what nationality they were. We do know, however, that Facebook illicitly harvested the profiles of 87 million people from its platform and that these were up for sale. As the Commons Select Committee has reported, for example, an organisation called Mainstream spent around £257,000 pushing a pro-Brexit advertising campaign on Facebook in 2018. Nobody knows who runs the page or where the money comes from and there are numerous examples of similarly anonymous entities that were active during the referendum campaign.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 xml:space="preserve">We still don’t know the origins of much of the money spent by the leave campaigns. For example, we have no idea who provided the £435,000 channelled through Scotland into Northern Ireland through the coffers of the Democratic Unionist party and back into Scotland and England, to pay for pro-Brexit ads. Nor do we know the original source of the £8m that Arron Banks delivered to the Leave.EU campaign. We do know that both of the main leave campaigns have been fined for illegal activities, and that the conduct of the referendum has damaged many people’s faith in the political system.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 xml:space="preserve">To conclude, for the Government to assert that there is no evidence of successful interference in the UK democratic purpose, and to rely only on Electoral Commission figures on campaign spending, is disingenuous. As the petition stated, there is now strong evidence of serious misconduct during the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 xml:space="preserve">2016 EU Referendum, including interference by foreign actors and governments, and this must be investigated under the Inquiries Act (2005).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 xml:space="preserve">Irrespective of whether one voted to remain or leave, the Government’s response to the petition simply flies in the face of publicly available evidence and, just as with the conduct of the referendum, it further damages many people’s faith in the political system. I hope that this information will support the committees’ consideration of how representative democracy can be supported, rather than undermined, as this submission demonstrates was the case in the run up to the referendum. </w:t>
      </w:r>
    </w:p>
    <w:p w:rsidR="00FB0B24" w:rsidRPr="005B5CB6" w:rsidP="001512F6">
      <w:pPr>
        <w:jc w:val="both"/>
        <w:rPr>
          <w:rFonts w:ascii="Verdana" w:hAnsi="Verdana"/>
        </w:rPr>
        <w:sectPr w:rsidSect="00DE1165">
          <w:headerReference w:type="even" r:id="rId250"/>
          <w:headerReference w:type="default" r:id="rId251"/>
          <w:footerReference w:type="even" r:id="rId252"/>
          <w:footerReference w:type="default" r:id="rId253"/>
          <w:headerReference w:type="first" r:id="rId254"/>
          <w:footerReference w:type="first" r:id="rId255"/>
          <w:pgSz w:w="11906" w:h="16838"/>
          <w:pgMar w:top="1492" w:right="1440" w:bottom="1493" w:left="1440" w:header="720" w:footer="710" w:gutter="0"/>
          <w:cols w:space="720"/>
        </w:sectPr>
      </w:pPr>
    </w:p>
    <w:p w:rsidR="00FB0B24" w:rsidRPr="005B5CB6" w:rsidP="00A1624B">
      <w:pPr>
        <w:pStyle w:val="Heading1"/>
        <w:rPr>
          <w:sz w:val="22"/>
        </w:rPr>
      </w:pPr>
      <w:bookmarkStart w:id="45" w:name="_Toc44517733"/>
      <w:r w:rsidRPr="005B5CB6">
        <w:rPr>
          <w:sz w:val="22"/>
        </w:rPr>
        <w:t>Professor Peter Hopkins – written evidence (DAD0053)</w:t>
      </w:r>
      <w:bookmarkEnd w:id="45"/>
      <w:r w:rsidRPr="005B5CB6">
        <w:rPr>
          <w:sz w:val="22"/>
        </w:rPr>
        <w:t xml:space="preserve"> </w:t>
      </w:r>
    </w:p>
    <w:p w:rsidR="00FB0B24" w:rsidRPr="005B5CB6" w:rsidP="00FB7D1D">
      <w:pPr>
        <w:spacing w:after="0"/>
        <w:jc w:val="both"/>
        <w:rPr>
          <w:rFonts w:ascii="Verdana" w:hAnsi="Verdana"/>
        </w:rPr>
      </w:pPr>
      <w:r w:rsidRPr="005B5CB6">
        <w:rPr>
          <w:rFonts w:ascii="Verdana" w:eastAsia="Verdana" w:hAnsi="Verdana" w:cs="Verdana"/>
        </w:rPr>
        <w:t xml:space="preserve"> </w:t>
      </w:r>
    </w:p>
    <w:p w:rsidR="00FB0B24" w:rsidRPr="005B5CB6" w:rsidP="00FB7D1D">
      <w:pPr>
        <w:spacing w:after="5" w:line="249" w:lineRule="auto"/>
        <w:ind w:left="10" w:right="12" w:hanging="9"/>
        <w:jc w:val="both"/>
        <w:rPr>
          <w:rFonts w:ascii="Verdana" w:hAnsi="Verdana"/>
        </w:rPr>
      </w:pPr>
      <w:r w:rsidRPr="005B5CB6">
        <w:rPr>
          <w:rFonts w:ascii="Verdana" w:eastAsia="Verdana" w:hAnsi="Verdana" w:cs="Verdana"/>
        </w:rPr>
        <w:t>Professor Peter Hopkins, School of Geography, Politics and Sociology, Newcastle University, in collaboration with Dr Katherine Botterill and Dr Gurchathen Sanghera</w:t>
      </w:r>
      <w:r w:rsidRPr="005B5CB6">
        <w:rPr>
          <w:rFonts w:ascii="Verdana" w:eastAsia="Verdana" w:hAnsi="Verdana" w:cs="Verdana"/>
          <w:color w:val="0563C1"/>
        </w:rPr>
        <w:t xml:space="preserve"> </w:t>
      </w:r>
    </w:p>
    <w:p w:rsidR="00FB0B24" w:rsidRPr="005B5CB6" w:rsidP="00FB7D1D">
      <w:pPr>
        <w:spacing w:after="0"/>
        <w:jc w:val="both"/>
        <w:rPr>
          <w:rFonts w:ascii="Verdana" w:hAnsi="Verdana"/>
        </w:rPr>
      </w:pPr>
      <w:r w:rsidRPr="005B5CB6">
        <w:rPr>
          <w:rFonts w:ascii="Verdana" w:eastAsia="Verdana" w:hAnsi="Verdana" w:cs="Verdana"/>
        </w:rPr>
        <w:t xml:space="preserve"> </w:t>
      </w:r>
    </w:p>
    <w:p w:rsidR="00FB0B24" w:rsidRPr="005B5CB6" w:rsidP="00FB7D1D">
      <w:pPr>
        <w:spacing w:after="5" w:line="249" w:lineRule="auto"/>
        <w:ind w:left="10" w:right="12" w:hanging="9"/>
        <w:jc w:val="both"/>
        <w:rPr>
          <w:rFonts w:ascii="Verdana" w:hAnsi="Verdana"/>
        </w:rPr>
      </w:pPr>
      <w:r w:rsidRPr="005B5CB6">
        <w:rPr>
          <w:rFonts w:ascii="Verdana" w:eastAsia="Verdana" w:hAnsi="Verdana" w:cs="Verdana"/>
          <w:b/>
        </w:rPr>
        <w:t xml:space="preserve">Background to submission - </w:t>
      </w:r>
      <w:r w:rsidRPr="005B5CB6">
        <w:rPr>
          <w:rFonts w:ascii="Verdana" w:eastAsia="Verdana" w:hAnsi="Verdana" w:cs="Verdana"/>
        </w:rPr>
        <w:t xml:space="preserve">our comments here draw upon our Arts and Humanities Research Council project about the everyday experiences of Muslim and non-Muslim young people growing up in urban, suburban and rural Scotland. Overall this project worked with 382 young people from diverse ethnic, religious and cultural backgrounds including Muslim young, other South Asian youth (such as Sikhs, Hindus and non-religious South Asians), asylum seekers and refugees, international students, Central and Eastern European migrants and white Scottish youth. Most lived in Scotland’s main cities, but some were from Dumfries, Fife and Inverness. Some of our findings point to the role and influence of digital technologies in the lives of ethnic and religious minority young people and we draw upon this work to inform this submission. Our final report is available </w:t>
      </w:r>
      <w:r>
        <w:fldChar w:fldCharType="begin"/>
      </w:r>
      <w:r>
        <w:instrText xml:space="preserve"> HYPERLINK "https://research.ncl.ac.uk/youngpeople/publicationsandoutputs/finalreport/Faith,%20Ethnicity,%20Place%20final%20report.pdf" </w:instrText>
      </w:r>
      <w:r>
        <w:fldChar w:fldCharType="separate"/>
      </w:r>
      <w:r w:rsidRPr="005B5CB6">
        <w:rPr>
          <w:rFonts w:ascii="Verdana" w:eastAsia="Verdana" w:hAnsi="Verdana" w:cs="Verdana"/>
          <w:color w:val="0563C1"/>
          <w:u w:val="single" w:color="0563C1"/>
        </w:rPr>
        <w:t>here</w:t>
      </w:r>
      <w:r>
        <w:fldChar w:fldCharType="end"/>
      </w:r>
      <w:r>
        <w:fldChar w:fldCharType="begin"/>
      </w:r>
      <w:r>
        <w:instrText xml:space="preserve"> HYPERLINK "https://research.ncl.ac.uk/youngpeople/publicationsandoutputs/finalreport/Faith,%20Ethnicity,%20Place%20final%20report.pdf"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FB7D1D">
      <w:pPr>
        <w:spacing w:after="0"/>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23" w:right="11" w:hanging="8"/>
        <w:jc w:val="both"/>
        <w:rPr>
          <w:rFonts w:ascii="Verdana" w:hAnsi="Verdana"/>
        </w:rPr>
      </w:pPr>
      <w:r w:rsidRPr="005B5CB6">
        <w:rPr>
          <w:rFonts w:ascii="Verdana" w:eastAsia="Verdana" w:hAnsi="Verdana" w:cs="Verdana"/>
        </w:rPr>
        <w:t xml:space="preserve">In response to the questions identified by the Committee, we respond in particular to questions 1, 3 and 8 below </w:t>
      </w:r>
    </w:p>
    <w:p w:rsidR="00FB0B24" w:rsidRPr="005B5CB6" w:rsidP="00FB7D1D">
      <w:pPr>
        <w:spacing w:after="0"/>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11" w:hanging="10"/>
        <w:jc w:val="both"/>
        <w:rPr>
          <w:rFonts w:ascii="Verdana" w:hAnsi="Verdana"/>
        </w:rPr>
      </w:pPr>
      <w:r w:rsidRPr="005B5CB6">
        <w:rPr>
          <w:rFonts w:ascii="Verdana" w:eastAsia="Verdana" w:hAnsi="Verdana" w:cs="Verdana"/>
          <w:b/>
        </w:rPr>
        <w:t xml:space="preserve">1. How has digital technology changed the way that democracy works in the UK and has this been a net positive or negative effect? </w:t>
      </w:r>
    </w:p>
    <w:p w:rsidR="00FB0B24" w:rsidRPr="005B5CB6" w:rsidP="00FB7D1D">
      <w:pPr>
        <w:spacing w:after="5" w:line="249" w:lineRule="auto"/>
        <w:ind w:left="10" w:right="12" w:hanging="9"/>
        <w:jc w:val="both"/>
        <w:rPr>
          <w:rFonts w:ascii="Verdana" w:hAnsi="Verdana"/>
        </w:rPr>
      </w:pPr>
      <w:r w:rsidRPr="005B5CB6">
        <w:rPr>
          <w:rFonts w:ascii="Verdana" w:eastAsia="Verdana" w:hAnsi="Verdana" w:cs="Verdana"/>
        </w:rPr>
        <w:t xml:space="preserve">  We found that the vast majority of the information and material that ethnic and religious minority young people engaged with that was relevant to democracy was through digital technologies including social media, mobile phones and the internet more broadly. For young people from ethnic and religious minority backgrounds, digital technology is a key location where they encounter racism and Islamophobia. In this sense, digital technology has having a negative effect on ethnic and religious minority young people’s lives. However, we also found that young people are turning to practicing democracy online and via social media because many do not necessarily associate with or have close affinities to the national political parties and sought alternative ways of engaging with politics.  </w:t>
      </w:r>
    </w:p>
    <w:p w:rsidR="00FB0B24" w:rsidRPr="005B5CB6" w:rsidP="00FB7D1D">
      <w:pPr>
        <w:spacing w:after="5" w:line="249" w:lineRule="auto"/>
        <w:ind w:left="1" w:right="12" w:firstLine="720"/>
        <w:jc w:val="both"/>
        <w:rPr>
          <w:rFonts w:ascii="Verdana" w:hAnsi="Verdana"/>
        </w:rPr>
      </w:pPr>
      <w:r w:rsidRPr="005B5CB6">
        <w:rPr>
          <w:rFonts w:ascii="Verdana" w:eastAsia="Verdana" w:hAnsi="Verdana" w:cs="Verdana"/>
        </w:rPr>
        <w:t xml:space="preserve">We found that political engagements were frequently facilitated by social networking platforms, which created the potential for new forms of sociality that were less bound by place and across social status and age. Indeed, such technologies were used for the performativity of citizenship. Many of our respondents received information about the Scottish referendum from mainstream media (print and broadcast), the Internet and various social media platforms (e.g. Facebook, Twitter) and they often used these platforms to share it with their acquaintances, friends and family. This in turn assisted the creation of social capital (i.e. informal networks and connections of people who share similar norms, values and beliefs) that for some respondents informed the democratic processes. Young people develop digital socialites as an alternative to (or lack of alternatives) existing democratic structures and practices. </w:t>
      </w:r>
    </w:p>
    <w:p w:rsidR="00FB0B24" w:rsidRPr="005B5CB6" w:rsidP="00FB7D1D">
      <w:pPr>
        <w:spacing w:after="5" w:line="250" w:lineRule="auto"/>
        <w:ind w:left="15" w:right="11" w:firstLine="720"/>
        <w:jc w:val="both"/>
        <w:rPr>
          <w:rFonts w:ascii="Verdana" w:hAnsi="Verdana"/>
        </w:rPr>
      </w:pPr>
      <w:r w:rsidRPr="005B5CB6">
        <w:rPr>
          <w:rFonts w:ascii="Verdana" w:eastAsia="Verdana" w:hAnsi="Verdana" w:cs="Verdana"/>
        </w:rPr>
        <w:t xml:space="preserve">For example, a male respondent talked about how young people discussed on Twitter and Facebook the ways in which the BBC was seen to be pro-Union:  </w:t>
      </w:r>
    </w:p>
    <w:p w:rsidR="00FB0B24" w:rsidRPr="005B5CB6" w:rsidP="00FB7D1D">
      <w:pPr>
        <w:spacing w:after="0"/>
        <w:jc w:val="both"/>
        <w:rPr>
          <w:rFonts w:ascii="Verdana" w:hAnsi="Verdana"/>
        </w:rPr>
      </w:pPr>
      <w:r w:rsidRPr="005B5CB6">
        <w:rPr>
          <w:rFonts w:ascii="Verdana" w:eastAsia="Verdana" w:hAnsi="Verdana" w:cs="Verdana"/>
        </w:rPr>
        <w:t xml:space="preserve"> </w:t>
      </w:r>
    </w:p>
    <w:p w:rsidR="00FB0B24" w:rsidRPr="005B5CB6" w:rsidP="00FB7D1D">
      <w:pPr>
        <w:spacing w:after="5" w:line="249" w:lineRule="auto"/>
        <w:ind w:left="729" w:right="12" w:hanging="9"/>
        <w:jc w:val="both"/>
        <w:rPr>
          <w:rFonts w:ascii="Verdana" w:hAnsi="Verdana"/>
        </w:rPr>
      </w:pPr>
      <w:r w:rsidRPr="005B5CB6">
        <w:rPr>
          <w:rFonts w:ascii="Verdana" w:eastAsia="Verdana" w:hAnsi="Verdana" w:cs="Verdana"/>
        </w:rPr>
        <w:t xml:space="preserve">‘[During] the Scottish independence debate. . . there was a BBC reporter, Nick [Robinson]... at a conference, he asked a couple of questions to Alex Salmond, who then spent around 10 minutes answering them, and there was a 37-second news. . . clip in which he said that “he didn’t answer”... it was very Unionist... all over Facebook and Twitter this got pulled up and everyone got to point and laugh at him [Nick Robinson, BBC news reporter] for being an idiot. I don’t think the older generation would necessarily be able to see that or click onto that, because they’re not online. So, I think the way information’s more public, in some ways they’re more clued up.’ (Male, 16–18, White Scottish, Edinburgh)  </w:t>
      </w:r>
    </w:p>
    <w:p w:rsidR="00FB0B24" w:rsidRPr="005B5CB6" w:rsidP="00FB7D1D">
      <w:pPr>
        <w:spacing w:after="5" w:line="249" w:lineRule="auto"/>
        <w:ind w:left="10" w:right="12" w:hanging="9"/>
        <w:jc w:val="both"/>
        <w:rPr>
          <w:rFonts w:ascii="Verdana" w:hAnsi="Verdana"/>
        </w:rPr>
      </w:pPr>
      <w:r w:rsidRPr="005B5CB6">
        <w:rPr>
          <w:rFonts w:ascii="Verdana" w:eastAsia="Verdana" w:hAnsi="Verdana" w:cs="Verdana"/>
        </w:rPr>
        <w:t xml:space="preserve">This respondent outlines how young people during the referendum engaged in politics away from traditional methods, using modern technology and social networking sites. In the interviews, young people discussed how this often meant that they were able to share opinions and views about independence debate over social media. Such forms of online socialities, or social media as sites of performative citizenship, are important because there was a perception among some young people of the absence of formal spaces to debate politics (e.g. at school).  So young people are finding alternative avenues to traditional practices of democracy because they feel that there is no space for them in existing structures. </w:t>
      </w:r>
    </w:p>
    <w:p w:rsidR="00FB0B24" w:rsidRPr="005B5CB6" w:rsidP="00FB7D1D">
      <w:pPr>
        <w:spacing w:after="0"/>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11" w:hanging="10"/>
        <w:jc w:val="both"/>
        <w:rPr>
          <w:rFonts w:ascii="Verdana" w:hAnsi="Verdana"/>
        </w:rPr>
      </w:pPr>
      <w:r w:rsidRPr="005B5CB6">
        <w:rPr>
          <w:rFonts w:ascii="Verdana" w:eastAsia="Verdana" w:hAnsi="Verdana" w:cs="Verdana"/>
          <w:b/>
        </w:rPr>
        <w:t>3. What role should every stage of education play in helping to create a healthy, active, digitally literate democracy?</w:t>
      </w:r>
      <w:r w:rsidRPr="005B5CB6">
        <w:rPr>
          <w:rFonts w:ascii="Verdana" w:eastAsia="Verdana" w:hAnsi="Verdana" w:cs="Verdana"/>
        </w:rPr>
        <w:t xml:space="preserve">  </w:t>
      </w:r>
    </w:p>
    <w:p w:rsidR="00FB0B24" w:rsidRPr="005B5CB6" w:rsidP="00FB7D1D">
      <w:pPr>
        <w:spacing w:after="5" w:line="249" w:lineRule="auto"/>
        <w:ind w:left="10" w:right="12" w:hanging="9"/>
        <w:jc w:val="both"/>
        <w:rPr>
          <w:rFonts w:ascii="Verdana" w:hAnsi="Verdana"/>
        </w:rPr>
      </w:pPr>
      <w:r w:rsidRPr="005B5CB6">
        <w:rPr>
          <w:rFonts w:ascii="Verdana" w:eastAsia="Verdana" w:hAnsi="Verdana" w:cs="Verdana"/>
        </w:rPr>
        <w:t xml:space="preserve">   Given the significant role that digital technologies play in transmitting racism and Islamophobia, every stage of education has an important role to play in helping to creative a healthy, active and digitally literate democracy. We advocate the importance of engaging young people in education about digital citizenship and the importance of ethical conduct when using digital technologies.   Furthermore, as noted above, digital technologies play a crucial role in enabling young people to engage with political issues and in the democratic process more broadly. Recognising the important role of digital technologies are crucial for the future of democracy as they provide a route for young people into exploring political issues and in participating in the political and democratic process.  </w:t>
      </w:r>
    </w:p>
    <w:p w:rsidR="00FB0B24" w:rsidRPr="005B5CB6" w:rsidP="00FB7D1D">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59"/>
        </w:numPr>
        <w:spacing w:after="5" w:line="250" w:lineRule="auto"/>
        <w:ind w:hanging="10"/>
        <w:jc w:val="both"/>
        <w:rPr>
          <w:rFonts w:ascii="Verdana" w:hAnsi="Verdana"/>
        </w:rPr>
      </w:pPr>
      <w:r w:rsidRPr="005B5CB6">
        <w:rPr>
          <w:rFonts w:ascii="Verdana" w:eastAsia="Verdana" w:hAnsi="Verdana" w:cs="Verdana"/>
          <w:b/>
        </w:rPr>
        <w:t>To what extent does social media negatively shape public debate, either through encouraging polarisation or through abuse deterring individuals from engaging in public life?</w:t>
      </w:r>
      <w:r w:rsidRPr="005B5CB6">
        <w:rPr>
          <w:rFonts w:ascii="Verdana" w:eastAsia="Verdana" w:hAnsi="Verdana" w:cs="Verdana"/>
        </w:rPr>
        <w:t xml:space="preserve">  </w:t>
      </w:r>
    </w:p>
    <w:p w:rsidR="00FB0B24" w:rsidRPr="005B5CB6" w:rsidP="00FB7D1D">
      <w:pPr>
        <w:spacing w:after="5" w:line="249" w:lineRule="auto"/>
        <w:ind w:left="1" w:right="12" w:firstLine="720"/>
        <w:jc w:val="both"/>
        <w:rPr>
          <w:rFonts w:ascii="Verdana" w:hAnsi="Verdana"/>
        </w:rPr>
      </w:pPr>
      <w:r w:rsidRPr="005B5CB6">
        <w:rPr>
          <w:rFonts w:ascii="Verdana" w:eastAsia="Verdana" w:hAnsi="Verdana" w:cs="Verdana"/>
        </w:rPr>
        <w:t xml:space="preserve">We found that social media can negatively shape public debate due to the problematic way in which ethnic minority communities and the Muslim community are represented on such platforms. There are a number of themes within this that we discuss as follows: </w:t>
      </w:r>
    </w:p>
    <w:p w:rsidR="00FB0B24" w:rsidRPr="005B5CB6" w:rsidP="00575F14">
      <w:pPr>
        <w:numPr>
          <w:ilvl w:val="1"/>
          <w:numId w:val="159"/>
        </w:numPr>
        <w:spacing w:after="5" w:line="249" w:lineRule="auto"/>
        <w:ind w:right="12" w:hanging="9"/>
        <w:jc w:val="both"/>
        <w:rPr>
          <w:rFonts w:ascii="Verdana" w:hAnsi="Verdana"/>
        </w:rPr>
      </w:pPr>
      <w:r w:rsidRPr="005B5CB6">
        <w:rPr>
          <w:rFonts w:ascii="Verdana" w:eastAsia="Verdana" w:hAnsi="Verdana" w:cs="Verdana"/>
          <w:b/>
        </w:rPr>
        <w:t xml:space="preserve">Everyday racism - </w:t>
      </w:r>
      <w:r w:rsidRPr="005B5CB6">
        <w:rPr>
          <w:rFonts w:ascii="Verdana" w:eastAsia="Verdana" w:hAnsi="Verdana" w:cs="Verdana"/>
        </w:rPr>
        <w:t xml:space="preserve">The vast majority of the ethnic minority youth who we have worked with in our research experienced racism on social media; some experience it on a daily basis. These experiences included aggressive threats and name-calling, taunting, or individuals being made the subject of jokes and “banter” on social media. Young people felt it is important to talk about racism and referred to racist incidences on the basis of accent, skin colour, faith, dress, nationality and ethnicity. Young people explained that racist incidents tended to be triggered by media stereotypes and people who were under the influence of alcohol and/or drugs. Our </w:t>
      </w:r>
      <w:r w:rsidRPr="005B5CB6">
        <w:rPr>
          <w:rFonts w:ascii="Verdana" w:eastAsia="Verdana" w:hAnsi="Verdana" w:cs="Verdana"/>
        </w:rPr>
        <w:t>participants understood that racism can be both covert and overt. Encountering and responding to racism was context-dependent, based on the intersection of place, community size, peer and intergenerational relations, and personal identities.</w:t>
      </w:r>
      <w:r w:rsidRPr="005B5CB6">
        <w:rPr>
          <w:rFonts w:ascii="Verdana" w:eastAsia="Verdana" w:hAnsi="Verdana" w:cs="Verdana"/>
          <w:b/>
        </w:rPr>
        <w:t xml:space="preserve"> </w:t>
      </w:r>
    </w:p>
    <w:p w:rsidR="00FB0B24" w:rsidRPr="005B5CB6" w:rsidP="00575F14">
      <w:pPr>
        <w:numPr>
          <w:ilvl w:val="1"/>
          <w:numId w:val="159"/>
        </w:numPr>
        <w:spacing w:after="5" w:line="249" w:lineRule="auto"/>
        <w:ind w:right="12" w:hanging="9"/>
        <w:jc w:val="both"/>
        <w:rPr>
          <w:rFonts w:ascii="Verdana" w:hAnsi="Verdana"/>
        </w:rPr>
      </w:pPr>
      <w:r w:rsidRPr="005B5CB6">
        <w:rPr>
          <w:rFonts w:ascii="Verdana" w:eastAsia="Verdana" w:hAnsi="Verdana" w:cs="Verdana"/>
          <w:b/>
        </w:rPr>
        <w:t xml:space="preserve">Islamophobia - </w:t>
      </w:r>
      <w:r w:rsidRPr="005B5CB6">
        <w:rPr>
          <w:rFonts w:ascii="Verdana" w:eastAsia="Verdana" w:hAnsi="Verdana" w:cs="Verdana"/>
        </w:rPr>
        <w:t xml:space="preserve">Interconnected with racism, many of our participants felt discriminated against because of their perceived religion and so experienced personal and institutional forms of Islamophobia (as people often assumed they were Muslim). We have written about Islamophobia based on this research: </w:t>
      </w:r>
      <w:r>
        <w:fldChar w:fldCharType="begin"/>
      </w:r>
      <w:r>
        <w:instrText xml:space="preserve"> HYPERLINK "https://theconversation.com/eight-ways-that-islamophobia-operates-in-everyday-life-64444" </w:instrText>
      </w:r>
      <w:r>
        <w:fldChar w:fldCharType="separate"/>
      </w:r>
      <w:r w:rsidRPr="005B5CB6">
        <w:rPr>
          <w:rFonts w:ascii="Verdana" w:eastAsia="Verdana" w:hAnsi="Verdana" w:cs="Verdana"/>
          <w:color w:val="0563C1"/>
          <w:u w:val="single" w:color="0563C1"/>
        </w:rPr>
        <w:t>https://theconversation.com/eight-ways-that-islamophobia-operates-in</w:t>
      </w:r>
      <w:r>
        <w:fldChar w:fldCharType="end"/>
      </w:r>
      <w:r>
        <w:fldChar w:fldCharType="begin"/>
      </w:r>
      <w:r>
        <w:instrText xml:space="preserve"> HYPERLINK "https://theconversation.com/eight-ways-that-islamophobia-operates-in-everyday-life-64444" </w:instrText>
      </w:r>
      <w:r>
        <w:fldChar w:fldCharType="separate"/>
      </w:r>
      <w:r w:rsidRPr="005B5CB6">
        <w:rPr>
          <w:rFonts w:ascii="Verdana" w:eastAsia="Verdana" w:hAnsi="Verdana" w:cs="Verdana"/>
          <w:color w:val="0563C1"/>
          <w:u w:val="single" w:color="0563C1"/>
        </w:rPr>
        <w:t>everyday-life-64444</w:t>
      </w:r>
      <w:r>
        <w:fldChar w:fldCharType="end"/>
      </w:r>
      <w:r>
        <w:fldChar w:fldCharType="begin"/>
      </w:r>
      <w:r>
        <w:instrText xml:space="preserve"> HYPERLINK "https://theconversation.com/eight-ways-that-islamophobia-operates-in-everyday-life-64444"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More recently – and since this research has been completed – we are concerned about the high Levels of public Islamophobia and rise in hate crimes particularly connected with Brexit. </w:t>
      </w:r>
    </w:p>
    <w:p w:rsidR="00FB0B24" w:rsidRPr="005B5CB6" w:rsidP="00575F14">
      <w:pPr>
        <w:numPr>
          <w:ilvl w:val="1"/>
          <w:numId w:val="159"/>
        </w:numPr>
        <w:spacing w:after="5" w:line="249" w:lineRule="auto"/>
        <w:ind w:right="12" w:hanging="9"/>
        <w:jc w:val="both"/>
        <w:rPr>
          <w:rFonts w:ascii="Verdana" w:hAnsi="Verdana"/>
        </w:rPr>
      </w:pPr>
      <w:r w:rsidRPr="005B5CB6">
        <w:rPr>
          <w:rFonts w:ascii="Verdana" w:eastAsia="Verdana" w:hAnsi="Verdana" w:cs="Verdana"/>
          <w:b/>
        </w:rPr>
        <w:t xml:space="preserve">Legacies of negative media representation - </w:t>
      </w:r>
      <w:r w:rsidRPr="005B5CB6">
        <w:rPr>
          <w:rFonts w:ascii="Verdana" w:eastAsia="Verdana" w:hAnsi="Verdana" w:cs="Verdana"/>
        </w:rPr>
        <w:t xml:space="preserve">Even although some media outlets may be making an effort to change how they represent Britain’s Asian communities, there is a legacy of exclusionary headlines and problematic images about British Asians that continually re-circulate on social media; these are very damaging for ethnic minority youth. Also connected to this is the fact that news stories are shared via social media out of context, in isolation and removed from any editorial ethics, e.g. Facebook sharing of news stories was reflected upon in that young people felt all sorts of unmediated ‘news’ is shared by ‘friends’ on Facebook which often leads to a proliferation of negative comments, and intensification of online racism. </w:t>
      </w:r>
      <w:r w:rsidRPr="005B5CB6">
        <w:rPr>
          <w:rFonts w:ascii="Verdana" w:eastAsia="Verdana" w:hAnsi="Verdana" w:cs="Verdana"/>
          <w:b/>
        </w:rPr>
        <w:t xml:space="preserve"> </w:t>
      </w:r>
    </w:p>
    <w:p w:rsidR="00FB0B24" w:rsidRPr="005B5CB6" w:rsidP="00575F14">
      <w:pPr>
        <w:numPr>
          <w:ilvl w:val="1"/>
          <w:numId w:val="159"/>
        </w:numPr>
        <w:spacing w:after="5" w:line="249" w:lineRule="auto"/>
        <w:ind w:right="12" w:hanging="9"/>
        <w:jc w:val="both"/>
        <w:rPr>
          <w:rFonts w:ascii="Verdana" w:hAnsi="Verdana"/>
        </w:rPr>
      </w:pPr>
      <w:r w:rsidRPr="005B5CB6">
        <w:rPr>
          <w:rFonts w:ascii="Verdana" w:eastAsia="Verdana" w:hAnsi="Verdana" w:cs="Verdana"/>
          <w:b/>
        </w:rPr>
        <w:t xml:space="preserve">Gendered and racialised stereotypes - </w:t>
      </w:r>
      <w:r w:rsidRPr="005B5CB6">
        <w:rPr>
          <w:rFonts w:ascii="Verdana" w:eastAsia="Verdana" w:hAnsi="Verdana" w:cs="Verdana"/>
        </w:rPr>
        <w:t xml:space="preserve">a strong theme across our project is about the problematic stereotypes placed upon many ethnic minority young people, including the ways in which these are gendered, racialized and shaped by other markers of social difference. These powerful stereotypes operate to keep ethnic minority young people in their place and may restrict them for engaging in democracy. Such stereotypes present a significant set of barriers for young people. </w:t>
      </w:r>
      <w:r w:rsidRPr="005B5CB6">
        <w:rPr>
          <w:rFonts w:ascii="Verdana" w:eastAsia="Verdana" w:hAnsi="Verdana" w:cs="Verdana"/>
          <w:b/>
        </w:rPr>
        <w:t xml:space="preserve"> </w:t>
      </w:r>
    </w:p>
    <w:p w:rsidR="00FB0B24" w:rsidRPr="005B5CB6" w:rsidP="00575F14">
      <w:pPr>
        <w:numPr>
          <w:ilvl w:val="1"/>
          <w:numId w:val="159"/>
        </w:numPr>
        <w:spacing w:after="5" w:line="249" w:lineRule="auto"/>
        <w:ind w:right="12" w:hanging="9"/>
        <w:jc w:val="both"/>
        <w:rPr>
          <w:rFonts w:ascii="Verdana" w:hAnsi="Verdana"/>
        </w:rPr>
      </w:pPr>
      <w:r w:rsidRPr="005B5CB6">
        <w:rPr>
          <w:rFonts w:ascii="Verdana" w:eastAsia="Verdana" w:hAnsi="Verdana" w:cs="Verdana"/>
          <w:b/>
        </w:rPr>
        <w:t>Fear of being misrecognised as 'radical', 'extreme' or 'oppressed'</w:t>
      </w:r>
      <w:r w:rsidRPr="005B5CB6">
        <w:rPr>
          <w:rFonts w:ascii="Verdana" w:eastAsia="Verdana" w:hAnsi="Verdana" w:cs="Verdana"/>
        </w:rPr>
        <w:t xml:space="preserve"> - an important barrier to democratic participation that we found in our research was a reluctance amongst some young people to engage in politics in case of misrecognition. Here, young Muslims – and those who were mistaken for being Muslim - were concerned about being labelled as too ‘political’ or as ‘radical’; this led some young people to avoid talking about politics entirely on social media and in public. </w:t>
      </w:r>
    </w:p>
    <w:p w:rsidR="00FB0B24" w:rsidRPr="005B5CB6" w:rsidP="00575F14">
      <w:pPr>
        <w:numPr>
          <w:ilvl w:val="1"/>
          <w:numId w:val="159"/>
        </w:numPr>
        <w:spacing w:after="5" w:line="249" w:lineRule="auto"/>
        <w:ind w:right="12" w:hanging="9"/>
        <w:jc w:val="both"/>
        <w:rPr>
          <w:rFonts w:ascii="Verdana" w:hAnsi="Verdana"/>
        </w:rPr>
      </w:pPr>
      <w:r w:rsidRPr="005B5CB6">
        <w:rPr>
          <w:rFonts w:ascii="Verdana" w:eastAsia="Verdana" w:hAnsi="Verdana" w:cs="Verdana"/>
          <w:b/>
        </w:rPr>
        <w:t>Lack of awareness of the heterogeneity/diversity of Asian community in UK</w:t>
      </w:r>
      <w:r w:rsidRPr="005B5CB6">
        <w:rPr>
          <w:rFonts w:ascii="Verdana" w:eastAsia="Verdana" w:hAnsi="Verdana" w:cs="Verdana"/>
        </w:rPr>
        <w:t xml:space="preserve"> - all of our participants were concerned (and some were angry) about the lack of awareness of the diversity within the Asian community in the UK. They felt labelled, misunderstood and misrepresented as they were regularly assumed to belong to a homogenous Asian community that lacked any internal diversity. Young people were eager to correct this and to point our divergences, differences and disjunctures within the Asian community (and within sub-groups of this community) whether this be based on politics, faith, family or education. Some used social media to do this.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r w:rsidRPr="005B5CB6">
        <w:rPr>
          <w:rFonts w:ascii="Verdana" w:hAnsi="Verdana"/>
        </w:rPr>
        <w:t xml:space="preserve">Dr Benjamin Worthy – written evidence (DAD0054) </w:t>
      </w:r>
    </w:p>
    <w:p w:rsidR="00FB0B24" w:rsidRPr="005B5CB6" w:rsidP="00FB7D1D">
      <w:pPr>
        <w:spacing w:after="159"/>
        <w:ind w:left="75"/>
        <w:jc w:val="both"/>
        <w:rPr>
          <w:rFonts w:ascii="Verdana" w:hAnsi="Verdana"/>
        </w:rPr>
      </w:pPr>
      <w:r w:rsidRPr="005B5CB6">
        <w:rPr>
          <w:rFonts w:ascii="Verdana" w:eastAsia="Verdana" w:hAnsi="Verdana" w:cs="Verdana"/>
          <w:b/>
        </w:rPr>
        <w:t xml:space="preserve"> </w:t>
      </w:r>
    </w:p>
    <w:p w:rsidR="00FB0B24" w:rsidRPr="005B5CB6" w:rsidP="00FB7D1D">
      <w:pPr>
        <w:spacing w:after="165" w:line="250" w:lineRule="auto"/>
        <w:ind w:left="130" w:hanging="10"/>
        <w:jc w:val="both"/>
        <w:rPr>
          <w:rFonts w:ascii="Verdana" w:hAnsi="Verdana"/>
        </w:rPr>
      </w:pPr>
      <w:r w:rsidRPr="005B5CB6">
        <w:rPr>
          <w:rFonts w:ascii="Verdana" w:eastAsia="Verdana" w:hAnsi="Verdana" w:cs="Verdana"/>
          <w:b/>
        </w:rPr>
        <w:t xml:space="preserve">New Technology and the Politics of Openness: the case of Westminster </w:t>
      </w:r>
    </w:p>
    <w:p w:rsidR="00FB0B24" w:rsidRPr="005B5CB6" w:rsidP="00FB7D1D">
      <w:pPr>
        <w:spacing w:after="166" w:line="249" w:lineRule="auto"/>
        <w:ind w:left="10" w:hanging="10"/>
        <w:jc w:val="both"/>
        <w:rPr>
          <w:rFonts w:ascii="Verdana" w:hAnsi="Verdana"/>
        </w:rPr>
      </w:pPr>
      <w:r w:rsidRPr="005B5CB6">
        <w:rPr>
          <w:rFonts w:ascii="Verdana" w:eastAsia="Verdana" w:hAnsi="Verdana" w:cs="Verdana"/>
          <w:i/>
        </w:rPr>
        <w:t xml:space="preserve">This evidence examines the impact of technology on politics, looking particularly at new transparency technology in relation to the UK parliament. It draws on a new study of Westminster currently being undertaken by the author. </w:t>
      </w:r>
    </w:p>
    <w:p w:rsidR="00FB0B24" w:rsidRPr="005B5CB6" w:rsidP="00FB7D1D">
      <w:pPr>
        <w:spacing w:after="193" w:line="250" w:lineRule="auto"/>
        <w:ind w:left="23" w:right="11" w:hanging="8"/>
        <w:jc w:val="both"/>
        <w:rPr>
          <w:rFonts w:ascii="Verdana" w:hAnsi="Verdana"/>
        </w:rPr>
      </w:pPr>
      <w:r w:rsidRPr="005B5CB6">
        <w:rPr>
          <w:rFonts w:ascii="Verdana" w:eastAsia="Verdana" w:hAnsi="Verdana" w:cs="Verdana"/>
        </w:rPr>
        <w:t>1.1 New technology can potentially be a powerful force for democratic engagement. It is hoped it can revitalise some of the old instruments of politics while helping to create new ones. Technology has enabled several new types of activities, such as ‘analytical activism’ and ‘digital listening’, where big data is used to create and rework strategies or pressure for change, or ‘e-expression’, where social media is used to express and pass on political views and messages</w:t>
      </w:r>
      <w:r>
        <w:rPr>
          <w:rFonts w:ascii="Verdana" w:eastAsia="Verdana" w:hAnsi="Verdana" w:cs="Verdana"/>
          <w:vertAlign w:val="superscript"/>
        </w:rPr>
        <w:footnoteReference w:id="226"/>
      </w:r>
      <w:r w:rsidRPr="005B5CB6">
        <w:rPr>
          <w:rFonts w:ascii="Verdana" w:eastAsia="Verdana" w:hAnsi="Verdana" w:cs="Verdana"/>
        </w:rPr>
        <w:t>. The new technology can also offers a means of users ‘making sense’ of politics and shaping it in their own way</w:t>
      </w:r>
      <w:r>
        <w:rPr>
          <w:rFonts w:ascii="Verdana" w:eastAsia="Verdana" w:hAnsi="Verdana" w:cs="Verdana"/>
          <w:vertAlign w:val="superscript"/>
        </w:rPr>
        <w:footnoteReference w:id="227"/>
      </w:r>
      <w:r w:rsidRPr="005B5CB6">
        <w:rPr>
          <w:rFonts w:ascii="Verdana" w:eastAsia="Verdana" w:hAnsi="Verdana" w:cs="Verdana"/>
        </w:rPr>
        <w:t xml:space="preserve">. </w:t>
      </w:r>
    </w:p>
    <w:p w:rsidR="00FB0B24" w:rsidRPr="005B5CB6" w:rsidP="00FB7D1D">
      <w:pPr>
        <w:spacing w:after="196" w:line="250" w:lineRule="auto"/>
        <w:ind w:left="23" w:right="11" w:hanging="8"/>
        <w:jc w:val="both"/>
        <w:rPr>
          <w:rFonts w:ascii="Verdana" w:hAnsi="Verdana"/>
        </w:rPr>
      </w:pPr>
      <w:r w:rsidRPr="005B5CB6">
        <w:rPr>
          <w:rFonts w:ascii="Verdana" w:eastAsia="Verdana" w:hAnsi="Verdana" w:cs="Verdana"/>
        </w:rPr>
        <w:t>1.2 Yet it also brings downsides. It can and has been abused and used as a means of disinformation. Technology can amplify division, be used to delegitimise and undermine political institutions or individuals, and be employed as a means of exposure and shock. The skewed use of the new openness technology, and focus on individuals or controversy, could serve to ‘oversimplify a complex reality and create too much openness and too little knowledge’.</w:t>
      </w:r>
      <w:r>
        <w:rPr>
          <w:rFonts w:ascii="Verdana" w:eastAsia="Verdana" w:hAnsi="Verdana" w:cs="Verdana"/>
          <w:vertAlign w:val="superscript"/>
        </w:rPr>
        <w:footnoteReference w:id="228"/>
      </w:r>
      <w:r w:rsidRPr="005B5CB6">
        <w:rPr>
          <w:rFonts w:ascii="Verdana" w:eastAsia="Verdana" w:hAnsi="Verdana" w:cs="Verdana"/>
        </w:rPr>
        <w:t xml:space="preserve">  </w:t>
      </w:r>
    </w:p>
    <w:p w:rsidR="00FB0B24" w:rsidRPr="005B5CB6" w:rsidP="00FB7D1D">
      <w:pPr>
        <w:spacing w:after="165" w:line="250" w:lineRule="auto"/>
        <w:ind w:left="11" w:hanging="10"/>
        <w:jc w:val="both"/>
        <w:rPr>
          <w:rFonts w:ascii="Verdana" w:hAnsi="Verdana"/>
        </w:rPr>
      </w:pPr>
      <w:r w:rsidRPr="005B5CB6">
        <w:rPr>
          <w:rFonts w:ascii="Verdana" w:eastAsia="Verdana" w:hAnsi="Verdana" w:cs="Verdana"/>
          <w:b/>
        </w:rPr>
        <w:t xml:space="preserve">The case of Parliament </w:t>
      </w:r>
    </w:p>
    <w:p w:rsidR="00FB0B24" w:rsidRPr="005B5CB6" w:rsidP="00FB7D1D">
      <w:pPr>
        <w:spacing w:after="5" w:line="250" w:lineRule="auto"/>
        <w:ind w:left="23" w:right="11" w:hanging="8"/>
        <w:jc w:val="both"/>
        <w:rPr>
          <w:rFonts w:ascii="Verdana" w:hAnsi="Verdana"/>
        </w:rPr>
      </w:pPr>
      <w:r w:rsidRPr="005B5CB6">
        <w:rPr>
          <w:rFonts w:ascii="Verdana" w:eastAsia="Verdana" w:hAnsi="Verdana" w:cs="Verdana"/>
        </w:rPr>
        <w:t xml:space="preserve">2.1 Since the 1600s Parliament has been a site of conflict over how open or secret its members and activities should be. The technology around </w:t>
      </w:r>
    </w:p>
    <w:p w:rsidR="00FB0B24" w:rsidRPr="005B5CB6" w:rsidP="00FB7D1D">
      <w:pPr>
        <w:spacing w:after="196" w:line="250" w:lineRule="auto"/>
        <w:ind w:left="23" w:right="11" w:hanging="8"/>
        <w:jc w:val="both"/>
        <w:rPr>
          <w:rFonts w:ascii="Verdana" w:hAnsi="Verdana"/>
        </w:rPr>
      </w:pPr>
      <w:r w:rsidRPr="005B5CB6">
        <w:rPr>
          <w:rFonts w:ascii="Verdana" w:eastAsia="Verdana" w:hAnsi="Verdana" w:cs="Verdana"/>
        </w:rPr>
        <w:t>Westminster’s openness is provided in part by Parliament’s own data service, as well as third party sites such as Public Whip or Theyworkforyou.com (TWFY) and tools such as tweet monitors. These can be characterised in a variety of ways, as member-led or official-led or, alternately, as ‘bottom up’ or ‘top down’ activities</w:t>
      </w:r>
      <w:r>
        <w:rPr>
          <w:rFonts w:ascii="Verdana" w:eastAsia="Verdana" w:hAnsi="Verdana" w:cs="Verdana"/>
          <w:vertAlign w:val="superscript"/>
        </w:rPr>
        <w:footnoteReference w:id="229"/>
      </w:r>
      <w:r w:rsidRPr="005B5CB6">
        <w:rPr>
          <w:rFonts w:ascii="Verdana" w:eastAsia="Verdana" w:hAnsi="Verdana" w:cs="Verdana"/>
        </w:rPr>
        <w:t xml:space="preserve">.  </w:t>
      </w:r>
    </w:p>
    <w:p w:rsidR="00FB0B24" w:rsidRPr="005B5CB6" w:rsidP="00FB7D1D">
      <w:pPr>
        <w:pStyle w:val="Heading2"/>
        <w:rPr>
          <w:sz w:val="22"/>
        </w:rPr>
      </w:pPr>
      <w:r w:rsidRPr="005B5CB6">
        <w:rPr>
          <w:b w:val="0"/>
          <w:sz w:val="22"/>
        </w:rPr>
        <w:t xml:space="preserve"> Westminster’s Transparency and Accountability Ecosystem </w:t>
      </w:r>
    </w:p>
    <w:tbl>
      <w:tblPr>
        <w:tblStyle w:val="TableGrid1"/>
        <w:tblW w:w="6552" w:type="dxa"/>
        <w:tblInd w:w="1399" w:type="dxa"/>
        <w:tblCellMar>
          <w:top w:w="57" w:type="dxa"/>
          <w:left w:w="108" w:type="dxa"/>
          <w:right w:w="115" w:type="dxa"/>
        </w:tblCellMar>
        <w:tblLook w:val="04A0"/>
      </w:tblPr>
      <w:tblGrid>
        <w:gridCol w:w="2724"/>
        <w:gridCol w:w="3828"/>
      </w:tblGrid>
      <w:tr>
        <w:tblPrEx>
          <w:tblW w:w="6552" w:type="dxa"/>
          <w:tblInd w:w="1399" w:type="dxa"/>
          <w:tblCellMar>
            <w:top w:w="57" w:type="dxa"/>
            <w:left w:w="108" w:type="dxa"/>
            <w:right w:w="115" w:type="dxa"/>
          </w:tblCellMar>
          <w:tblLook w:val="04A0"/>
        </w:tblPrEx>
        <w:trPr>
          <w:trHeight w:val="278"/>
        </w:trPr>
        <w:tc>
          <w:tcPr>
            <w:tcW w:w="2724" w:type="dxa"/>
            <w:tcBorders>
              <w:top w:val="single" w:sz="4" w:space="0" w:color="000000"/>
              <w:left w:val="single" w:sz="4" w:space="0" w:color="000000"/>
              <w:bottom w:val="single" w:sz="4" w:space="0" w:color="000000"/>
              <w:right w:val="single" w:sz="4" w:space="0" w:color="000000"/>
            </w:tcBorders>
          </w:tcPr>
          <w:p w:rsidR="00FB0B24" w:rsidRPr="005B5CB6" w:rsidP="001512F6">
            <w:pPr>
              <w:jc w:val="both"/>
              <w:rPr>
                <w:rFonts w:ascii="Verdana" w:hAnsi="Verdana"/>
              </w:rPr>
            </w:pPr>
            <w:r w:rsidRPr="005B5CB6">
              <w:rPr>
                <w:rFonts w:ascii="Verdana" w:eastAsia="Verdana" w:hAnsi="Verdana" w:cs="Verdana"/>
                <w:b/>
              </w:rPr>
              <w:t xml:space="preserve">Tool Type </w:t>
            </w:r>
          </w:p>
        </w:tc>
        <w:tc>
          <w:tcPr>
            <w:tcW w:w="3828" w:type="dxa"/>
            <w:tcBorders>
              <w:top w:val="single" w:sz="4" w:space="0" w:color="000000"/>
              <w:left w:val="single" w:sz="4" w:space="0" w:color="000000"/>
              <w:bottom w:val="single" w:sz="4" w:space="0" w:color="000000"/>
              <w:right w:val="single" w:sz="4" w:space="0" w:color="000000"/>
            </w:tcBorders>
          </w:tcPr>
          <w:p w:rsidR="00FB0B24" w:rsidRPr="005B5CB6" w:rsidP="001512F6">
            <w:pPr>
              <w:jc w:val="both"/>
              <w:rPr>
                <w:rFonts w:ascii="Verdana" w:hAnsi="Verdana"/>
              </w:rPr>
            </w:pPr>
            <w:r w:rsidRPr="005B5CB6">
              <w:rPr>
                <w:rFonts w:ascii="Verdana" w:eastAsia="Verdana" w:hAnsi="Verdana" w:cs="Verdana"/>
                <w:b/>
              </w:rPr>
              <w:t xml:space="preserve">Examples </w:t>
            </w:r>
          </w:p>
        </w:tc>
      </w:tr>
      <w:tr>
        <w:tblPrEx>
          <w:tblW w:w="6552" w:type="dxa"/>
          <w:tblInd w:w="1399" w:type="dxa"/>
          <w:tblCellMar>
            <w:top w:w="57" w:type="dxa"/>
            <w:left w:w="108" w:type="dxa"/>
            <w:right w:w="115" w:type="dxa"/>
          </w:tblCellMar>
          <w:tblLook w:val="04A0"/>
        </w:tblPrEx>
        <w:trPr>
          <w:trHeight w:val="811"/>
        </w:trPr>
        <w:tc>
          <w:tcPr>
            <w:tcW w:w="2724" w:type="dxa"/>
            <w:tcBorders>
              <w:top w:val="single" w:sz="4" w:space="0" w:color="000000"/>
              <w:left w:val="single" w:sz="4" w:space="0" w:color="000000"/>
              <w:bottom w:val="single" w:sz="4" w:space="0" w:color="000000"/>
              <w:right w:val="single" w:sz="4" w:space="0" w:color="000000"/>
            </w:tcBorders>
          </w:tcPr>
          <w:p w:rsidR="00FB0B24" w:rsidRPr="005B5CB6" w:rsidP="001512F6">
            <w:pPr>
              <w:jc w:val="both"/>
              <w:rPr>
                <w:rFonts w:ascii="Verdana" w:hAnsi="Verdana"/>
              </w:rPr>
            </w:pPr>
            <w:r w:rsidRPr="005B5CB6">
              <w:rPr>
                <w:rFonts w:ascii="Verdana" w:eastAsia="Verdana" w:hAnsi="Verdana" w:cs="Verdana"/>
              </w:rPr>
              <w:t xml:space="preserve">Legal  </w:t>
            </w:r>
          </w:p>
        </w:tc>
        <w:tc>
          <w:tcPr>
            <w:tcW w:w="3828" w:type="dxa"/>
            <w:tcBorders>
              <w:top w:val="single" w:sz="4" w:space="0" w:color="000000"/>
              <w:left w:val="single" w:sz="4" w:space="0" w:color="000000"/>
              <w:bottom w:val="single" w:sz="4" w:space="0" w:color="000000"/>
              <w:right w:val="single" w:sz="4" w:space="0" w:color="000000"/>
            </w:tcBorders>
          </w:tcPr>
          <w:p w:rsidR="00FB0B24" w:rsidRPr="005B5CB6" w:rsidP="001512F6">
            <w:pPr>
              <w:jc w:val="both"/>
              <w:rPr>
                <w:rFonts w:ascii="Verdana" w:hAnsi="Verdana"/>
              </w:rPr>
            </w:pPr>
            <w:r w:rsidRPr="005B5CB6">
              <w:rPr>
                <w:rFonts w:ascii="Verdana" w:eastAsia="Verdana" w:hAnsi="Verdana" w:cs="Verdana"/>
              </w:rPr>
              <w:t xml:space="preserve">Freedom of Information Act </w:t>
            </w:r>
          </w:p>
          <w:p w:rsidR="00FB0B24" w:rsidRPr="005B5CB6" w:rsidP="001512F6">
            <w:pPr>
              <w:jc w:val="both"/>
              <w:rPr>
                <w:rFonts w:ascii="Verdana" w:hAnsi="Verdana"/>
              </w:rPr>
            </w:pPr>
            <w:r w:rsidRPr="005B5CB6">
              <w:rPr>
                <w:rFonts w:ascii="Verdana" w:eastAsia="Verdana" w:hAnsi="Verdana" w:cs="Verdana"/>
              </w:rPr>
              <w:t xml:space="preserve">2000, Register of Members </w:t>
            </w:r>
          </w:p>
          <w:p w:rsidR="00FB0B24" w:rsidRPr="005B5CB6" w:rsidP="001512F6">
            <w:pPr>
              <w:jc w:val="both"/>
              <w:rPr>
                <w:rFonts w:ascii="Verdana" w:hAnsi="Verdana"/>
              </w:rPr>
            </w:pPr>
            <w:r w:rsidRPr="005B5CB6">
              <w:rPr>
                <w:rFonts w:ascii="Verdana" w:eastAsia="Verdana" w:hAnsi="Verdana" w:cs="Verdana"/>
              </w:rPr>
              <w:t xml:space="preserve">Interests </w:t>
            </w:r>
          </w:p>
        </w:tc>
      </w:tr>
      <w:tr>
        <w:tblPrEx>
          <w:tblW w:w="6552" w:type="dxa"/>
          <w:tblInd w:w="1399" w:type="dxa"/>
          <w:tblCellMar>
            <w:top w:w="57" w:type="dxa"/>
            <w:left w:w="108" w:type="dxa"/>
            <w:right w:w="115" w:type="dxa"/>
          </w:tblCellMar>
          <w:tblLook w:val="04A0"/>
        </w:tblPrEx>
        <w:trPr>
          <w:trHeight w:val="814"/>
        </w:trPr>
        <w:tc>
          <w:tcPr>
            <w:tcW w:w="2724" w:type="dxa"/>
            <w:tcBorders>
              <w:top w:val="single" w:sz="4" w:space="0" w:color="000000"/>
              <w:left w:val="single" w:sz="4" w:space="0" w:color="000000"/>
              <w:bottom w:val="single" w:sz="4" w:space="0" w:color="000000"/>
              <w:right w:val="single" w:sz="4" w:space="0" w:color="000000"/>
            </w:tcBorders>
          </w:tcPr>
          <w:p w:rsidR="00FB0B24" w:rsidRPr="005B5CB6" w:rsidP="001512F6">
            <w:pPr>
              <w:jc w:val="both"/>
              <w:rPr>
                <w:rFonts w:ascii="Verdana" w:hAnsi="Verdana"/>
              </w:rPr>
            </w:pPr>
            <w:r w:rsidRPr="005B5CB6">
              <w:rPr>
                <w:rFonts w:ascii="Verdana" w:eastAsia="Verdana" w:hAnsi="Verdana" w:cs="Verdana"/>
              </w:rPr>
              <w:t xml:space="preserve">Technological (primary) </w:t>
            </w:r>
          </w:p>
        </w:tc>
        <w:tc>
          <w:tcPr>
            <w:tcW w:w="3828" w:type="dxa"/>
            <w:tcBorders>
              <w:top w:val="single" w:sz="4" w:space="0" w:color="000000"/>
              <w:left w:val="single" w:sz="4" w:space="0" w:color="000000"/>
              <w:bottom w:val="single" w:sz="4" w:space="0" w:color="000000"/>
              <w:right w:val="single" w:sz="4" w:space="0" w:color="000000"/>
            </w:tcBorders>
          </w:tcPr>
          <w:p w:rsidR="00FB0B24" w:rsidRPr="005B5CB6" w:rsidP="001512F6">
            <w:pPr>
              <w:jc w:val="both"/>
              <w:rPr>
                <w:rFonts w:ascii="Verdana" w:hAnsi="Verdana"/>
              </w:rPr>
            </w:pPr>
            <w:r w:rsidRPr="005B5CB6">
              <w:rPr>
                <w:rFonts w:ascii="Verdana" w:eastAsia="Verdana" w:hAnsi="Verdana" w:cs="Verdana"/>
              </w:rPr>
              <w:t xml:space="preserve">Hansard, Parliament Open Data </w:t>
            </w:r>
          </w:p>
          <w:p w:rsidR="00FB0B24" w:rsidRPr="005B5CB6" w:rsidP="001512F6">
            <w:pPr>
              <w:jc w:val="both"/>
              <w:rPr>
                <w:rFonts w:ascii="Verdana" w:hAnsi="Verdana"/>
              </w:rPr>
            </w:pPr>
            <w:r w:rsidRPr="005B5CB6">
              <w:rPr>
                <w:rFonts w:ascii="Verdana" w:eastAsia="Verdana" w:hAnsi="Verdana" w:cs="Verdana"/>
              </w:rPr>
              <w:t xml:space="preserve">and Parliament Digital Service </w:t>
            </w:r>
          </w:p>
          <w:p w:rsidR="00FB0B24" w:rsidRPr="005B5CB6" w:rsidP="001512F6">
            <w:pPr>
              <w:jc w:val="both"/>
              <w:rPr>
                <w:rFonts w:ascii="Verdana" w:hAnsi="Verdana"/>
              </w:rPr>
            </w:pPr>
            <w:r w:rsidRPr="005B5CB6">
              <w:rPr>
                <w:rFonts w:ascii="Verdana" w:eastAsia="Verdana" w:hAnsi="Verdana" w:cs="Verdana"/>
              </w:rPr>
              <w:t xml:space="preserve">  </w:t>
            </w:r>
          </w:p>
        </w:tc>
      </w:tr>
    </w:tbl>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1074" name="Group 56107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65" name="Shape 63596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41" style="height:0.72pt;mso-position-horizontal-relative:char;mso-position-vertical-relative:line;width:2in" coordsize="18288,91">
                <v:shape id="_x0000_s1242"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tbl>
      <w:tblPr>
        <w:tblStyle w:val="TableGrid1"/>
        <w:tblW w:w="6552" w:type="dxa"/>
        <w:tblInd w:w="1399" w:type="dxa"/>
        <w:tblCellMar>
          <w:top w:w="57" w:type="dxa"/>
          <w:left w:w="108" w:type="dxa"/>
          <w:right w:w="30" w:type="dxa"/>
        </w:tblCellMar>
        <w:tblLook w:val="04A0"/>
      </w:tblPr>
      <w:tblGrid>
        <w:gridCol w:w="2724"/>
        <w:gridCol w:w="3828"/>
      </w:tblGrid>
      <w:tr>
        <w:tblPrEx>
          <w:tblW w:w="6552" w:type="dxa"/>
          <w:tblInd w:w="1399" w:type="dxa"/>
          <w:tblCellMar>
            <w:top w:w="57" w:type="dxa"/>
            <w:left w:w="108" w:type="dxa"/>
            <w:right w:w="30" w:type="dxa"/>
          </w:tblCellMar>
          <w:tblLook w:val="04A0"/>
        </w:tblPrEx>
        <w:trPr>
          <w:trHeight w:val="2150"/>
        </w:trPr>
        <w:tc>
          <w:tcPr>
            <w:tcW w:w="2724" w:type="dxa"/>
            <w:tcBorders>
              <w:top w:val="single" w:sz="4" w:space="0" w:color="000000"/>
              <w:left w:val="single" w:sz="4" w:space="0" w:color="000000"/>
              <w:bottom w:val="single" w:sz="4" w:space="0" w:color="000000"/>
              <w:right w:val="single" w:sz="4" w:space="0" w:color="000000"/>
            </w:tcBorders>
          </w:tcPr>
          <w:p w:rsidR="00FB0B24" w:rsidRPr="005B5CB6" w:rsidP="001512F6">
            <w:pPr>
              <w:jc w:val="both"/>
              <w:rPr>
                <w:rFonts w:ascii="Verdana" w:hAnsi="Verdana"/>
              </w:rPr>
            </w:pPr>
            <w:r w:rsidRPr="005B5CB6">
              <w:rPr>
                <w:rFonts w:ascii="Verdana" w:eastAsia="Verdana" w:hAnsi="Verdana" w:cs="Verdana"/>
              </w:rPr>
              <w:t xml:space="preserve">Technological (Third party) </w:t>
            </w:r>
          </w:p>
        </w:tc>
        <w:tc>
          <w:tcPr>
            <w:tcW w:w="3828" w:type="dxa"/>
            <w:tcBorders>
              <w:top w:val="single" w:sz="4" w:space="0" w:color="000000"/>
              <w:left w:val="single" w:sz="4" w:space="0" w:color="000000"/>
              <w:bottom w:val="single" w:sz="4" w:space="0" w:color="000000"/>
              <w:right w:val="single" w:sz="4" w:space="0" w:color="000000"/>
            </w:tcBorders>
          </w:tcPr>
          <w:p w:rsidR="00FB0B24" w:rsidRPr="005B5CB6" w:rsidP="001512F6">
            <w:pPr>
              <w:jc w:val="both"/>
              <w:rPr>
                <w:rFonts w:ascii="Verdana" w:hAnsi="Verdana"/>
              </w:rPr>
            </w:pPr>
            <w:r w:rsidRPr="005B5CB6">
              <w:rPr>
                <w:rFonts w:ascii="Verdana" w:eastAsia="Verdana" w:hAnsi="Verdana" w:cs="Verdana"/>
              </w:rPr>
              <w:t xml:space="preserve">Public Whip and  </w:t>
            </w:r>
          </w:p>
          <w:p w:rsidR="00FB0B24" w:rsidRPr="005B5CB6" w:rsidP="001512F6">
            <w:pPr>
              <w:jc w:val="both"/>
              <w:rPr>
                <w:rFonts w:ascii="Verdana" w:hAnsi="Verdana"/>
              </w:rPr>
            </w:pPr>
            <w:r w:rsidRPr="005B5CB6">
              <w:rPr>
                <w:rFonts w:ascii="Verdana" w:eastAsia="Verdana" w:hAnsi="Verdana" w:cs="Verdana"/>
              </w:rPr>
              <w:t xml:space="preserve">TheyWorkForYou.com  </w:t>
            </w:r>
          </w:p>
          <w:p w:rsidR="00FB0B24" w:rsidRPr="005B5CB6" w:rsidP="001512F6">
            <w:pPr>
              <w:jc w:val="both"/>
              <w:rPr>
                <w:rFonts w:ascii="Verdana" w:hAnsi="Verdana"/>
              </w:rPr>
            </w:pPr>
            <w:r w:rsidRPr="005B5CB6">
              <w:rPr>
                <w:rFonts w:ascii="Verdana" w:eastAsia="Verdana" w:hAnsi="Verdana" w:cs="Verdana"/>
              </w:rPr>
              <w:t xml:space="preserve">Parl Wiki Edit </w:t>
            </w:r>
          </w:p>
          <w:p w:rsidR="00FB0B24" w:rsidRPr="005B5CB6" w:rsidP="001512F6">
            <w:pPr>
              <w:jc w:val="both"/>
              <w:rPr>
                <w:rFonts w:ascii="Verdana" w:hAnsi="Verdana"/>
              </w:rPr>
            </w:pPr>
            <w:r>
              <w:fldChar w:fldCharType="begin"/>
            </w:r>
            <w:r>
              <w:instrText xml:space="preserve"> HYPERLINK "http://www.mpsontwitter.co.uk/" </w:instrText>
            </w:r>
            <w:r>
              <w:fldChar w:fldCharType="separate"/>
            </w:r>
            <w:r w:rsidRPr="005B5CB6" w:rsidR="00A72806">
              <w:rPr>
                <w:rFonts w:ascii="Verdana" w:eastAsia="Verdana" w:hAnsi="Verdana" w:cs="Verdana"/>
                <w:color w:val="0563C1"/>
                <w:u w:val="single" w:color="0563C1"/>
              </w:rPr>
              <w:t>http://www.mpsontwitter.co.uk/</w:t>
            </w:r>
            <w:r>
              <w:fldChar w:fldCharType="end"/>
            </w:r>
            <w:r>
              <w:fldChar w:fldCharType="begin"/>
            </w:r>
            <w:r>
              <w:instrText xml:space="preserve"> HYPERLINK "http://www.mpsontwitter.co.uk/"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UK tweets </w:t>
            </w:r>
          </w:p>
          <w:p w:rsidR="00FB0B24" w:rsidRPr="005B5CB6" w:rsidP="001512F6">
            <w:pPr>
              <w:jc w:val="both"/>
              <w:rPr>
                <w:rFonts w:ascii="Verdana" w:hAnsi="Verdana"/>
              </w:rPr>
            </w:pPr>
            <w:r>
              <w:fldChar w:fldCharType="begin"/>
            </w:r>
            <w:r>
              <w:instrText xml:space="preserve"> HYPERLINK "https://twitter.com/UKMPtweets" </w:instrText>
            </w:r>
            <w:r>
              <w:fldChar w:fldCharType="separate"/>
            </w:r>
            <w:r w:rsidRPr="005B5CB6" w:rsidR="00A72806">
              <w:rPr>
                <w:rFonts w:ascii="Verdana" w:eastAsia="Verdana" w:hAnsi="Verdana" w:cs="Verdana"/>
                <w:color w:val="0563C1"/>
                <w:u w:val="single" w:color="0563C1"/>
              </w:rPr>
              <w:t>https://twitter.com/UKMPtweets</w:t>
            </w:r>
            <w:r>
              <w:fldChar w:fldCharType="end"/>
            </w:r>
            <w:r>
              <w:fldChar w:fldCharType="begin"/>
            </w:r>
            <w:r>
              <w:instrText xml:space="preserve"> HYPERLINK "https://twitter.com/UKMPtweets"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Parly app </w:t>
            </w:r>
          </w:p>
          <w:p w:rsidR="00FB0B24" w:rsidRPr="005B5CB6" w:rsidP="001512F6">
            <w:pPr>
              <w:jc w:val="both"/>
              <w:rPr>
                <w:rFonts w:ascii="Verdana" w:hAnsi="Verdana"/>
              </w:rPr>
            </w:pPr>
            <w:r>
              <w:fldChar w:fldCharType="begin"/>
            </w:r>
            <w:r>
              <w:instrText xml:space="preserve"> HYPERLINK "https://twitter.com/ParlyApp" </w:instrText>
            </w:r>
            <w:r>
              <w:fldChar w:fldCharType="separate"/>
            </w:r>
            <w:r w:rsidRPr="005B5CB6" w:rsidR="00A72806">
              <w:rPr>
                <w:rFonts w:ascii="Verdana" w:eastAsia="Verdana" w:hAnsi="Verdana" w:cs="Verdana"/>
                <w:color w:val="0563C1"/>
                <w:u w:val="single" w:color="0563C1"/>
              </w:rPr>
              <w:t>https://twitter.com/ParlyApp</w:t>
            </w:r>
            <w:r>
              <w:fldChar w:fldCharType="end"/>
            </w:r>
            <w:r>
              <w:fldChar w:fldCharType="begin"/>
            </w:r>
            <w:r>
              <w:instrText xml:space="preserve"> HYPERLINK "https://twitter.com/ParlyApp" </w:instrText>
            </w:r>
            <w:r>
              <w:fldChar w:fldCharType="separate"/>
            </w:r>
            <w:r w:rsidRPr="005B5CB6" w:rsidR="00A72806">
              <w:rPr>
                <w:rFonts w:ascii="Verdana" w:eastAsia="Verdana" w:hAnsi="Verdana" w:cs="Verdana"/>
              </w:rPr>
              <w:t xml:space="preserve"> </w:t>
            </w:r>
            <w:r>
              <w:fldChar w:fldCharType="end"/>
            </w:r>
          </w:p>
        </w:tc>
      </w:tr>
    </w:tbl>
    <w:p w:rsidR="00FB0B24" w:rsidRPr="005B5CB6" w:rsidP="001512F6">
      <w:pPr>
        <w:spacing w:after="154"/>
        <w:jc w:val="both"/>
        <w:rPr>
          <w:rFonts w:ascii="Verdana" w:hAnsi="Verdana"/>
        </w:rPr>
      </w:pPr>
      <w:r w:rsidRPr="005B5CB6">
        <w:rPr>
          <w:rFonts w:ascii="Verdana" w:eastAsia="Verdana" w:hAnsi="Verdana" w:cs="Verdana"/>
        </w:rPr>
        <w:t xml:space="preserve">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2.1 Westminster has been seeking to open itself up since at least the 1970s. Though initially focused on better information and educational outreach, the transparency agenda has now increased in complexity and sophistication, becoming more participative with experiments on social media, digital debates and attempts to integrate the public voice into the legislative process</w:t>
      </w:r>
      <w:r>
        <w:rPr>
          <w:rFonts w:ascii="Verdana" w:eastAsia="Verdana" w:hAnsi="Verdana" w:cs="Verdana"/>
          <w:vertAlign w:val="superscript"/>
        </w:rPr>
        <w:footnoteReference w:id="230"/>
      </w:r>
      <w:r w:rsidRPr="005B5CB6">
        <w:rPr>
          <w:rFonts w:ascii="Verdana" w:eastAsia="Verdana" w:hAnsi="Verdana" w:cs="Verdana"/>
        </w:rPr>
        <w:t>. Technology can work with ‘older’ tools such as FOI or the register of interests. Parliament has also pushed innovations such as the Lords Digital Chamber, and an ongoing Digital Democracy agenda committing to publish more data by 2020</w:t>
      </w:r>
      <w:r w:rsidRPr="005B5CB6">
        <w:rPr>
          <w:rFonts w:ascii="Verdana" w:eastAsia="Verdana" w:hAnsi="Verdana" w:cs="Verdana"/>
          <w:vertAlign w:val="superscript"/>
        </w:rPr>
        <w:t>6</w:t>
      </w:r>
      <w:r w:rsidRPr="005B5CB6">
        <w:rPr>
          <w:rFonts w:ascii="Verdana" w:eastAsia="Verdana" w:hAnsi="Verdana" w:cs="Verdana"/>
        </w:rPr>
        <w:t xml:space="preserve">.  In a highly symbolic move, Erskine May, the ‘bible’ of parliamentary procedure, was finally published online in 2019.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 xml:space="preserve">2.2 While Parliament has gradually opened up, whole areas remain closed, some because of democratic secrecy or privacy (such as select committee hearings or MP-constituent relations) and others for more procedural reasons or because it is outside of Westminster’s control (as with the selection of candidates for parties or the existence of the ‘usual channels’).  </w:t>
      </w:r>
    </w:p>
    <w:p w:rsidR="00FB0B24" w:rsidRPr="005B5CB6" w:rsidP="001512F6">
      <w:pPr>
        <w:spacing w:after="162" w:line="250" w:lineRule="auto"/>
        <w:ind w:left="23" w:right="11" w:hanging="8"/>
        <w:jc w:val="both"/>
        <w:rPr>
          <w:rFonts w:ascii="Verdana" w:hAnsi="Verdana"/>
        </w:rPr>
      </w:pPr>
      <w:r w:rsidRPr="005B5CB6">
        <w:rPr>
          <w:rFonts w:ascii="Verdana" w:eastAsia="Verdana" w:hAnsi="Verdana" w:cs="Verdana"/>
        </w:rPr>
        <w:t>2.3 There has been considerable bottom up pressure, as the table above shows. The rise of parliamentary monitoring organizations and informatics sites that detail members voting, speeches and other behaviour has had an effect on legislatures</w:t>
      </w:r>
      <w:r>
        <w:rPr>
          <w:rFonts w:ascii="Verdana" w:eastAsia="Verdana" w:hAnsi="Verdana" w:cs="Verdana"/>
          <w:vertAlign w:val="superscript"/>
        </w:rPr>
        <w:footnoteReference w:id="231"/>
      </w:r>
      <w:r w:rsidRPr="005B5CB6">
        <w:rPr>
          <w:rFonts w:ascii="Verdana" w:eastAsia="Verdana" w:hAnsi="Verdana" w:cs="Verdana"/>
        </w:rPr>
        <w:t xml:space="preserve">. In the UK, the primary monitoring organization is mySociety’s </w:t>
      </w:r>
      <w:r w:rsidRPr="005B5CB6">
        <w:rPr>
          <w:rFonts w:ascii="Verdana" w:eastAsia="Verdana" w:hAnsi="Verdana" w:cs="Verdana"/>
          <w:i/>
        </w:rPr>
        <w:t xml:space="preserve">TheyWorkForYou.com, </w:t>
      </w:r>
      <w:r w:rsidRPr="005B5CB6">
        <w:rPr>
          <w:rFonts w:ascii="Verdana" w:eastAsia="Verdana" w:hAnsi="Verdana" w:cs="Verdana"/>
        </w:rPr>
        <w:t xml:space="preserve">created in 2005, followed by the voting data site </w:t>
      </w:r>
      <w:r w:rsidRPr="005B5CB6">
        <w:rPr>
          <w:rFonts w:ascii="Verdana" w:eastAsia="Verdana" w:hAnsi="Verdana" w:cs="Verdana"/>
          <w:i/>
        </w:rPr>
        <w:t>Public Whip</w:t>
      </w:r>
      <w:r w:rsidRPr="005B5CB6">
        <w:rPr>
          <w:rFonts w:ascii="Verdana" w:eastAsia="Verdana" w:hAnsi="Verdana" w:cs="Verdana"/>
        </w:rPr>
        <w:t xml:space="preserve">. This has been supported by a range of other informal sites, from phone apps to Twitter feeds that monitor wikipedia changes.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Who uses the new tools and for what?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3.1. Technology is shaped by who uses it. Parliament itself, according to the data service, ‘has an unusually wide range of users’. Analysis of </w:t>
      </w:r>
    </w:p>
    <w:p w:rsidR="00FB0B24" w:rsidRPr="005B5CB6" w:rsidP="001512F6">
      <w:pPr>
        <w:spacing w:after="1020" w:line="250" w:lineRule="auto"/>
        <w:ind w:left="23" w:right="11" w:hanging="8"/>
        <w:jc w:val="both"/>
        <w:rPr>
          <w:rFonts w:ascii="Verdana" w:hAnsi="Verdana"/>
        </w:rPr>
      </w:pPr>
      <w:r w:rsidRPr="005B5CB6">
        <w:rPr>
          <w:rFonts w:ascii="Verdana" w:eastAsia="Verdana" w:hAnsi="Verdana" w:cs="Verdana"/>
        </w:rPr>
        <w:t xml:space="preserve">TheyWorkForYou.com found users to be a mixture of the engaged public, private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0273" name="Group 56027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67" name="Shape 63596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43" style="height:0.72pt;mso-position-horizontal-relative:char;mso-position-vertical-relative:line;width:2in" coordsize="18288,91">
                <v:shape id="_x0000_s1244"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195" w:line="250" w:lineRule="auto"/>
        <w:ind w:left="23" w:right="11" w:hanging="8"/>
        <w:jc w:val="both"/>
        <w:rPr>
          <w:rFonts w:ascii="Verdana" w:hAnsi="Verdana"/>
        </w:rPr>
      </w:pPr>
      <w:r w:rsidRPr="005B5CB6">
        <w:rPr>
          <w:rFonts w:ascii="Verdana" w:eastAsia="Verdana" w:hAnsi="Verdana" w:cs="Verdana"/>
        </w:rPr>
        <w:t>companies, NGOs and the media, while research on FOI painted a similar picture of activists, journalists and NGOs all making requests</w:t>
      </w:r>
      <w:r>
        <w:rPr>
          <w:rFonts w:ascii="Verdana" w:eastAsia="Verdana" w:hAnsi="Verdana" w:cs="Verdana"/>
          <w:vertAlign w:val="superscript"/>
        </w:rPr>
        <w:footnoteReference w:id="232"/>
      </w:r>
      <w:r w:rsidRPr="005B5CB6">
        <w:rPr>
          <w:rFonts w:ascii="Verdana" w:eastAsia="Verdana" w:hAnsi="Verdana" w:cs="Verdana"/>
        </w:rPr>
        <w:t xml:space="preserve">.  </w:t>
      </w:r>
    </w:p>
    <w:p w:rsidR="00FB0B24" w:rsidRPr="005B5CB6" w:rsidP="001512F6">
      <w:pPr>
        <w:spacing w:after="194" w:line="250" w:lineRule="auto"/>
        <w:ind w:left="23" w:right="11" w:hanging="8"/>
        <w:jc w:val="both"/>
        <w:rPr>
          <w:rFonts w:ascii="Verdana" w:hAnsi="Verdana"/>
        </w:rPr>
      </w:pPr>
      <w:r w:rsidRPr="005B5CB6">
        <w:rPr>
          <w:rFonts w:ascii="Verdana" w:eastAsia="Verdana" w:hAnsi="Verdana" w:cs="Verdana"/>
        </w:rPr>
        <w:t>3.1 TheyWorkForYou.com found a tendency to focus on certain key MPs (such as the Prime Minister or leader of the opposition), members connected with controversy or certain high profile debates, such as on the NHS. There are ‘spikes’ of interests around events, such as the MPs’ expenses scandal and general elections and more recently key Brexit votes. Technology use appears to fit the more general pattern, whereby it is most likely to be used by the ‘usual suspects’ with political knowledge-normally ‘concentrated among the economically and socially advantaged’</w:t>
      </w:r>
      <w:r w:rsidRPr="005B5CB6">
        <w:rPr>
          <w:rFonts w:ascii="Verdana" w:eastAsia="Verdana" w:hAnsi="Verdana" w:cs="Verdana"/>
          <w:vertAlign w:val="superscript"/>
        </w:rPr>
        <w:t>9</w:t>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What is the Impact of openness technology?  </w:t>
      </w:r>
    </w:p>
    <w:p w:rsidR="00FB0B24" w:rsidRPr="005B5CB6" w:rsidP="001512F6">
      <w:pPr>
        <w:spacing w:after="156"/>
        <w:jc w:val="both"/>
        <w:rPr>
          <w:rFonts w:ascii="Verdana" w:hAnsi="Verdana"/>
        </w:rPr>
      </w:pPr>
      <w:r w:rsidRPr="005B5CB6">
        <w:rPr>
          <w:rFonts w:ascii="Verdana" w:eastAsia="Verdana" w:hAnsi="Verdana" w:cs="Verdana"/>
        </w:rPr>
        <w:t xml:space="preserve"> </w:t>
      </w:r>
    </w:p>
    <w:p w:rsidR="00FB0B24" w:rsidRPr="005B5CB6" w:rsidP="001512F6">
      <w:pPr>
        <w:spacing w:after="167" w:line="250" w:lineRule="auto"/>
        <w:ind w:left="23" w:right="11" w:hanging="8"/>
        <w:jc w:val="both"/>
        <w:rPr>
          <w:rFonts w:ascii="Verdana" w:hAnsi="Verdana"/>
        </w:rPr>
      </w:pPr>
      <w:r w:rsidRPr="005B5CB6">
        <w:rPr>
          <w:rFonts w:ascii="Verdana" w:eastAsia="Verdana" w:hAnsi="Verdana" w:cs="Verdana"/>
        </w:rPr>
        <w:t>3.1 Measuring the precise impact of any technology is difficult, especially as new and old tools exist in parallel and influence each other in unpredictable ways</w:t>
      </w:r>
      <w:r>
        <w:rPr>
          <w:rFonts w:ascii="Verdana" w:eastAsia="Verdana" w:hAnsi="Verdana" w:cs="Verdana"/>
          <w:vertAlign w:val="superscript"/>
        </w:rPr>
        <w:footnoteReference w:id="233"/>
      </w:r>
      <w:r w:rsidRPr="005B5CB6">
        <w:rPr>
          <w:rFonts w:ascii="Verdana" w:eastAsia="Verdana" w:hAnsi="Verdana" w:cs="Verdana"/>
        </w:rPr>
        <w:t xml:space="preserve">. This is all the more so in a complex institution like Westminster, where members of the legislature are not given a strict job description and are subject to a range of party, public and personal loyalties. Since 2016, this had been made more difficult by Brexit, which runs as a fault line across MP-party, constituency and national interest, as well as ties of loyalty or rebellion. </w:t>
      </w:r>
    </w:p>
    <w:p w:rsidR="00FB0B24" w:rsidRPr="005B5CB6" w:rsidP="001512F6">
      <w:pPr>
        <w:spacing w:after="163" w:line="249" w:lineRule="auto"/>
        <w:ind w:left="10" w:hanging="10"/>
        <w:jc w:val="both"/>
        <w:rPr>
          <w:rFonts w:ascii="Verdana" w:hAnsi="Verdana"/>
        </w:rPr>
      </w:pPr>
      <w:r w:rsidRPr="005B5CB6">
        <w:rPr>
          <w:rFonts w:ascii="Verdana" w:eastAsia="Verdana" w:hAnsi="Verdana" w:cs="Verdana"/>
          <w:i/>
        </w:rPr>
        <w:t xml:space="preserve">Effect on Westminster </w:t>
      </w:r>
    </w:p>
    <w:p w:rsidR="00FB0B24" w:rsidRPr="005B5CB6" w:rsidP="001512F6">
      <w:pPr>
        <w:spacing w:after="195" w:line="250" w:lineRule="auto"/>
        <w:ind w:left="23" w:right="11" w:hanging="8"/>
        <w:jc w:val="both"/>
        <w:rPr>
          <w:rFonts w:ascii="Verdana" w:hAnsi="Verdana"/>
        </w:rPr>
      </w:pPr>
      <w:r w:rsidRPr="005B5CB6">
        <w:rPr>
          <w:rFonts w:ascii="Verdana" w:eastAsia="Verdana" w:hAnsi="Verdana" w:cs="Verdana"/>
        </w:rPr>
        <w:t xml:space="preserve"> 3.2 Research elsewhere points to </w:t>
      </w:r>
      <w:r w:rsidRPr="005B5CB6">
        <w:rPr>
          <w:rFonts w:ascii="Verdana" w:eastAsia="Verdana" w:hAnsi="Verdana" w:cs="Verdana"/>
          <w:b/>
        </w:rPr>
        <w:t>legislators changing their behaviour when they become aware of being checked or watched</w:t>
      </w:r>
      <w:r w:rsidRPr="005B5CB6">
        <w:rPr>
          <w:rFonts w:ascii="Verdana" w:eastAsia="Verdana" w:hAnsi="Verdana" w:cs="Verdana"/>
        </w:rPr>
        <w:t xml:space="preserve">, and with greater openness of their actions leading to less rebellion. There is an oft-repeated claims that TheyWorkForYou drove up the number of parliamentary questions when it was used as a proxy for an MP’s level of activity (it has since altered this). It also possible that some MPs seek to ‘strategically differentiate themselves from their </w:t>
      </w:r>
      <w:r w:rsidRPr="005B5CB6">
        <w:rPr>
          <w:rFonts w:ascii="Verdana" w:eastAsia="Verdana" w:hAnsi="Verdana" w:cs="Verdana"/>
        </w:rPr>
        <w:t>party’ and rebel as a means of ‘grandstanding’ and ‘advertising their position to constituents who likely agree with them’</w:t>
      </w:r>
      <w:r>
        <w:rPr>
          <w:rFonts w:ascii="Verdana" w:eastAsia="Verdana" w:hAnsi="Verdana" w:cs="Verdana"/>
          <w:vertAlign w:val="superscript"/>
        </w:rPr>
        <w:footnoteReference w:id="234"/>
      </w:r>
      <w:r w:rsidRPr="005B5CB6">
        <w:rPr>
          <w:rFonts w:ascii="Verdana" w:eastAsia="Verdana" w:hAnsi="Verdana" w:cs="Verdana"/>
        </w:rPr>
        <w:t xml:space="preserve">.  </w:t>
      </w:r>
    </w:p>
    <w:p w:rsidR="00FB0B24" w:rsidRPr="005B5CB6" w:rsidP="001512F6">
      <w:pPr>
        <w:spacing w:after="705" w:line="250" w:lineRule="auto"/>
        <w:ind w:left="23" w:right="11" w:hanging="8"/>
        <w:jc w:val="both"/>
        <w:rPr>
          <w:rFonts w:ascii="Verdana" w:hAnsi="Verdana"/>
        </w:rPr>
      </w:pPr>
      <w:r w:rsidRPr="005B5CB6">
        <w:rPr>
          <w:rFonts w:ascii="Verdana" w:eastAsia="Verdana" w:hAnsi="Verdana" w:cs="Verdana"/>
        </w:rPr>
        <w:t xml:space="preserve">Yet this may very much depend on who is being monitored. An MP with a small majority, or at odds with their party, may be far more sensitive to being criticised than a ‘safer’ member. Brexit has also makes the situation far more difficult, as votes and activity became more important and potentially divisive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0154" name="Group 56015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69" name="Shape 63596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45" style="height:0.72pt;mso-position-horizontal-relative:char;mso-position-vertical-relative:line;width:2in" coordsize="18288,91">
                <v:shape id="_x0000_s1246"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168" w:line="250" w:lineRule="auto"/>
        <w:ind w:left="23" w:right="11" w:hanging="8"/>
        <w:jc w:val="both"/>
        <w:rPr>
          <w:rFonts w:ascii="Verdana" w:hAnsi="Verdana"/>
        </w:rPr>
      </w:pPr>
      <w:r w:rsidRPr="005B5CB6">
        <w:rPr>
          <w:rFonts w:ascii="Verdana" w:eastAsia="Verdana" w:hAnsi="Verdana" w:cs="Verdana"/>
        </w:rPr>
        <w:t xml:space="preserve">and polarised-with MPs more greatly under threat from election but also internal de-selection.  </w:t>
      </w:r>
    </w:p>
    <w:p w:rsidR="00FB0B24" w:rsidRPr="005B5CB6" w:rsidP="001512F6">
      <w:pPr>
        <w:spacing w:after="165" w:line="249" w:lineRule="auto"/>
        <w:ind w:left="10" w:hanging="10"/>
        <w:jc w:val="both"/>
        <w:rPr>
          <w:rFonts w:ascii="Verdana" w:hAnsi="Verdana"/>
        </w:rPr>
      </w:pPr>
      <w:r w:rsidRPr="005B5CB6">
        <w:rPr>
          <w:rFonts w:ascii="Verdana" w:eastAsia="Verdana" w:hAnsi="Verdana" w:cs="Verdana"/>
          <w:i/>
        </w:rPr>
        <w:t xml:space="preserve">Effect on the public? </w:t>
      </w:r>
    </w:p>
    <w:p w:rsidR="00FB0B24" w:rsidRPr="005B5CB6" w:rsidP="001512F6">
      <w:pPr>
        <w:spacing w:after="27" w:line="250" w:lineRule="auto"/>
        <w:ind w:left="23" w:right="11" w:hanging="8"/>
        <w:jc w:val="both"/>
        <w:rPr>
          <w:rFonts w:ascii="Verdana" w:hAnsi="Verdana"/>
        </w:rPr>
      </w:pPr>
      <w:r w:rsidRPr="005B5CB6">
        <w:rPr>
          <w:rFonts w:ascii="Verdana" w:eastAsia="Verdana" w:hAnsi="Verdana" w:cs="Verdana"/>
        </w:rPr>
        <w:t xml:space="preserve">3.3 Data on what MPs do is now </w:t>
      </w:r>
      <w:r w:rsidRPr="005B5CB6">
        <w:rPr>
          <w:rFonts w:ascii="Verdana" w:eastAsia="Verdana" w:hAnsi="Verdana" w:cs="Verdana"/>
          <w:b/>
        </w:rPr>
        <w:t>more easily available and easier to disseminate</w:t>
      </w:r>
      <w:r w:rsidRPr="005B5CB6">
        <w:rPr>
          <w:rFonts w:ascii="Verdana" w:eastAsia="Verdana" w:hAnsi="Verdana" w:cs="Verdana"/>
        </w:rPr>
        <w:t>. In terms of participation, TheyWorkForYou identified some effect on those who were not interested in politics</w:t>
      </w:r>
      <w:r>
        <w:rPr>
          <w:rFonts w:ascii="Verdana" w:eastAsia="Verdana" w:hAnsi="Verdana" w:cs="Verdana"/>
          <w:vertAlign w:val="superscript"/>
        </w:rPr>
        <w:footnoteReference w:id="235"/>
      </w:r>
      <w:r w:rsidRPr="005B5CB6">
        <w:rPr>
          <w:rFonts w:ascii="Verdana" w:eastAsia="Verdana" w:hAnsi="Verdana" w:cs="Verdana"/>
        </w:rPr>
        <w:t>. Data such as on voting is regularly reported in the national and local press, and is used as a short-cut to see where they ‘stand’ on key issues or to judge their politics and honesty. The new technology has undoubtedly played a role in ‘e-expression’, with intense social media discussion of how MPs have voted now a regular occurrence, especially in relation to Brexit. Such technology also suits a new ‘postmaterial political culture’ of ‘citizen initiated campaigning’ and individualised political interaction</w:t>
      </w:r>
      <w:r>
        <w:rPr>
          <w:rFonts w:ascii="Verdana" w:eastAsia="Verdana" w:hAnsi="Verdana" w:cs="Verdana"/>
          <w:vertAlign w:val="superscript"/>
        </w:rPr>
        <w:footnoteReference w:id="236"/>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3.5 Others are less confident of the actual effects. </w:t>
      </w:r>
      <w:r w:rsidRPr="005B5CB6">
        <w:rPr>
          <w:rFonts w:ascii="Verdana" w:eastAsia="Verdana" w:hAnsi="Verdana" w:cs="Verdana"/>
          <w:b/>
        </w:rPr>
        <w:t>Much of the use of data and monitoring may rise up (and disappear) quickly with little discernible effect in a fast moving media environment</w:t>
      </w:r>
      <w:r>
        <w:rPr>
          <w:rFonts w:ascii="Verdana" w:eastAsia="Verdana" w:hAnsi="Verdana" w:cs="Verdana"/>
          <w:b/>
          <w:vertAlign w:val="superscript"/>
        </w:rPr>
        <w:footnoteReference w:id="237"/>
      </w:r>
      <w:r w:rsidRPr="005B5CB6">
        <w:rPr>
          <w:rFonts w:ascii="Verdana" w:eastAsia="Verdana" w:hAnsi="Verdana" w:cs="Verdana"/>
        </w:rPr>
        <w:t>. Though citizens are more informed as a result, the ‘complexity of public problems usually gets lost in the dramatic factoids and disconnected commentaries’. In an environment of polarisation and low trust like the UK, such revelation becomes a tool for shock exposure of individuals or an overly simple way of engaging with politics</w:t>
      </w:r>
      <w:r>
        <w:rPr>
          <w:rFonts w:ascii="Verdana" w:eastAsia="Verdana" w:hAnsi="Verdana" w:cs="Verdana"/>
          <w:vertAlign w:val="superscript"/>
        </w:rPr>
        <w:footnoteReference w:id="238"/>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169" w:line="250" w:lineRule="auto"/>
        <w:ind w:left="23" w:right="143" w:hanging="8"/>
        <w:jc w:val="both"/>
        <w:rPr>
          <w:rFonts w:ascii="Verdana" w:hAnsi="Verdana"/>
        </w:rPr>
      </w:pPr>
      <w:r w:rsidRPr="005B5CB6">
        <w:rPr>
          <w:rFonts w:ascii="Verdana" w:eastAsia="Verdana" w:hAnsi="Verdana" w:cs="Verdana"/>
        </w:rPr>
        <w:t xml:space="preserve">3.6 Moreover, </w:t>
      </w:r>
      <w:r w:rsidRPr="005B5CB6">
        <w:rPr>
          <w:rFonts w:ascii="Verdana" w:eastAsia="Verdana" w:hAnsi="Verdana" w:cs="Verdana"/>
          <w:b/>
        </w:rPr>
        <w:t>partisanship colours and shapes how technology is used</w:t>
      </w:r>
      <w:r w:rsidRPr="005B5CB6">
        <w:rPr>
          <w:rFonts w:ascii="Verdana" w:eastAsia="Verdana" w:hAnsi="Verdana" w:cs="Verdana"/>
        </w:rPr>
        <w:t>. Designers and supporters sometimes believe in a neutral ‘idealised good citizen’ but those most likely to engage are those who already have views</w:t>
      </w:r>
      <w:r>
        <w:rPr>
          <w:rFonts w:ascii="Verdana" w:eastAsia="Verdana" w:hAnsi="Verdana" w:cs="Verdana"/>
          <w:vertAlign w:val="superscript"/>
        </w:rPr>
        <w:footnoteReference w:id="239"/>
      </w:r>
      <w:r w:rsidRPr="005B5CB6">
        <w:rPr>
          <w:rFonts w:ascii="Verdana" w:eastAsia="Verdana" w:hAnsi="Verdana" w:cs="Verdana"/>
        </w:rPr>
        <w:t xml:space="preserve">. It could also be that use of the data, whether on social media or through now infamous </w:t>
      </w:r>
      <w:r w:rsidRPr="005B5CB6">
        <w:rPr>
          <w:rFonts w:ascii="Verdana" w:eastAsia="Verdana" w:hAnsi="Verdana" w:cs="Verdana"/>
        </w:rPr>
        <w:t xml:space="preserve">‘Mutineers’ headline in the Telegraph, could delegitimise or erode trust in politicians.   </w:t>
      </w:r>
    </w:p>
    <w:p w:rsidR="00FB0B24" w:rsidRPr="005B5CB6" w:rsidP="001512F6">
      <w:pPr>
        <w:spacing w:after="165" w:line="250" w:lineRule="auto"/>
        <w:ind w:left="23" w:right="11" w:hanging="8"/>
        <w:jc w:val="both"/>
        <w:rPr>
          <w:rFonts w:ascii="Verdana" w:hAnsi="Verdana"/>
        </w:rPr>
      </w:pPr>
      <w:r w:rsidRPr="005B5CB6">
        <w:rPr>
          <w:rFonts w:ascii="Verdana" w:eastAsia="Verdana" w:hAnsi="Verdana" w:cs="Verdana"/>
        </w:rPr>
        <w:t>3.7. To bring about concrete results, the new data and tools would need to have some sort of political effect. This could mean shifts in voting patterns, pressure to change or, in certain cases, attempted removal by parties or through recall laws. Here again the evidence is rather ambiguous. The MPs’ expenses scandal had little impact on voting in 2010</w:t>
      </w:r>
      <w:r>
        <w:rPr>
          <w:rFonts w:ascii="Verdana" w:eastAsia="Verdana" w:hAnsi="Verdana" w:cs="Verdana"/>
          <w:vertAlign w:val="superscript"/>
        </w:rPr>
        <w:footnoteReference w:id="240"/>
      </w:r>
      <w:r w:rsidRPr="005B5CB6">
        <w:rPr>
          <w:rFonts w:ascii="Verdana" w:eastAsia="Verdana" w:hAnsi="Verdana" w:cs="Verdana"/>
        </w:rPr>
        <w:t xml:space="preserve">.  However, two of the three uses of the new UK Recall Act 2015 were driven by exposure of expenses and register of interests data respectively, while one MP’s voting record was mention formally at least in one local party attempt to remove them (Dominic Grieve).  </w:t>
      </w:r>
    </w:p>
    <w:p w:rsidR="00FB0B24" w:rsidRPr="005B5CB6" w:rsidP="001512F6">
      <w:pPr>
        <w:spacing w:after="364" w:line="250" w:lineRule="auto"/>
        <w:ind w:left="23" w:right="11" w:hanging="8"/>
        <w:jc w:val="both"/>
        <w:rPr>
          <w:rFonts w:ascii="Verdana" w:hAnsi="Verdana"/>
        </w:rPr>
      </w:pPr>
      <w:r w:rsidRPr="005B5CB6">
        <w:rPr>
          <w:rFonts w:ascii="Verdana" w:eastAsia="Verdana" w:hAnsi="Verdana" w:cs="Verdana"/>
        </w:rPr>
        <w:t xml:space="preserve">3.8 One interesting side point is that UK voters of all kinds, when asked in 2017, all wished for better ‘informational’ reforms such as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0488" name="Group 56048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71" name="Shape 63597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47" style="height:0.72pt;mso-position-horizontal-relative:char;mso-position-vertical-relative:line;width:2in" coordsize="18288,91">
                <v:shape id="_x0000_s124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160"/>
        </w:numPr>
        <w:spacing w:after="5" w:line="250" w:lineRule="auto"/>
        <w:ind w:right="11" w:hanging="360"/>
        <w:jc w:val="both"/>
        <w:rPr>
          <w:rFonts w:ascii="Verdana" w:hAnsi="Verdana"/>
        </w:rPr>
      </w:pPr>
      <w:r w:rsidRPr="005B5CB6">
        <w:rPr>
          <w:rFonts w:ascii="Verdana" w:eastAsia="Verdana" w:hAnsi="Verdana" w:cs="Verdana"/>
        </w:rPr>
        <w:t xml:space="preserve">Making politics more transparent so that it is easier to follow  </w:t>
      </w:r>
    </w:p>
    <w:p w:rsidR="00FB0B24" w:rsidRPr="005B5CB6" w:rsidP="00575F14">
      <w:pPr>
        <w:numPr>
          <w:ilvl w:val="0"/>
          <w:numId w:val="160"/>
        </w:numPr>
        <w:spacing w:after="5" w:line="250" w:lineRule="auto"/>
        <w:ind w:right="11" w:hanging="360"/>
        <w:jc w:val="both"/>
        <w:rPr>
          <w:rFonts w:ascii="Verdana" w:hAnsi="Verdana"/>
        </w:rPr>
      </w:pPr>
      <w:r w:rsidRPr="005B5CB6">
        <w:rPr>
          <w:rFonts w:ascii="Verdana" w:eastAsia="Verdana" w:hAnsi="Verdana" w:cs="Verdana"/>
        </w:rPr>
        <w:t xml:space="preserve">Making politicians more accountable for their performance between elections </w:t>
      </w:r>
    </w:p>
    <w:p w:rsidR="00FB0B24" w:rsidRPr="005B5CB6" w:rsidP="00575F14">
      <w:pPr>
        <w:numPr>
          <w:ilvl w:val="0"/>
          <w:numId w:val="160"/>
        </w:numPr>
        <w:spacing w:after="5" w:line="250" w:lineRule="auto"/>
        <w:ind w:right="11" w:hanging="360"/>
        <w:jc w:val="both"/>
        <w:rPr>
          <w:rFonts w:ascii="Verdana" w:hAnsi="Verdana"/>
        </w:rPr>
      </w:pPr>
      <w:r w:rsidRPr="005B5CB6">
        <w:rPr>
          <w:rFonts w:ascii="Verdana" w:eastAsia="Verdana" w:hAnsi="Verdana" w:cs="Verdana"/>
        </w:rPr>
        <w:t xml:space="preserve">Better information and education about politics for all citizens  </w:t>
      </w:r>
    </w:p>
    <w:p w:rsidR="00FB0B24" w:rsidRPr="005B5CB6" w:rsidP="00575F14">
      <w:pPr>
        <w:numPr>
          <w:ilvl w:val="0"/>
          <w:numId w:val="160"/>
        </w:numPr>
        <w:spacing w:after="162" w:line="250" w:lineRule="auto"/>
        <w:ind w:right="11" w:hanging="360"/>
        <w:jc w:val="both"/>
        <w:rPr>
          <w:rFonts w:ascii="Verdana" w:hAnsi="Verdana"/>
        </w:rPr>
      </w:pPr>
      <w:r w:rsidRPr="005B5CB6">
        <w:rPr>
          <w:rFonts w:ascii="Verdana" w:eastAsia="Verdana" w:hAnsi="Verdana" w:cs="Verdana"/>
        </w:rPr>
        <w:t>Less ‘spin’ in political communication</w:t>
      </w:r>
      <w:r>
        <w:rPr>
          <w:rFonts w:ascii="Verdana" w:eastAsia="Verdana" w:hAnsi="Verdana" w:cs="Verdana"/>
          <w:vertAlign w:val="superscript"/>
        </w:rPr>
        <w:footnoteReference w:id="241"/>
      </w:r>
      <w:r w:rsidRPr="005B5CB6">
        <w:rPr>
          <w:rFonts w:ascii="Verdana" w:eastAsia="Verdana" w:hAnsi="Verdana" w:cs="Verdana"/>
        </w:rPr>
        <w:t xml:space="preserve">. </w:t>
      </w:r>
    </w:p>
    <w:p w:rsidR="00FB0B24" w:rsidRPr="005B5CB6" w:rsidP="001512F6">
      <w:pPr>
        <w:spacing w:after="154"/>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10759"/>
        <w:jc w:val="both"/>
        <w:rPr>
          <w:rFonts w:ascii="Verdana" w:hAnsi="Verdana"/>
        </w:rPr>
        <w:sectPr w:rsidSect="00D20189">
          <w:headerReference w:type="even" r:id="rId256"/>
          <w:headerReference w:type="default" r:id="rId257"/>
          <w:footerReference w:type="even" r:id="rId258"/>
          <w:footerReference w:type="default" r:id="rId259"/>
          <w:headerReference w:type="first" r:id="rId260"/>
          <w:footerReference w:type="first" r:id="rId261"/>
          <w:pgSz w:w="11906" w:h="16838"/>
          <w:pgMar w:top="1445" w:right="1441" w:bottom="1442" w:left="1440" w:header="720" w:footer="709" w:gutter="0"/>
          <w:cols w:space="720"/>
        </w:sectPr>
      </w:pPr>
    </w:p>
    <w:p w:rsidR="00FB0B24" w:rsidRPr="005B5CB6" w:rsidP="00A1624B">
      <w:pPr>
        <w:pStyle w:val="Heading1"/>
        <w:rPr>
          <w:sz w:val="22"/>
        </w:rPr>
      </w:pPr>
      <w:bookmarkStart w:id="46" w:name="_Toc44517734"/>
      <w:r w:rsidRPr="005B5CB6">
        <w:rPr>
          <w:sz w:val="22"/>
        </w:rPr>
        <w:t>Channel 4 – written evidence (DAD0055)</w:t>
      </w:r>
      <w:bookmarkEnd w:id="46"/>
      <w:r w:rsidRPr="005B5CB6">
        <w:rPr>
          <w:sz w:val="22"/>
        </w:rPr>
        <w:t xml:space="preserve"> </w:t>
      </w:r>
    </w:p>
    <w:p w:rsidR="00FB0B24" w:rsidRPr="005B5CB6" w:rsidP="00FB7D1D">
      <w:pPr>
        <w:spacing w:after="157"/>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61"/>
        </w:numPr>
        <w:spacing w:after="5" w:line="250" w:lineRule="auto"/>
        <w:ind w:hanging="360"/>
        <w:jc w:val="both"/>
        <w:rPr>
          <w:rFonts w:ascii="Verdana" w:hAnsi="Verdana"/>
        </w:rPr>
      </w:pPr>
      <w:r w:rsidRPr="005B5CB6">
        <w:rPr>
          <w:rFonts w:ascii="Verdana" w:eastAsia="Verdana" w:hAnsi="Verdana" w:cs="Verdana"/>
          <w:b/>
        </w:rPr>
        <w:t xml:space="preserve">Introduction </w:t>
      </w:r>
    </w:p>
    <w:p w:rsidR="00FB0B24" w:rsidRPr="005B5CB6" w:rsidP="00FB7D1D">
      <w:pPr>
        <w:spacing w:after="9"/>
        <w:ind w:left="361"/>
        <w:jc w:val="both"/>
        <w:rPr>
          <w:rFonts w:ascii="Verdana" w:hAnsi="Verdana"/>
        </w:rPr>
      </w:pPr>
      <w:r w:rsidRPr="005B5CB6">
        <w:rPr>
          <w:rFonts w:ascii="Verdana" w:eastAsia="Verdana" w:hAnsi="Verdana" w:cs="Verdana"/>
          <w:b/>
        </w:rPr>
        <w:t xml:space="preserve"> </w:t>
      </w:r>
    </w:p>
    <w:p w:rsidR="00FB0B24" w:rsidRPr="005B5CB6" w:rsidP="00575F14">
      <w:pPr>
        <w:numPr>
          <w:ilvl w:val="1"/>
          <w:numId w:val="161"/>
        </w:numPr>
        <w:spacing w:after="5" w:line="250" w:lineRule="auto"/>
        <w:ind w:right="11" w:hanging="720"/>
        <w:jc w:val="both"/>
        <w:rPr>
          <w:rFonts w:ascii="Verdana" w:hAnsi="Verdana"/>
        </w:rPr>
      </w:pPr>
      <w:r w:rsidRPr="005B5CB6">
        <w:rPr>
          <w:rFonts w:ascii="Verdana" w:eastAsia="Verdana" w:hAnsi="Verdana" w:cs="Verdana"/>
        </w:rPr>
        <w:t>Channel 4 welcomes the opportunity to respond to the</w:t>
      </w:r>
      <w:r w:rsidRPr="005B5CB6">
        <w:rPr>
          <w:rFonts w:ascii="Verdana" w:eastAsia="Verdana" w:hAnsi="Verdana" w:cs="Verdana"/>
          <w:b/>
        </w:rPr>
        <w:t xml:space="preserve"> </w:t>
      </w:r>
      <w:r w:rsidRPr="005B5CB6">
        <w:rPr>
          <w:rFonts w:ascii="Verdana" w:eastAsia="Verdana" w:hAnsi="Verdana" w:cs="Verdana"/>
        </w:rPr>
        <w:t>Democracy and Digital Technologies Committee’s inquiry into the impact of digital technologies on democracy.  The Internet has had a transformational effect on society and has brought with it great advantages. However, it has become increasingly apparent that, in the online world, legislation has failed to keep pace as digital platforms have grown rapidly – unchecked – despite their increasing importance and influence in our everyday and democratic lives.</w:t>
      </w:r>
      <w:r w:rsidRPr="005B5CB6">
        <w:rPr>
          <w:rFonts w:ascii="Verdana" w:eastAsia="Verdana" w:hAnsi="Verdana" w:cs="Verdana"/>
          <w:b/>
        </w:rPr>
        <w:t xml:space="preserve"> </w:t>
      </w:r>
    </w:p>
    <w:p w:rsidR="00FB0B24" w:rsidRPr="005B5CB6" w:rsidP="00FB7D1D">
      <w:pPr>
        <w:spacing w:after="9"/>
        <w:ind w:left="721"/>
        <w:jc w:val="both"/>
        <w:rPr>
          <w:rFonts w:ascii="Verdana" w:hAnsi="Verdana"/>
        </w:rPr>
      </w:pPr>
      <w:r w:rsidRPr="005B5CB6">
        <w:rPr>
          <w:rFonts w:ascii="Verdana" w:eastAsia="Verdana" w:hAnsi="Verdana" w:cs="Verdana"/>
          <w:b/>
        </w:rPr>
        <w:t xml:space="preserve"> </w:t>
      </w:r>
    </w:p>
    <w:p w:rsidR="00FB0B24" w:rsidRPr="005B5CB6" w:rsidP="00575F14">
      <w:pPr>
        <w:numPr>
          <w:ilvl w:val="1"/>
          <w:numId w:val="161"/>
        </w:numPr>
        <w:spacing w:after="5" w:line="250" w:lineRule="auto"/>
        <w:ind w:right="11" w:hanging="720"/>
        <w:jc w:val="both"/>
        <w:rPr>
          <w:rFonts w:ascii="Verdana" w:hAnsi="Verdana"/>
        </w:rPr>
      </w:pPr>
      <w:r w:rsidRPr="005B5CB6">
        <w:rPr>
          <w:rFonts w:ascii="Verdana" w:eastAsia="Verdana" w:hAnsi="Verdana" w:cs="Verdana"/>
        </w:rPr>
        <w:t xml:space="preserve">Insufficient regulation and the unchecked dominance of digital platforms have surfaced several important societal (and industry) issues and Channel 4 believes that progress has been slow and inconsistent in protecting citizens from these. This contrasts with public service broadcasting in the UK, which exists to serve society, has best in class regulation and sets a benchmark in terms of trust and standards.  Over the last few decades, the UK’s public service broadcasting (PSB) ecology has played a vital role in British public life, supporting British democratic values and culture. It continues to be a beacon for trusted impartial information, but the playing field needs to be more even to ensure that citizens are protected and so that broadcasters can compete on a fair basis.  </w:t>
      </w:r>
    </w:p>
    <w:p w:rsidR="00FB0B24" w:rsidRPr="005B5CB6" w:rsidP="00FB7D1D">
      <w:pPr>
        <w:spacing w:after="9"/>
        <w:ind w:left="721"/>
        <w:jc w:val="both"/>
        <w:rPr>
          <w:rFonts w:ascii="Verdana" w:hAnsi="Verdana"/>
        </w:rPr>
      </w:pPr>
      <w:r w:rsidRPr="005B5CB6">
        <w:rPr>
          <w:rFonts w:ascii="Verdana" w:eastAsia="Verdana" w:hAnsi="Verdana" w:cs="Verdana"/>
          <w:b/>
        </w:rPr>
        <w:t xml:space="preserve"> </w:t>
      </w:r>
    </w:p>
    <w:p w:rsidR="00FB0B24" w:rsidRPr="005B5CB6" w:rsidP="00575F14">
      <w:pPr>
        <w:numPr>
          <w:ilvl w:val="1"/>
          <w:numId w:val="161"/>
        </w:numPr>
        <w:spacing w:after="5" w:line="250" w:lineRule="auto"/>
        <w:ind w:right="11" w:hanging="720"/>
        <w:jc w:val="both"/>
        <w:rPr>
          <w:rFonts w:ascii="Verdana" w:hAnsi="Verdana"/>
        </w:rPr>
      </w:pPr>
      <w:r w:rsidRPr="005B5CB6">
        <w:rPr>
          <w:rFonts w:ascii="Verdana" w:eastAsia="Verdana" w:hAnsi="Verdana" w:cs="Verdana"/>
        </w:rPr>
        <w:t xml:space="preserve">Whilst we welcome the proposals to establish a new independent regulator for the digital economy outlined in the Government’s recent Online Harms White Paper, we also believe that these measures could be complemented further by greater support for public service broadcasting. This approach has the benefit of being more expedient than setting up the new regulator, which would likely take several years.  </w:t>
      </w:r>
      <w:r w:rsidRPr="005B5CB6">
        <w:rPr>
          <w:rFonts w:ascii="Verdana" w:eastAsia="Verdana" w:hAnsi="Verdana" w:cs="Verdana"/>
          <w:b/>
        </w:rPr>
        <w:t xml:space="preserve"> </w:t>
      </w:r>
    </w:p>
    <w:p w:rsidR="00FB0B24" w:rsidRPr="005B5CB6" w:rsidP="00FB7D1D">
      <w:pPr>
        <w:spacing w:after="0"/>
        <w:ind w:left="721"/>
        <w:jc w:val="both"/>
        <w:rPr>
          <w:rFonts w:ascii="Verdana" w:hAnsi="Verdana"/>
        </w:rPr>
      </w:pPr>
      <w:r w:rsidRPr="005B5CB6">
        <w:rPr>
          <w:rFonts w:ascii="Verdana" w:eastAsia="Verdana" w:hAnsi="Verdana" w:cs="Verdana"/>
          <w:b/>
        </w:rPr>
        <w:t xml:space="preserve"> </w:t>
      </w:r>
    </w:p>
    <w:p w:rsidR="00FB0B24" w:rsidRPr="005B5CB6" w:rsidP="00575F14">
      <w:pPr>
        <w:numPr>
          <w:ilvl w:val="0"/>
          <w:numId w:val="161"/>
        </w:numPr>
        <w:spacing w:after="5" w:line="250" w:lineRule="auto"/>
        <w:ind w:hanging="360"/>
        <w:jc w:val="both"/>
        <w:rPr>
          <w:rFonts w:ascii="Verdana" w:hAnsi="Verdana"/>
        </w:rPr>
      </w:pPr>
      <w:r w:rsidRPr="005B5CB6">
        <w:rPr>
          <w:rFonts w:ascii="Verdana" w:eastAsia="Verdana" w:hAnsi="Verdana" w:cs="Verdana"/>
          <w:b/>
        </w:rPr>
        <w:t xml:space="preserve">About Channel 4 </w:t>
      </w:r>
    </w:p>
    <w:p w:rsidR="00FB0B24" w:rsidRPr="005B5CB6" w:rsidP="00FB7D1D">
      <w:pPr>
        <w:spacing w:after="9"/>
        <w:ind w:left="360"/>
        <w:jc w:val="both"/>
        <w:rPr>
          <w:rFonts w:ascii="Verdana" w:hAnsi="Verdana"/>
        </w:rPr>
      </w:pPr>
      <w:r w:rsidRPr="005B5CB6">
        <w:rPr>
          <w:rFonts w:ascii="Verdana" w:eastAsia="Verdana" w:hAnsi="Verdana" w:cs="Verdana"/>
          <w:b/>
        </w:rPr>
        <w:t xml:space="preserve"> </w:t>
      </w:r>
    </w:p>
    <w:p w:rsidR="00FB0B24" w:rsidRPr="005B5CB6" w:rsidP="00575F14">
      <w:pPr>
        <w:numPr>
          <w:ilvl w:val="1"/>
          <w:numId w:val="161"/>
        </w:numPr>
        <w:spacing w:after="5" w:line="250" w:lineRule="auto"/>
        <w:ind w:right="11" w:hanging="720"/>
        <w:jc w:val="both"/>
        <w:rPr>
          <w:rFonts w:ascii="Verdana" w:hAnsi="Verdana"/>
        </w:rPr>
      </w:pPr>
      <w:r w:rsidRPr="005B5CB6">
        <w:rPr>
          <w:rFonts w:ascii="Verdana" w:eastAsia="Verdana" w:hAnsi="Verdana" w:cs="Verdana"/>
        </w:rPr>
        <w:t xml:space="preserve">With a mission to innovate, be diverse, present alternative views and stimulate debate, Channel 4 is required to take risks and challenge the status quo. As a publicly-owned, but entirely commercially-funded public service broadcaster (PSB), Channel 4 sits as a unique hybrid alongside the BBC, ITV and Channel 5. This model ensures that Channel 4 operates free from both commercial and political influence, as a broadcaster that is not shareholder-owned but which also operates at no cost to the public purse. Under this model, Channel 4 puts its profits back into programmes, with the ultimate objective of delivering its statutory remit and specific Ofcom licence obligations. Combined with Channel 4’s status as a publisherbroadcaster, which means all of its commissioned programmes are made </w:t>
      </w:r>
    </w:p>
    <w:p w:rsidR="00FB0B24" w:rsidRPr="005B5CB6" w:rsidP="00FB7D1D">
      <w:pPr>
        <w:spacing w:after="5" w:line="250" w:lineRule="auto"/>
        <w:ind w:left="729" w:right="11" w:hanging="8"/>
        <w:jc w:val="both"/>
        <w:rPr>
          <w:rFonts w:ascii="Verdana" w:hAnsi="Verdana"/>
        </w:rPr>
      </w:pPr>
      <w:r w:rsidRPr="005B5CB6">
        <w:rPr>
          <w:rFonts w:ascii="Verdana" w:eastAsia="Verdana" w:hAnsi="Verdana" w:cs="Verdana"/>
        </w:rPr>
        <w:t xml:space="preserve">by external production companies, Channel 4 is an agile and innovative challenger brand in the creative industries. </w:t>
      </w:r>
    </w:p>
    <w:p w:rsidR="00FB0B24" w:rsidRPr="005B5CB6" w:rsidP="00FB7D1D">
      <w:pPr>
        <w:spacing w:after="12"/>
        <w:ind w:left="721"/>
        <w:jc w:val="both"/>
        <w:rPr>
          <w:rFonts w:ascii="Verdana" w:hAnsi="Verdana"/>
        </w:rPr>
      </w:pPr>
      <w:r w:rsidRPr="005B5CB6">
        <w:rPr>
          <w:rFonts w:ascii="Verdana" w:eastAsia="Verdana" w:hAnsi="Verdana" w:cs="Verdana"/>
        </w:rPr>
        <w:t xml:space="preserve"> </w:t>
      </w:r>
    </w:p>
    <w:p w:rsidR="00FB0B24" w:rsidRPr="005B5CB6" w:rsidP="00575F14">
      <w:pPr>
        <w:numPr>
          <w:ilvl w:val="1"/>
          <w:numId w:val="161"/>
        </w:numPr>
        <w:spacing w:after="5" w:line="250" w:lineRule="auto"/>
        <w:ind w:right="11" w:hanging="720"/>
        <w:jc w:val="both"/>
        <w:rPr>
          <w:rFonts w:ascii="Verdana" w:hAnsi="Verdana"/>
        </w:rPr>
      </w:pPr>
      <w:r w:rsidRPr="005B5CB6">
        <w:rPr>
          <w:rFonts w:ascii="Verdana" w:eastAsia="Verdana" w:hAnsi="Verdana" w:cs="Verdana"/>
        </w:rPr>
        <w:t xml:space="preserve">It is important to note within the context of this specific inquiry, Channel 4’s detailed statutory public service remit includes requirements to produce high quality news and current affairs; to support and stimulate well-informed debate on a wide range of issues, including by providing access to information and views from around the world; as well as requirements to challenge established views and promote alternative views and new perspectives. </w:t>
      </w:r>
    </w:p>
    <w:p w:rsidR="00FB0B24" w:rsidRPr="005B5CB6" w:rsidP="00FB7D1D">
      <w:pPr>
        <w:spacing w:after="9"/>
        <w:ind w:left="721"/>
        <w:jc w:val="both"/>
        <w:rPr>
          <w:rFonts w:ascii="Verdana" w:hAnsi="Verdana"/>
        </w:rPr>
      </w:pPr>
      <w:r w:rsidRPr="005B5CB6">
        <w:rPr>
          <w:rFonts w:ascii="Verdana" w:eastAsia="Verdana" w:hAnsi="Verdana" w:cs="Verdana"/>
        </w:rPr>
        <w:t xml:space="preserve"> </w:t>
      </w:r>
    </w:p>
    <w:p w:rsidR="00FB0B24" w:rsidRPr="005B5CB6" w:rsidP="00575F14">
      <w:pPr>
        <w:numPr>
          <w:ilvl w:val="1"/>
          <w:numId w:val="161"/>
        </w:numPr>
        <w:spacing w:after="5" w:line="250" w:lineRule="auto"/>
        <w:ind w:right="11" w:hanging="720"/>
        <w:jc w:val="both"/>
        <w:rPr>
          <w:rFonts w:ascii="Verdana" w:hAnsi="Verdana"/>
        </w:rPr>
      </w:pPr>
      <w:r w:rsidRPr="005B5CB6">
        <w:rPr>
          <w:rFonts w:ascii="Verdana" w:eastAsia="Verdana" w:hAnsi="Verdana" w:cs="Verdana"/>
        </w:rPr>
        <w:t xml:space="preserve">In addition, whilst there have been significant changes to the UK media in recent years with the rise in digital and online, TV has remained remarkably strong and Channel 4 has had a proud history of innovation in this space. Channel 4 was the first broadcaster in the world to launch a VOD service – 4oD in 2006 – which, 12 years later, evolved into All 4. As well as being the first to launch an on-demand service, Channel 4 was also the first to register viewers online, which was launched alongside our award-winning Viewer Promise and enables us to tailor programme recommendations and deliver relevant advertising to viewers. All 4 now has over 19 million registered users including two-thirds of all 16-34 year olds in the UK, demonstrating Channel 4’s ability to reach audiences across different platforms and compete with other online services. All 4 continues to grow and digital is now a £138m a year business with 11% growth in our digital revenues last year. </w:t>
      </w:r>
    </w:p>
    <w:p w:rsidR="00FB0B24" w:rsidRPr="005B5CB6" w:rsidP="00FB7D1D">
      <w:pPr>
        <w:spacing w:after="0"/>
        <w:ind w:left="361"/>
        <w:jc w:val="both"/>
        <w:rPr>
          <w:rFonts w:ascii="Verdana" w:hAnsi="Verdana"/>
        </w:rPr>
      </w:pPr>
      <w:r w:rsidRPr="005B5CB6">
        <w:rPr>
          <w:rFonts w:ascii="Verdana" w:eastAsia="Verdana" w:hAnsi="Verdana" w:cs="Verdana"/>
          <w:b/>
        </w:rPr>
        <w:t xml:space="preserve"> </w:t>
      </w:r>
    </w:p>
    <w:p w:rsidR="00FB0B24" w:rsidRPr="005B5CB6" w:rsidP="00575F14">
      <w:pPr>
        <w:numPr>
          <w:ilvl w:val="0"/>
          <w:numId w:val="161"/>
        </w:numPr>
        <w:spacing w:after="5" w:line="250" w:lineRule="auto"/>
        <w:ind w:hanging="360"/>
        <w:jc w:val="both"/>
        <w:rPr>
          <w:rFonts w:ascii="Verdana" w:hAnsi="Verdana"/>
        </w:rPr>
      </w:pPr>
      <w:r w:rsidRPr="005B5CB6">
        <w:rPr>
          <w:rFonts w:ascii="Verdana" w:eastAsia="Verdana" w:hAnsi="Verdana" w:cs="Verdana"/>
          <w:b/>
        </w:rPr>
        <w:t xml:space="preserve">Public Service Broadcasting acts an important antidote to the negative impacts digital technologies can pose on democracy </w:t>
      </w:r>
    </w:p>
    <w:p w:rsidR="00FB0B24" w:rsidRPr="005B5CB6" w:rsidP="00FB7D1D">
      <w:pPr>
        <w:spacing w:after="12"/>
        <w:ind w:left="721"/>
        <w:jc w:val="both"/>
        <w:rPr>
          <w:rFonts w:ascii="Verdana" w:hAnsi="Verdana"/>
        </w:rPr>
      </w:pPr>
      <w:r w:rsidRPr="005B5CB6">
        <w:rPr>
          <w:rFonts w:ascii="Verdana" w:eastAsia="Verdana" w:hAnsi="Verdana" w:cs="Verdana"/>
          <w:b/>
        </w:rPr>
        <w:t xml:space="preserve"> </w:t>
      </w:r>
    </w:p>
    <w:p w:rsidR="00FB0B24" w:rsidRPr="005B5CB6" w:rsidP="00575F14">
      <w:pPr>
        <w:numPr>
          <w:ilvl w:val="1"/>
          <w:numId w:val="161"/>
        </w:numPr>
        <w:spacing w:after="5" w:line="250" w:lineRule="auto"/>
        <w:ind w:right="11" w:hanging="720"/>
        <w:jc w:val="both"/>
        <w:rPr>
          <w:rFonts w:ascii="Verdana" w:hAnsi="Verdana"/>
        </w:rPr>
      </w:pPr>
      <w:r w:rsidRPr="005B5CB6">
        <w:rPr>
          <w:rFonts w:ascii="Verdana" w:eastAsia="Verdana" w:hAnsi="Verdana" w:cs="Verdana"/>
        </w:rPr>
        <w:t>Whilst the internet has unquestionably transformed how people around the world communicate, gather information and consume educational and entertaining content, the scale and pace of this technological change has also presented many challenges due to the lack of regulation compared to traditional media. Indeed, digital technologies are overwhelmingly a force for good, but it is undeniable that they have also led to a multitude of harms of significant societal concern which have the potential to threaten our way of life in the UK.</w:t>
      </w:r>
      <w:r w:rsidRPr="005B5CB6">
        <w:rPr>
          <w:rFonts w:ascii="Verdana" w:eastAsia="Verdana" w:hAnsi="Verdana" w:cs="Verdana"/>
          <w:b/>
        </w:rPr>
        <w:t xml:space="preserve"> </w:t>
      </w:r>
    </w:p>
    <w:p w:rsidR="00FB0B24" w:rsidRPr="005B5CB6" w:rsidP="00FB7D1D">
      <w:pPr>
        <w:spacing w:after="12"/>
        <w:ind w:left="721"/>
        <w:jc w:val="both"/>
        <w:rPr>
          <w:rFonts w:ascii="Verdana" w:hAnsi="Verdana"/>
        </w:rPr>
      </w:pPr>
      <w:r w:rsidRPr="005B5CB6">
        <w:rPr>
          <w:rFonts w:ascii="Verdana" w:eastAsia="Verdana" w:hAnsi="Verdana" w:cs="Verdana"/>
          <w:b/>
        </w:rPr>
        <w:t xml:space="preserve"> </w:t>
      </w:r>
    </w:p>
    <w:p w:rsidR="00FB0B24" w:rsidRPr="005B5CB6" w:rsidP="00575F14">
      <w:pPr>
        <w:numPr>
          <w:ilvl w:val="1"/>
          <w:numId w:val="161"/>
        </w:numPr>
        <w:spacing w:after="5" w:line="250" w:lineRule="auto"/>
        <w:ind w:right="11" w:hanging="720"/>
        <w:jc w:val="both"/>
        <w:rPr>
          <w:rFonts w:ascii="Verdana" w:hAnsi="Verdana"/>
        </w:rPr>
      </w:pPr>
      <w:r w:rsidRPr="005B5CB6">
        <w:rPr>
          <w:rFonts w:ascii="Verdana" w:eastAsia="Verdana" w:hAnsi="Verdana" w:cs="Verdana"/>
        </w:rPr>
        <w:t xml:space="preserve">Information from social media networks have driven the creation of filter bubbles, where national discourse is divided and segregated into mutually reinforcing ‘echo chambers’. Political discourse is polarised and uncertain, and there are high levels of mistrust from the public on those they perceive as the elite. People are increasingly concerned about the power of technology over their lives – whether that is concerning the safety of their personal data, the integrity of their democratic elections or the impact of artificial intelligence. All of these issues mean that there is a need more than ever for national broadcasters with specific remits to provide trusted, accurate information, to hold power to account, to reflect </w:t>
      </w:r>
    </w:p>
    <w:p w:rsidR="00FB0B24" w:rsidRPr="005B5CB6" w:rsidP="00FB7D1D">
      <w:pPr>
        <w:spacing w:after="168" w:line="250" w:lineRule="auto"/>
        <w:ind w:left="729" w:right="11" w:hanging="8"/>
        <w:jc w:val="both"/>
        <w:rPr>
          <w:rFonts w:ascii="Verdana" w:hAnsi="Verdana"/>
        </w:rPr>
      </w:pPr>
      <w:r w:rsidRPr="005B5CB6">
        <w:rPr>
          <w:rFonts w:ascii="Verdana" w:eastAsia="Verdana" w:hAnsi="Verdana" w:cs="Verdana"/>
        </w:rPr>
        <w:t>Britain as it truly is and to give space to diverging voices and crucially allow them to hear each other.</w:t>
      </w:r>
      <w:r w:rsidRPr="005B5CB6">
        <w:rPr>
          <w:rFonts w:ascii="Verdana" w:eastAsia="Verdana" w:hAnsi="Verdana" w:cs="Verdana"/>
          <w:b/>
        </w:rPr>
        <w:t xml:space="preserve"> </w:t>
      </w:r>
    </w:p>
    <w:p w:rsidR="00FB0B24" w:rsidRPr="005B5CB6" w:rsidP="00FB7D1D">
      <w:pPr>
        <w:pStyle w:val="Heading2"/>
        <w:rPr>
          <w:sz w:val="22"/>
        </w:rPr>
      </w:pPr>
      <w:r w:rsidRPr="005B5CB6">
        <w:rPr>
          <w:sz w:val="22"/>
        </w:rPr>
        <w:t xml:space="preserve">Negative impact of digital technologies on public discourse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3.3</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Of particular relevance to Channel 4 as a trusted media organisation, is the proliferation of disinformation, misinformation and “fake news” which have emerged on digital platforms and the impact it can have on democracy. The Committee will be well aware of the concerns around fake news and the risks to democratic processes such as elections from digital and social media, including – to name just three – the difficulties of identifying trustworthy sources of news, the tendency for services such as YouTube and Facebook to push consumers (through recommendations, etc.) towards more extreme points of view and thereby exacerbate political polarisation, and the inability of social media services to prevent malicious operators from influencing elections or spreading outright lies. It can also damage our trust in our democratic institutions, including Parliament.</w:t>
      </w:r>
      <w:r w:rsidRPr="005B5CB6">
        <w:rPr>
          <w:rFonts w:ascii="Verdana" w:eastAsia="Verdana" w:hAnsi="Verdana" w:cs="Verdana"/>
          <w:b/>
        </w:rPr>
        <w:t xml:space="preserve"> </w:t>
      </w:r>
    </w:p>
    <w:p w:rsidR="00FB0B24" w:rsidRPr="005B5CB6" w:rsidP="00FB7D1D">
      <w:pPr>
        <w:spacing w:after="9"/>
        <w:ind w:left="721"/>
        <w:jc w:val="both"/>
        <w:rPr>
          <w:rFonts w:ascii="Verdana" w:hAnsi="Verdana"/>
        </w:rPr>
      </w:pPr>
      <w:r w:rsidRPr="005B5CB6">
        <w:rPr>
          <w:rFonts w:ascii="Verdana" w:eastAsia="Verdana" w:hAnsi="Verdana" w:cs="Verdana"/>
          <w:b/>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3.4</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One of the key concerns is the influence this could have on young people, who are increasingly consuming news through online platforms. The Reuters Institute for the Study of Journalism has shown that increasingly vast quantities of people are accessing news and information through social messaging software such as WhatsApp alongside the social media platforms such as Facebook and Twitter</w:t>
      </w:r>
      <w:r>
        <w:rPr>
          <w:rFonts w:ascii="Verdana" w:eastAsia="Verdana" w:hAnsi="Verdana" w:cs="Verdana"/>
          <w:vertAlign w:val="superscript"/>
        </w:rPr>
        <w:footnoteReference w:id="242"/>
      </w:r>
      <w:r w:rsidRPr="005B5CB6">
        <w:rPr>
          <w:rFonts w:ascii="Verdana" w:eastAsia="Verdana" w:hAnsi="Verdana" w:cs="Verdana"/>
        </w:rPr>
        <w:t>. Millennials are also more likely than previous generations to use digital devices to access news which gives them the freedom to ‘snack’ on small but frequent bits of news throughout the day that are integrated with their daily activities</w:t>
      </w:r>
      <w:r>
        <w:rPr>
          <w:rFonts w:ascii="Verdana" w:eastAsia="Verdana" w:hAnsi="Verdana" w:cs="Verdana"/>
          <w:vertAlign w:val="superscript"/>
        </w:rPr>
        <w:footnoteReference w:id="243"/>
      </w:r>
      <w:r w:rsidRPr="005B5CB6">
        <w:rPr>
          <w:rFonts w:ascii="Verdana" w:eastAsia="Verdana" w:hAnsi="Verdana" w:cs="Verdana"/>
        </w:rPr>
        <w:t xml:space="preserve">. Despite this, there is currently no regulation in place to ensure that the news they consume is accurate. </w:t>
      </w:r>
      <w:r w:rsidRPr="005B5CB6">
        <w:rPr>
          <w:rFonts w:ascii="Verdana" w:eastAsia="Verdana" w:hAnsi="Verdana" w:cs="Verdana"/>
          <w:b/>
        </w:rPr>
        <w:t xml:space="preserve"> </w:t>
      </w:r>
    </w:p>
    <w:p w:rsidR="00FB0B24" w:rsidRPr="005B5CB6" w:rsidP="00FB7D1D">
      <w:pPr>
        <w:spacing w:after="9"/>
        <w:ind w:left="721"/>
        <w:jc w:val="both"/>
        <w:rPr>
          <w:rFonts w:ascii="Verdana" w:hAnsi="Verdana"/>
        </w:rPr>
      </w:pPr>
      <w:r w:rsidRPr="005B5CB6">
        <w:rPr>
          <w:rFonts w:ascii="Verdana" w:eastAsia="Verdana" w:hAnsi="Verdana" w:cs="Verdana"/>
          <w:b/>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3.5</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Indeed, spurred on by a consumer appetite for tailored content, social media has become increasingly influential in how people access news. Yet social media platforms are able to use algorithms to tailor this content for what they believe users would like to see.</w:t>
      </w:r>
      <w:r>
        <w:rPr>
          <w:rFonts w:ascii="Verdana" w:eastAsia="Verdana" w:hAnsi="Verdana" w:cs="Verdana"/>
          <w:vertAlign w:val="superscript"/>
        </w:rPr>
        <w:footnoteReference w:id="244"/>
      </w:r>
      <w:r w:rsidRPr="005B5CB6">
        <w:rPr>
          <w:rFonts w:ascii="Verdana" w:eastAsia="Verdana" w:hAnsi="Verdana" w:cs="Verdana"/>
        </w:rPr>
        <w:t xml:space="preserve"> On sites such as Facebook and Twitter, this content can be based on information such as their interests, location and past-click behaviour or what is ‘trending’. This has led to the creation of “filter bubbles” where news feeds use algorithms that direct users to content that echoes and reinforces their own views. </w:t>
      </w:r>
      <w:r w:rsidRPr="005B5CB6">
        <w:rPr>
          <w:rFonts w:ascii="Verdana" w:eastAsia="Verdana" w:hAnsi="Verdana" w:cs="Verdana"/>
          <w:b/>
        </w:rPr>
        <w:t xml:space="preserve"> </w:t>
      </w:r>
    </w:p>
    <w:p w:rsidR="00FB0B24" w:rsidRPr="005B5CB6" w:rsidP="00FB7D1D">
      <w:pPr>
        <w:spacing w:after="9"/>
        <w:ind w:left="721"/>
        <w:jc w:val="both"/>
        <w:rPr>
          <w:rFonts w:ascii="Verdana" w:hAnsi="Verdana"/>
        </w:rPr>
      </w:pPr>
      <w:r w:rsidRPr="005B5CB6">
        <w:rPr>
          <w:rFonts w:ascii="Verdana" w:eastAsia="Verdana" w:hAnsi="Verdana" w:cs="Verdana"/>
          <w:b/>
        </w:rPr>
        <w:t xml:space="preserve"> </w:t>
      </w:r>
    </w:p>
    <w:p w:rsidR="00FB0B24" w:rsidRPr="005B5CB6" w:rsidP="00FB7D1D">
      <w:pPr>
        <w:spacing w:after="159" w:line="250" w:lineRule="auto"/>
        <w:ind w:left="735" w:right="11" w:hanging="720"/>
        <w:jc w:val="both"/>
        <w:rPr>
          <w:rFonts w:ascii="Verdana" w:hAnsi="Verdana"/>
        </w:rPr>
      </w:pPr>
      <w:r w:rsidRPr="005B5CB6">
        <w:rPr>
          <w:rFonts w:ascii="Verdana" w:eastAsia="Verdana" w:hAnsi="Verdana" w:cs="Verdana"/>
        </w:rPr>
        <w:t>3.6</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This contrasts with the UK public service broadcasters which have best in class regulation and sets a benchmark in terms of trust and standards. These broad issues also speak directly to the specific remits of the PSBs and they matter more than ever in addressing concerns about democracy, society and technology. PSBs play a vital role at the heart of British culture – helping to deliver and shape social cohesion, strengthening </w:t>
      </w:r>
    </w:p>
    <w:p w:rsidR="00FB0B24" w:rsidRPr="005B5CB6" w:rsidP="00FB7D1D">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2150" name="Group 56215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75" name="Shape 63597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49" style="height:0.72pt;mso-position-horizontal-relative:char;mso-position-vertical-relative:line;width:2in" coordsize="18288,91">
                <v:shape id="_x0000_s1250"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FB7D1D">
      <w:pPr>
        <w:spacing w:after="168" w:line="250" w:lineRule="auto"/>
        <w:ind w:left="729" w:right="11" w:hanging="8"/>
        <w:jc w:val="both"/>
        <w:rPr>
          <w:rFonts w:ascii="Verdana" w:hAnsi="Verdana"/>
        </w:rPr>
      </w:pPr>
      <w:r w:rsidRPr="005B5CB6">
        <w:rPr>
          <w:rFonts w:ascii="Verdana" w:eastAsia="Verdana" w:hAnsi="Verdana" w:cs="Verdana"/>
        </w:rPr>
        <w:t xml:space="preserve">democracy by creating a public (and transparent) space where national conversations take place and where people are exposed to different views and experiences. There is a need for national broadcasters with specific </w:t>
      </w:r>
      <w:r w:rsidRPr="005B5CB6">
        <w:rPr>
          <w:rFonts w:ascii="Verdana" w:eastAsia="Verdana" w:hAnsi="Verdana" w:cs="Verdana"/>
        </w:rPr>
        <w:t>remits to provide trusted, accurate information, to hold power to account, to reflect Britain as it truly is and to give space to diverging voices and crucially allow them to hear each other.</w:t>
      </w:r>
      <w:r w:rsidRPr="005B5CB6">
        <w:rPr>
          <w:rFonts w:ascii="Verdana" w:eastAsia="Verdana" w:hAnsi="Verdana" w:cs="Verdana"/>
          <w:b/>
        </w:rPr>
        <w:t xml:space="preserve"> </w:t>
      </w:r>
    </w:p>
    <w:p w:rsidR="00FB0B24" w:rsidRPr="005B5CB6" w:rsidP="00FB7D1D">
      <w:pPr>
        <w:pStyle w:val="Heading2"/>
        <w:rPr>
          <w:sz w:val="22"/>
        </w:rPr>
      </w:pPr>
      <w:r w:rsidRPr="005B5CB6">
        <w:rPr>
          <w:sz w:val="22"/>
        </w:rPr>
        <w:t xml:space="preserve">Importance of trusted PSB news for a well-functioning democracy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3.7</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As the Government highlights in their White Paper, maintaining a news environment where accurate content can prevail and high quality news has a sustainable future is vital to healthy democratic engagement</w:t>
      </w:r>
      <w:r>
        <w:rPr>
          <w:rFonts w:ascii="Verdana" w:eastAsia="Verdana" w:hAnsi="Verdana" w:cs="Verdana"/>
          <w:vertAlign w:val="superscript"/>
        </w:rPr>
        <w:footnoteReference w:id="245"/>
      </w:r>
      <w:r w:rsidRPr="005B5CB6">
        <w:rPr>
          <w:rFonts w:ascii="Verdana" w:eastAsia="Verdana" w:hAnsi="Verdana" w:cs="Verdana"/>
        </w:rPr>
        <w:t xml:space="preserve">. In the current social and political context, many have argued that the need for reliable and trusted news is more important now than it has been for many decades, and this makes the PSBs more important than ever as trusted sources of news. The UK is a case in point for highlighting the benefits of a sophisticated broadcasting ecology that provides trusted news. The UK system is underpinned by a strong public service broadcasting core comprising a variety of organisations with different models, missions and purposes which serve the British public with a wide range of public service programming – from the publicly owned and publicly funded BBC, through to commercial providers such as ITV and Channel 5.  </w:t>
      </w:r>
    </w:p>
    <w:p w:rsidR="00FB0B24" w:rsidRPr="005B5CB6" w:rsidP="00FB7D1D">
      <w:pPr>
        <w:spacing w:after="9"/>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3.8</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Two other elements of the UK’s public service broadcasting system underpin its world- renowned status for high-quality and trusted news. Firstly, an independent system of regulation overseen by Ofcom, with strict rules on accuracy and due impartiality and other detailed content standards as set out in Ofcom’s Broadcast Code. As broadcasters are licensed, this means that regulators have real powers to sanction those broadcasters behaving inappropriately – and indeed Ofcom have utilised this power in the past through fines and even the ultimate sanction of removing a licence to broadcast, as was the case with Press TV. Secondly, a clear set of quotas and requirements for the provision of high quality news and current affairs. </w:t>
      </w:r>
    </w:p>
    <w:p w:rsidR="00FB0B24" w:rsidRPr="005B5CB6" w:rsidP="00FB7D1D">
      <w:pPr>
        <w:spacing w:after="9"/>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3.9</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Within this, Channel 4’s distinctive public service remit, outlined above, ensures that Channel 4 News takes a different approach to news coverage than other broadcasters and is known for its risk-taking, high-impact, agenda-setting journalism. The investigative approach of Channel 4 News has an important impact in society, public life and the wider world. In 2019, Channel 4 News was recently awarded one of world's most prestigious journalism awards - a Peabody Award for News - for its undercover investigation into Cambridge Analytica, seven Royal Television </w:t>
      </w:r>
    </w:p>
    <w:p w:rsidR="00FB0B24" w:rsidRPr="005B5CB6" w:rsidP="00FB7D1D">
      <w:pPr>
        <w:spacing w:after="432" w:line="268" w:lineRule="auto"/>
        <w:ind w:left="289" w:right="166" w:hanging="10"/>
        <w:jc w:val="both"/>
        <w:rPr>
          <w:rFonts w:ascii="Verdana" w:hAnsi="Verdana"/>
        </w:rPr>
      </w:pPr>
      <w:r w:rsidRPr="005B5CB6">
        <w:rPr>
          <w:rFonts w:ascii="Verdana" w:eastAsia="Verdana" w:hAnsi="Verdana" w:cs="Verdana"/>
        </w:rPr>
        <w:t xml:space="preserve">Society Awards including programmes of the year and, last year, its third </w:t>
      </w:r>
    </w:p>
    <w:p w:rsidR="00FB0B24" w:rsidRPr="005B5CB6" w:rsidP="00FB7D1D">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0966" name="Group 56096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77" name="Shape 63597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51" style="height:0.72pt;mso-position-horizontal-relative:char;mso-position-vertical-relative:line;width:2in" coordsize="18288,91">
                <v:shape id="_x0000_s1252"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FB7D1D">
      <w:pPr>
        <w:spacing w:after="5" w:line="250" w:lineRule="auto"/>
        <w:ind w:left="729" w:right="11" w:hanging="8"/>
        <w:jc w:val="both"/>
        <w:rPr>
          <w:rFonts w:ascii="Verdana" w:hAnsi="Verdana"/>
        </w:rPr>
      </w:pPr>
      <w:r w:rsidRPr="005B5CB6">
        <w:rPr>
          <w:rFonts w:ascii="Verdana" w:eastAsia="Verdana" w:hAnsi="Verdana" w:cs="Verdana"/>
        </w:rPr>
        <w:t xml:space="preserve">International Emmy for News in five years for its coverage of the Syrian Civil War.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23" w:right="11" w:hanging="8"/>
        <w:jc w:val="both"/>
        <w:rPr>
          <w:rFonts w:ascii="Verdana" w:hAnsi="Verdana"/>
        </w:rPr>
      </w:pPr>
      <w:r w:rsidRPr="005B5CB6">
        <w:rPr>
          <w:rFonts w:ascii="Verdana" w:eastAsia="Verdana" w:hAnsi="Verdana" w:cs="Verdana"/>
        </w:rPr>
        <w:t>3.10</w:t>
      </w:r>
      <w:r w:rsidRPr="005B5CB6">
        <w:rPr>
          <w:rFonts w:ascii="Verdana" w:eastAsia="Arial" w:hAnsi="Verdana" w:cs="Arial"/>
        </w:rPr>
        <w:t xml:space="preserve"> </w:t>
      </w:r>
      <w:r w:rsidRPr="005B5CB6">
        <w:rPr>
          <w:rFonts w:ascii="Verdana" w:eastAsia="Verdana" w:hAnsi="Verdana" w:cs="Verdana"/>
        </w:rPr>
        <w:t xml:space="preserve">Reflecting its remit to innovate and challenge established views, Channel </w:t>
      </w:r>
    </w:p>
    <w:p w:rsidR="00FB0B24" w:rsidRPr="005B5CB6" w:rsidP="00FB7D1D">
      <w:pPr>
        <w:spacing w:after="5" w:line="250" w:lineRule="auto"/>
        <w:ind w:left="729" w:right="11" w:hanging="8"/>
        <w:jc w:val="both"/>
        <w:rPr>
          <w:rFonts w:ascii="Verdana" w:hAnsi="Verdana"/>
        </w:rPr>
      </w:pPr>
      <w:r w:rsidRPr="005B5CB6">
        <w:rPr>
          <w:rFonts w:ascii="Verdana" w:eastAsia="Verdana" w:hAnsi="Verdana" w:cs="Verdana"/>
        </w:rPr>
        <w:t xml:space="preserve">4 News launched the first regular source of political fact-checking in Europe with its online FactCheck blog in 2005. The tool now has a team of three full-time fact checkers focusing on the news stories, personalities and events that shape our time and has become an important resource in providing an independent, impartial and evidence-based assessment of claims made in the course of the news agenda.  </w:t>
      </w:r>
    </w:p>
    <w:p w:rsidR="00FB0B24" w:rsidRPr="005B5CB6" w:rsidP="00FB7D1D">
      <w:pPr>
        <w:spacing w:after="0"/>
        <w:ind w:left="722"/>
        <w:jc w:val="both"/>
        <w:rPr>
          <w:rFonts w:ascii="Verdana" w:hAnsi="Verdana"/>
        </w:rPr>
      </w:pPr>
      <w:r w:rsidRPr="005B5CB6">
        <w:rPr>
          <w:rFonts w:ascii="Verdana" w:eastAsia="Verdana" w:hAnsi="Verdana" w:cs="Verdana"/>
        </w:rPr>
        <w:t xml:space="preserve"> </w:t>
      </w:r>
    </w:p>
    <w:p w:rsidR="00FB0B24" w:rsidRPr="005B5CB6" w:rsidP="00FB7D1D">
      <w:pPr>
        <w:spacing w:after="37" w:line="250" w:lineRule="auto"/>
        <w:ind w:left="735" w:right="11" w:hanging="720"/>
        <w:jc w:val="both"/>
        <w:rPr>
          <w:rFonts w:ascii="Verdana" w:hAnsi="Verdana"/>
        </w:rPr>
      </w:pPr>
      <w:r w:rsidRPr="005B5CB6">
        <w:rPr>
          <w:rFonts w:ascii="Verdana" w:eastAsia="Verdana" w:hAnsi="Verdana" w:cs="Verdana"/>
        </w:rPr>
        <w:t>3.11</w:t>
      </w:r>
      <w:r w:rsidRPr="005B5CB6">
        <w:rPr>
          <w:rFonts w:ascii="Verdana" w:eastAsia="Arial" w:hAnsi="Verdana" w:cs="Arial"/>
        </w:rPr>
        <w:t xml:space="preserve"> </w:t>
      </w:r>
      <w:r w:rsidRPr="005B5CB6">
        <w:rPr>
          <w:rFonts w:ascii="Verdana" w:eastAsia="Verdana" w:hAnsi="Verdana" w:cs="Verdana"/>
        </w:rPr>
        <w:t>Viewers recognise the value of the PSBs’ news services: Channel 4’s longrunning audience survey of viewer perceptions of the independence of TV news (reported each year in its Annual Report) shows that, in 2018, the main news programmes on the BBC, ITV, Channel 4, Channel 5 and Sky all registered substantial increases in their scores for being independent from the government and from the influence of big businesses. Channel 4 News was the most highly regarded TV news provider across the two metrics, with its highest ever scores: 91% of its regular viewers regarded it as being independent from the government, and 88% of regular viewers agreed that it is independent from the influence of big businesses. Reuters Institute found that of the four most trusted news brands in the UK, three were from the PSBs</w:t>
      </w:r>
      <w:r>
        <w:rPr>
          <w:rFonts w:ascii="Verdana" w:eastAsia="Verdana" w:hAnsi="Verdana" w:cs="Verdana"/>
          <w:vertAlign w:val="superscript"/>
        </w:rPr>
        <w:footnoteReference w:id="246"/>
      </w:r>
      <w:r w:rsidRPr="005B5CB6">
        <w:rPr>
          <w:rFonts w:ascii="Verdana" w:eastAsia="Verdana" w:hAnsi="Verdana" w:cs="Verdana"/>
        </w:rPr>
        <w:t>. Ofcom’s 2018 News Consumption report shows that across four measures – high quality, accurate, trustworthy and impartial – TV scores ahead of radio, newspapers, other internet and social media</w:t>
      </w:r>
      <w:r>
        <w:rPr>
          <w:rFonts w:ascii="Verdana" w:eastAsia="Verdana" w:hAnsi="Verdana" w:cs="Verdana"/>
          <w:vertAlign w:val="superscript"/>
        </w:rPr>
        <w:footnoteReference w:id="247"/>
      </w:r>
      <w:r w:rsidRPr="005B5CB6">
        <w:rPr>
          <w:rFonts w:ascii="Verdana" w:eastAsia="Verdana" w:hAnsi="Verdana" w:cs="Verdana"/>
        </w:rPr>
        <w:t xml:space="preserve">.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FB7D1D">
      <w:pPr>
        <w:spacing w:after="168" w:line="250" w:lineRule="auto"/>
        <w:ind w:left="735" w:right="11" w:hanging="720"/>
        <w:jc w:val="both"/>
        <w:rPr>
          <w:rFonts w:ascii="Verdana" w:hAnsi="Verdana"/>
        </w:rPr>
      </w:pPr>
      <w:r w:rsidRPr="005B5CB6">
        <w:rPr>
          <w:rFonts w:ascii="Verdana" w:eastAsia="Verdana" w:hAnsi="Verdana" w:cs="Verdana"/>
        </w:rPr>
        <w:t>3.12</w:t>
      </w:r>
      <w:r w:rsidRPr="005B5CB6">
        <w:rPr>
          <w:rFonts w:ascii="Verdana" w:eastAsia="Arial" w:hAnsi="Verdana" w:cs="Arial"/>
        </w:rPr>
        <w:t xml:space="preserve"> </w:t>
      </w:r>
      <w:r w:rsidRPr="005B5CB6">
        <w:rPr>
          <w:rFonts w:ascii="Verdana" w:eastAsia="Verdana" w:hAnsi="Verdana" w:cs="Verdana"/>
        </w:rPr>
        <w:t>It is therefore not surprising that research conducted by YouGov in 2018</w:t>
      </w:r>
      <w:r>
        <w:rPr>
          <w:rFonts w:ascii="Verdana" w:eastAsia="Verdana" w:hAnsi="Verdana" w:cs="Verdana"/>
          <w:vertAlign w:val="superscript"/>
        </w:rPr>
        <w:footnoteReference w:id="248"/>
      </w:r>
      <w:r w:rsidRPr="005B5CB6">
        <w:rPr>
          <w:rFonts w:ascii="Verdana" w:eastAsia="Verdana" w:hAnsi="Verdana" w:cs="Verdana"/>
        </w:rPr>
        <w:t xml:space="preserve"> showed that half of 16-34s state they would head to traditional TV when they want video content that can widen their world view, and that TV is also the most cited medium for young audiences to go to when they are looking for content that makes them think about subjects differently. Separate research found that the PSBs are selected three times more by 18-34s than Netflix, Facebook or YouTube for providing trustworthy, accurate information about subjects, and that 42% of 18-34s state they would go to a PSB news source first to get their news, versus 13% that would go to a newspaper. For these reasons, the PSBs remain highly relevant, and will continue to do so in the future. </w:t>
      </w:r>
    </w:p>
    <w:p w:rsidR="00FB0B24" w:rsidRPr="005B5CB6" w:rsidP="00FB7D1D">
      <w:pPr>
        <w:pStyle w:val="Heading2"/>
        <w:rPr>
          <w:sz w:val="22"/>
        </w:rPr>
      </w:pPr>
      <w:r w:rsidRPr="005B5CB6">
        <w:rPr>
          <w:sz w:val="22"/>
        </w:rPr>
        <w:t xml:space="preserve">Importance of other PSB content for a well-functioning democracy </w:t>
      </w:r>
    </w:p>
    <w:p w:rsidR="00FB0B24" w:rsidRPr="005B5CB6" w:rsidP="00FB7D1D">
      <w:pPr>
        <w:spacing w:after="276" w:line="250" w:lineRule="auto"/>
        <w:ind w:left="735" w:right="11" w:hanging="720"/>
        <w:jc w:val="both"/>
        <w:rPr>
          <w:rFonts w:ascii="Verdana" w:hAnsi="Verdana"/>
        </w:rPr>
      </w:pPr>
      <w:r w:rsidRPr="005B5CB6">
        <w:rPr>
          <w:rFonts w:ascii="Verdana" w:eastAsia="Verdana" w:hAnsi="Verdana" w:cs="Verdana"/>
        </w:rPr>
        <w:t>3.13</w:t>
      </w:r>
      <w:r w:rsidRPr="005B5CB6">
        <w:rPr>
          <w:rFonts w:ascii="Verdana" w:eastAsia="Arial" w:hAnsi="Verdana" w:cs="Arial"/>
        </w:rPr>
        <w:t xml:space="preserve"> </w:t>
      </w:r>
      <w:r w:rsidRPr="005B5CB6">
        <w:rPr>
          <w:rFonts w:ascii="Verdana" w:eastAsia="Verdana" w:hAnsi="Verdana" w:cs="Verdana"/>
        </w:rPr>
        <w:t xml:space="preserve">In addition to news, public service broadcasters deliver public value across other formats and genres and play a role in responding creatively to political discourse, wider national debates and public policy trends. From the BBC’s </w:t>
      </w:r>
      <w:r w:rsidRPr="005B5CB6">
        <w:rPr>
          <w:rFonts w:ascii="Verdana" w:eastAsia="Verdana" w:hAnsi="Verdana" w:cs="Verdana"/>
          <w:i/>
        </w:rPr>
        <w:t>Cathy Comes Home</w:t>
      </w:r>
      <w:r w:rsidRPr="005B5CB6">
        <w:rPr>
          <w:rFonts w:ascii="Verdana" w:eastAsia="Verdana" w:hAnsi="Verdana" w:cs="Verdana"/>
        </w:rPr>
        <w:t xml:space="preserve"> which caused a national debate on homelessness through to Channel 4’s ground-breaking portrayal of gay </w:t>
      </w:r>
    </w:p>
    <w:p w:rsidR="00FB0B24" w:rsidRPr="005B5CB6" w:rsidP="00FB7D1D">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1817" name="Group 56181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79" name="Shape 63597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53" style="height:0.72pt;mso-position-horizontal-relative:char;mso-position-vertical-relative:line;width:2in" coordsize="18288,91">
                <v:shape id="_x0000_s1254"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FB7D1D">
      <w:pPr>
        <w:spacing w:after="5" w:line="250" w:lineRule="auto"/>
        <w:ind w:left="729" w:right="11" w:hanging="8"/>
        <w:jc w:val="both"/>
        <w:rPr>
          <w:rFonts w:ascii="Verdana" w:hAnsi="Verdana"/>
        </w:rPr>
      </w:pPr>
      <w:r w:rsidRPr="005B5CB6">
        <w:rPr>
          <w:rFonts w:ascii="Verdana" w:eastAsia="Verdana" w:hAnsi="Verdana" w:cs="Verdana"/>
        </w:rPr>
        <w:t xml:space="preserve">characters in shows such as </w:t>
      </w:r>
      <w:r w:rsidRPr="005B5CB6">
        <w:rPr>
          <w:rFonts w:ascii="Verdana" w:eastAsia="Verdana" w:hAnsi="Verdana" w:cs="Verdana"/>
          <w:i/>
        </w:rPr>
        <w:t>Brookside</w:t>
      </w:r>
      <w:r w:rsidRPr="005B5CB6">
        <w:rPr>
          <w:rFonts w:ascii="Verdana" w:eastAsia="Verdana" w:hAnsi="Verdana" w:cs="Verdana"/>
        </w:rPr>
        <w:t xml:space="preserve"> or </w:t>
      </w:r>
      <w:r w:rsidRPr="005B5CB6">
        <w:rPr>
          <w:rFonts w:ascii="Verdana" w:eastAsia="Verdana" w:hAnsi="Verdana" w:cs="Verdana"/>
          <w:i/>
        </w:rPr>
        <w:t>Queer As Folk</w:t>
      </w:r>
      <w:r w:rsidRPr="005B5CB6">
        <w:rPr>
          <w:rFonts w:ascii="Verdana" w:eastAsia="Verdana" w:hAnsi="Verdana" w:cs="Verdana"/>
        </w:rPr>
        <w:t xml:space="preserve"> at a time when homosexuality was not widely accepted in society. More recently, the BBC’s </w:t>
      </w:r>
      <w:r w:rsidRPr="005B5CB6">
        <w:rPr>
          <w:rFonts w:ascii="Verdana" w:eastAsia="Verdana" w:hAnsi="Verdana" w:cs="Verdana"/>
          <w:i/>
        </w:rPr>
        <w:t>Blue Planet</w:t>
      </w:r>
      <w:r w:rsidRPr="005B5CB6">
        <w:rPr>
          <w:rFonts w:ascii="Verdana" w:eastAsia="Verdana" w:hAnsi="Verdana" w:cs="Verdana"/>
        </w:rPr>
        <w:t xml:space="preserve"> has led to widespread campaigns to address the issues of plastic </w:t>
      </w:r>
      <w:r w:rsidRPr="005B5CB6">
        <w:rPr>
          <w:rFonts w:ascii="Verdana" w:eastAsia="Verdana" w:hAnsi="Verdana" w:cs="Verdana"/>
        </w:rPr>
        <w:t xml:space="preserve">pollution in our natural environment and programmes. Programmes such as these show that the PSBs are the places for public conversations on the important political and social issues of the day.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3.14</w:t>
      </w:r>
      <w:r w:rsidRPr="005B5CB6">
        <w:rPr>
          <w:rFonts w:ascii="Verdana" w:eastAsia="Arial" w:hAnsi="Verdana" w:cs="Arial"/>
        </w:rPr>
        <w:t xml:space="preserve"> </w:t>
      </w:r>
      <w:r w:rsidRPr="005B5CB6">
        <w:rPr>
          <w:rFonts w:ascii="Verdana" w:eastAsia="Verdana" w:hAnsi="Verdana" w:cs="Verdana"/>
        </w:rPr>
        <w:t xml:space="preserve">Channel 4 has sought to host these kinds of discussions ever more prominently over the last 12 months, from the social and political issues examined in dramas such as </w:t>
      </w:r>
      <w:r w:rsidRPr="005B5CB6">
        <w:rPr>
          <w:rFonts w:ascii="Verdana" w:eastAsia="Verdana" w:hAnsi="Verdana" w:cs="Verdana"/>
          <w:i/>
        </w:rPr>
        <w:t>Hollyoaks</w:t>
      </w:r>
      <w:r w:rsidRPr="005B5CB6">
        <w:rPr>
          <w:rFonts w:ascii="Verdana" w:eastAsia="Verdana" w:hAnsi="Verdana" w:cs="Verdana"/>
        </w:rPr>
        <w:t xml:space="preserve"> and </w:t>
      </w:r>
      <w:r w:rsidRPr="005B5CB6">
        <w:rPr>
          <w:rFonts w:ascii="Verdana" w:eastAsia="Verdana" w:hAnsi="Verdana" w:cs="Verdana"/>
          <w:i/>
        </w:rPr>
        <w:t>Brexit: The Uncivil War</w:t>
      </w:r>
      <w:r w:rsidRPr="005B5CB6">
        <w:rPr>
          <w:rFonts w:ascii="Verdana" w:eastAsia="Verdana" w:hAnsi="Verdana" w:cs="Verdana"/>
        </w:rPr>
        <w:t xml:space="preserve">; from the reflection of modern Britain in shows such as </w:t>
      </w:r>
      <w:r w:rsidRPr="005B5CB6">
        <w:rPr>
          <w:rFonts w:ascii="Verdana" w:eastAsia="Verdana" w:hAnsi="Verdana" w:cs="Verdana"/>
          <w:i/>
        </w:rPr>
        <w:t>Gogglebox</w:t>
      </w:r>
      <w:r w:rsidRPr="005B5CB6">
        <w:rPr>
          <w:rFonts w:ascii="Verdana" w:eastAsia="Verdana" w:hAnsi="Verdana" w:cs="Verdana"/>
        </w:rPr>
        <w:t xml:space="preserve"> and </w:t>
      </w:r>
      <w:r w:rsidRPr="005B5CB6">
        <w:rPr>
          <w:rFonts w:ascii="Verdana" w:eastAsia="Verdana" w:hAnsi="Verdana" w:cs="Verdana"/>
          <w:i/>
        </w:rPr>
        <w:t>Great British Bake Off</w:t>
      </w:r>
      <w:r w:rsidRPr="005B5CB6">
        <w:rPr>
          <w:rFonts w:ascii="Verdana" w:eastAsia="Verdana" w:hAnsi="Verdana" w:cs="Verdana"/>
        </w:rPr>
        <w:t xml:space="preserve"> to the regional representation in </w:t>
      </w:r>
      <w:r w:rsidRPr="005B5CB6">
        <w:rPr>
          <w:rFonts w:ascii="Verdana" w:eastAsia="Verdana" w:hAnsi="Verdana" w:cs="Verdana"/>
          <w:i/>
        </w:rPr>
        <w:t>Derry Girls</w:t>
      </w:r>
      <w:r w:rsidRPr="005B5CB6">
        <w:rPr>
          <w:rFonts w:ascii="Verdana" w:eastAsia="Verdana" w:hAnsi="Verdana" w:cs="Verdana"/>
        </w:rPr>
        <w:t xml:space="preserve"> and </w:t>
      </w:r>
      <w:r w:rsidRPr="005B5CB6">
        <w:rPr>
          <w:rFonts w:ascii="Verdana" w:eastAsia="Verdana" w:hAnsi="Verdana" w:cs="Verdana"/>
          <w:i/>
        </w:rPr>
        <w:t>Ackley Bridge</w:t>
      </w:r>
      <w:r w:rsidRPr="005B5CB6">
        <w:rPr>
          <w:rFonts w:ascii="Verdana" w:eastAsia="Verdana" w:hAnsi="Verdana" w:cs="Verdana"/>
        </w:rPr>
        <w:t xml:space="preserve">, Film4’s vital investment in British independent feature film such as the Oscar-winning </w:t>
      </w:r>
      <w:r w:rsidRPr="005B5CB6">
        <w:rPr>
          <w:rFonts w:ascii="Verdana" w:eastAsia="Verdana" w:hAnsi="Verdana" w:cs="Verdana"/>
          <w:i/>
        </w:rPr>
        <w:t>Three Billboards Outside Ebbing</w:t>
      </w:r>
      <w:r w:rsidRPr="005B5CB6">
        <w:rPr>
          <w:rFonts w:ascii="Verdana" w:eastAsia="Verdana" w:hAnsi="Verdana" w:cs="Verdana"/>
        </w:rPr>
        <w:t xml:space="preserve">, </w:t>
      </w:r>
      <w:r w:rsidRPr="005B5CB6">
        <w:rPr>
          <w:rFonts w:ascii="Verdana" w:eastAsia="Verdana" w:hAnsi="Verdana" w:cs="Verdana"/>
          <w:i/>
        </w:rPr>
        <w:t>Missouri</w:t>
      </w:r>
      <w:r w:rsidRPr="005B5CB6">
        <w:rPr>
          <w:rFonts w:ascii="Verdana" w:eastAsia="Verdana" w:hAnsi="Verdana" w:cs="Verdana"/>
        </w:rPr>
        <w:t xml:space="preserve"> and </w:t>
      </w:r>
      <w:r w:rsidRPr="005B5CB6">
        <w:rPr>
          <w:rFonts w:ascii="Verdana" w:eastAsia="Verdana" w:hAnsi="Verdana" w:cs="Verdana"/>
          <w:i/>
        </w:rPr>
        <w:t xml:space="preserve">The Favourite </w:t>
      </w:r>
      <w:r w:rsidRPr="005B5CB6">
        <w:rPr>
          <w:rFonts w:ascii="Verdana" w:eastAsia="Verdana" w:hAnsi="Verdana" w:cs="Verdana"/>
        </w:rPr>
        <w:t xml:space="preserve">through to our pioneering sports coverage of the </w:t>
      </w:r>
      <w:r w:rsidRPr="005B5CB6">
        <w:rPr>
          <w:rFonts w:ascii="Verdana" w:eastAsia="Verdana" w:hAnsi="Verdana" w:cs="Verdana"/>
          <w:i/>
        </w:rPr>
        <w:t>Paralympics</w:t>
      </w:r>
      <w:r w:rsidRPr="005B5CB6">
        <w:rPr>
          <w:rFonts w:ascii="Verdana" w:eastAsia="Verdana" w:hAnsi="Verdana" w:cs="Verdana"/>
        </w:rPr>
        <w:t xml:space="preserve">. Clearly, PSBs are as important now as they have ever been in terms of informing our understanding of the world and providing a space for national debates.  </w:t>
      </w:r>
    </w:p>
    <w:p w:rsidR="00FB0B24" w:rsidRPr="005B5CB6" w:rsidP="00FB7D1D">
      <w:pPr>
        <w:ind w:left="722"/>
        <w:jc w:val="both"/>
        <w:rPr>
          <w:rFonts w:ascii="Verdana" w:hAnsi="Verdana"/>
        </w:rPr>
      </w:pPr>
      <w:r w:rsidRPr="005B5CB6">
        <w:rPr>
          <w:rFonts w:ascii="Verdana" w:eastAsia="Verdana" w:hAnsi="Verdana" w:cs="Verdana"/>
        </w:rPr>
        <w:t xml:space="preserve"> </w:t>
      </w:r>
    </w:p>
    <w:p w:rsidR="00FB0B24" w:rsidRPr="005B5CB6" w:rsidP="00FB7D1D">
      <w:pPr>
        <w:pStyle w:val="Heading2"/>
        <w:rPr>
          <w:sz w:val="22"/>
        </w:rPr>
      </w:pPr>
      <w:r w:rsidRPr="005B5CB6">
        <w:rPr>
          <w:sz w:val="22"/>
        </w:rPr>
        <w:t xml:space="preserve">How we encourage democratic debate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3.15</w:t>
      </w:r>
      <w:r w:rsidRPr="005B5CB6">
        <w:rPr>
          <w:rFonts w:ascii="Verdana" w:eastAsia="Arial" w:hAnsi="Verdana" w:cs="Arial"/>
        </w:rPr>
        <w:t xml:space="preserve"> </w:t>
      </w:r>
      <w:r w:rsidRPr="005B5CB6">
        <w:rPr>
          <w:rFonts w:ascii="Verdana" w:eastAsia="Verdana" w:hAnsi="Verdana" w:cs="Verdana"/>
        </w:rPr>
        <w:t xml:space="preserve">When it comes to covering the major political events of our time specifically, Channel 4 has sought to explore new ways to bring elections to life. Particularly for younger audiences with the goal of enabling voters to make informed decisions. Our programming in the run -up to the 2017 General Election combined tough - talking current affairs with comedy and entertainment to engage viewers and stimulate debate on the big issues. The centrepiece of our pre -election coverage was </w:t>
      </w:r>
      <w:r w:rsidRPr="005B5CB6">
        <w:rPr>
          <w:rFonts w:ascii="Verdana" w:eastAsia="Verdana" w:hAnsi="Verdana" w:cs="Verdana"/>
          <w:i/>
        </w:rPr>
        <w:t>May vs Corbyn Live: The Battle for Number 10</w:t>
      </w:r>
      <w:r w:rsidRPr="005B5CB6">
        <w:rPr>
          <w:rFonts w:ascii="Verdana" w:eastAsia="Verdana" w:hAnsi="Verdana" w:cs="Verdana"/>
        </w:rPr>
        <w:t xml:space="preserve">, in which Jeremy Paxman interviewed the chief contenders for Prime Minister. The programme succeeded in informing and engaging viewers, particular younger ones amongst whom the propensity to vote proved especially important in this election. It reached a total of 5.3 million viewers over its 90 minutes on Channel 4. Viewing share was a substantial 40% above slot average for 16 -34 -year -olds. Research conducted after the programme aired found that the majority of 18 -24 -year - old viewers felt more engaged with the General Election after watching the programme. 69% of them said that they felt more informed about the Labour and Conservative policies. Furthermore, 20% of 18 -24 -year - olds stated that they were more likely to go out and vote having watched the programme.  </w:t>
      </w:r>
    </w:p>
    <w:p w:rsidR="00FB0B24" w:rsidRPr="005B5CB6" w:rsidP="00FB7D1D">
      <w:pPr>
        <w:spacing w:after="0"/>
        <w:ind w:left="723"/>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3.16</w:t>
      </w:r>
      <w:r w:rsidRPr="005B5CB6">
        <w:rPr>
          <w:rFonts w:ascii="Verdana" w:eastAsia="Arial" w:hAnsi="Verdana" w:cs="Arial"/>
        </w:rPr>
        <w:t xml:space="preserve"> </w:t>
      </w:r>
      <w:r w:rsidRPr="005B5CB6">
        <w:rPr>
          <w:rFonts w:ascii="Verdana" w:eastAsia="Verdana" w:hAnsi="Verdana" w:cs="Verdana"/>
        </w:rPr>
        <w:t xml:space="preserve">As the UK has moved closer to leaving the European Union, Channel 4 has commissioned a range of Brexit-related programmes that has sought to explain, uncover and challenge. With calls growing louder for a second Brexit referendum, in November 2018 Channel 4 commissioned an exclusive poll to uncover the British public’s views revealed in </w:t>
      </w:r>
      <w:r w:rsidRPr="005B5CB6">
        <w:rPr>
          <w:rFonts w:ascii="Verdana" w:eastAsia="Verdana" w:hAnsi="Verdana" w:cs="Verdana"/>
          <w:i/>
        </w:rPr>
        <w:t>Brexit: What the Nation Really Thinks</w:t>
      </w:r>
      <w:r w:rsidRPr="005B5CB6">
        <w:rPr>
          <w:rFonts w:ascii="Verdana" w:eastAsia="Verdana" w:hAnsi="Verdana" w:cs="Verdana"/>
        </w:rPr>
        <w:t xml:space="preserve">. The survey, conducted by Survation among 20,000 people from every constituency in Britain, was the largest independent survey on public opinion on Brexit since the referendum. Pulling in 1.3 million viewers, the debate stimulated important and insightful discussion during a particularly politically-charged period. This programme was followed up by </w:t>
      </w:r>
      <w:r w:rsidRPr="005B5CB6">
        <w:rPr>
          <w:rFonts w:ascii="Verdana" w:eastAsia="Verdana" w:hAnsi="Verdana" w:cs="Verdana"/>
          <w:i/>
        </w:rPr>
        <w:t>The Real Brexit Debate</w:t>
      </w:r>
      <w:r w:rsidRPr="005B5CB6">
        <w:rPr>
          <w:rFonts w:ascii="Verdana" w:eastAsia="Verdana" w:hAnsi="Verdana" w:cs="Verdana"/>
        </w:rPr>
        <w:t xml:space="preserve"> in December 2018. Just days before MPs were given a ‘meaningful vote’ on Brexit in Parliament, </w:t>
      </w:r>
      <w:r w:rsidRPr="005B5CB6">
        <w:rPr>
          <w:rFonts w:ascii="Verdana" w:eastAsia="Verdana" w:hAnsi="Verdana" w:cs="Verdana"/>
        </w:rPr>
        <w:t xml:space="preserve">the live, hour-long programme brought together four highprofile politicians to debate the realistic options remaining for the UK. In addition, Channel 4 News has produced a series of in-depth, intellectuallyrigorous animated videos – specifically aimed at young people – to break down the most complicated political process of their lifetime. These have performed strongly: one of the explainers is the single most-watched piece of news content about Brexit on YouTube, watched by 1.5 million people under the age of 34.  </w:t>
      </w:r>
      <w:r w:rsidRPr="005B5CB6">
        <w:rPr>
          <w:rFonts w:ascii="Verdana" w:eastAsia="Verdana" w:hAnsi="Verdana" w:cs="Verdana"/>
          <w:i/>
        </w:rPr>
        <w:t xml:space="preserve"> </w:t>
      </w:r>
    </w:p>
    <w:p w:rsidR="00FB0B24" w:rsidRPr="005B5CB6" w:rsidP="00FB7D1D">
      <w:pPr>
        <w:spacing w:after="0"/>
        <w:ind w:left="722"/>
        <w:jc w:val="both"/>
        <w:rPr>
          <w:rFonts w:ascii="Verdana" w:hAnsi="Verdana"/>
        </w:rPr>
      </w:pPr>
      <w:r w:rsidRPr="005B5CB6">
        <w:rPr>
          <w:rFonts w:ascii="Verdana" w:eastAsia="Verdana" w:hAnsi="Verdana" w:cs="Verdana"/>
          <w:i/>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3.17</w:t>
      </w:r>
      <w:r w:rsidRPr="005B5CB6">
        <w:rPr>
          <w:rFonts w:ascii="Verdana" w:eastAsia="Arial" w:hAnsi="Verdana" w:cs="Arial"/>
        </w:rPr>
        <w:t xml:space="preserve"> </w:t>
      </w:r>
      <w:r w:rsidRPr="005B5CB6">
        <w:rPr>
          <w:rFonts w:ascii="Verdana" w:eastAsia="Verdana" w:hAnsi="Verdana" w:cs="Verdana"/>
        </w:rPr>
        <w:t xml:space="preserve">So far for 2019, Brexit and political debate programming and Channel 4 News specials have reached 5.7m people, equating to 9.4% of the TV population. In July, as the race to be the UK's next Prime Minister was heating up, Krishnan Guru-Murthy hosted a live debate between the main challengers, who faced a studio audience drawn from across the country in </w:t>
      </w:r>
      <w:r w:rsidRPr="005B5CB6">
        <w:rPr>
          <w:rFonts w:ascii="Verdana" w:eastAsia="Verdana" w:hAnsi="Verdana" w:cs="Verdana"/>
          <w:i/>
        </w:rPr>
        <w:t>Live: Britain's Next PM - The C4 Debate</w:t>
      </w:r>
      <w:r w:rsidRPr="005B5CB6">
        <w:rPr>
          <w:rFonts w:ascii="Verdana" w:eastAsia="Verdana" w:hAnsi="Verdana" w:cs="Verdana"/>
        </w:rPr>
        <w:t xml:space="preserve">. This was met with widespread press coverage the following day and pulled in the largest audience of all Brexit and Political debates this year, with 1.4m people watching. This was up a notable +60% for share compared to its slot average – with BAME share up a significant 233%. Most recently, in September, </w:t>
      </w:r>
      <w:r w:rsidRPr="005B5CB6">
        <w:rPr>
          <w:rFonts w:ascii="Verdana" w:eastAsia="Verdana" w:hAnsi="Verdana" w:cs="Verdana"/>
          <w:i/>
        </w:rPr>
        <w:t xml:space="preserve">Brexit </w:t>
      </w:r>
    </w:p>
    <w:p w:rsidR="00FB0B24" w:rsidRPr="005B5CB6" w:rsidP="00FB7D1D">
      <w:pPr>
        <w:spacing w:after="168" w:line="250" w:lineRule="auto"/>
        <w:ind w:left="730" w:right="11" w:hanging="8"/>
        <w:jc w:val="both"/>
        <w:rPr>
          <w:rFonts w:ascii="Verdana" w:hAnsi="Verdana"/>
        </w:rPr>
      </w:pPr>
      <w:r w:rsidRPr="005B5CB6">
        <w:rPr>
          <w:rFonts w:ascii="Verdana" w:eastAsia="Verdana" w:hAnsi="Verdana" w:cs="Verdana"/>
          <w:i/>
        </w:rPr>
        <w:t xml:space="preserve">Debate: A Very British Coup?, </w:t>
      </w:r>
      <w:r w:rsidRPr="005B5CB6">
        <w:rPr>
          <w:rFonts w:ascii="Verdana" w:eastAsia="Verdana" w:hAnsi="Verdana" w:cs="Verdana"/>
        </w:rPr>
        <w:t xml:space="preserve">which once again saw Krishnan GuruMurthy present a live studio debate this time on the Brexit crisis and the prorogation of Parliament reached over 2m viewers. In terms of performance, all Brexit programming have exceeded their slot averages for both volume and share – across almost all demographics. </w:t>
      </w:r>
    </w:p>
    <w:p w:rsidR="00FB0B24" w:rsidRPr="005B5CB6" w:rsidP="00FB7D1D">
      <w:pPr>
        <w:spacing w:after="159"/>
        <w:ind w:left="2"/>
        <w:jc w:val="both"/>
        <w:rPr>
          <w:rFonts w:ascii="Verdana" w:hAnsi="Verdana"/>
        </w:rPr>
      </w:pPr>
      <w:r w:rsidRPr="005B5CB6">
        <w:rPr>
          <w:rFonts w:ascii="Verdana" w:eastAsia="Verdana" w:hAnsi="Verdana" w:cs="Verdana"/>
        </w:rPr>
        <w:t xml:space="preserve"> </w:t>
      </w:r>
    </w:p>
    <w:p w:rsidR="00FB0B24" w:rsidRPr="005B5CB6" w:rsidP="00FB7D1D">
      <w:pPr>
        <w:spacing w:after="161"/>
        <w:ind w:left="722"/>
        <w:jc w:val="both"/>
        <w:rPr>
          <w:rFonts w:ascii="Verdana" w:hAnsi="Verdana"/>
        </w:rPr>
      </w:pPr>
      <w:r w:rsidRPr="005B5CB6">
        <w:rPr>
          <w:rFonts w:ascii="Verdana" w:eastAsia="Verdana" w:hAnsi="Verdana" w:cs="Verdana"/>
        </w:rPr>
        <w:t xml:space="preserve"> </w:t>
      </w:r>
    </w:p>
    <w:p w:rsidR="00FB0B24" w:rsidRPr="005B5CB6" w:rsidP="00FB7D1D">
      <w:pPr>
        <w:pStyle w:val="Heading2"/>
        <w:rPr>
          <w:sz w:val="22"/>
        </w:rPr>
      </w:pPr>
      <w:r w:rsidRPr="005B5CB6">
        <w:rPr>
          <w:sz w:val="22"/>
        </w:rPr>
        <w:t xml:space="preserve">PSB universality in reach vs Digital Platforms’ privacy and anonymity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3.18</w:t>
      </w:r>
      <w:r w:rsidRPr="005B5CB6">
        <w:rPr>
          <w:rFonts w:ascii="Verdana" w:eastAsia="Arial" w:hAnsi="Verdana" w:cs="Arial"/>
        </w:rPr>
        <w:t xml:space="preserve"> </w:t>
      </w:r>
      <w:r w:rsidRPr="005B5CB6">
        <w:rPr>
          <w:rFonts w:ascii="Verdana" w:eastAsia="Verdana" w:hAnsi="Verdana" w:cs="Verdana"/>
        </w:rPr>
        <w:t xml:space="preserve">Importantly, it is the universal reach of the PSBs that acts as one of essential component of their ability to deliver public value and encourage democratic debate. The PSBs together had a reach of over 90% at the start of 2019. This reach factor is very important: being able to reach the whole population, in the way that the PSBs do, is intrinsic to the positive externalities that result from connecting people and providing communal experiences.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3.19</w:t>
      </w:r>
      <w:r w:rsidRPr="005B5CB6">
        <w:rPr>
          <w:rFonts w:ascii="Verdana" w:eastAsia="Arial" w:hAnsi="Verdana" w:cs="Arial"/>
        </w:rPr>
        <w:t xml:space="preserve"> </w:t>
      </w:r>
      <w:r w:rsidRPr="005B5CB6">
        <w:rPr>
          <w:rFonts w:ascii="Verdana" w:eastAsia="Verdana" w:hAnsi="Verdana" w:cs="Verdana"/>
        </w:rPr>
        <w:t xml:space="preserve">This universality is key to the PSBs’ vital and unique role as a public space. PSBs are important institutions that play a vital role in the 21st century as a modern version of the public square. Over the centuries, there has always been an important place in society for the public square: a space when issues can be debated, and different viewpoints expressed by informed participants in a respectful environment. At different times in </w:t>
      </w:r>
    </w:p>
    <w:p w:rsidR="00FB0B24" w:rsidRPr="005B5CB6" w:rsidP="00FB7D1D">
      <w:pPr>
        <w:spacing w:after="5" w:line="250" w:lineRule="auto"/>
        <w:ind w:left="729" w:right="11" w:hanging="8"/>
        <w:jc w:val="both"/>
        <w:rPr>
          <w:rFonts w:ascii="Verdana" w:hAnsi="Verdana"/>
        </w:rPr>
      </w:pPr>
      <w:r w:rsidRPr="005B5CB6">
        <w:rPr>
          <w:rFonts w:ascii="Verdana" w:eastAsia="Verdana" w:hAnsi="Verdana" w:cs="Verdana"/>
        </w:rPr>
        <w:t xml:space="preserve">the past, the main homes of these public spheres have included coffee houses, newspapers and magazines and, most recently, television.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3.20</w:t>
      </w:r>
      <w:r w:rsidRPr="005B5CB6">
        <w:rPr>
          <w:rFonts w:ascii="Verdana" w:eastAsia="Arial" w:hAnsi="Verdana" w:cs="Arial"/>
        </w:rPr>
        <w:t xml:space="preserve"> </w:t>
      </w:r>
      <w:r w:rsidRPr="005B5CB6">
        <w:rPr>
          <w:rFonts w:ascii="Verdana" w:eastAsia="Verdana" w:hAnsi="Verdana" w:cs="Verdana"/>
        </w:rPr>
        <w:t xml:space="preserve">When the internet age dawned, many people expected that this would become the new public square, with more people able to share their views more widely than ever before. The reality, however, has turned out very </w:t>
      </w:r>
      <w:r w:rsidRPr="005B5CB6">
        <w:rPr>
          <w:rFonts w:ascii="Verdana" w:eastAsia="Verdana" w:hAnsi="Verdana" w:cs="Verdana"/>
        </w:rPr>
        <w:t xml:space="preserve">different: while the internet, and in particular the social media platforms such as Facebook, YouTube and Twitter, have brought many positive benefits to modern life, their tendency towards the enabling of polarisation and online harassment suggests that the internet has not proved to be the most effective forum for rational and open public debate. As well as creating platforms that privilege angry or extreme views, as previously mentioned the rise of ‘filter bubbles’ has led to a situation where people tend to retreat into groups defined by their friends, tastes and personal views or prejudices. Here, other perspectives are excluded, and in the worst-case scenario encourage people to create their own facts and reinforce (rather than challenge) their beliefs.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3.21</w:t>
      </w:r>
      <w:r w:rsidRPr="005B5CB6">
        <w:rPr>
          <w:rFonts w:ascii="Verdana" w:eastAsia="Arial" w:hAnsi="Verdana" w:cs="Arial"/>
        </w:rPr>
        <w:t xml:space="preserve"> </w:t>
      </w:r>
      <w:r w:rsidRPr="005B5CB6">
        <w:rPr>
          <w:rFonts w:ascii="Verdana" w:eastAsia="Verdana" w:hAnsi="Verdana" w:cs="Verdana"/>
        </w:rPr>
        <w:t xml:space="preserve">Crucially, these debates on the social media platforms typically take place in ‘secret’ - as each person’s individual feed is targeted and personalised according to the algorithms of platforms, and therefore only targeted people will see certain information. These personalised feeds cannot be viewed or accessed by others. (This has been an issue in terms of regulating political advertising for example, as regulators have not been able to get an overview of what adverts have been served to whom, with the Electoral Commission stating that “only the voter, the campaigner and the platform know who has been targeted with which messages”. We would urge the committee to look at the work of The Coalition for Reform in Political Advertising on the need for greater transparency here. On the other hand political advertising on television is prohibited under the rules of the Ofcom Broadcasting Code.) Despite the stated ambitions of social platforms to connect people, they are not shared forums, common to all, which means they are in effect creating the opposite of public discourse – a series of personalised individual feeds and views that do not intersect. This is in contrast to broadcasting – where all of our programmes can be seen by the whole of the public and therefore can shape and contribute to public debate. </w:t>
      </w:r>
    </w:p>
    <w:p w:rsidR="00FB0B24" w:rsidRPr="005B5CB6" w:rsidP="00FB7D1D">
      <w:pPr>
        <w:spacing w:after="0"/>
        <w:ind w:left="722"/>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3.22</w:t>
      </w:r>
      <w:r w:rsidRPr="005B5CB6">
        <w:rPr>
          <w:rFonts w:ascii="Verdana" w:eastAsia="Arial" w:hAnsi="Verdana" w:cs="Arial"/>
        </w:rPr>
        <w:t xml:space="preserve"> </w:t>
      </w:r>
      <w:r w:rsidRPr="005B5CB6">
        <w:rPr>
          <w:rFonts w:ascii="Verdana" w:eastAsia="Verdana" w:hAnsi="Verdana" w:cs="Verdana"/>
        </w:rPr>
        <w:t xml:space="preserve">So while there is a need – now more than ever – for us as a society to process what is happening and to attempt to work through the challenges of the day, the internet has not proved to be an effective space for this, and it is television, and in particular the UK television ecology overseen by policy-makers, that continues to be the medium best-placed to stage debates and reach mass audiences with informed perspectives presented within a trusted and non-partisan environment.  </w:t>
      </w:r>
    </w:p>
    <w:p w:rsidR="00FB0B24" w:rsidRPr="005B5CB6" w:rsidP="00FB7D1D">
      <w:pPr>
        <w:spacing w:after="0"/>
        <w:ind w:left="722"/>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3.23</w:t>
      </w:r>
      <w:r w:rsidRPr="005B5CB6">
        <w:rPr>
          <w:rFonts w:ascii="Verdana" w:eastAsia="Arial" w:hAnsi="Verdana" w:cs="Arial"/>
        </w:rPr>
        <w:t xml:space="preserve"> </w:t>
      </w:r>
      <w:r w:rsidRPr="005B5CB6">
        <w:rPr>
          <w:rFonts w:ascii="Verdana" w:eastAsia="Verdana" w:hAnsi="Verdana" w:cs="Verdana"/>
        </w:rPr>
        <w:t xml:space="preserve">Therefore, given the important role PSBs can play as a counterweight to the issues outlined above and the unique qualities PSBs have in contrast </w:t>
      </w:r>
    </w:p>
    <w:p w:rsidR="00FB0B24" w:rsidRPr="005B5CB6" w:rsidP="00FB7D1D">
      <w:pPr>
        <w:spacing w:after="5" w:line="250" w:lineRule="auto"/>
        <w:ind w:left="729" w:right="11" w:hanging="8"/>
        <w:jc w:val="both"/>
        <w:rPr>
          <w:rFonts w:ascii="Verdana" w:hAnsi="Verdana"/>
        </w:rPr>
      </w:pPr>
      <w:r w:rsidRPr="005B5CB6">
        <w:rPr>
          <w:rFonts w:ascii="Verdana" w:eastAsia="Verdana" w:hAnsi="Verdana" w:cs="Verdana"/>
        </w:rPr>
        <w:t xml:space="preserve">to the digital giants, we believe that there is an important role for policymakers in ensuring that PSBs can continue to thrive and offer public value far greater than the sum of its parts. This means taking active steps to articulate and champion the value of public service broadcasting, and advocating policy measures that support and protect public service broadcasting such as urgently strengthening the PSB prominence regime (see section 6.3). </w:t>
      </w:r>
    </w:p>
    <w:p w:rsidR="00FB0B24" w:rsidRPr="005B5CB6" w:rsidP="00FB7D1D">
      <w:pPr>
        <w:spacing w:after="0"/>
        <w:ind w:left="361"/>
        <w:jc w:val="both"/>
        <w:rPr>
          <w:rFonts w:ascii="Verdana" w:hAnsi="Verdana"/>
        </w:rPr>
      </w:pPr>
      <w:r w:rsidRPr="005B5CB6">
        <w:rPr>
          <w:rFonts w:ascii="Verdana" w:eastAsia="Verdana" w:hAnsi="Verdana" w:cs="Verdana"/>
        </w:rPr>
        <w:t xml:space="preserve"> </w:t>
      </w:r>
    </w:p>
    <w:p w:rsidR="00FB0B24" w:rsidRPr="005B5CB6" w:rsidP="00575F14">
      <w:pPr>
        <w:numPr>
          <w:ilvl w:val="0"/>
          <w:numId w:val="162"/>
        </w:numPr>
        <w:spacing w:after="5" w:line="250" w:lineRule="auto"/>
        <w:ind w:hanging="360"/>
        <w:jc w:val="both"/>
        <w:rPr>
          <w:rFonts w:ascii="Verdana" w:hAnsi="Verdana"/>
        </w:rPr>
      </w:pPr>
      <w:r w:rsidRPr="005B5CB6">
        <w:rPr>
          <w:rFonts w:ascii="Verdana" w:eastAsia="Verdana" w:hAnsi="Verdana" w:cs="Verdana"/>
          <w:b/>
        </w:rPr>
        <w:t xml:space="preserve">How technology can facilitate democracy </w:t>
      </w:r>
    </w:p>
    <w:p w:rsidR="00FB0B24" w:rsidRPr="005B5CB6" w:rsidP="00FB7D1D">
      <w:pPr>
        <w:spacing w:after="9"/>
        <w:ind w:left="722"/>
        <w:jc w:val="both"/>
        <w:rPr>
          <w:rFonts w:ascii="Verdana" w:hAnsi="Verdana"/>
        </w:rPr>
      </w:pPr>
      <w:r w:rsidRPr="005B5CB6">
        <w:rPr>
          <w:rFonts w:ascii="Verdana" w:eastAsia="Verdana" w:hAnsi="Verdana" w:cs="Verdana"/>
        </w:rPr>
        <w:t xml:space="preserve"> </w:t>
      </w:r>
    </w:p>
    <w:p w:rsidR="00FB0B24" w:rsidRPr="005B5CB6" w:rsidP="00575F14">
      <w:pPr>
        <w:numPr>
          <w:ilvl w:val="1"/>
          <w:numId w:val="162"/>
        </w:numPr>
        <w:spacing w:after="5" w:line="250" w:lineRule="auto"/>
        <w:ind w:right="11" w:hanging="720"/>
        <w:jc w:val="both"/>
        <w:rPr>
          <w:rFonts w:ascii="Verdana" w:hAnsi="Verdana"/>
        </w:rPr>
      </w:pPr>
      <w:r w:rsidRPr="005B5CB6">
        <w:rPr>
          <w:rFonts w:ascii="Verdana" w:eastAsia="Verdana" w:hAnsi="Verdana" w:cs="Verdana"/>
        </w:rPr>
        <w:t xml:space="preserve">Despite the many challenges that digital technologies have brought on our democratic processes outlined above, it must be recognised that the growth of digital platforms can offer new ways to engage audiences with trusted content beyond the TV screen or printed press. A strong presence of trusted brands on social media and online platforms is important in counteracting some of the issues that have evolved in this space. </w:t>
      </w:r>
    </w:p>
    <w:p w:rsidR="00FB0B24" w:rsidRPr="005B5CB6" w:rsidP="00FB7D1D">
      <w:pPr>
        <w:spacing w:after="9"/>
        <w:ind w:left="721"/>
        <w:jc w:val="both"/>
        <w:rPr>
          <w:rFonts w:ascii="Verdana" w:hAnsi="Verdana"/>
        </w:rPr>
      </w:pPr>
      <w:r w:rsidRPr="005B5CB6">
        <w:rPr>
          <w:rFonts w:ascii="Verdana" w:eastAsia="Verdana" w:hAnsi="Verdana" w:cs="Verdana"/>
        </w:rPr>
        <w:t xml:space="preserve"> </w:t>
      </w:r>
    </w:p>
    <w:p w:rsidR="00FB0B24" w:rsidRPr="005B5CB6" w:rsidP="00575F14">
      <w:pPr>
        <w:numPr>
          <w:ilvl w:val="1"/>
          <w:numId w:val="162"/>
        </w:numPr>
        <w:spacing w:after="170" w:line="250" w:lineRule="auto"/>
        <w:ind w:right="11" w:hanging="720"/>
        <w:jc w:val="both"/>
        <w:rPr>
          <w:rFonts w:ascii="Verdana" w:hAnsi="Verdana"/>
        </w:rPr>
      </w:pPr>
      <w:r w:rsidRPr="005B5CB6">
        <w:rPr>
          <w:rFonts w:ascii="Verdana" w:eastAsia="Verdana" w:hAnsi="Verdana" w:cs="Verdana"/>
        </w:rPr>
        <w:t xml:space="preserve">Channel 4 has been an innovator on social media and experienced strong growth online – we were ranked the 36th biggest social brand in the world at the end of 2018. Since 2015, Channel 4 News has also been focussing its online strategy on producing and curating video content on social media and has grown to be one of the UK’s biggest video news brands on social platforms. More than 1.5 billion minutes of Channel 4 News, Dispatches and Unreported World was viewed on YouTube and social media in 2018. Last year, Channel 4 News also announced a partnership with Facebook to produce a news show, </w:t>
      </w:r>
      <w:r w:rsidRPr="005B5CB6">
        <w:rPr>
          <w:rFonts w:ascii="Verdana" w:eastAsia="Verdana" w:hAnsi="Verdana" w:cs="Verdana"/>
          <w:i/>
        </w:rPr>
        <w:t>Uncovered</w:t>
      </w:r>
      <w:r w:rsidRPr="005B5CB6">
        <w:rPr>
          <w:rFonts w:ascii="Verdana" w:eastAsia="Verdana" w:hAnsi="Verdana" w:cs="Verdana"/>
        </w:rPr>
        <w:t xml:space="preserve">, exclusively for Facebook Watch. The ten-minute show will focus on a single international issue each week, going beyond the headlines to tackle stories that often go unreported. Our expansion onto these tech platforms signals our strategy to engage young people with serious, credible, trusted content on the platforms they are increasingly using. </w:t>
      </w:r>
    </w:p>
    <w:p w:rsidR="00FB0B24" w:rsidRPr="005B5CB6" w:rsidP="00FB7D1D">
      <w:pPr>
        <w:pStyle w:val="Heading2"/>
        <w:rPr>
          <w:sz w:val="22"/>
        </w:rPr>
      </w:pPr>
      <w:r w:rsidRPr="005B5CB6">
        <w:rPr>
          <w:sz w:val="22"/>
        </w:rPr>
        <w:t xml:space="preserve">Risks to this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4.3</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The risk for UK PSBs is that, as controllers of the devices on which audiences are choosing and consuming content, the global giants use their position as gatekeepers to prioritise their own content above that of the public service broadcasters, there are four dimensions to this issue: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1441" w:right="11" w:hanging="720"/>
        <w:jc w:val="both"/>
        <w:rPr>
          <w:rFonts w:ascii="Verdana" w:hAnsi="Verdana"/>
        </w:rPr>
      </w:pPr>
      <w:r w:rsidRPr="005B5CB6">
        <w:rPr>
          <w:rFonts w:ascii="Verdana" w:eastAsia="Verdana" w:hAnsi="Verdana" w:cs="Verdana"/>
        </w:rPr>
        <w:t>4.3.1</w:t>
      </w:r>
      <w:r w:rsidRPr="005B5CB6">
        <w:rPr>
          <w:rFonts w:ascii="Verdana" w:eastAsia="Arial" w:hAnsi="Verdana" w:cs="Arial"/>
        </w:rPr>
        <w:t xml:space="preserve"> </w:t>
      </w:r>
      <w:r w:rsidRPr="005B5CB6">
        <w:rPr>
          <w:rFonts w:ascii="Verdana" w:eastAsia="Verdana" w:hAnsi="Verdana" w:cs="Verdana"/>
        </w:rPr>
        <w:t xml:space="preserve">Firstly, our ability to continue to deliver this kind of impact is entirely at the whim of the platforms who can drastically reduce our reach with just a change of their algorithm. For example, they could seek to sell prominence – in the way that Amazon sells sponsored listings on their retail service, or Google sells prioritisation in their search results. UK PSBs would be beholden to ‘black box’ algorithms to surface their content to audiences, in the way that the algorithms of the social networks such as Facebook also act as gatekeepers for media brands to reach their audiences – as evidenced by the dramatic falls in traffic to news sites as a result of Facebook changing their algorithm in 2018 to prioritise friends and family posts over news content. </w:t>
      </w:r>
    </w:p>
    <w:p w:rsidR="00FB0B24" w:rsidRPr="005B5CB6" w:rsidP="00FB7D1D">
      <w:pPr>
        <w:spacing w:after="0"/>
        <w:ind w:left="144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1441" w:right="11" w:hanging="720"/>
        <w:jc w:val="both"/>
        <w:rPr>
          <w:rFonts w:ascii="Verdana" w:hAnsi="Verdana"/>
        </w:rPr>
      </w:pPr>
      <w:r w:rsidRPr="005B5CB6">
        <w:rPr>
          <w:rFonts w:ascii="Verdana" w:eastAsia="Verdana" w:hAnsi="Verdana" w:cs="Verdana"/>
        </w:rPr>
        <w:t>4.3.2</w:t>
      </w:r>
      <w:r w:rsidRPr="005B5CB6">
        <w:rPr>
          <w:rFonts w:ascii="Verdana" w:eastAsia="Arial" w:hAnsi="Verdana" w:cs="Arial"/>
        </w:rPr>
        <w:t xml:space="preserve"> </w:t>
      </w:r>
      <w:r w:rsidRPr="005B5CB6">
        <w:rPr>
          <w:rFonts w:ascii="Verdana" w:eastAsia="Verdana" w:hAnsi="Verdana" w:cs="Verdana"/>
        </w:rPr>
        <w:t xml:space="preserve">Secondly, while legitimate news providers are bringing groundbreaking content to these platforms, their ability to monetise this content is limited. For example, in April 2017, Facebook ended a monetization trial with Channel 4 News that left a substantial funding gap, harming our ability to innovate. PSBs may be faced with the necessity of having to divert funds from creating content to paying </w:t>
      </w:r>
      <w:r w:rsidRPr="005B5CB6">
        <w:rPr>
          <w:rFonts w:ascii="Verdana" w:eastAsia="Verdana" w:hAnsi="Verdana" w:cs="Verdana"/>
        </w:rPr>
        <w:t xml:space="preserve">for the prominence of that content to reach audiences on their TV sets. </w:t>
      </w:r>
    </w:p>
    <w:p w:rsidR="00FB0B24" w:rsidRPr="005B5CB6" w:rsidP="00FB7D1D">
      <w:pPr>
        <w:spacing w:after="0"/>
        <w:ind w:left="144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1441" w:right="11" w:hanging="720"/>
        <w:jc w:val="both"/>
        <w:rPr>
          <w:rFonts w:ascii="Verdana" w:hAnsi="Verdana"/>
        </w:rPr>
      </w:pPr>
      <w:r w:rsidRPr="005B5CB6">
        <w:rPr>
          <w:rFonts w:ascii="Verdana" w:eastAsia="Verdana" w:hAnsi="Verdana" w:cs="Verdana"/>
        </w:rPr>
        <w:t>4.3.3</w:t>
      </w:r>
      <w:r w:rsidRPr="005B5CB6">
        <w:rPr>
          <w:rFonts w:ascii="Verdana" w:eastAsia="Arial" w:hAnsi="Verdana" w:cs="Arial"/>
        </w:rPr>
        <w:t xml:space="preserve"> </w:t>
      </w:r>
      <w:r w:rsidRPr="005B5CB6">
        <w:rPr>
          <w:rFonts w:ascii="Verdana" w:eastAsia="Verdana" w:hAnsi="Verdana" w:cs="Verdana"/>
        </w:rPr>
        <w:t xml:space="preserve">Thirdly, this is then compounded by social media platforms not acting swiftly and decisively to protect the intellectual property of </w:t>
      </w:r>
    </w:p>
    <w:p w:rsidR="00FB0B24" w:rsidRPr="005B5CB6" w:rsidP="00FB7D1D">
      <w:pPr>
        <w:spacing w:after="5" w:line="250" w:lineRule="auto"/>
        <w:ind w:left="1449" w:right="11" w:hanging="8"/>
        <w:jc w:val="both"/>
        <w:rPr>
          <w:rFonts w:ascii="Verdana" w:hAnsi="Verdana"/>
        </w:rPr>
      </w:pPr>
      <w:r w:rsidRPr="005B5CB6">
        <w:rPr>
          <w:rFonts w:ascii="Verdana" w:eastAsia="Verdana" w:hAnsi="Verdana" w:cs="Verdana"/>
        </w:rPr>
        <w:t xml:space="preserve">news providers, with no action taken when content is misappropriated by third parties on their platforms.  </w:t>
      </w:r>
    </w:p>
    <w:p w:rsidR="00FB0B24" w:rsidRPr="005B5CB6" w:rsidP="00FB7D1D">
      <w:pPr>
        <w:spacing w:after="0"/>
        <w:ind w:left="144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1441" w:right="11" w:hanging="720"/>
        <w:jc w:val="both"/>
        <w:rPr>
          <w:rFonts w:ascii="Verdana" w:hAnsi="Verdana"/>
        </w:rPr>
      </w:pPr>
      <w:r w:rsidRPr="005B5CB6">
        <w:rPr>
          <w:rFonts w:ascii="Verdana" w:eastAsia="Verdana" w:hAnsi="Verdana" w:cs="Verdana"/>
        </w:rPr>
        <w:t>4.3.4</w:t>
      </w:r>
      <w:r w:rsidRPr="005B5CB6">
        <w:rPr>
          <w:rFonts w:ascii="Verdana" w:eastAsia="Arial" w:hAnsi="Verdana" w:cs="Arial"/>
        </w:rPr>
        <w:t xml:space="preserve"> </w:t>
      </w:r>
      <w:r w:rsidRPr="005B5CB6">
        <w:rPr>
          <w:rFonts w:ascii="Verdana" w:eastAsia="Verdana" w:hAnsi="Verdana" w:cs="Verdana"/>
        </w:rPr>
        <w:t xml:space="preserve">Lastly, social media platforms do not differentiate between the trusted – and regulated – content of broadcasters, who are subject to strict rules on accuracy and go through stringent fact-checking processes, and the misleading content peddled by fake news providers.  </w:t>
      </w:r>
    </w:p>
    <w:p w:rsidR="00FB0B24" w:rsidRPr="005B5CB6" w:rsidP="00FB7D1D">
      <w:pPr>
        <w:spacing w:after="9"/>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4.4</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The result is that the disseminators of fake news are able to appropriate news providers’ content and present it in misleading ways. The misleading content then receives prominence on news feeds as it is not differentiated from the legitimate content, generating revenues for the fake news disseminators and undermining the intellectual property and business models of legitimate news providers online. As a public service broadcaster, Channel 4 is committed to ensuring its content is as widely available as possible, because it is driven by its remit and model which put public interest ahead of revenue maximisation. However, the wider changes in news consumption mean that careful consideration must be given to the incentives in place to support the provision of high quality news content online. Ultimately, legitimate news providers need to be able to generate revenues from their content online to maintain their businesses and to be able to invest in training and retention of high quality investigative journalists. </w:t>
      </w:r>
    </w:p>
    <w:p w:rsidR="00FB0B24" w:rsidRPr="005B5CB6" w:rsidP="00FB7D1D">
      <w:pPr>
        <w:spacing w:after="9"/>
        <w:ind w:left="720"/>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4.5</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We are therefore supportive of the Government’s proposal in their Online Harms White Paper to establish a new independent regulator for digital technologies with a code of practice which will outlines specific requirements platforms must take. This includes; the steps companies should take in their terms of service to make clear what constitutes disinformation; the promotion of authoritative news sources; the use of fact-checking services and improving reporting processes to ensure users can easily flag suspicious content. We also advocate Dame Frances Cairncross’ recommendation of a ‘news quality obligation’ which would </w:t>
      </w:r>
    </w:p>
    <w:p w:rsidR="00FB0B24" w:rsidRPr="005B5CB6" w:rsidP="00FB7D1D">
      <w:pPr>
        <w:spacing w:after="43" w:line="250" w:lineRule="auto"/>
        <w:ind w:left="729" w:right="11" w:hanging="8"/>
        <w:jc w:val="both"/>
        <w:rPr>
          <w:rFonts w:ascii="Verdana" w:hAnsi="Verdana"/>
        </w:rPr>
      </w:pPr>
      <w:r w:rsidRPr="005B5CB6">
        <w:rPr>
          <w:rFonts w:ascii="Verdana" w:eastAsia="Verdana" w:hAnsi="Verdana" w:cs="Verdana"/>
        </w:rPr>
        <w:t>require these companies to improve how their users understand the origin of a news article and the trustworthiness of its source under regulatory supervision</w:t>
      </w:r>
      <w:r>
        <w:rPr>
          <w:rFonts w:ascii="Verdana" w:eastAsia="Verdana" w:hAnsi="Verdana" w:cs="Verdana"/>
          <w:vertAlign w:val="superscript"/>
        </w:rPr>
        <w:footnoteReference w:id="249"/>
      </w:r>
      <w:r w:rsidRPr="005B5CB6">
        <w:rPr>
          <w:rFonts w:ascii="Verdana" w:eastAsia="Verdana" w:hAnsi="Verdana" w:cs="Verdana"/>
        </w:rPr>
        <w:t xml:space="preserve">. </w:t>
      </w:r>
    </w:p>
    <w:p w:rsidR="00FB0B24" w:rsidRPr="005B5CB6" w:rsidP="00FB7D1D">
      <w:pPr>
        <w:spacing w:after="0"/>
        <w:ind w:left="361"/>
        <w:jc w:val="both"/>
        <w:rPr>
          <w:rFonts w:ascii="Verdana" w:hAnsi="Verdana"/>
        </w:rPr>
      </w:pPr>
      <w:r w:rsidRPr="005B5CB6">
        <w:rPr>
          <w:rFonts w:ascii="Verdana" w:eastAsia="Verdana" w:hAnsi="Verdana" w:cs="Verdana"/>
          <w:b/>
        </w:rPr>
        <w:t xml:space="preserve"> </w:t>
      </w:r>
    </w:p>
    <w:p w:rsidR="00FB0B24" w:rsidRPr="005B5CB6" w:rsidP="00575F14">
      <w:pPr>
        <w:numPr>
          <w:ilvl w:val="0"/>
          <w:numId w:val="163"/>
        </w:numPr>
        <w:spacing w:after="5" w:line="250" w:lineRule="auto"/>
        <w:ind w:hanging="360"/>
        <w:jc w:val="both"/>
        <w:rPr>
          <w:rFonts w:ascii="Verdana" w:hAnsi="Verdana"/>
        </w:rPr>
      </w:pPr>
      <w:r w:rsidRPr="005B5CB6">
        <w:rPr>
          <w:rFonts w:ascii="Verdana" w:eastAsia="Verdana" w:hAnsi="Verdana" w:cs="Verdana"/>
          <w:b/>
        </w:rPr>
        <w:t xml:space="preserve">Importance of a digitally literate democracy </w:t>
      </w:r>
    </w:p>
    <w:p w:rsidR="00FB0B24" w:rsidRPr="005B5CB6" w:rsidP="00FB7D1D">
      <w:pPr>
        <w:spacing w:after="9"/>
        <w:ind w:left="361"/>
        <w:jc w:val="both"/>
        <w:rPr>
          <w:rFonts w:ascii="Verdana" w:hAnsi="Verdana"/>
        </w:rPr>
      </w:pPr>
      <w:r w:rsidRPr="005B5CB6">
        <w:rPr>
          <w:rFonts w:ascii="Verdana" w:eastAsia="Verdana" w:hAnsi="Verdana" w:cs="Verdana"/>
          <w:b/>
        </w:rPr>
        <w:t xml:space="preserve"> </w:t>
      </w:r>
    </w:p>
    <w:p w:rsidR="00FB0B24" w:rsidRPr="005B5CB6" w:rsidP="00575F14">
      <w:pPr>
        <w:numPr>
          <w:ilvl w:val="1"/>
          <w:numId w:val="163"/>
        </w:numPr>
        <w:spacing w:after="5" w:line="250" w:lineRule="auto"/>
        <w:ind w:right="11" w:hanging="720"/>
        <w:jc w:val="both"/>
        <w:rPr>
          <w:rFonts w:ascii="Verdana" w:hAnsi="Verdana"/>
        </w:rPr>
      </w:pPr>
      <w:r w:rsidRPr="005B5CB6">
        <w:rPr>
          <w:rFonts w:ascii="Verdana" w:eastAsia="Verdana" w:hAnsi="Verdana" w:cs="Verdana"/>
        </w:rPr>
        <w:t xml:space="preserve">Channel 4 believes it is vital that users are empowered to understand and manage risks so that they can stay safe online. Indeed, improving people’s </w:t>
      </w:r>
      <w:r w:rsidRPr="005B5CB6">
        <w:rPr>
          <w:rFonts w:ascii="Verdana" w:eastAsia="Verdana" w:hAnsi="Verdana" w:cs="Verdana"/>
        </w:rPr>
        <w:t>understanding and awareness of online issues can help them to protect themselves from harmful content. As the Government point out in their white paper</w:t>
      </w:r>
      <w:r>
        <w:rPr>
          <w:rFonts w:ascii="Verdana" w:eastAsia="Verdana" w:hAnsi="Verdana" w:cs="Verdana"/>
          <w:vertAlign w:val="superscript"/>
        </w:rPr>
        <w:footnoteReference w:id="250"/>
      </w:r>
      <w:r w:rsidRPr="005B5CB6">
        <w:rPr>
          <w:rFonts w:ascii="Verdana" w:eastAsia="Verdana" w:hAnsi="Verdana" w:cs="Verdana"/>
        </w:rPr>
        <w:t xml:space="preserve">, this is necessary for the functioning of democracy as digitally literate users are enabled to distinguish between facts and opinions online and able to make informed choices. Policymakers need to amplify the support for digital literacy and education in order to set new norms for online behaviour and safety.  </w:t>
      </w:r>
    </w:p>
    <w:p w:rsidR="00FB0B24" w:rsidRPr="005B5CB6" w:rsidP="00FB7D1D">
      <w:pPr>
        <w:spacing w:after="12"/>
        <w:ind w:left="721"/>
        <w:jc w:val="both"/>
        <w:rPr>
          <w:rFonts w:ascii="Verdana" w:hAnsi="Verdana"/>
        </w:rPr>
      </w:pPr>
      <w:r w:rsidRPr="005B5CB6">
        <w:rPr>
          <w:rFonts w:ascii="Verdana" w:eastAsia="Verdana" w:hAnsi="Verdana" w:cs="Verdana"/>
        </w:rPr>
        <w:t xml:space="preserve"> </w:t>
      </w:r>
    </w:p>
    <w:p w:rsidR="00FB0B24" w:rsidRPr="005B5CB6" w:rsidP="00575F14">
      <w:pPr>
        <w:numPr>
          <w:ilvl w:val="1"/>
          <w:numId w:val="163"/>
        </w:numPr>
        <w:spacing w:after="5" w:line="250" w:lineRule="auto"/>
        <w:ind w:right="11" w:hanging="720"/>
        <w:jc w:val="both"/>
        <w:rPr>
          <w:rFonts w:ascii="Verdana" w:hAnsi="Verdana"/>
        </w:rPr>
      </w:pPr>
      <w:r w:rsidRPr="005B5CB6">
        <w:rPr>
          <w:rFonts w:ascii="Verdana" w:eastAsia="Verdana" w:hAnsi="Verdana" w:cs="Verdana"/>
        </w:rPr>
        <w:t>For tackling disinformation in particular, Channel 4 believes there is a role for the new regulator, Ofcom, education institutions and internet content platforms, supported by the PSBs, who already contribute in this area to provide advice and guidance on how to verify and distinguish between verified and fake news sources. It is worth noting that YouGov research for Channel 4 found that almost half of adults (46%) think we need more fact checking sites – with significantly higher agreement among 18-24s (69%) and those that use Facebook as their primary source of news (60%)</w:t>
      </w:r>
      <w:r>
        <w:rPr>
          <w:rFonts w:ascii="Verdana" w:eastAsia="Verdana" w:hAnsi="Verdana" w:cs="Verdana"/>
          <w:vertAlign w:val="superscript"/>
        </w:rPr>
        <w:footnoteReference w:id="251"/>
      </w:r>
      <w:r w:rsidRPr="005B5CB6">
        <w:rPr>
          <w:rFonts w:ascii="Verdana" w:eastAsia="Verdana" w:hAnsi="Verdana" w:cs="Verdana"/>
        </w:rPr>
        <w:t xml:space="preserve">. There is therefore also a role for news providers to build on existing work in providing fact-checking and verification services such as Channel 4’s Fact Check. </w:t>
      </w:r>
    </w:p>
    <w:p w:rsidR="00FB0B24" w:rsidRPr="005B5CB6" w:rsidP="00FB7D1D">
      <w:pPr>
        <w:spacing w:after="9"/>
        <w:ind w:left="721"/>
        <w:jc w:val="both"/>
        <w:rPr>
          <w:rFonts w:ascii="Verdana" w:hAnsi="Verdana"/>
        </w:rPr>
      </w:pPr>
      <w:r w:rsidRPr="005B5CB6">
        <w:rPr>
          <w:rFonts w:ascii="Verdana" w:eastAsia="Verdana" w:hAnsi="Verdana" w:cs="Verdana"/>
        </w:rPr>
        <w:t xml:space="preserve"> </w:t>
      </w:r>
    </w:p>
    <w:p w:rsidR="00FB0B24" w:rsidRPr="005B5CB6" w:rsidP="00575F14">
      <w:pPr>
        <w:numPr>
          <w:ilvl w:val="1"/>
          <w:numId w:val="163"/>
        </w:numPr>
        <w:spacing w:after="5" w:line="250" w:lineRule="auto"/>
        <w:ind w:right="11" w:hanging="720"/>
        <w:jc w:val="both"/>
        <w:rPr>
          <w:rFonts w:ascii="Verdana" w:hAnsi="Verdana"/>
        </w:rPr>
      </w:pPr>
      <w:r w:rsidRPr="005B5CB6">
        <w:rPr>
          <w:rFonts w:ascii="Verdana" w:eastAsia="Verdana" w:hAnsi="Verdana" w:cs="Verdana"/>
        </w:rPr>
        <w:t xml:space="preserve">Channel 4 also believes that industry has a role in thinking creatively about how they can influence this agenda. Indeed, Channel 4 has achieved this through both programming and advertising initiatives. Channel 4’s commission of reality format </w:t>
      </w:r>
      <w:r w:rsidRPr="005B5CB6">
        <w:rPr>
          <w:rFonts w:ascii="Verdana" w:eastAsia="Verdana" w:hAnsi="Verdana" w:cs="Verdana"/>
          <w:i/>
        </w:rPr>
        <w:t xml:space="preserve">The Circle </w:t>
      </w:r>
      <w:r w:rsidRPr="005B5CB6">
        <w:rPr>
          <w:rFonts w:ascii="Verdana" w:eastAsia="Verdana" w:hAnsi="Verdana" w:cs="Verdana"/>
        </w:rPr>
        <w:t xml:space="preserve">was an example of how broadcasters can innovatively explore associated issues in a way that resonate with young audiences rather than through formal education. This proved to be successful and as a direct result of the programme, seven in ten viewers stated the series made them think differently about who to trust on social media, and one in five claimed to have changed their privacy settings on a social media account since watching the show, while the same proportion agreed that the show made them think about the extent to which social media really reflects reality. In addition, in September 2018 Channel 4 teamed up with Nationwide Building Society, </w:t>
      </w:r>
    </w:p>
    <w:p w:rsidR="00FB0B24" w:rsidRPr="005B5CB6" w:rsidP="00FB7D1D">
      <w:pPr>
        <w:spacing w:after="114" w:line="250" w:lineRule="auto"/>
        <w:ind w:left="729" w:right="11" w:hanging="8"/>
        <w:jc w:val="both"/>
        <w:rPr>
          <w:rFonts w:ascii="Verdana" w:hAnsi="Verdana"/>
        </w:rPr>
      </w:pPr>
      <w:r w:rsidRPr="005B5CB6">
        <w:rPr>
          <w:rFonts w:ascii="Verdana" w:eastAsia="Verdana" w:hAnsi="Verdana" w:cs="Verdana"/>
        </w:rPr>
        <w:t xml:space="preserve">Maltesers and McCain to broadcast a primetime ad break takeover ‘#TogetherAgainstHate’ which took a stand against online abuse. The break featured a selection of genuine cruel social media posts aimed at </w:t>
      </w:r>
    </w:p>
    <w:p w:rsidR="00FB0B24" w:rsidRPr="005B5CB6" w:rsidP="00FB7D1D">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3652" name="Group 56365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81" name="Shape 63598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55" style="height:0.72pt;mso-position-horizontal-relative:char;mso-position-vertical-relative:line;width:2in" coordsize="18288,91">
                <v:shape id="_x0000_s1256"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FB7D1D">
      <w:pPr>
        <w:spacing w:after="5" w:line="250" w:lineRule="auto"/>
        <w:ind w:left="729" w:right="11" w:hanging="8"/>
        <w:jc w:val="both"/>
        <w:rPr>
          <w:rFonts w:ascii="Verdana" w:hAnsi="Verdana"/>
        </w:rPr>
      </w:pPr>
      <w:r w:rsidRPr="005B5CB6">
        <w:rPr>
          <w:rFonts w:ascii="Verdana" w:eastAsia="Verdana" w:hAnsi="Verdana" w:cs="Verdana"/>
        </w:rPr>
        <w:t xml:space="preserve">the real people cast in the brands' adverts in an effort to encourage viewers to consider the impact of divisive and hateful comments online. </w:t>
      </w:r>
    </w:p>
    <w:p w:rsidR="00FB0B24" w:rsidRPr="005B5CB6" w:rsidP="00FB7D1D">
      <w:pPr>
        <w:spacing w:after="12"/>
        <w:ind w:left="721"/>
        <w:jc w:val="both"/>
        <w:rPr>
          <w:rFonts w:ascii="Verdana" w:hAnsi="Verdana"/>
        </w:rPr>
      </w:pPr>
      <w:r w:rsidRPr="005B5CB6">
        <w:rPr>
          <w:rFonts w:ascii="Verdana" w:eastAsia="Verdana" w:hAnsi="Verdana" w:cs="Verdana"/>
        </w:rPr>
        <w:t xml:space="preserve"> </w:t>
      </w:r>
    </w:p>
    <w:p w:rsidR="00FB0B24" w:rsidRPr="005B5CB6" w:rsidP="00575F14">
      <w:pPr>
        <w:numPr>
          <w:ilvl w:val="1"/>
          <w:numId w:val="163"/>
        </w:numPr>
        <w:spacing w:after="5" w:line="250" w:lineRule="auto"/>
        <w:ind w:right="11" w:hanging="720"/>
        <w:jc w:val="both"/>
        <w:rPr>
          <w:rFonts w:ascii="Verdana" w:hAnsi="Verdana"/>
        </w:rPr>
      </w:pPr>
      <w:r w:rsidRPr="005B5CB6">
        <w:rPr>
          <w:rFonts w:ascii="Verdana" w:eastAsia="Verdana" w:hAnsi="Verdana" w:cs="Verdana"/>
        </w:rPr>
        <w:t xml:space="preserve">What is most crucial is policymakers encourage the coordination of all existing media literacy and digital skills activities into a cohesive strategy to have the greatest impact. Whilst there are myriad of industry-funded civil society programmes, there is a need for greater emphasis and support </w:t>
      </w:r>
      <w:r w:rsidRPr="005B5CB6">
        <w:rPr>
          <w:rFonts w:ascii="Verdana" w:eastAsia="Verdana" w:hAnsi="Verdana" w:cs="Verdana"/>
        </w:rPr>
        <w:t xml:space="preserve">on the organisations and educational materials that have a proven impact e.g. the work of Media Smart and Internet Matters.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575F14">
      <w:pPr>
        <w:numPr>
          <w:ilvl w:val="0"/>
          <w:numId w:val="163"/>
        </w:numPr>
        <w:spacing w:after="5" w:line="250" w:lineRule="auto"/>
        <w:ind w:hanging="360"/>
        <w:jc w:val="both"/>
        <w:rPr>
          <w:rFonts w:ascii="Verdana" w:hAnsi="Verdana"/>
        </w:rPr>
      </w:pPr>
      <w:r w:rsidRPr="005B5CB6">
        <w:rPr>
          <w:rFonts w:ascii="Verdana" w:eastAsia="Verdana" w:hAnsi="Verdana" w:cs="Verdana"/>
          <w:b/>
        </w:rPr>
        <w:t xml:space="preserve">Unpacking areas of regulation </w:t>
      </w:r>
    </w:p>
    <w:p w:rsidR="00FB0B24" w:rsidRPr="005B5CB6" w:rsidP="00575F14">
      <w:pPr>
        <w:numPr>
          <w:ilvl w:val="1"/>
          <w:numId w:val="163"/>
        </w:numPr>
        <w:spacing w:after="5" w:line="250" w:lineRule="auto"/>
        <w:ind w:right="11" w:hanging="720"/>
        <w:jc w:val="both"/>
        <w:rPr>
          <w:rFonts w:ascii="Verdana" w:hAnsi="Verdana"/>
        </w:rPr>
      </w:pPr>
      <w:r w:rsidRPr="005B5CB6">
        <w:rPr>
          <w:rFonts w:ascii="Verdana" w:eastAsia="Verdana" w:hAnsi="Verdana" w:cs="Verdana"/>
        </w:rPr>
        <w:t xml:space="preserve">Television is one of the most regulated mediums in the world, and this regulation has been put in place precisely because of the influential role TV plays in shaping opinions. Channel 4 believes that this regulation is entirely appropriate, has been carefully considered and is evidence based. It ensures that British Television offers a gold standard and a safe environment for families to view content. However, the same cannot be said for the online world where legislation has failed to keep pace as digital online platforms have grown rapidly, unchecked, despite their increasing importance and influence in our everyday lives. This is coupled with platforms’ failing to take responsibility even where there is clear societal harm.  </w:t>
      </w:r>
    </w:p>
    <w:p w:rsidR="00FB0B24" w:rsidRPr="005B5CB6" w:rsidP="00FB7D1D">
      <w:pPr>
        <w:spacing w:after="2"/>
        <w:ind w:left="721"/>
        <w:jc w:val="both"/>
        <w:rPr>
          <w:rFonts w:ascii="Verdana" w:hAnsi="Verdana"/>
        </w:rPr>
      </w:pPr>
      <w:r w:rsidRPr="005B5CB6">
        <w:rPr>
          <w:rFonts w:ascii="Verdana" w:eastAsia="Verdana" w:hAnsi="Verdana" w:cs="Verdana"/>
        </w:rPr>
        <w:t xml:space="preserve"> </w:t>
      </w:r>
    </w:p>
    <w:p w:rsidR="00FB0B24" w:rsidRPr="005B5CB6" w:rsidP="00575F14">
      <w:pPr>
        <w:numPr>
          <w:ilvl w:val="1"/>
          <w:numId w:val="163"/>
        </w:numPr>
        <w:spacing w:after="5" w:line="250" w:lineRule="auto"/>
        <w:ind w:right="11" w:hanging="720"/>
        <w:jc w:val="both"/>
        <w:rPr>
          <w:rFonts w:ascii="Verdana" w:hAnsi="Verdana"/>
        </w:rPr>
      </w:pPr>
      <w:r w:rsidRPr="005B5CB6">
        <w:rPr>
          <w:rFonts w:ascii="Verdana" w:eastAsia="Verdana" w:hAnsi="Verdana" w:cs="Verdana"/>
        </w:rPr>
        <w:t xml:space="preserve">Channel 4 believes that policy makers should take a multi-pronged approach to addressing these issues: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575F14">
      <w:pPr>
        <w:numPr>
          <w:ilvl w:val="2"/>
          <w:numId w:val="163"/>
        </w:numPr>
        <w:spacing w:after="5" w:line="250" w:lineRule="auto"/>
        <w:ind w:left="1441" w:right="11" w:hanging="720"/>
        <w:jc w:val="both"/>
        <w:rPr>
          <w:rFonts w:ascii="Verdana" w:hAnsi="Verdana"/>
        </w:rPr>
      </w:pPr>
      <w:r w:rsidRPr="005B5CB6">
        <w:rPr>
          <w:rFonts w:ascii="Verdana" w:eastAsia="Verdana" w:hAnsi="Verdana" w:cs="Verdana"/>
        </w:rPr>
        <w:t xml:space="preserve">Policymakers should consider what options it has available to strengthen areas of the UK’s creative industries which can serve to strengthen democratic engagement and counteract issues like misinformation. For example, in relation to public service broadcasting, Channel 4 believes the Government should urgently strengthen the PSB prominence regime.  </w:t>
      </w:r>
    </w:p>
    <w:p w:rsidR="00FB0B24" w:rsidRPr="005B5CB6" w:rsidP="00FB7D1D">
      <w:pPr>
        <w:spacing w:after="0"/>
        <w:ind w:left="1441"/>
        <w:jc w:val="both"/>
        <w:rPr>
          <w:rFonts w:ascii="Verdana" w:hAnsi="Verdana"/>
        </w:rPr>
      </w:pPr>
      <w:r w:rsidRPr="005B5CB6">
        <w:rPr>
          <w:rFonts w:ascii="Verdana" w:eastAsia="Verdana" w:hAnsi="Verdana" w:cs="Verdana"/>
        </w:rPr>
        <w:t xml:space="preserve"> </w:t>
      </w:r>
    </w:p>
    <w:p w:rsidR="00FB0B24" w:rsidRPr="005B5CB6" w:rsidP="00575F14">
      <w:pPr>
        <w:numPr>
          <w:ilvl w:val="2"/>
          <w:numId w:val="163"/>
        </w:numPr>
        <w:spacing w:after="5" w:line="250" w:lineRule="auto"/>
        <w:ind w:left="1441" w:right="11" w:hanging="720"/>
        <w:jc w:val="both"/>
        <w:rPr>
          <w:rFonts w:ascii="Verdana" w:hAnsi="Verdana"/>
        </w:rPr>
      </w:pPr>
      <w:r w:rsidRPr="005B5CB6">
        <w:rPr>
          <w:rFonts w:ascii="Verdana" w:eastAsia="Verdana" w:hAnsi="Verdana" w:cs="Verdana"/>
        </w:rPr>
        <w:t xml:space="preserve">We are supportive of the Government’s ambitions to establish a new independent regulator for internet platforms aimed at providing greater protection for citizens. We believe independent statutory regulation of this kind is vital in seeking to address some of the harmful content that has proliferated on these platforms in recent years.  </w:t>
      </w:r>
    </w:p>
    <w:p w:rsidR="00FB0B24" w:rsidRPr="005B5CB6" w:rsidP="00FB7D1D">
      <w:pPr>
        <w:spacing w:after="0"/>
        <w:ind w:left="1440"/>
        <w:jc w:val="both"/>
        <w:rPr>
          <w:rFonts w:ascii="Verdana" w:hAnsi="Verdana"/>
        </w:rPr>
      </w:pPr>
      <w:r w:rsidRPr="005B5CB6">
        <w:rPr>
          <w:rFonts w:ascii="Verdana" w:eastAsia="Verdana" w:hAnsi="Verdana" w:cs="Verdana"/>
        </w:rPr>
        <w:t xml:space="preserve"> </w:t>
      </w:r>
    </w:p>
    <w:p w:rsidR="00FB0B24" w:rsidRPr="005B5CB6" w:rsidP="00575F14">
      <w:pPr>
        <w:numPr>
          <w:ilvl w:val="2"/>
          <w:numId w:val="163"/>
        </w:numPr>
        <w:spacing w:after="5" w:line="250" w:lineRule="auto"/>
        <w:ind w:left="1441" w:right="11" w:hanging="720"/>
        <w:jc w:val="both"/>
        <w:rPr>
          <w:rFonts w:ascii="Verdana" w:hAnsi="Verdana"/>
        </w:rPr>
      </w:pPr>
      <w:r w:rsidRPr="005B5CB6">
        <w:rPr>
          <w:rFonts w:ascii="Verdana" w:eastAsia="Verdana" w:hAnsi="Verdana" w:cs="Verdana"/>
        </w:rPr>
        <w:t xml:space="preserve">We also believe it is vital that there are clear and strong sanctions for internet companies that breach the rules, akin with the sanctions faced by broadcasters, which could ultimately lose their licence to broadcast if Ofcom finds them to be in consistent breach of the Broadcasting Code.  Regulatory fines cannot just be an easily-absorbed “cost of doing business”, as they are often treated by the largest new tech companies. </w:t>
      </w:r>
    </w:p>
    <w:p w:rsidR="00FB0B24" w:rsidRPr="005B5CB6" w:rsidP="00FB7D1D">
      <w:pPr>
        <w:spacing w:after="0"/>
        <w:ind w:left="1440"/>
        <w:jc w:val="both"/>
        <w:rPr>
          <w:rFonts w:ascii="Verdana" w:hAnsi="Verdana"/>
        </w:rPr>
      </w:pPr>
      <w:r w:rsidRPr="005B5CB6">
        <w:rPr>
          <w:rFonts w:ascii="Verdana" w:eastAsia="Verdana" w:hAnsi="Verdana" w:cs="Verdana"/>
        </w:rPr>
        <w:t xml:space="preserve"> </w:t>
      </w:r>
    </w:p>
    <w:p w:rsidR="00FB0B24" w:rsidRPr="005B5CB6" w:rsidP="00575F14">
      <w:pPr>
        <w:numPr>
          <w:ilvl w:val="2"/>
          <w:numId w:val="163"/>
        </w:numPr>
        <w:spacing w:after="158" w:line="250" w:lineRule="auto"/>
        <w:ind w:left="1441" w:right="11" w:hanging="720"/>
        <w:jc w:val="both"/>
        <w:rPr>
          <w:rFonts w:ascii="Verdana" w:hAnsi="Verdana"/>
        </w:rPr>
      </w:pPr>
      <w:r w:rsidRPr="005B5CB6">
        <w:rPr>
          <w:rFonts w:ascii="Verdana" w:eastAsia="Verdana" w:hAnsi="Verdana" w:cs="Verdana"/>
        </w:rPr>
        <w:t>We welcome the current review into digital advertising from Competition Markets Authority</w:t>
      </w:r>
      <w:r>
        <w:rPr>
          <w:rFonts w:ascii="Verdana" w:eastAsia="Verdana" w:hAnsi="Verdana" w:cs="Verdana"/>
          <w:vertAlign w:val="superscript"/>
        </w:rPr>
        <w:footnoteReference w:id="252"/>
      </w:r>
      <w:r w:rsidRPr="005B5CB6">
        <w:rPr>
          <w:rFonts w:ascii="Verdana" w:eastAsia="Verdana" w:hAnsi="Verdana" w:cs="Verdana"/>
        </w:rPr>
        <w:t xml:space="preserve"> which we believe will play a crucial role in identifying the impact global players have on competition. This dominance of Facebook and Google is stifling competition. It inhibits the ability of smaller online platforms to grow and the ability of content providers to suitably monetise their content when it is carried </w:t>
      </w:r>
      <w:r w:rsidRPr="005B5CB6">
        <w:rPr>
          <w:rFonts w:ascii="Verdana" w:eastAsia="Verdana" w:hAnsi="Verdana" w:cs="Verdana"/>
        </w:rPr>
        <w:t xml:space="preserve">by the digital giants. Television advertisers are competing at an inherent disadvantage to online advertisers due to the regulatory imbalance between the two sectors. This is allowing bad practice and unscrupulous behaviour to take place and is putting consumers and advertisers at risk. We also welcome the forthcoming DCMS review of online advertising which will explore similar issues, including this regulatory discrepancy. We consider that fundamental regulatory reform of the digital advertising market is needed to facilitate competition and adequately protect consumers. </w:t>
      </w:r>
    </w:p>
    <w:p w:rsidR="00FB0B24" w:rsidRPr="005B5CB6" w:rsidP="00FB7D1D">
      <w:pPr>
        <w:pStyle w:val="Heading2"/>
        <w:rPr>
          <w:sz w:val="22"/>
        </w:rPr>
      </w:pPr>
      <w:r w:rsidRPr="005B5CB6">
        <w:rPr>
          <w:sz w:val="22"/>
        </w:rPr>
        <w:t xml:space="preserve">Prominence </w:t>
      </w:r>
    </w:p>
    <w:p w:rsidR="00FB0B24" w:rsidRPr="005B5CB6" w:rsidP="00FB7D1D">
      <w:pPr>
        <w:spacing w:after="5" w:line="249" w:lineRule="auto"/>
        <w:ind w:left="719" w:right="12" w:hanging="718"/>
        <w:jc w:val="both"/>
        <w:rPr>
          <w:rFonts w:ascii="Verdana" w:hAnsi="Verdana"/>
        </w:rPr>
      </w:pPr>
      <w:r w:rsidRPr="005B5CB6">
        <w:rPr>
          <w:rFonts w:ascii="Verdana" w:eastAsia="Verdana" w:hAnsi="Verdana" w:cs="Verdana"/>
        </w:rPr>
        <w:t>6.3</w:t>
      </w:r>
      <w:r w:rsidRPr="005B5CB6">
        <w:rPr>
          <w:rFonts w:ascii="Verdana" w:eastAsia="Arial" w:hAnsi="Verdana" w:cs="Arial"/>
        </w:rPr>
        <w:t xml:space="preserve"> </w:t>
      </w:r>
      <w:r w:rsidRPr="005B5CB6">
        <w:rPr>
          <w:rFonts w:ascii="Verdana" w:eastAsia="Verdana" w:hAnsi="Verdana" w:cs="Verdana"/>
        </w:rPr>
        <w:t xml:space="preserve">One of the biggest challenges for Channel 4 and for public service broadcasting in the years ahead will be ensuring that viewers can continue to find our content. As argued above, public service broadcasting is vital to our culture, our democracy and the continued global success of our creative industries. It is also a crucial mechanism in facilitating the wider public’s engagement with and participation in political discourse. But it is a system that needs to be supported and nurtured to ensure it can continue to compete with the dominance of global players. Prominence is the cornerstone of the public service broadcasting compact – ensuring audiences can easily find the public service content that Parliament has asked us to produce and commercial public service broadcasters like Channel 4 can continue to fund that content by attracting large enough audiences is essential. It is important that policymakers consider the discoverability of the content PSBs are being asked to produce, particularly as viewing habits change. </w:t>
      </w:r>
    </w:p>
    <w:p w:rsidR="00FB0B24" w:rsidRPr="005B5CB6" w:rsidP="00FB7D1D">
      <w:pPr>
        <w:spacing w:after="9"/>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6.4</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PSB prominence is one of the key interventions which supports PSBs’ ability to sustain investment in content and the delivery of their public service missions. Prominence serves a dual purpose: first, by ensuring viewers can easily find the content Parliament has asked PSBs to provide, it both increases the impact and effectiveness of socially important content; second it maximises the commercial viability for commercially funded PSBs – thereby incentivising continued investment. </w:t>
      </w:r>
    </w:p>
    <w:p w:rsidR="00FB0B24" w:rsidRPr="005B5CB6" w:rsidP="00FB7D1D">
      <w:pPr>
        <w:spacing w:after="12"/>
        <w:ind w:left="721"/>
        <w:jc w:val="both"/>
        <w:rPr>
          <w:rFonts w:ascii="Verdana" w:hAnsi="Verdana"/>
        </w:rPr>
      </w:pPr>
      <w:r w:rsidRPr="005B5CB6">
        <w:rPr>
          <w:rFonts w:ascii="Verdana" w:eastAsia="Verdana" w:hAnsi="Verdana" w:cs="Verdana"/>
        </w:rPr>
        <w:t xml:space="preserve"> </w:t>
      </w:r>
    </w:p>
    <w:p w:rsidR="00FB0B24" w:rsidRPr="005B5CB6" w:rsidP="00FB7D1D">
      <w:pPr>
        <w:tabs>
          <w:tab w:val="center" w:pos="4044"/>
        </w:tabs>
        <w:spacing w:after="5" w:line="250" w:lineRule="auto"/>
        <w:jc w:val="both"/>
        <w:rPr>
          <w:rFonts w:ascii="Verdana" w:hAnsi="Verdana"/>
        </w:rPr>
      </w:pPr>
      <w:r w:rsidRPr="005B5CB6">
        <w:rPr>
          <w:rFonts w:ascii="Verdana" w:eastAsia="Verdana" w:hAnsi="Verdana" w:cs="Verdana"/>
        </w:rPr>
        <w:t>6.5</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The current prominence regime was introduced as part of the </w:t>
      </w:r>
    </w:p>
    <w:p w:rsidR="00FB0B24" w:rsidRPr="005B5CB6" w:rsidP="00FB7D1D">
      <w:pPr>
        <w:spacing w:after="337" w:line="249" w:lineRule="auto"/>
        <w:ind w:left="722" w:right="449"/>
        <w:jc w:val="both"/>
        <w:rPr>
          <w:rFonts w:ascii="Verdana" w:hAnsi="Verdana"/>
        </w:rPr>
      </w:pPr>
      <w:r w:rsidRPr="005B5CB6">
        <w:rPr>
          <w:rFonts w:ascii="Verdana" w:eastAsia="Verdana" w:hAnsi="Verdana" w:cs="Verdana"/>
        </w:rPr>
        <w:t>Communications Act 2003 and calls for PSBs to be given “</w:t>
      </w:r>
      <w:r w:rsidRPr="005B5CB6">
        <w:rPr>
          <w:rFonts w:ascii="Verdana" w:eastAsia="Verdana" w:hAnsi="Verdana" w:cs="Verdana"/>
          <w:i/>
        </w:rPr>
        <w:t xml:space="preserve">such degree of prominence as Ofcom consider appropriate” </w:t>
      </w:r>
      <w:r w:rsidRPr="005B5CB6">
        <w:rPr>
          <w:rFonts w:ascii="Verdana" w:eastAsia="Verdana" w:hAnsi="Verdana" w:cs="Verdana"/>
        </w:rPr>
        <w:t xml:space="preserve">and gives Ofcom a duty </w:t>
      </w:r>
      <w:r w:rsidRPr="005B5CB6">
        <w:rPr>
          <w:rFonts w:ascii="Verdana" w:eastAsia="Verdana" w:hAnsi="Verdana" w:cs="Verdana"/>
          <w:i/>
        </w:rPr>
        <w:t xml:space="preserve">“to draw up, and from time to time to review and revise, a code giving </w:t>
      </w:r>
    </w:p>
    <w:p w:rsidR="00FB0B24" w:rsidRPr="005B5CB6" w:rsidP="00FB7D1D">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2603" name="Group 56260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83" name="Shape 63598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57" style="height:0.72pt;mso-position-horizontal-relative:char;mso-position-vertical-relative:line;width:2in" coordsize="18288,91">
                <v:shape id="_x0000_s125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FB7D1D">
      <w:pPr>
        <w:spacing w:after="5" w:line="249" w:lineRule="auto"/>
        <w:ind w:left="731" w:hanging="10"/>
        <w:jc w:val="both"/>
        <w:rPr>
          <w:rFonts w:ascii="Verdana" w:hAnsi="Verdana"/>
        </w:rPr>
      </w:pPr>
      <w:r w:rsidRPr="005B5CB6">
        <w:rPr>
          <w:rFonts w:ascii="Verdana" w:eastAsia="Verdana" w:hAnsi="Verdana" w:cs="Verdana"/>
          <w:i/>
        </w:rPr>
        <w:t>guidance as to the practices to be followed in the provision of electronic programme guides.”</w:t>
      </w:r>
      <w:r w:rsidRPr="005B5CB6">
        <w:rPr>
          <w:rFonts w:ascii="Verdana" w:eastAsia="Verdana" w:hAnsi="Verdana" w:cs="Verdana"/>
        </w:rPr>
        <w:t xml:space="preserve">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49" w:lineRule="auto"/>
        <w:ind w:left="720" w:right="12" w:hanging="719"/>
        <w:jc w:val="both"/>
        <w:rPr>
          <w:rFonts w:ascii="Verdana" w:hAnsi="Verdana"/>
        </w:rPr>
      </w:pPr>
      <w:r w:rsidRPr="005B5CB6">
        <w:rPr>
          <w:rFonts w:ascii="Verdana" w:eastAsia="Verdana" w:hAnsi="Verdana" w:cs="Verdana"/>
        </w:rPr>
        <w:t>6.6</w:t>
      </w:r>
      <w:r w:rsidRPr="005B5CB6">
        <w:rPr>
          <w:rFonts w:ascii="Verdana" w:eastAsia="Arial" w:hAnsi="Verdana" w:cs="Arial"/>
        </w:rPr>
        <w:t xml:space="preserve"> </w:t>
      </w:r>
      <w:r w:rsidRPr="005B5CB6">
        <w:rPr>
          <w:rFonts w:ascii="Verdana" w:eastAsia="Verdana" w:hAnsi="Verdana" w:cs="Verdana"/>
        </w:rPr>
        <w:t xml:space="preserve">Channel 4 believes that the existing prominence rules have failed to keep pace with technological and market developments and are constantly being undermined by online and pay platforms. The rules are strictly limited to the linear EPG and take no account of how viewers are increasingly accessing content in different ways. For example, while All 4 contains all of </w:t>
      </w:r>
      <w:r w:rsidRPr="005B5CB6">
        <w:rPr>
          <w:rFonts w:ascii="Verdana" w:eastAsia="Verdana" w:hAnsi="Verdana" w:cs="Verdana"/>
        </w:rPr>
        <w:t xml:space="preserve">the content aired on Channel 4, it receives no guarantee of prominence. The </w:t>
      </w:r>
    </w:p>
    <w:p w:rsidR="00FB0B24" w:rsidRPr="005B5CB6" w:rsidP="00FB7D1D">
      <w:pPr>
        <w:spacing w:after="5" w:line="249" w:lineRule="auto"/>
        <w:ind w:left="729" w:right="76" w:hanging="9"/>
        <w:jc w:val="both"/>
        <w:rPr>
          <w:rFonts w:ascii="Verdana" w:hAnsi="Verdana"/>
        </w:rPr>
      </w:pPr>
      <w:r w:rsidRPr="005B5CB6">
        <w:rPr>
          <w:rFonts w:ascii="Verdana" w:eastAsia="Verdana" w:hAnsi="Verdana" w:cs="Verdana"/>
        </w:rPr>
        <w:t xml:space="preserve">linear EPG itself is increasingly difficult to find with smart TV manufacturers and pay TV platforms in particular pushing users towards unregulated areas of their platforms where they disaggregate content and can promote their own content or the content of organisations that pay for the privilege. Platforms now push users towards their own algorithmically generated recommendations and top picks and developing proprietary technologies to determine audience viewing choices via voice control. These changes have fundamentally changed how content is discovered and current prominence rules don’t apply to any of these new ways of finding content – therefore the current prominence rules are no longer fit for purpose, and risk public service broadcasting being undermined and hidden away from viewers. </w:t>
      </w:r>
    </w:p>
    <w:p w:rsidR="00FB0B24" w:rsidRPr="005B5CB6" w:rsidP="00FB7D1D">
      <w:pPr>
        <w:spacing w:after="9"/>
        <w:ind w:left="720"/>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6.7</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If PSBs are to be able to continue to compete effectively with the tech platforms it is essential that the rules are updated.  </w:t>
      </w:r>
    </w:p>
    <w:p w:rsidR="00FB0B24" w:rsidRPr="005B5CB6" w:rsidP="00FB7D1D">
      <w:pPr>
        <w:spacing w:after="3"/>
        <w:ind w:left="720"/>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6" w:right="11" w:hanging="721"/>
        <w:jc w:val="both"/>
        <w:rPr>
          <w:rFonts w:ascii="Verdana" w:hAnsi="Verdana"/>
        </w:rPr>
      </w:pPr>
      <w:r w:rsidRPr="005B5CB6">
        <w:rPr>
          <w:rFonts w:ascii="Verdana" w:eastAsia="Verdana" w:hAnsi="Verdana" w:cs="Verdana"/>
        </w:rPr>
        <w:t>6.8</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Channel 4 welcomes Ofcom’s statement on prominence</w:t>
      </w:r>
      <w:r>
        <w:rPr>
          <w:rFonts w:ascii="Verdana" w:eastAsia="Verdana" w:hAnsi="Verdana" w:cs="Verdana"/>
          <w:vertAlign w:val="superscript"/>
        </w:rPr>
        <w:footnoteReference w:id="253"/>
      </w:r>
      <w:r w:rsidRPr="005B5CB6">
        <w:rPr>
          <w:rFonts w:ascii="Verdana" w:eastAsia="Verdana" w:hAnsi="Verdana" w:cs="Verdana"/>
        </w:rPr>
        <w:t xml:space="preserve"> which recognises the importance of PSB and calls for legislative and regulatory reform. Their recommendations include: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49" w:lineRule="auto"/>
        <w:ind w:left="1441" w:hanging="720"/>
        <w:jc w:val="both"/>
        <w:rPr>
          <w:rFonts w:ascii="Verdana" w:hAnsi="Verdana"/>
        </w:rPr>
      </w:pPr>
      <w:r w:rsidRPr="005B5CB6">
        <w:rPr>
          <w:rFonts w:ascii="Verdana" w:eastAsia="Verdana" w:hAnsi="Verdana" w:cs="Verdana"/>
        </w:rPr>
        <w:t>6.8.1</w:t>
      </w:r>
      <w:r w:rsidRPr="005B5CB6">
        <w:rPr>
          <w:rFonts w:ascii="Verdana" w:eastAsia="Arial" w:hAnsi="Verdana" w:cs="Arial"/>
        </w:rPr>
        <w:t xml:space="preserve"> </w:t>
      </w:r>
      <w:r w:rsidRPr="005B5CB6">
        <w:rPr>
          <w:rFonts w:ascii="Verdana" w:eastAsia="Verdana" w:hAnsi="Verdana" w:cs="Verdana"/>
        </w:rPr>
        <w:t>A new framework to ensure that viewers can “</w:t>
      </w:r>
      <w:r w:rsidRPr="005B5CB6">
        <w:rPr>
          <w:rFonts w:ascii="Verdana" w:eastAsia="Verdana" w:hAnsi="Verdana" w:cs="Verdana"/>
          <w:i/>
        </w:rPr>
        <w:t>find PSB content easily on the homepage of connected TVs. This would include both the PSBs’ traditional channels and their on-demand services (e.g. ‘players’</w:t>
      </w:r>
      <w:r w:rsidRPr="005B5CB6">
        <w:rPr>
          <w:rFonts w:ascii="Verdana" w:eastAsia="Verdana" w:hAnsi="Verdana" w:cs="Verdana"/>
        </w:rPr>
        <w:t xml:space="preserve">)”  </w:t>
      </w:r>
    </w:p>
    <w:p w:rsidR="00FB0B24" w:rsidRPr="005B5CB6" w:rsidP="00FB7D1D">
      <w:pPr>
        <w:spacing w:after="0"/>
        <w:ind w:left="144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1441" w:right="11" w:hanging="720"/>
        <w:jc w:val="both"/>
        <w:rPr>
          <w:rFonts w:ascii="Verdana" w:hAnsi="Verdana"/>
        </w:rPr>
      </w:pPr>
      <w:r w:rsidRPr="005B5CB6">
        <w:rPr>
          <w:rFonts w:ascii="Verdana" w:eastAsia="Verdana" w:hAnsi="Verdana" w:cs="Verdana"/>
        </w:rPr>
        <w:t>6.8.2</w:t>
      </w:r>
      <w:r w:rsidRPr="005B5CB6">
        <w:rPr>
          <w:rFonts w:ascii="Verdana" w:eastAsia="Arial" w:hAnsi="Verdana" w:cs="Arial"/>
        </w:rPr>
        <w:t xml:space="preserve"> </w:t>
      </w:r>
      <w:r w:rsidRPr="005B5CB6">
        <w:rPr>
          <w:rFonts w:ascii="Verdana" w:eastAsia="Verdana" w:hAnsi="Verdana" w:cs="Verdana"/>
        </w:rPr>
        <w:t xml:space="preserve">Regulation to be focussed on services that </w:t>
      </w:r>
      <w:r w:rsidRPr="005B5CB6">
        <w:rPr>
          <w:rFonts w:ascii="Verdana" w:eastAsia="Verdana" w:hAnsi="Verdana" w:cs="Verdana"/>
          <w:i/>
        </w:rPr>
        <w:t>“a significant number of viewers use as one of their main ways of watching TV content”.</w:t>
      </w:r>
      <w:r w:rsidRPr="005B5CB6">
        <w:rPr>
          <w:rFonts w:ascii="Verdana" w:eastAsia="Verdana" w:hAnsi="Verdana" w:cs="Verdana"/>
        </w:rPr>
        <w:t xml:space="preserve"> The initial focus is therefore on connected TVs (</w:t>
      </w:r>
      <w:r w:rsidRPr="005B5CB6">
        <w:rPr>
          <w:rFonts w:ascii="Verdana" w:eastAsia="Verdana" w:hAnsi="Verdana" w:cs="Verdana"/>
          <w:i/>
        </w:rPr>
        <w:t>“smart TVs, and those connected by a set-top box or streaming sticks”</w:t>
      </w:r>
      <w:r w:rsidRPr="005B5CB6">
        <w:rPr>
          <w:rFonts w:ascii="Verdana" w:eastAsia="Verdana" w:hAnsi="Verdana" w:cs="Verdana"/>
        </w:rPr>
        <w:t xml:space="preserve">), with flexibility for Ofcom to extend this in future as technology and viewing habits change. </w:t>
      </w:r>
    </w:p>
    <w:p w:rsidR="00FB0B24" w:rsidRPr="005B5CB6" w:rsidP="00FB7D1D">
      <w:pPr>
        <w:spacing w:after="0"/>
        <w:ind w:left="1441"/>
        <w:jc w:val="both"/>
        <w:rPr>
          <w:rFonts w:ascii="Verdana" w:hAnsi="Verdana"/>
        </w:rPr>
      </w:pPr>
      <w:r w:rsidRPr="005B5CB6">
        <w:rPr>
          <w:rFonts w:ascii="Verdana" w:eastAsia="Verdana" w:hAnsi="Verdana" w:cs="Verdana"/>
        </w:rPr>
        <w:t xml:space="preserve"> </w:t>
      </w:r>
    </w:p>
    <w:p w:rsidR="00FB0B24" w:rsidRPr="005B5CB6" w:rsidP="00FB7D1D">
      <w:pPr>
        <w:spacing w:after="73" w:line="250" w:lineRule="auto"/>
        <w:ind w:left="1441" w:right="11" w:hanging="720"/>
        <w:jc w:val="both"/>
        <w:rPr>
          <w:rFonts w:ascii="Verdana" w:hAnsi="Verdana"/>
        </w:rPr>
      </w:pPr>
      <w:r w:rsidRPr="005B5CB6">
        <w:rPr>
          <w:rFonts w:ascii="Verdana" w:eastAsia="Verdana" w:hAnsi="Verdana" w:cs="Verdana"/>
        </w:rPr>
        <w:t>6.8.3</w:t>
      </w:r>
      <w:r w:rsidRPr="005B5CB6">
        <w:rPr>
          <w:rFonts w:ascii="Verdana" w:eastAsia="Arial" w:hAnsi="Verdana" w:cs="Arial"/>
        </w:rPr>
        <w:t xml:space="preserve"> </w:t>
      </w:r>
      <w:r w:rsidRPr="005B5CB6">
        <w:rPr>
          <w:rFonts w:ascii="Verdana" w:eastAsia="Verdana" w:hAnsi="Verdana" w:cs="Verdana"/>
        </w:rPr>
        <w:t xml:space="preserve">Disaggregated PSB content should also be given protected prominence within TV platforms’ recommendations and search results (e.g. within a selection of trending or recommended drama programmes on a home page, we would expect to see a variety of programmes from the PSBs included). </w:t>
      </w:r>
    </w:p>
    <w:p w:rsidR="00FB0B24" w:rsidRPr="005B5CB6" w:rsidP="00FB7D1D">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2350" name="Group 56235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85" name="Shape 63598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59" style="height:0.72pt;mso-position-horizontal-relative:char;mso-position-vertical-relative:line;width:2in" coordsize="18288,91">
                <v:shape id="_x0000_s1260"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FB7D1D">
      <w:pPr>
        <w:spacing w:after="0"/>
        <w:ind w:left="144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1441" w:right="11" w:hanging="720"/>
        <w:jc w:val="both"/>
        <w:rPr>
          <w:rFonts w:ascii="Verdana" w:hAnsi="Verdana"/>
        </w:rPr>
      </w:pPr>
      <w:r w:rsidRPr="005B5CB6">
        <w:rPr>
          <w:rFonts w:ascii="Verdana" w:eastAsia="Verdana" w:hAnsi="Verdana" w:cs="Verdana"/>
        </w:rPr>
        <w:t>6.8.4</w:t>
      </w:r>
      <w:r w:rsidRPr="005B5CB6">
        <w:rPr>
          <w:rFonts w:ascii="Verdana" w:eastAsia="Arial" w:hAnsi="Verdana" w:cs="Arial"/>
        </w:rPr>
        <w:t xml:space="preserve"> </w:t>
      </w:r>
      <w:r w:rsidRPr="005B5CB6">
        <w:rPr>
          <w:rFonts w:ascii="Verdana" w:eastAsia="Verdana" w:hAnsi="Verdana" w:cs="Verdana"/>
        </w:rPr>
        <w:t xml:space="preserve">On-demand services should only be given prominence if the service is clearly delivering PSB content. This should be based on the service meeting new requirements </w:t>
      </w:r>
      <w:r w:rsidRPr="005B5CB6">
        <w:rPr>
          <w:rFonts w:ascii="Verdana" w:eastAsia="Verdana" w:hAnsi="Verdana" w:cs="Verdana"/>
          <w:i/>
        </w:rPr>
        <w:t>“for a suitable range and amount of high-quality content made for UK viewers, as well as content in particular genres such as children’s, current affairs and factual.”</w:t>
      </w:r>
      <w:r w:rsidRPr="005B5CB6">
        <w:rPr>
          <w:rFonts w:ascii="Verdana" w:eastAsia="Verdana" w:hAnsi="Verdana" w:cs="Verdana"/>
        </w:rPr>
        <w:t xml:space="preserve">  </w:t>
      </w:r>
    </w:p>
    <w:p w:rsidR="00FB0B24" w:rsidRPr="005B5CB6" w:rsidP="00FB7D1D">
      <w:pPr>
        <w:spacing w:after="12"/>
        <w:ind w:left="722"/>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6.9</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Channel 4 therefore urges the Committee to call on Government to push forward this agenda to ensure that public service content can continue to play a vital democratic role by ensuring it is discoverable as digital technology changes. </w:t>
      </w:r>
    </w:p>
    <w:p w:rsidR="00FB0B24" w:rsidRPr="005B5CB6" w:rsidP="00FB7D1D">
      <w:pPr>
        <w:spacing w:after="159"/>
        <w:ind w:left="721"/>
        <w:jc w:val="both"/>
        <w:rPr>
          <w:rFonts w:ascii="Verdana" w:hAnsi="Verdana"/>
        </w:rPr>
      </w:pPr>
      <w:r w:rsidRPr="005B5CB6">
        <w:rPr>
          <w:rFonts w:ascii="Verdana" w:eastAsia="Verdana" w:hAnsi="Verdana" w:cs="Verdana"/>
        </w:rPr>
        <w:t xml:space="preserve"> </w:t>
      </w:r>
    </w:p>
    <w:p w:rsidR="00FB0B24" w:rsidRPr="005B5CB6" w:rsidP="00FB7D1D">
      <w:pPr>
        <w:pStyle w:val="Heading2"/>
        <w:rPr>
          <w:sz w:val="22"/>
        </w:rPr>
      </w:pPr>
      <w:r w:rsidRPr="005B5CB6">
        <w:rPr>
          <w:sz w:val="22"/>
        </w:rPr>
        <w:t xml:space="preserve">A regulatory framework for the internet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6.10</w:t>
      </w:r>
      <w:r w:rsidRPr="005B5CB6">
        <w:rPr>
          <w:rFonts w:ascii="Verdana" w:eastAsia="Arial" w:hAnsi="Verdana" w:cs="Arial"/>
        </w:rPr>
        <w:t xml:space="preserve"> </w:t>
      </w:r>
      <w:r w:rsidRPr="005B5CB6">
        <w:rPr>
          <w:rFonts w:ascii="Verdana" w:eastAsia="Verdana" w:hAnsi="Verdana" w:cs="Verdana"/>
        </w:rPr>
        <w:t>Channel 4 welcomes the Government’s proposals in their White Paper to establish a new regulator and regulatory framework for internet platforms aimed at providing greater protection for citizens</w:t>
      </w:r>
      <w:r>
        <w:rPr>
          <w:rFonts w:ascii="Verdana" w:eastAsia="Verdana" w:hAnsi="Verdana" w:cs="Verdana"/>
          <w:vertAlign w:val="superscript"/>
        </w:rPr>
        <w:footnoteReference w:id="254"/>
      </w:r>
      <w:r w:rsidRPr="005B5CB6">
        <w:rPr>
          <w:rFonts w:ascii="Verdana" w:eastAsia="Verdana" w:hAnsi="Verdana" w:cs="Verdana"/>
        </w:rPr>
        <w:t xml:space="preserve">. We believe that independent statutory regulation is vital in seeking to address some of the harmful content that has proliferated on these platforms in recent years. This regulator must be independent, sufficiently resourced and have the digital expertise to be able to fully understand and oversee the technology platforms, as well as a clear understanding of all forms of content. The regulator also needs to be equipped with information gathering powers with statutory penalties in place for instances of false reporting.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6.11</w:t>
      </w:r>
      <w:r w:rsidRPr="005B5CB6">
        <w:rPr>
          <w:rFonts w:ascii="Verdana" w:eastAsia="Arial" w:hAnsi="Verdana" w:cs="Arial"/>
        </w:rPr>
        <w:t xml:space="preserve"> </w:t>
      </w:r>
      <w:r w:rsidRPr="005B5CB6">
        <w:rPr>
          <w:rFonts w:ascii="Verdana" w:eastAsia="Verdana" w:hAnsi="Verdana" w:cs="Verdana"/>
        </w:rPr>
        <w:t xml:space="preserve">Currently, there is limited public information about the tech platforms’ approaches to dealing with harmful content, and the information that is available is inconsistent. This contrasts with broadcasting as transparency is greatly facilitated by the fact that, as a matter of law, broadcasters and on-demand providers must respond to requests for information from Ofcom and it is a breach of their licence if they fail to do so.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6.12</w:t>
      </w:r>
      <w:r w:rsidRPr="005B5CB6">
        <w:rPr>
          <w:rFonts w:ascii="Verdana" w:eastAsia="Arial" w:hAnsi="Verdana" w:cs="Arial"/>
        </w:rPr>
        <w:t xml:space="preserve"> </w:t>
      </w:r>
      <w:r w:rsidRPr="005B5CB6">
        <w:rPr>
          <w:rFonts w:ascii="Verdana" w:eastAsia="Verdana" w:hAnsi="Verdana" w:cs="Verdana"/>
        </w:rPr>
        <w:t>It is important that the regulator develops an adaptable guidance policy for companies to comply with the new legal duties. This flexibility will allow the regulator to evolve and evaluate in a quickly changing technological landscape and allow for changing consumer behaviour and expectations. As Ofcom notes, this has worked in a broadcasting context by having a set of objectives laid down by Parliament in statute, which are then underpinned by detailed regulatory guidance designed to evolve over time. Changes to the regulatory requirements are then informed by public consultation.</w:t>
      </w:r>
      <w:r w:rsidRPr="005B5CB6">
        <w:rPr>
          <w:rFonts w:ascii="Verdana" w:eastAsia="Verdana" w:hAnsi="Verdana" w:cs="Verdana"/>
          <w:vertAlign w:val="superscript"/>
        </w:rPr>
        <w:t>[1]</w:t>
      </w:r>
      <w:r w:rsidRPr="005B5CB6">
        <w:rPr>
          <w:rFonts w:ascii="Verdana" w:eastAsia="Verdana" w:hAnsi="Verdana" w:cs="Verdana"/>
        </w:rPr>
        <w:t xml:space="preserve"> Channel 4 considers this approach to be useful in the online context, as innovation is fast-paced and where any regulation would have to be durable in a rapidly changing market.  </w:t>
      </w:r>
    </w:p>
    <w:p w:rsidR="00FB0B24" w:rsidRPr="005B5CB6" w:rsidP="00FB7D1D">
      <w:pPr>
        <w:spacing w:after="307"/>
        <w:ind w:left="721"/>
        <w:jc w:val="both"/>
        <w:rPr>
          <w:rFonts w:ascii="Verdana" w:hAnsi="Verdana"/>
        </w:rPr>
      </w:pPr>
      <w:r w:rsidRPr="005B5CB6">
        <w:rPr>
          <w:rFonts w:ascii="Verdana" w:eastAsia="Verdana" w:hAnsi="Verdana" w:cs="Verdana"/>
        </w:rPr>
        <w:t xml:space="preserve"> </w:t>
      </w:r>
    </w:p>
    <w:p w:rsidR="00FB0B24" w:rsidRPr="005B5CB6" w:rsidP="00FB7D1D">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4119" name="Group 56411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5987" name="Shape 63598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61" style="height:0.72pt;mso-position-horizontal-relative:char;mso-position-vertical-relative:line;width:2in" coordsize="18288,91">
                <v:shape id="_x0000_s1262"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6.13</w:t>
      </w:r>
      <w:r w:rsidRPr="005B5CB6">
        <w:rPr>
          <w:rFonts w:ascii="Verdana" w:eastAsia="Arial" w:hAnsi="Verdana" w:cs="Arial"/>
        </w:rPr>
        <w:t xml:space="preserve"> </w:t>
      </w:r>
      <w:r w:rsidRPr="005B5CB6">
        <w:rPr>
          <w:rFonts w:ascii="Verdana" w:eastAsia="Verdana" w:hAnsi="Verdana" w:cs="Verdana"/>
        </w:rPr>
        <w:t xml:space="preserve">The regulator will need to forge relationships with industry, academics and civil society so it is able to evaluate and evolve compliance processes over time. Channel 4 believes this guidance, must be developed independently from government to ensure credibility and support public trust in how online harms are being addressed.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FB7D1D">
      <w:pPr>
        <w:spacing w:after="5" w:line="250" w:lineRule="auto"/>
        <w:ind w:left="735" w:right="11" w:hanging="720"/>
        <w:jc w:val="both"/>
        <w:rPr>
          <w:rFonts w:ascii="Verdana" w:hAnsi="Verdana"/>
        </w:rPr>
      </w:pPr>
      <w:r w:rsidRPr="005B5CB6">
        <w:rPr>
          <w:rFonts w:ascii="Verdana" w:eastAsia="Verdana" w:hAnsi="Verdana" w:cs="Verdana"/>
        </w:rPr>
        <w:t>6.14</w:t>
      </w:r>
      <w:r w:rsidRPr="005B5CB6">
        <w:rPr>
          <w:rFonts w:ascii="Verdana" w:eastAsia="Arial" w:hAnsi="Verdana" w:cs="Arial"/>
        </w:rPr>
        <w:t xml:space="preserve"> </w:t>
      </w:r>
      <w:r w:rsidRPr="005B5CB6">
        <w:rPr>
          <w:rFonts w:ascii="Verdana" w:eastAsia="Verdana" w:hAnsi="Verdana" w:cs="Verdana"/>
        </w:rPr>
        <w:t xml:space="preserve">The regulator should be funded in the same way that Ofcom is, through contributions from both government and the industries that it regulates and backed up with a clear legal obligation.  </w:t>
      </w:r>
    </w:p>
    <w:p w:rsidR="00FB0B24" w:rsidRPr="005B5CB6" w:rsidP="00FB7D1D">
      <w:pPr>
        <w:spacing w:after="0"/>
        <w:ind w:left="721"/>
        <w:jc w:val="both"/>
        <w:rPr>
          <w:rFonts w:ascii="Verdana" w:hAnsi="Verdana"/>
        </w:rPr>
      </w:pPr>
      <w:r w:rsidRPr="005B5CB6">
        <w:rPr>
          <w:rFonts w:ascii="Verdana" w:eastAsia="Verdana" w:hAnsi="Verdana" w:cs="Verdana"/>
        </w:rPr>
        <w:t xml:space="preserve"> </w:t>
      </w:r>
    </w:p>
    <w:p w:rsidR="00FB0B24" w:rsidRPr="005B5CB6" w:rsidP="00FB7D1D">
      <w:pPr>
        <w:spacing w:after="161" w:line="250" w:lineRule="auto"/>
        <w:ind w:left="735" w:right="11" w:hanging="720"/>
        <w:jc w:val="both"/>
        <w:rPr>
          <w:rFonts w:ascii="Verdana" w:hAnsi="Verdana"/>
        </w:rPr>
      </w:pPr>
      <w:r w:rsidRPr="005B5CB6">
        <w:rPr>
          <w:rFonts w:ascii="Verdana" w:eastAsia="Verdana" w:hAnsi="Verdana" w:cs="Verdana"/>
        </w:rPr>
        <w:t>6.15</w:t>
      </w:r>
      <w:r w:rsidRPr="005B5CB6">
        <w:rPr>
          <w:rFonts w:ascii="Verdana" w:eastAsia="Arial" w:hAnsi="Verdana" w:cs="Arial"/>
        </w:rPr>
        <w:t xml:space="preserve"> </w:t>
      </w:r>
      <w:r w:rsidRPr="005B5CB6">
        <w:rPr>
          <w:rFonts w:ascii="Verdana" w:eastAsia="Verdana" w:hAnsi="Verdana" w:cs="Verdana"/>
        </w:rPr>
        <w:t xml:space="preserve">Channel 4 believes it is vital that the regulator has a range of tools to support enforcement of a Duty of Care for online harms including robust and effective sanctions. This should include significant and potentially damaging penalties and the capacity to block sites that consistently breach regulations, as the White Paper has proposed. However, we would be cautious about proposing a regime for senior management liability. For television, in terms of sanctions under the broadcast code, Ofcom has the power to issue a direction to broadcast a summary of its adjudication on air or impose a fine (which could be significant) - Channel 4 considers this to be an appropriate and proportionate response. We believe senior management liability must only be linked to specific individual executive sections in very specific and grave circumstances. </w:t>
      </w:r>
    </w:p>
    <w:p w:rsidR="00FB0B24" w:rsidRPr="005B5CB6" w:rsidP="00FB7D1D">
      <w:pPr>
        <w:pStyle w:val="Heading2"/>
        <w:rPr>
          <w:sz w:val="22"/>
        </w:rPr>
      </w:pPr>
      <w:r w:rsidRPr="005B5CB6">
        <w:rPr>
          <w:sz w:val="22"/>
        </w:rPr>
        <w:t xml:space="preserve">Merit in Ofcom and dangers of regulatory overlap </w:t>
      </w:r>
    </w:p>
    <w:p w:rsidR="00FB0B24" w:rsidRPr="005B5CB6" w:rsidP="001512F6">
      <w:pPr>
        <w:spacing w:after="5" w:line="250" w:lineRule="auto"/>
        <w:ind w:left="735" w:right="11" w:hanging="720"/>
        <w:jc w:val="both"/>
        <w:rPr>
          <w:rFonts w:ascii="Verdana" w:hAnsi="Verdana"/>
        </w:rPr>
      </w:pPr>
      <w:r w:rsidRPr="005B5CB6">
        <w:rPr>
          <w:rFonts w:ascii="Verdana" w:eastAsia="Verdana" w:hAnsi="Verdana" w:cs="Verdana"/>
        </w:rPr>
        <w:t>6.16</w:t>
      </w:r>
      <w:r w:rsidRPr="005B5CB6">
        <w:rPr>
          <w:rFonts w:ascii="Verdana" w:eastAsia="Arial" w:hAnsi="Verdana" w:cs="Arial"/>
        </w:rPr>
        <w:t xml:space="preserve"> </w:t>
      </w:r>
      <w:r w:rsidRPr="005B5CB6">
        <w:rPr>
          <w:rFonts w:ascii="Verdana" w:eastAsia="Verdana" w:hAnsi="Verdana" w:cs="Verdana"/>
        </w:rPr>
        <w:t xml:space="preserve">Given these requirements above, Channel 4 sees important benefits of this regulation sitting within the existing structures i.e. Ofcom. Ofcom are experienced and credible as a proportionate content regulator, evidencedbased in their approach to policy making, are internationally respected, and have significant expertise in related issues. Channel 4 believes that there is already effective and robust regulation of the existing content regime in the UK through Ofcom and any new regulator would benefit from this institutional and expert knowledge.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35" w:right="11" w:hanging="720"/>
        <w:jc w:val="both"/>
        <w:rPr>
          <w:rFonts w:ascii="Verdana" w:hAnsi="Verdana"/>
        </w:rPr>
      </w:pPr>
      <w:r w:rsidRPr="005B5CB6">
        <w:rPr>
          <w:rFonts w:ascii="Verdana" w:eastAsia="Verdana" w:hAnsi="Verdana" w:cs="Verdana"/>
        </w:rPr>
        <w:t>6.17</w:t>
      </w:r>
      <w:r w:rsidRPr="005B5CB6">
        <w:rPr>
          <w:rFonts w:ascii="Verdana" w:eastAsia="Arial" w:hAnsi="Verdana" w:cs="Arial"/>
        </w:rPr>
        <w:t xml:space="preserve"> </w:t>
      </w:r>
      <w:r w:rsidRPr="005B5CB6">
        <w:rPr>
          <w:rFonts w:ascii="Verdana" w:eastAsia="Verdana" w:hAnsi="Verdana" w:cs="Verdana"/>
        </w:rPr>
        <w:t xml:space="preserve">Further, in setting up a new regulatory regime, it is critical that the Government seeks to avoid regulatory overlap and duplication between regulators, to ensure regulation is proportionate and targeted. This is a particular concern for organisations such as Channel 4 and other broadcasters which are already subject to extensive existing regulatory standards, including sector-specific and issue-specific regulatory regimes.  We have already seen some evidence of the problem of regulatory overlap in instances where the Government are currently seeking to tackle specific areas of online harms - for example in the recent consultation by the ICO on age-appropriate design which sets out to capture a broad range of online services already effectively regulated by Ofcom such as Channel 4’s VoD service All 4. As currently drafted, Channel 4 believes the proposed ICO Code would lead to a regulatory overlap - resulting in technological and financial burdens for PSB VoD services without leading to greater protection for children. The draft ICO Code will disproportionately impact free ad funded services such as All 4, </w:t>
      </w:r>
    </w:p>
    <w:p w:rsidR="00FB0B24" w:rsidRPr="005B5CB6" w:rsidP="001512F6">
      <w:pPr>
        <w:spacing w:after="5" w:line="250" w:lineRule="auto"/>
        <w:ind w:left="729" w:right="169" w:hanging="8"/>
        <w:jc w:val="both"/>
        <w:rPr>
          <w:rFonts w:ascii="Verdana" w:hAnsi="Verdana"/>
        </w:rPr>
      </w:pPr>
      <w:r w:rsidRPr="005B5CB6">
        <w:rPr>
          <w:rFonts w:ascii="Verdana" w:eastAsia="Verdana" w:hAnsi="Verdana" w:cs="Verdana"/>
        </w:rPr>
        <w:t xml:space="preserve">despite the service targeting those who are sixteen years old and over.  The draft Code does not consider the likely editorial or commercial impact on public service broadcasters. Channel 4 therefore proposes that PSBs are excluded from the scope of the ICO Code.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D20189">
          <w:headerReference w:type="even" r:id="rId262"/>
          <w:headerReference w:type="default" r:id="rId263"/>
          <w:footerReference w:type="even" r:id="rId264"/>
          <w:footerReference w:type="default" r:id="rId265"/>
          <w:headerReference w:type="first" r:id="rId266"/>
          <w:footerReference w:type="first" r:id="rId267"/>
          <w:pgSz w:w="11906" w:h="16838"/>
          <w:pgMar w:top="1492" w:right="1441" w:bottom="1439" w:left="1439" w:header="720" w:footer="709" w:gutter="0"/>
          <w:cols w:space="720"/>
        </w:sectPr>
      </w:pPr>
    </w:p>
    <w:p w:rsidR="00FB0B24" w:rsidRPr="005B5CB6" w:rsidP="00A1624B">
      <w:pPr>
        <w:pStyle w:val="Heading1"/>
        <w:rPr>
          <w:sz w:val="22"/>
        </w:rPr>
      </w:pPr>
      <w:bookmarkStart w:id="47" w:name="_Toc44517735"/>
      <w:r w:rsidRPr="005B5CB6">
        <w:rPr>
          <w:sz w:val="22"/>
        </w:rPr>
        <w:t>Professor Peter Hopkins – written evidence (DAD0056)</w:t>
      </w:r>
      <w:bookmarkEnd w:id="47"/>
      <w:r w:rsidRPr="005B5CB6">
        <w:rPr>
          <w:sz w:val="22"/>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Professor Peter Hopkins and Dr Robin Finlay, School of Geography, Politics and Sociology, Newcastle University </w:t>
      </w:r>
      <w:r w:rsidRPr="005B5CB6">
        <w:rPr>
          <w:rFonts w:ascii="Verdana" w:eastAsia="Verdana" w:hAnsi="Verdana" w:cs="Verdana"/>
          <w:color w:val="0563C1"/>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b/>
        </w:rPr>
        <w:t xml:space="preserve">Background to submission - </w:t>
      </w:r>
      <w:r w:rsidRPr="005B5CB6">
        <w:rPr>
          <w:rFonts w:ascii="Verdana" w:eastAsia="Verdana" w:hAnsi="Verdana" w:cs="Verdana"/>
        </w:rPr>
        <w:t xml:space="preserve">Our submission draws upon a project where we examined the political interests and political participation of young Muslims (aged 15-27) in Scotland. Through this research we have gained significant insights into barriers and possibilities encountered by young Muslims when engaging in politics and in public life, which we believe is valuable for the work of  Democracy and Digital Technologies Committee. In addition to the research on political participation, we also draw on other academic experiences of working with Muslims communities to broaden our contribution. Our final report from this project has been published here:  </w:t>
      </w:r>
    </w:p>
    <w:p w:rsidR="00FB0B24" w:rsidRPr="005B5CB6" w:rsidP="001512F6">
      <w:pPr>
        <w:spacing w:after="5" w:line="249" w:lineRule="auto"/>
        <w:ind w:left="-5" w:hanging="10"/>
        <w:jc w:val="both"/>
        <w:rPr>
          <w:rFonts w:ascii="Verdana" w:hAnsi="Verdana"/>
        </w:rPr>
      </w:pPr>
      <w:r>
        <w:fldChar w:fldCharType="begin"/>
      </w:r>
      <w:r>
        <w:instrText xml:space="preserve"> HYPERLINK "https://research.ncl.ac.uk/media/sites/researchwebsites/youngmuslims/MuslimYouthScotland.pdf" </w:instrText>
      </w:r>
      <w:r>
        <w:fldChar w:fldCharType="separate"/>
      </w:r>
      <w:r w:rsidRPr="005B5CB6" w:rsidR="00A72806">
        <w:rPr>
          <w:rFonts w:ascii="Verdana" w:eastAsia="Verdana" w:hAnsi="Verdana" w:cs="Verdana"/>
          <w:color w:val="0563C1"/>
          <w:u w:val="single" w:color="0563C1"/>
        </w:rPr>
        <w:t xml:space="preserve">https://research.ncl.ac.uk/media/sites/researchwebsites/youngmuslims/MuslimY </w:t>
      </w:r>
      <w:r>
        <w:fldChar w:fldCharType="end"/>
      </w:r>
      <w:r>
        <w:fldChar w:fldCharType="begin"/>
      </w:r>
      <w:r>
        <w:instrText xml:space="preserve"> HYPERLINK "https://research.ncl.ac.uk/media/sites/researchwebsites/youngmuslims/MuslimYouthScotland.pdf" </w:instrText>
      </w:r>
      <w:r>
        <w:fldChar w:fldCharType="separate"/>
      </w:r>
      <w:r w:rsidRPr="005B5CB6" w:rsidR="00A72806">
        <w:rPr>
          <w:rFonts w:ascii="Verdana" w:eastAsia="Verdana" w:hAnsi="Verdana" w:cs="Verdana"/>
          <w:color w:val="0563C1"/>
          <w:u w:val="single" w:color="0563C1"/>
        </w:rPr>
        <w:t>outhScotland.pdf</w:t>
      </w:r>
      <w:r>
        <w:fldChar w:fldCharType="end"/>
      </w:r>
      <w:r>
        <w:fldChar w:fldCharType="begin"/>
      </w:r>
      <w:r>
        <w:instrText xml:space="preserve"> HYPERLINK "https://research.ncl.ac.uk/media/sites/researchwebsites/youngmuslims/MuslimYouthScotland.pdf"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In response to the questions identified by the Committee, we respond in particular to questions 1, 3 and 8 below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1. How has digital technology changed the way that democracy works in the UK and has this been a net positive or negative effect? </w:t>
      </w:r>
    </w:p>
    <w:p w:rsidR="00FB0B24" w:rsidRPr="005B5CB6" w:rsidP="001512F6">
      <w:pPr>
        <w:spacing w:after="0"/>
        <w:jc w:val="both"/>
        <w:rPr>
          <w:rFonts w:ascii="Verdana" w:hAnsi="Verdana"/>
        </w:rPr>
      </w:pPr>
      <w:r w:rsidRPr="005B5CB6">
        <w:rPr>
          <w:rFonts w:ascii="Verdana" w:eastAsia="Verdana" w:hAnsi="Verdana" w:cs="Verdana"/>
        </w:rPr>
        <w:t xml:space="preserve">  </w:t>
      </w:r>
      <w:r w:rsidRPr="005B5CB6">
        <w:rPr>
          <w:rFonts w:ascii="Verdana" w:eastAsia="Verdana" w:hAnsi="Verdana" w:cs="Verdana"/>
        </w:rPr>
        <w:tab/>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We found that digital technologies were having varied impacts on young Muslims. The impacts were making some marginalised and less inclined to participate, while for others, digital technology was empowering and assisting democratic and civic participation. We found that young Muslims access much information relevant to democracy through digital technologies such as social media and the internet more broadly. Importantly, digital technologies are a way young Muslims engage with politics and practice democracy and citizenship. Political engagement and political discussion were frequently facilitated by social networking platforms, which created the potential for young Muslims to be more democratically and politically informed and engaged. However, social media was frequently cited as one of the most common places they are exposed to and experience overt Islamophobia and racist stereotyping. This was commonly through user comments, media articles and political campaigning and activism. For example, consider the following quote: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729" w:right="12" w:hanging="9"/>
        <w:jc w:val="both"/>
        <w:rPr>
          <w:rFonts w:ascii="Verdana" w:hAnsi="Verdana"/>
        </w:rPr>
      </w:pPr>
      <w:r w:rsidRPr="005B5CB6">
        <w:rPr>
          <w:rFonts w:ascii="Verdana" w:eastAsia="Verdana" w:hAnsi="Verdana" w:cs="Verdana"/>
        </w:rPr>
        <w:t xml:space="preserve">Yesterday I was watching a YouTube video and it was just a pretty harmless video of people trying Pakistani snacks. And obviously, I just randomly went to the comments section just to see what people wrote about. And loads of people were just kind of against Muslims and saying how Muslims should be thrown out of America, thrown out of UK, all kinds of racist comments that you just kind of feel…You just kind of feel scared knowing that people like that are out there. Fahad (Male, 16–18, Scottish-Pakistani, Glasgow).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As the quote highlights, young Muslims frequently see and receive Islamophobic and racist comments on social media, which can engender a sense of insecurity and fear in their everyday lives. This highlights how discrimination in online spaces </w:t>
      </w:r>
      <w:r w:rsidRPr="005B5CB6">
        <w:rPr>
          <w:rFonts w:ascii="Verdana" w:eastAsia="Verdana" w:hAnsi="Verdana" w:cs="Verdana"/>
        </w:rPr>
        <w:t xml:space="preserve">affects the material lived spaces of young Muslims and can infiltrate everyday spaces through their mobile phones or through their home computers. We found that for some, the hostility on online spaces can make them withdraw and it can limit the extent of their democratic participation. For example, consider the following quote: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729" w:right="12" w:hanging="9"/>
        <w:jc w:val="both"/>
        <w:rPr>
          <w:rFonts w:ascii="Verdana" w:hAnsi="Verdana"/>
        </w:rPr>
      </w:pPr>
      <w:r w:rsidRPr="005B5CB6">
        <w:rPr>
          <w:rFonts w:ascii="Verdana" w:eastAsia="Verdana" w:hAnsi="Verdana" w:cs="Verdana"/>
        </w:rPr>
        <w:t xml:space="preserve">… I don't I feel like I can voice my opinion because I feel like I am too scared of the reaction I am going to get. Whereas like there will be things that I feel strongly but I won't write anything because I know that there will be someone out there that has something to say. And it kind of discourages you, but then obviously there are people who are more proud and they can say it. But I feel like for a young teenage girl … the controversy of voicing my opinion, the abuse I would get. Abida (16–18, Scottish–Pakistani, Glasgow)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For young Muslims, the realm of social media can be a highly hostile space, which can have varied effects on their democratic processes.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3. What role should every stage of education play in helping to create a healthy, active, digitally literate democracy?</w:t>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r w:rsidRPr="005B5CB6">
        <w:rPr>
          <w:rFonts w:ascii="Verdana" w:eastAsia="Verdana" w:hAnsi="Verdana" w:cs="Verdana"/>
        </w:rPr>
        <w:tab/>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Given that Islamophobia and racism are frequently communicated and perpetuated on digital technologies, educating younger people about digital citizenship and the need to take responsibility for what is said online is of great importance. Moreover, there is a need to educate younger people to be critical users of digital technology and assist younger people to question the legitimacy of the information and news they consume online thereby helping bolster their resilience.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8. To what extent does social media negatively shape public debate, either through encouraging polarisation or through abuse deterring individuals from engaging in public life?</w:t>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As we illustrated in our response to question 1, social media can have negative impacts on shaping public debate and can deter individuals from engaging in public life. This is primarily due to how Islamophobia is perpetuated in online spaces and in the media. Social media was frequently cited as one of the most common places in which young Muslims experience overt Islamophobia and racist stereotyping. This was commonly through user comments, media articles and political campaigning and activism. Moreover, most participants had frequently been exposed to negative and sensationalist representations about Muslims in the media, including on social media. Reporting about terrorism was often seen as one of the most problematic aspects of the media, as many felt that it perpetuates problematic stereotypes by associating Islam with terrorism. There would appear to be a clear correlation between geopolitical events and Islamophobia in the media and social media. For example, events such as terrorist attacks, the refugee ‘crisis’ and Brexit have resulted in an increase in media and social media narratives that stigmatize Muslim identities and the Islamic religion. From this research project, it is clear that the media – including a combination of print, broadcast and </w:t>
      </w:r>
      <w:r w:rsidRPr="005B5CB6">
        <w:rPr>
          <w:rFonts w:ascii="Verdana" w:eastAsia="Verdana" w:hAnsi="Verdana" w:cs="Verdana"/>
        </w:rPr>
        <w:t xml:space="preserve">social media - play a key role in promoting Islamophobia, which encourages polarisation and can deter individuals from engaging in public life. However, as we illustrated in the response to question 1, we also found that some young Muslims were using media and social media platforms to challenge and resist Islamophobia.  Through media and social media platforms they are re-orientating themselves into more public and visible spaces in order to challenge the marginalising processes of Islamophobia thereby using social media and digital technologies as a mechanism for challenging stereotypes and engaging in political life.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D20189">
          <w:headerReference w:type="even" r:id="rId268"/>
          <w:headerReference w:type="default" r:id="rId269"/>
          <w:footerReference w:type="even" r:id="rId270"/>
          <w:footerReference w:type="default" r:id="rId271"/>
          <w:headerReference w:type="first" r:id="rId272"/>
          <w:footerReference w:type="first" r:id="rId273"/>
          <w:pgSz w:w="11906" w:h="16838"/>
          <w:pgMar w:top="1492" w:right="1436" w:bottom="1493" w:left="1440" w:header="720" w:footer="709" w:gutter="0"/>
          <w:cols w:space="720"/>
        </w:sectPr>
      </w:pPr>
    </w:p>
    <w:p w:rsidR="00FB0B24" w:rsidRPr="005B5CB6" w:rsidP="00A1624B">
      <w:pPr>
        <w:pStyle w:val="Heading1"/>
        <w:rPr>
          <w:sz w:val="22"/>
        </w:rPr>
      </w:pPr>
      <w:bookmarkStart w:id="48" w:name="_Toc44517736"/>
      <w:r w:rsidRPr="005B5CB6">
        <w:rPr>
          <w:sz w:val="22"/>
        </w:rPr>
        <w:t>Susan Hedley – written evidence (DAD0057)</w:t>
      </w:r>
      <w:bookmarkEnd w:id="48"/>
      <w:r w:rsidRPr="005B5CB6">
        <w:rPr>
          <w:sz w:val="22"/>
        </w:rPr>
        <w:t xml:space="preserve">  </w:t>
      </w:r>
    </w:p>
    <w:p w:rsidR="00FB0B24" w:rsidRPr="005B5CB6" w:rsidP="001512F6">
      <w:pPr>
        <w:spacing w:after="0"/>
        <w:ind w:left="84"/>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rPr>
        <w:t xml:space="preserve">From Susan Hedley, private citizen, supermarket checkout operator, and widely floating voter with no paid or voluntary office. </w:t>
      </w:r>
    </w:p>
    <w:p w:rsidR="00FB0B24" w:rsidRPr="005B5CB6" w:rsidP="001512F6">
      <w:pPr>
        <w:spacing w:after="0"/>
        <w:jc w:val="both"/>
        <w:rPr>
          <w:rFonts w:ascii="Verdana" w:hAnsi="Verdana"/>
        </w:rPr>
      </w:pPr>
      <w:r w:rsidRPr="005B5CB6">
        <w:rPr>
          <w:rFonts w:ascii="Verdana" w:eastAsia="Verdana" w:hAnsi="Verdana" w:cs="Verdana"/>
          <w:color w:val="FF0000"/>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SUMMARY </w:t>
      </w:r>
    </w:p>
    <w:p w:rsidR="00FB0B24" w:rsidRPr="005B5CB6" w:rsidP="00575F14">
      <w:pPr>
        <w:numPr>
          <w:ilvl w:val="0"/>
          <w:numId w:val="164"/>
        </w:numPr>
        <w:spacing w:after="5" w:line="250" w:lineRule="auto"/>
        <w:ind w:right="11" w:hanging="912"/>
        <w:jc w:val="both"/>
        <w:rPr>
          <w:rFonts w:ascii="Verdana" w:hAnsi="Verdana"/>
        </w:rPr>
      </w:pPr>
      <w:r w:rsidRPr="005B5CB6">
        <w:rPr>
          <w:rFonts w:ascii="Verdana" w:eastAsia="Verdana" w:hAnsi="Verdana" w:cs="Verdana"/>
        </w:rPr>
        <w:t xml:space="preserve">THE NEED TO AVOID CREATING NEWLY EXCLUDED GROUPS    </w:t>
      </w:r>
    </w:p>
    <w:p w:rsidR="00FB0B24" w:rsidRPr="005B5CB6" w:rsidP="00575F14">
      <w:pPr>
        <w:numPr>
          <w:ilvl w:val="0"/>
          <w:numId w:val="164"/>
        </w:numPr>
        <w:spacing w:after="5" w:line="250" w:lineRule="auto"/>
        <w:ind w:right="11" w:hanging="912"/>
        <w:jc w:val="both"/>
        <w:rPr>
          <w:rFonts w:ascii="Verdana" w:hAnsi="Verdana"/>
        </w:rPr>
      </w:pPr>
      <w:r w:rsidRPr="005B5CB6">
        <w:rPr>
          <w:rFonts w:ascii="Verdana" w:eastAsia="Verdana" w:hAnsi="Verdana" w:cs="Verdana"/>
        </w:rPr>
        <w:t xml:space="preserve">NEW OPPORTUNITIES WITH DIGITAL TECHNOLOGIES </w:t>
      </w:r>
    </w:p>
    <w:p w:rsidR="00FB0B24" w:rsidRPr="005B5CB6" w:rsidP="00575F14">
      <w:pPr>
        <w:numPr>
          <w:ilvl w:val="0"/>
          <w:numId w:val="164"/>
        </w:numPr>
        <w:spacing w:after="5" w:line="250" w:lineRule="auto"/>
        <w:ind w:right="11" w:hanging="912"/>
        <w:jc w:val="both"/>
        <w:rPr>
          <w:rFonts w:ascii="Verdana" w:hAnsi="Verdana"/>
        </w:rPr>
      </w:pPr>
      <w:r w:rsidRPr="005B5CB6">
        <w:rPr>
          <w:rFonts w:ascii="Verdana" w:eastAsia="Verdana" w:hAnsi="Verdana" w:cs="Verdana"/>
        </w:rPr>
        <w:t xml:space="preserve">EXAMPLES OF USEFUL WEBSITES FOR DEMOCRATIC INCLUSION </w:t>
      </w:r>
    </w:p>
    <w:p w:rsidR="00FB0B24" w:rsidRPr="005B5CB6" w:rsidP="00575F14">
      <w:pPr>
        <w:numPr>
          <w:ilvl w:val="0"/>
          <w:numId w:val="164"/>
        </w:numPr>
        <w:spacing w:after="5" w:line="250" w:lineRule="auto"/>
        <w:ind w:right="11" w:hanging="912"/>
        <w:jc w:val="both"/>
        <w:rPr>
          <w:rFonts w:ascii="Verdana" w:hAnsi="Verdana"/>
        </w:rPr>
      </w:pPr>
      <w:r w:rsidRPr="005B5CB6">
        <w:rPr>
          <w:rFonts w:ascii="Verdana" w:eastAsia="Verdana" w:hAnsi="Verdana" w:cs="Verdana"/>
        </w:rPr>
        <w:t xml:space="preserve">EXAMPLES OF OPPORTUNITIES FOR DEMOCRATIC PARTICIPATION </w:t>
      </w:r>
    </w:p>
    <w:p w:rsidR="00FB0B24" w:rsidRPr="005B5CB6" w:rsidP="00575F14">
      <w:pPr>
        <w:numPr>
          <w:ilvl w:val="0"/>
          <w:numId w:val="164"/>
        </w:numPr>
        <w:spacing w:after="5" w:line="250" w:lineRule="auto"/>
        <w:ind w:right="11" w:hanging="912"/>
        <w:jc w:val="both"/>
        <w:rPr>
          <w:rFonts w:ascii="Verdana" w:hAnsi="Verdana"/>
        </w:rPr>
      </w:pPr>
      <w:r w:rsidRPr="005B5CB6">
        <w:rPr>
          <w:rFonts w:ascii="Verdana" w:eastAsia="Verdana" w:hAnsi="Verdana" w:cs="Verdana"/>
        </w:rPr>
        <w:t xml:space="preserve">RECOMMENDATIONS TO AVOID WIDENING DEMOCRATIC INEQUALITIES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65"/>
        </w:numPr>
        <w:spacing w:after="5" w:line="250" w:lineRule="auto"/>
        <w:ind w:right="11" w:hanging="989"/>
        <w:jc w:val="both"/>
        <w:rPr>
          <w:rFonts w:ascii="Verdana" w:hAnsi="Verdana"/>
        </w:rPr>
      </w:pPr>
      <w:r w:rsidRPr="005B5CB6">
        <w:rPr>
          <w:rFonts w:ascii="Verdana" w:eastAsia="Verdana" w:hAnsi="Verdana" w:cs="Verdana"/>
        </w:rPr>
        <w:t xml:space="preserve">THE NEED TO AVOID CREATING NEWLY EXCLUDED GROUPS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Every alteration seems to put up barriers for, or exclude, more ordinary people who aren’t in a particular recognised group, even as it includes a wider diversity of groups.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Alterations should be increasing the number and diversity of voters, not just altering it by reducing voters in one group in favour of increasing them in another.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Any alteration should be THOROUGHLY TESTED AS TO BARRIERS AND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EXCLUSION, AND SHOULD NOT BE CARRIED OUT IF IT IS LIKELY TO RESULT IN A SINGLE CITIZEN WHO NOW PARTICIPATES FINDING IT DIFFICULT OR IMPOSSIBLE TO PARTICIPATE IN THE FUTURE. </w:t>
      </w:r>
    </w:p>
    <w:p w:rsidR="00FB0B24" w:rsidRPr="005B5CB6" w:rsidP="001512F6">
      <w:pPr>
        <w:spacing w:after="0"/>
        <w:jc w:val="both"/>
        <w:rPr>
          <w:rFonts w:ascii="Verdana" w:hAnsi="Verdana"/>
        </w:rPr>
      </w:pPr>
      <w:r w:rsidRPr="005B5CB6">
        <w:rPr>
          <w:rFonts w:ascii="Verdana" w:eastAsia="Verdana" w:hAnsi="Verdana" w:cs="Verdana"/>
          <w:i/>
          <w:color w:val="E36C0A"/>
        </w:rPr>
        <w:t xml:space="preserve"> </w:t>
      </w:r>
    </w:p>
    <w:p w:rsidR="00FB0B24" w:rsidRPr="005B5CB6" w:rsidP="001512F6">
      <w:pPr>
        <w:spacing w:after="0"/>
        <w:jc w:val="both"/>
        <w:rPr>
          <w:rFonts w:ascii="Verdana" w:hAnsi="Verdana"/>
        </w:rPr>
      </w:pPr>
      <w:r w:rsidRPr="005B5CB6">
        <w:rPr>
          <w:rFonts w:ascii="Verdana" w:eastAsia="Verdana" w:hAnsi="Verdana" w:cs="Verdana"/>
          <w:i/>
          <w:color w:val="E36C0A"/>
        </w:rPr>
        <w:t xml:space="preserve"> </w:t>
      </w:r>
    </w:p>
    <w:p w:rsidR="00FB0B24" w:rsidRPr="005B5CB6" w:rsidP="00575F14">
      <w:pPr>
        <w:numPr>
          <w:ilvl w:val="0"/>
          <w:numId w:val="165"/>
        </w:numPr>
        <w:spacing w:after="5" w:line="250" w:lineRule="auto"/>
        <w:ind w:right="11" w:hanging="989"/>
        <w:jc w:val="both"/>
        <w:rPr>
          <w:rFonts w:ascii="Verdana" w:hAnsi="Verdana"/>
        </w:rPr>
      </w:pPr>
      <w:r w:rsidRPr="005B5CB6">
        <w:rPr>
          <w:rFonts w:ascii="Verdana" w:eastAsia="Verdana" w:hAnsi="Verdana" w:cs="Verdana"/>
        </w:rPr>
        <w:t xml:space="preserve">NEW OPPORTUNITIES WITH DIGITAL TECHNOLOGIES </w:t>
      </w:r>
    </w:p>
    <w:p w:rsidR="00FB0B24" w:rsidRPr="005B5CB6" w:rsidP="001512F6">
      <w:pPr>
        <w:spacing w:after="5" w:line="250" w:lineRule="auto"/>
        <w:ind w:left="23" w:right="99" w:hanging="8"/>
        <w:jc w:val="both"/>
        <w:rPr>
          <w:rFonts w:ascii="Verdana" w:hAnsi="Verdana"/>
        </w:rPr>
      </w:pPr>
      <w:r w:rsidRPr="005B5CB6">
        <w:rPr>
          <w:rFonts w:ascii="Verdana" w:eastAsia="Verdana" w:hAnsi="Verdana" w:cs="Verdana"/>
        </w:rPr>
        <w:t>2.1        Even though I have no digital access except when I can get to use the public access computers at the library around workshifts and bus times between my rural village and the town where the library is, and the charge for use is £1 per half hour after the first two free hours per day, this ALLOWS ME TO  - keep up with meetings, agendas and reports</w:t>
      </w:r>
      <w:r w:rsidRPr="005B5CB6">
        <w:rPr>
          <w:rFonts w:ascii="Verdana" w:eastAsia="Verdana" w:hAnsi="Verdana" w:cs="Verdana"/>
          <w:color w:val="CC0066"/>
        </w:rPr>
        <w:t xml:space="preserve"> </w:t>
      </w:r>
      <w:r w:rsidRPr="005B5CB6">
        <w:rPr>
          <w:rFonts w:ascii="Verdana" w:eastAsia="Verdana" w:hAnsi="Verdana" w:cs="Verdana"/>
        </w:rPr>
        <w:t xml:space="preserve">from Parish Council, County Council, and Combined Authority, and above all follow the links which they contain, which was all impossible when it was all on pieces of paper added after the event to an unmanageable array of files kept in libraries or obscure offices - check members of committees so that I know who is who when I go to watch them, </w:t>
      </w:r>
    </w:p>
    <w:p w:rsidR="00FB0B24" w:rsidRPr="005B5CB6" w:rsidP="00575F14">
      <w:pPr>
        <w:numPr>
          <w:ilvl w:val="0"/>
          <w:numId w:val="166"/>
        </w:numPr>
        <w:spacing w:after="5" w:line="250" w:lineRule="auto"/>
        <w:ind w:left="23" w:right="11" w:hanging="8"/>
        <w:jc w:val="both"/>
        <w:rPr>
          <w:rFonts w:ascii="Verdana" w:hAnsi="Verdana"/>
        </w:rPr>
      </w:pPr>
      <w:r w:rsidRPr="005B5CB6">
        <w:rPr>
          <w:rFonts w:ascii="Verdana" w:eastAsia="Verdana" w:hAnsi="Verdana" w:cs="Verdana"/>
        </w:rPr>
        <w:t xml:space="preserve">email elected representatives or do social media posts to let other people know about meetings, reports etc. without having to pay for writing paper, envelopes, stamps, or extra copies for multiple recipients, and easily and quickly check facts from primary sources whilst drafting them,  </w:t>
      </w:r>
    </w:p>
    <w:p w:rsidR="00FB0B24" w:rsidRPr="005B5CB6" w:rsidP="00575F14">
      <w:pPr>
        <w:numPr>
          <w:ilvl w:val="0"/>
          <w:numId w:val="166"/>
        </w:numPr>
        <w:spacing w:after="5" w:line="250" w:lineRule="auto"/>
        <w:ind w:left="23" w:right="11" w:hanging="8"/>
        <w:jc w:val="both"/>
        <w:rPr>
          <w:rFonts w:ascii="Verdana" w:hAnsi="Verdana"/>
        </w:rPr>
      </w:pPr>
      <w:r w:rsidRPr="005B5CB6">
        <w:rPr>
          <w:rFonts w:ascii="Verdana" w:eastAsia="Verdana" w:hAnsi="Verdana" w:cs="Verdana"/>
        </w:rPr>
        <w:t xml:space="preserve">so spreading the word to others about what primary sources are available and how to access them.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167"/>
        </w:numPr>
        <w:spacing w:after="5" w:line="250" w:lineRule="auto"/>
        <w:ind w:left="685" w:right="11" w:hanging="670"/>
        <w:jc w:val="both"/>
        <w:rPr>
          <w:rFonts w:ascii="Verdana" w:hAnsi="Verdana"/>
        </w:rPr>
      </w:pPr>
      <w:r w:rsidRPr="005B5CB6">
        <w:rPr>
          <w:rFonts w:ascii="Verdana" w:eastAsia="Verdana" w:hAnsi="Verdana" w:cs="Verdana"/>
        </w:rPr>
        <w:t xml:space="preserve">Since my online time is limited, the only social media that I use is Linked In, because even if I was prepared to give up the amount of privacy and security which other forms of social media would require, I still wouldn’t have enough online time to use it to follow conversation threads etc., whilst feeds from the organisations which I follow on Linked In usually take me </w:t>
      </w:r>
      <w:r w:rsidRPr="005B5CB6">
        <w:rPr>
          <w:rFonts w:ascii="Verdana" w:eastAsia="Verdana" w:hAnsi="Verdana" w:cs="Verdana"/>
        </w:rPr>
        <w:t xml:space="preserve">straight to the PRIMARY DOCUMENTS which might have had an extremely brief mention on the radio if they are lucky.  </w:t>
      </w:r>
    </w:p>
    <w:p w:rsidR="00FB0B24" w:rsidRPr="005B5CB6" w:rsidP="001512F6">
      <w:pPr>
        <w:spacing w:after="0"/>
        <w:jc w:val="both"/>
        <w:rPr>
          <w:rFonts w:ascii="Verdana" w:hAnsi="Verdana"/>
        </w:rPr>
      </w:pPr>
      <w:r w:rsidRPr="005B5CB6">
        <w:rPr>
          <w:rFonts w:ascii="Verdana" w:eastAsia="Verdana" w:hAnsi="Verdana" w:cs="Verdana"/>
          <w:color w:val="E36C0A"/>
        </w:rPr>
        <w:t xml:space="preserve"> </w:t>
      </w:r>
    </w:p>
    <w:p w:rsidR="00FB0B24" w:rsidRPr="005B5CB6" w:rsidP="00575F14">
      <w:pPr>
        <w:numPr>
          <w:ilvl w:val="1"/>
          <w:numId w:val="167"/>
        </w:numPr>
        <w:spacing w:after="5" w:line="250" w:lineRule="auto"/>
        <w:ind w:left="685" w:right="11" w:hanging="670"/>
        <w:jc w:val="both"/>
        <w:rPr>
          <w:rFonts w:ascii="Verdana" w:hAnsi="Verdana"/>
        </w:rPr>
      </w:pPr>
      <w:r w:rsidRPr="005B5CB6">
        <w:rPr>
          <w:rFonts w:ascii="Verdana" w:eastAsia="Verdana" w:hAnsi="Verdana" w:cs="Verdana"/>
        </w:rPr>
        <w:t xml:space="preserve">REDUCED OPPORTUNITIES FOR INFORMATION FROM OTHER SOURCES: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My sources of information are listening to BBC Radio 4 and the World Service, reading the local weekly papers for our rural area, and, when workshifts allow me to get to use the public access computers at the local library, which is my only online access, reading the parliamentary and local government press releases.  I have had no TV since 2012, and since the changes in TV licensing and online access a couple of years ago, can no longer access BBC TV written or televised material on the public computers at the library. I sometimes buy the local daily paper which covers both urban and rural areas, but never buy a national daily paper.  ALL newspapers were withdrawn from the library three years ago.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68"/>
        </w:numPr>
        <w:spacing w:after="5" w:line="250" w:lineRule="auto"/>
        <w:ind w:right="11" w:hanging="833"/>
        <w:jc w:val="both"/>
        <w:rPr>
          <w:rFonts w:ascii="Verdana" w:hAnsi="Verdana"/>
        </w:rPr>
      </w:pPr>
      <w:r w:rsidRPr="005B5CB6">
        <w:rPr>
          <w:rFonts w:ascii="Verdana" w:eastAsia="Verdana" w:hAnsi="Verdana" w:cs="Verdana"/>
        </w:rPr>
        <w:t xml:space="preserve">EXAMPLES OF USEFUL WEBSITES FOR DEMOCRATIC INCLUSION </w:t>
      </w:r>
    </w:p>
    <w:p w:rsidR="00FB0B24" w:rsidRPr="005B5CB6" w:rsidP="00575F14">
      <w:pPr>
        <w:numPr>
          <w:ilvl w:val="1"/>
          <w:numId w:val="168"/>
        </w:numPr>
        <w:spacing w:after="5" w:line="250" w:lineRule="auto"/>
        <w:ind w:left="23" w:right="11" w:hanging="8"/>
        <w:jc w:val="both"/>
        <w:rPr>
          <w:rFonts w:ascii="Verdana" w:hAnsi="Verdana"/>
        </w:rPr>
      </w:pPr>
      <w:r w:rsidRPr="005B5CB6">
        <w:rPr>
          <w:rFonts w:ascii="Verdana" w:eastAsia="Verdana" w:hAnsi="Verdana" w:cs="Verdana"/>
        </w:rPr>
        <w:t xml:space="preserve">By chance, some years ago when observing a Parish Council meeting in my village, I was given some information about a Transport Select Committee inquiry about Bus Services in Isolated Communities, and through that I found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2"/>
          <w:numId w:val="169"/>
        </w:numPr>
        <w:spacing w:after="5" w:line="250" w:lineRule="auto"/>
        <w:ind w:left="23" w:right="11" w:hanging="8"/>
        <w:jc w:val="both"/>
        <w:rPr>
          <w:rFonts w:ascii="Verdana" w:hAnsi="Verdana"/>
        </w:rPr>
      </w:pPr>
      <w:r w:rsidRPr="005B5CB6">
        <w:rPr>
          <w:rFonts w:ascii="Verdana" w:eastAsia="Verdana" w:hAnsi="Verdana" w:cs="Verdana"/>
        </w:rPr>
        <w:t xml:space="preserve">the </w:t>
      </w:r>
      <w:r>
        <w:fldChar w:fldCharType="begin"/>
      </w:r>
      <w:r>
        <w:instrText xml:space="preserve"> HYPERLINK "https://www.parliament.uk/" </w:instrText>
      </w:r>
      <w:r>
        <w:fldChar w:fldCharType="separate"/>
      </w:r>
      <w:r w:rsidRPr="005B5CB6">
        <w:rPr>
          <w:rFonts w:ascii="Verdana" w:eastAsia="Verdana" w:hAnsi="Verdana" w:cs="Verdana"/>
          <w:color w:val="0000FF"/>
          <w:u w:val="single" w:color="0000FF"/>
        </w:rPr>
        <w:t>https://www.parliament.uk/</w:t>
      </w:r>
      <w:r>
        <w:fldChar w:fldCharType="end"/>
      </w:r>
      <w:r>
        <w:fldChar w:fldCharType="begin"/>
      </w:r>
      <w:r>
        <w:instrText xml:space="preserve"> HYPERLINK "https://www.parliament.uk/"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website, which  is exemplary, with a selection of up to the minute parliamentary news on the home page, explanations of how parliament works, links to contact details for parliamentary members, details of select committees and inquiries and how ordinary people can contribute to them, and links to bill progress details, Hansard, and information on House of Commons Library, and to get alerts from all of the bills and committees etc that I want to keep up to date with, as well as from other sources such as ONS whose reports are often mentioned in the news, and currently, the EU, for which I have also responded to some consultations before the referendum. </w:t>
      </w:r>
    </w:p>
    <w:p w:rsidR="00FB0B24" w:rsidRPr="005B5CB6" w:rsidP="00575F14">
      <w:pPr>
        <w:numPr>
          <w:ilvl w:val="2"/>
          <w:numId w:val="169"/>
        </w:numPr>
        <w:spacing w:after="5" w:line="250" w:lineRule="auto"/>
        <w:ind w:left="23" w:right="11" w:hanging="8"/>
        <w:jc w:val="both"/>
        <w:rPr>
          <w:rFonts w:ascii="Verdana" w:hAnsi="Verdana"/>
        </w:rPr>
      </w:pPr>
      <w:r w:rsidRPr="005B5CB6">
        <w:rPr>
          <w:rFonts w:ascii="Verdana" w:eastAsia="Verdana" w:hAnsi="Verdana" w:cs="Verdana"/>
        </w:rPr>
        <w:t xml:space="preserve">I like the way that various parts of thIs website are trying to keep up-todate with improving accessibility, such as offering Easy Read versions of calls for evidence (e.g. Transport Committee) and e.g.  </w:t>
      </w:r>
    </w:p>
    <w:p w:rsidR="00FB0B24" w:rsidRPr="005B5CB6" w:rsidP="001512F6">
      <w:pPr>
        <w:spacing w:after="5" w:line="249" w:lineRule="auto"/>
        <w:ind w:left="-5" w:right="6" w:hanging="10"/>
        <w:jc w:val="both"/>
        <w:rPr>
          <w:rFonts w:ascii="Verdana" w:hAnsi="Verdana"/>
        </w:rPr>
      </w:pPr>
      <w:r>
        <w:fldChar w:fldCharType="begin"/>
      </w:r>
      <w:r>
        <w:instrText xml:space="preserve"> HYPERLINK "https://www.parliament.uk/mps-lords-and-offices/offices/commons/media-relations-group/news/house-of-commons-adopts-new-accessible-visual-identity/" </w:instrText>
      </w:r>
      <w:r>
        <w:fldChar w:fldCharType="separate"/>
      </w:r>
      <w:r w:rsidRPr="005B5CB6" w:rsidR="00A72806">
        <w:rPr>
          <w:rFonts w:ascii="Verdana" w:eastAsia="Verdana" w:hAnsi="Verdana" w:cs="Verdana"/>
          <w:color w:val="0000FF"/>
          <w:u w:val="single" w:color="0000FF"/>
        </w:rPr>
        <w:t>https://www.parliament.uk/mps-lords-and-offices/offices/commons/media</w:t>
      </w:r>
      <w:r>
        <w:fldChar w:fldCharType="end"/>
      </w:r>
      <w:r>
        <w:fldChar w:fldCharType="begin"/>
      </w:r>
      <w:r>
        <w:instrText xml:space="preserve"> HYPERLINK "https://www.parliament.uk/mps-lords-and-offices/offices/commons/media-relations-group/news/house-of-commons-adopts-new-accessible-visual-identity/" </w:instrText>
      </w:r>
      <w:r>
        <w:fldChar w:fldCharType="separate"/>
      </w:r>
      <w:r w:rsidRPr="005B5CB6" w:rsidR="00A72806">
        <w:rPr>
          <w:rFonts w:ascii="Verdana" w:eastAsia="Verdana" w:hAnsi="Verdana" w:cs="Verdana"/>
          <w:color w:val="0000FF"/>
          <w:u w:val="single" w:color="0000FF"/>
        </w:rPr>
        <w:t>relations-group/news/house-of-commons-adopts-new-accessible-visual-identity/</w:t>
      </w:r>
      <w:r>
        <w:fldChar w:fldCharType="end"/>
      </w:r>
      <w:r>
        <w:fldChar w:fldCharType="begin"/>
      </w:r>
      <w:r>
        <w:instrText xml:space="preserve"> HYPERLINK "https://www.parliament.uk/mps-lords-and-offices/offices/commons/media-relations-group/news/house-of-commons-adopts-new-accessible-visual-identity/" </w:instrText>
      </w:r>
      <w:r>
        <w:fldChar w:fldCharType="separate"/>
      </w:r>
      <w:r w:rsidRPr="005B5CB6" w:rsidR="00A72806">
        <w:rPr>
          <w:rFonts w:ascii="Verdana" w:eastAsia="Verdana" w:hAnsi="Verdana" w:cs="Verdana"/>
          <w:color w:val="0000FF"/>
        </w:rPr>
        <w:t xml:space="preserve"> </w:t>
      </w:r>
      <w:r>
        <w:fldChar w:fldCharType="end"/>
      </w:r>
      <w:r w:rsidRPr="005B5CB6" w:rsidR="00A72806">
        <w:rPr>
          <w:rFonts w:ascii="Verdana" w:eastAsia="Verdana" w:hAnsi="Verdana" w:cs="Verdana"/>
          <w:color w:val="0000FF"/>
        </w:rPr>
        <w:t xml:space="preserve"> </w:t>
      </w:r>
    </w:p>
    <w:p w:rsidR="00FB0B24" w:rsidRPr="005B5CB6" w:rsidP="001512F6">
      <w:pPr>
        <w:spacing w:after="0"/>
        <w:jc w:val="both"/>
        <w:rPr>
          <w:rFonts w:ascii="Verdana" w:hAnsi="Verdana"/>
        </w:rPr>
      </w:pPr>
      <w:r w:rsidRPr="005B5CB6">
        <w:rPr>
          <w:rFonts w:ascii="Verdana" w:eastAsia="Verdana" w:hAnsi="Verdana" w:cs="Verdana"/>
          <w:color w:val="E36C0A"/>
        </w:rPr>
        <w:t xml:space="preserve"> </w:t>
      </w:r>
    </w:p>
    <w:p w:rsidR="00FB0B24" w:rsidRPr="005B5CB6" w:rsidP="00575F14">
      <w:pPr>
        <w:numPr>
          <w:ilvl w:val="1"/>
          <w:numId w:val="170"/>
        </w:numPr>
        <w:spacing w:after="5" w:line="250" w:lineRule="auto"/>
        <w:ind w:left="23" w:right="11" w:hanging="8"/>
        <w:jc w:val="both"/>
        <w:rPr>
          <w:rFonts w:ascii="Verdana" w:hAnsi="Verdana"/>
        </w:rPr>
      </w:pPr>
      <w:r w:rsidRPr="005B5CB6">
        <w:rPr>
          <w:rFonts w:ascii="Verdana" w:eastAsia="Verdana" w:hAnsi="Verdana" w:cs="Verdana"/>
        </w:rPr>
        <w:t>Being online also allows me to go on the</w:t>
      </w:r>
      <w:r>
        <w:fldChar w:fldCharType="begin"/>
      </w:r>
      <w:r>
        <w:instrText xml:space="preserve"> HYPERLINK "https://www.gov.uk/" </w:instrText>
      </w:r>
      <w:r>
        <w:fldChar w:fldCharType="separate"/>
      </w:r>
      <w:r w:rsidRPr="005B5CB6">
        <w:rPr>
          <w:rFonts w:ascii="Verdana" w:eastAsia="Verdana" w:hAnsi="Verdana" w:cs="Verdana"/>
          <w:color w:val="E36C0A"/>
        </w:rPr>
        <w:t xml:space="preserve"> </w:t>
      </w:r>
      <w:r>
        <w:fldChar w:fldCharType="end"/>
      </w:r>
      <w:r>
        <w:fldChar w:fldCharType="begin"/>
      </w:r>
      <w:r>
        <w:instrText xml:space="preserve"> HYPERLINK "https://www.gov.uk/" </w:instrText>
      </w:r>
      <w:r>
        <w:fldChar w:fldCharType="separate"/>
      </w:r>
      <w:r w:rsidRPr="005B5CB6">
        <w:rPr>
          <w:rFonts w:ascii="Verdana" w:eastAsia="Verdana" w:hAnsi="Verdana" w:cs="Verdana"/>
          <w:color w:val="0000FF"/>
          <w:u w:val="single" w:color="0000FF"/>
        </w:rPr>
        <w:t>https://www.gov.uk/</w:t>
      </w:r>
      <w:r>
        <w:fldChar w:fldCharType="end"/>
      </w:r>
      <w:r>
        <w:fldChar w:fldCharType="begin"/>
      </w:r>
      <w:r>
        <w:instrText xml:space="preserve"> HYPERLINK "https://www.gov.uk/"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website, check membership of Government departments, consultations and outcomes, and full text of speeches which have been briefly touched on in the media, and contact the departments.  The different forms of the consultations is interesting, ranging from facilities to send in technical papers to tick-box consultations for members of the public, and it allows people to see and comment on the full detail of proposals which might affect them, including equality impact statements.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170"/>
        </w:numPr>
        <w:spacing w:after="5" w:line="250" w:lineRule="auto"/>
        <w:ind w:left="23" w:right="11" w:hanging="8"/>
        <w:jc w:val="both"/>
        <w:rPr>
          <w:rFonts w:ascii="Verdana" w:hAnsi="Verdana"/>
        </w:rPr>
      </w:pPr>
      <w:r w:rsidRPr="005B5CB6">
        <w:rPr>
          <w:rFonts w:ascii="Verdana" w:eastAsia="Verdana" w:hAnsi="Verdana" w:cs="Verdana"/>
        </w:rPr>
        <w:t>The only problem with all of this is that most people don’t know that it is open to them or where to find it, [and if they did the volume would make it unworkable],</w:t>
      </w:r>
      <w:r w:rsidRPr="005B5CB6">
        <w:rPr>
          <w:rFonts w:ascii="Verdana" w:eastAsia="Verdana" w:hAnsi="Verdana" w:cs="Verdana"/>
          <w:color w:val="CC0066"/>
        </w:rPr>
        <w:t xml:space="preserve"> </w:t>
      </w:r>
      <w:r w:rsidRPr="005B5CB6">
        <w:rPr>
          <w:rFonts w:ascii="Verdana" w:eastAsia="Verdana" w:hAnsi="Verdana" w:cs="Verdana"/>
        </w:rPr>
        <w:t xml:space="preserve">SO AT PRESENT ONLY THOSE WHO ARE IN THE KNOW CAN DO IT AND ARE ALSO MORE LIKELY TO HAVE THE TIME TO DO IT, OR THE MONEY TO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PAY A MEMBER OF STAFF TO DO IT, AND IT IS GIVING THEM MORE VOICE, AND THEREFORE THOSE WHO ARE EXCLUDED PROPORTIONATELY LESS VOICE AS THE DIGITAL GAP BECOMES BIGGER.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e.g. my Linked In postings on 05/09/19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BBC Radio 4 Digital Future: the New Underclass (Dr. Josie Barnard) </w:t>
      </w:r>
    </w:p>
    <w:p w:rsidR="00FB0B24" w:rsidRPr="005B5CB6" w:rsidP="001512F6">
      <w:pPr>
        <w:spacing w:after="5" w:line="249" w:lineRule="auto"/>
        <w:ind w:left="-5" w:right="6" w:hanging="10"/>
        <w:jc w:val="both"/>
        <w:rPr>
          <w:rFonts w:ascii="Verdana" w:hAnsi="Verdana"/>
        </w:rPr>
      </w:pPr>
      <w:r>
        <w:fldChar w:fldCharType="begin"/>
      </w:r>
      <w:r>
        <w:instrText xml:space="preserve"> HYPERLINK "https://www.bbc.co.uk/programmes/m000823p" </w:instrText>
      </w:r>
      <w:r>
        <w:fldChar w:fldCharType="separate"/>
      </w:r>
      <w:r w:rsidRPr="005B5CB6" w:rsidR="00A72806">
        <w:rPr>
          <w:rFonts w:ascii="Verdana" w:eastAsia="Verdana" w:hAnsi="Verdana" w:cs="Verdana"/>
          <w:color w:val="0000FF"/>
          <w:u w:val="single" w:color="0000FF"/>
        </w:rPr>
        <w:t>https://www.bbc.co.uk/programmes/m000823p</w:t>
      </w:r>
      <w:r>
        <w:fldChar w:fldCharType="end"/>
      </w:r>
      <w:r>
        <w:fldChar w:fldCharType="begin"/>
      </w:r>
      <w:r>
        <w:instrText xml:space="preserve"> HYPERLINK "https://www.bbc.co.uk/programmes/m000823p" </w:instrText>
      </w:r>
      <w:r>
        <w:fldChar w:fldCharType="separate"/>
      </w:r>
      <w:r w:rsidRPr="005B5CB6" w:rsidR="00A72806">
        <w:rPr>
          <w:rFonts w:ascii="Verdana" w:eastAsia="Verdana" w:hAnsi="Verdana" w:cs="Verdana"/>
        </w:rPr>
        <w:t xml:space="preserve"> </w:t>
      </w:r>
      <w:r>
        <w:fldChar w:fldCharType="end"/>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best that I have heard on the wider range of groups who are, or are in danger of being, excluded, including many of those regarded as digital natives, and how this is. Mostly concentrated on economic exclusion, but exclusion from community and democratic information and participation are huge and growing issues as well.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5" w:right="6" w:hanging="10"/>
        <w:jc w:val="both"/>
        <w:rPr>
          <w:rFonts w:ascii="Verdana" w:hAnsi="Verdana"/>
        </w:rPr>
      </w:pPr>
      <w:r w:rsidRPr="005B5CB6">
        <w:rPr>
          <w:rFonts w:ascii="Verdana" w:eastAsia="Verdana" w:hAnsi="Verdana" w:cs="Verdana"/>
        </w:rPr>
        <w:t xml:space="preserve">Digital Democracy – Call for Evidence </w:t>
      </w:r>
      <w:r>
        <w:fldChar w:fldCharType="begin"/>
      </w:r>
      <w:r>
        <w:instrText xml:space="preserve"> HYPERLINK "https://www.parliament.uk/documents/lords-committees/Digital_democracy/Digital_Call_for_evidence.pdf" </w:instrText>
      </w:r>
      <w:r>
        <w:fldChar w:fldCharType="separate"/>
      </w:r>
      <w:r w:rsidRPr="005B5CB6">
        <w:rPr>
          <w:rFonts w:ascii="Verdana" w:eastAsia="Verdana" w:hAnsi="Verdana" w:cs="Verdana"/>
          <w:color w:val="0000FF"/>
          <w:u w:val="single" w:color="0000FF"/>
        </w:rPr>
        <w:t>https://www.parliament.uk/documents/lords-</w:t>
      </w:r>
      <w:r>
        <w:fldChar w:fldCharType="end"/>
      </w:r>
    </w:p>
    <w:p w:rsidR="00FB0B24" w:rsidRPr="005B5CB6" w:rsidP="001512F6">
      <w:pPr>
        <w:spacing w:after="5" w:line="249" w:lineRule="auto"/>
        <w:ind w:left="-5" w:right="6" w:hanging="10"/>
        <w:jc w:val="both"/>
        <w:rPr>
          <w:rFonts w:ascii="Verdana" w:hAnsi="Verdana"/>
        </w:rPr>
      </w:pPr>
      <w:r>
        <w:fldChar w:fldCharType="begin"/>
      </w:r>
      <w:r>
        <w:instrText xml:space="preserve"> HYPERLINK "https://www.parliament.uk/documents/lords-committees/Digital_democracy/Digital_Call_for_evidence.pdf" </w:instrText>
      </w:r>
      <w:r>
        <w:fldChar w:fldCharType="separate"/>
      </w:r>
      <w:r w:rsidRPr="005B5CB6" w:rsidR="00A72806">
        <w:rPr>
          <w:rFonts w:ascii="Verdana" w:eastAsia="Verdana" w:hAnsi="Verdana" w:cs="Verdana"/>
          <w:color w:val="0000FF"/>
          <w:u w:val="single" w:color="0000FF"/>
        </w:rPr>
        <w:t>committees/Digital_democracy/Digital_Call_for_evidence.pdf</w:t>
      </w:r>
      <w:r>
        <w:fldChar w:fldCharType="end"/>
      </w:r>
      <w:r>
        <w:fldChar w:fldCharType="begin"/>
      </w:r>
      <w:r>
        <w:instrText xml:space="preserve"> HYPERLINK "https://www.parliament.uk/documents/lords-committees/Digital_democracy/Digital_Call_for_evidence.pdf" </w:instrText>
      </w:r>
      <w:r>
        <w:fldChar w:fldCharType="separate"/>
      </w:r>
      <w:r w:rsidRPr="005B5CB6" w:rsidR="00A72806">
        <w:rPr>
          <w:rFonts w:ascii="Verdana" w:eastAsia="Verdana" w:hAnsi="Verdana" w:cs="Verdana"/>
          <w:color w:val="0000FF"/>
        </w:rPr>
        <w:t xml:space="preserve"> </w:t>
      </w:r>
      <w:r>
        <w:fldChar w:fldCharType="end"/>
      </w:r>
    </w:p>
    <w:p w:rsidR="00FB0B24" w:rsidRPr="005B5CB6" w:rsidP="001512F6">
      <w:pPr>
        <w:spacing w:after="0"/>
        <w:jc w:val="both"/>
        <w:rPr>
          <w:rFonts w:ascii="Verdana" w:hAnsi="Verdana"/>
        </w:rPr>
      </w:pPr>
      <w:r w:rsidRPr="005B5CB6">
        <w:rPr>
          <w:rFonts w:ascii="Verdana" w:eastAsia="Verdana" w:hAnsi="Verdana" w:cs="Verdana"/>
          <w:color w:val="0000FF"/>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68"/>
        </w:numPr>
        <w:spacing w:after="5" w:line="250" w:lineRule="auto"/>
        <w:ind w:right="11" w:hanging="833"/>
        <w:jc w:val="both"/>
        <w:rPr>
          <w:rFonts w:ascii="Verdana" w:hAnsi="Verdana"/>
        </w:rPr>
      </w:pPr>
      <w:r w:rsidRPr="005B5CB6">
        <w:rPr>
          <w:rFonts w:ascii="Verdana" w:eastAsia="Verdana" w:hAnsi="Verdana" w:cs="Verdana"/>
        </w:rPr>
        <w:t xml:space="preserve">EXAMPLES OF OPPORTUNITIES FOR DEMOCRATIC PARTICIPATION </w:t>
      </w:r>
    </w:p>
    <w:p w:rsidR="00FB0B24" w:rsidRPr="005B5CB6" w:rsidP="00575F14">
      <w:pPr>
        <w:numPr>
          <w:ilvl w:val="1"/>
          <w:numId w:val="168"/>
        </w:numPr>
        <w:spacing w:after="5" w:line="250" w:lineRule="auto"/>
        <w:ind w:left="23" w:right="11" w:hanging="8"/>
        <w:jc w:val="both"/>
        <w:rPr>
          <w:rFonts w:ascii="Verdana" w:hAnsi="Verdana"/>
        </w:rPr>
      </w:pPr>
      <w:r w:rsidRPr="005B5CB6">
        <w:rPr>
          <w:rFonts w:ascii="Verdana" w:eastAsia="Verdana" w:hAnsi="Verdana" w:cs="Verdana"/>
        </w:rPr>
        <w:t>Until Brexit took over so much Parliamentary business earlier this year, I have probably been averaging at least 3 submissions to Parliamentary, Government, and Local Government inquiries and consultations per month</w:t>
      </w:r>
      <w:r w:rsidRPr="005B5CB6">
        <w:rPr>
          <w:rFonts w:ascii="Verdana" w:eastAsia="Verdana" w:hAnsi="Verdana" w:cs="Verdana"/>
          <w:color w:val="CC0066"/>
        </w:rPr>
        <w:t xml:space="preserve"> </w:t>
      </w:r>
      <w:r w:rsidRPr="005B5CB6">
        <w:rPr>
          <w:rFonts w:ascii="Verdana" w:eastAsia="Verdana" w:hAnsi="Verdana" w:cs="Verdana"/>
        </w:rPr>
        <w:t xml:space="preserve">for the last 4 years or more.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168"/>
        </w:numPr>
        <w:spacing w:after="5" w:line="250" w:lineRule="auto"/>
        <w:ind w:left="23" w:right="11" w:hanging="8"/>
        <w:jc w:val="both"/>
        <w:rPr>
          <w:rFonts w:ascii="Verdana" w:hAnsi="Verdana"/>
        </w:rPr>
      </w:pPr>
      <w:r w:rsidRPr="005B5CB6">
        <w:rPr>
          <w:rFonts w:ascii="Verdana" w:eastAsia="Verdana" w:hAnsi="Verdana" w:cs="Verdana"/>
        </w:rPr>
        <w:t xml:space="preserve">The reason that I do so many of these is that they seem to be largely dominated by organisations or their members who have a significant pecuniary interest in the subject or are self-appointed and purport to speak for a group of ordinary people, even though most ordinary people have never heard of  them. I try to redress the balance of these submissions to those of private citizens by sending in submissions based on my personal experience as a bus passenger, dealing with thousands of customers at work, or being a customer in the high street myself.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168"/>
        </w:numPr>
        <w:spacing w:after="5" w:line="250" w:lineRule="auto"/>
        <w:ind w:left="23" w:right="11" w:hanging="8"/>
        <w:jc w:val="both"/>
        <w:rPr>
          <w:rFonts w:ascii="Verdana" w:hAnsi="Verdana"/>
        </w:rPr>
      </w:pPr>
      <w:r w:rsidRPr="005B5CB6">
        <w:rPr>
          <w:rFonts w:ascii="Verdana" w:eastAsia="Verdana" w:hAnsi="Verdana" w:cs="Verdana"/>
        </w:rPr>
        <w:t xml:space="preserve">For details of how digital technologies could be opening up vast new opportunities in democratic participation, but actually SEVERELY INCREASING THE INEQUALITIES IN HOW MOST ORDINARY PEOPLE WHO ARE TOO BUSY TO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EVEN KNOW ABOUT THIS CAN HAVE THEIR EXPERIENCES AND CONCERNS RECOGNISED AND PROPERLY ACTED UPON IN OUR DEMOCRATIC SYSTEM,  please see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section 1.3 in my submission </w:t>
      </w:r>
      <w:r w:rsidRPr="005B5CB6">
        <w:rPr>
          <w:rFonts w:ascii="Verdana" w:eastAsia="Verdana" w:hAnsi="Verdana" w:cs="Verdana"/>
          <w:color w:val="E36C0A"/>
        </w:rPr>
        <w:t xml:space="preserve"> </w:t>
      </w:r>
    </w:p>
    <w:p w:rsidR="00FB0B24" w:rsidRPr="005B5CB6" w:rsidP="001512F6">
      <w:pPr>
        <w:spacing w:after="5" w:line="249" w:lineRule="auto"/>
        <w:ind w:left="-5" w:right="6" w:hanging="10"/>
        <w:jc w:val="both"/>
        <w:rPr>
          <w:rFonts w:ascii="Verdana" w:hAnsi="Verdana"/>
        </w:rPr>
      </w:pPr>
      <w:r>
        <w:fldChar w:fldCharType="begin"/>
      </w:r>
      <w:r>
        <w:instrText xml:space="preserve"> HYPERLINK "http://data.parliament.uk/writtenevidence/committeeevidence.svc/evidencedocument/rural-economy-committee/rural-economy/written/89277.html" </w:instrText>
      </w:r>
      <w:r>
        <w:fldChar w:fldCharType="separate"/>
      </w:r>
      <w:r w:rsidRPr="005B5CB6" w:rsidR="00A72806">
        <w:rPr>
          <w:rFonts w:ascii="Verdana" w:eastAsia="Verdana" w:hAnsi="Verdana" w:cs="Verdana"/>
          <w:color w:val="0000FF"/>
          <w:u w:val="single" w:color="0000FF"/>
        </w:rPr>
        <w:t xml:space="preserve">http://data.parliament.uk/writtenevidence/committeeevidence.svc/evidencedocu </w:t>
      </w:r>
      <w:r>
        <w:fldChar w:fldCharType="end"/>
      </w:r>
      <w:r>
        <w:fldChar w:fldCharType="begin"/>
      </w:r>
      <w:r>
        <w:instrText xml:space="preserve"> HYPERLINK "http://data.parliament.uk/writtenevidence/committeeevidence.svc/evidencedocument/rural-economy-committee/rural-economy/written/89277.html" </w:instrText>
      </w:r>
      <w:r>
        <w:fldChar w:fldCharType="separate"/>
      </w:r>
      <w:r w:rsidRPr="005B5CB6" w:rsidR="00A72806">
        <w:rPr>
          <w:rFonts w:ascii="Verdana" w:eastAsia="Verdana" w:hAnsi="Verdana" w:cs="Verdana"/>
          <w:color w:val="0000FF"/>
          <w:u w:val="single" w:color="0000FF"/>
        </w:rPr>
        <w:t>ment/rural-economy-committee/rural-economy/written/89277.html</w:t>
      </w:r>
      <w:r>
        <w:fldChar w:fldCharType="end"/>
      </w:r>
      <w:r>
        <w:fldChar w:fldCharType="begin"/>
      </w:r>
      <w:r>
        <w:instrText xml:space="preserve"> HYPERLINK "http://data.parliament.uk/writtenevidence/committeeevidence.svc/evidencedocument/rural-economy-committee/rural-economy/written/89277.html" </w:instrText>
      </w:r>
      <w:r>
        <w:fldChar w:fldCharType="separate"/>
      </w:r>
      <w:r w:rsidRPr="005B5CB6" w:rsidR="00A72806">
        <w:rPr>
          <w:rFonts w:ascii="Verdana" w:eastAsia="Verdana" w:hAnsi="Verdana" w:cs="Verdana"/>
          <w:color w:val="E36C0A"/>
        </w:rPr>
        <w:t xml:space="preserve"> </w:t>
      </w:r>
      <w:r>
        <w:fldChar w:fldCharType="end"/>
      </w:r>
      <w:r w:rsidRPr="005B5CB6" w:rsidR="00A72806">
        <w:rPr>
          <w:rFonts w:ascii="Verdana" w:eastAsia="Verdana" w:hAnsi="Verdana" w:cs="Verdana"/>
          <w:color w:val="E36C0A"/>
        </w:rPr>
        <w:t xml:space="preserve"> </w:t>
      </w:r>
      <w:r w:rsidRPr="005B5CB6" w:rsidR="00A72806">
        <w:rPr>
          <w:rFonts w:ascii="Verdana" w:eastAsia="Verdana" w:hAnsi="Verdana" w:cs="Verdana"/>
        </w:rPr>
        <w:t xml:space="preserve">(House of Lords).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and section 14.2, a request for an inquiry into the Quality and Validity of Public Consultations, which links to my submissions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5" w:right="6" w:hanging="10"/>
        <w:jc w:val="both"/>
        <w:rPr>
          <w:rFonts w:ascii="Verdana" w:hAnsi="Verdana"/>
        </w:rPr>
      </w:pPr>
      <w:r>
        <w:fldChar w:fldCharType="begin"/>
      </w:r>
      <w:r>
        <w:instrText xml:space="preserve"> HYPERLINK "http://data.parliament.uk/writtenevidence/committeeevidence.svc/evidencedocument/housing-communities-and-local-government-committee/overview-and-scrutiny-in-local-government/written/70775.html" </w:instrText>
      </w:r>
      <w:r>
        <w:fldChar w:fldCharType="separate"/>
      </w:r>
      <w:r w:rsidRPr="005B5CB6" w:rsidR="00A72806">
        <w:rPr>
          <w:rFonts w:ascii="Verdana" w:eastAsia="Verdana" w:hAnsi="Verdana" w:cs="Verdana"/>
          <w:color w:val="0000FF"/>
          <w:u w:val="single" w:color="0000FF"/>
        </w:rPr>
        <w:t xml:space="preserve">http://data.parliament.uk/writtenevidence/committeeevidence.svc/evidencedocu </w:t>
      </w:r>
      <w:r>
        <w:fldChar w:fldCharType="end"/>
      </w:r>
      <w:r>
        <w:fldChar w:fldCharType="begin"/>
      </w:r>
      <w:r>
        <w:instrText xml:space="preserve"> HYPERLINK "http://data.parliament.uk/writtenevidence/committeeevidence.svc/evidencedocument/housing-communities-and-local-government-committee/overview-and-scrutiny-in-local-government/written/70775.html" </w:instrText>
      </w:r>
      <w:r>
        <w:fldChar w:fldCharType="separate"/>
      </w:r>
      <w:r w:rsidRPr="005B5CB6" w:rsidR="00A72806">
        <w:rPr>
          <w:rFonts w:ascii="Verdana" w:eastAsia="Verdana" w:hAnsi="Verdana" w:cs="Verdana"/>
          <w:color w:val="0000FF"/>
          <w:u w:val="single" w:color="0000FF"/>
        </w:rPr>
        <w:t>ment/housing-communities-and-local-government-committee/overview-and</w:t>
      </w:r>
      <w:r>
        <w:fldChar w:fldCharType="end"/>
      </w:r>
      <w:r>
        <w:fldChar w:fldCharType="begin"/>
      </w:r>
      <w:r>
        <w:instrText xml:space="preserve"> HYPERLINK "http://data.parliament.uk/writtenevidence/committeeevidence.svc/evidencedocument/housing-communities-and-local-government-committee/overview-and-scrutiny-in-local-government/written/70775.html" </w:instrText>
      </w:r>
      <w:r>
        <w:fldChar w:fldCharType="separate"/>
      </w:r>
      <w:r w:rsidRPr="005B5CB6" w:rsidR="00A72806">
        <w:rPr>
          <w:rFonts w:ascii="Verdana" w:eastAsia="Verdana" w:hAnsi="Verdana" w:cs="Verdana"/>
          <w:color w:val="0000FF"/>
          <w:u w:val="single" w:color="0000FF"/>
        </w:rPr>
        <w:t>scrutiny-in-local-government/written/70775.html</w:t>
      </w:r>
      <w:r>
        <w:fldChar w:fldCharType="end"/>
      </w:r>
      <w:r>
        <w:fldChar w:fldCharType="begin"/>
      </w:r>
      <w:r>
        <w:instrText xml:space="preserve"> HYPERLINK "http://data.parliament.uk/writtenevidence/committeeevidence.svc/evidencedocument/housing-communities-and-local-government-committee/overview-and-scrutiny-in-local-government/written/70775.html" </w:instrText>
      </w:r>
      <w:r>
        <w:fldChar w:fldCharType="separate"/>
      </w:r>
      <w:r w:rsidRPr="005B5CB6" w:rsidR="00A72806">
        <w:rPr>
          <w:rFonts w:ascii="Verdana" w:eastAsia="Verdana" w:hAnsi="Verdana" w:cs="Verdana"/>
          <w:color w:val="0000FF"/>
        </w:rPr>
        <w:t xml:space="preserve"> </w:t>
      </w:r>
      <w:r>
        <w:fldChar w:fldCharType="end"/>
      </w:r>
      <w:r w:rsidRPr="005B5CB6" w:rsidR="00A72806">
        <w:rPr>
          <w:rFonts w:ascii="Verdana" w:eastAsia="Verdana" w:hAnsi="Verdana" w:cs="Verdana"/>
          <w:color w:val="0000FF"/>
        </w:rPr>
        <w:t xml:space="preserve"> </w:t>
      </w:r>
      <w:r>
        <w:fldChar w:fldCharType="begin"/>
      </w:r>
      <w:r>
        <w:instrText xml:space="preserve"> HYPERLINK "http://data.parliament.uk/WrittenEvidence/CommitteeEvidence.svc/EvidenceDocument/Communities%20and%20Local%20Government/Overview%20and%20scrutiny%20in%20local%20government/written/48572.html" </w:instrText>
      </w:r>
      <w:r>
        <w:fldChar w:fldCharType="separate"/>
      </w:r>
      <w:r w:rsidRPr="005B5CB6" w:rsidR="00A72806">
        <w:rPr>
          <w:rFonts w:ascii="Verdana" w:eastAsia="Verdana" w:hAnsi="Verdana" w:cs="Verdana"/>
          <w:color w:val="0000FF"/>
          <w:u w:val="single" w:color="0000FF"/>
        </w:rPr>
        <w:t xml:space="preserve">http://data.parliament.uk/WrittenEvidence/CommitteeEvidence.svc/EvidenceDoc </w:t>
      </w:r>
      <w:r>
        <w:fldChar w:fldCharType="end"/>
      </w:r>
      <w:r>
        <w:fldChar w:fldCharType="begin"/>
      </w:r>
      <w:r>
        <w:instrText xml:space="preserve"> HYPERLINK "http://data.parliament.uk/WrittenEvidence/CommitteeEvidence.svc/EvidenceDocument/Communities%20and%20Local%20Government/Overview%20and%20scrutiny%20in%20local%20government/written/48572.html" </w:instrText>
      </w:r>
      <w:r>
        <w:fldChar w:fldCharType="separate"/>
      </w:r>
      <w:r w:rsidRPr="005B5CB6" w:rsidR="00A72806">
        <w:rPr>
          <w:rFonts w:ascii="Verdana" w:eastAsia="Verdana" w:hAnsi="Verdana" w:cs="Verdana"/>
          <w:color w:val="0000FF"/>
          <w:u w:val="single" w:color="0000FF"/>
        </w:rPr>
        <w:t xml:space="preserve">ument/Communities%20and%20Local%20Government/Overview%20and%20sc </w:t>
      </w:r>
      <w:r>
        <w:fldChar w:fldCharType="end"/>
      </w:r>
      <w:r>
        <w:fldChar w:fldCharType="begin"/>
      </w:r>
      <w:r>
        <w:instrText xml:space="preserve"> HYPERLINK "http://data.parliament.uk/WrittenEvidence/CommitteeEvidence.svc/EvidenceDocument/Communities%20and%20Local%20Government/Overview%20and%20scrutiny%20in%20local%20government/written/48572.html" </w:instrText>
      </w:r>
      <w:r>
        <w:fldChar w:fldCharType="separate"/>
      </w:r>
      <w:r w:rsidRPr="005B5CB6" w:rsidR="00A72806">
        <w:rPr>
          <w:rFonts w:ascii="Verdana" w:eastAsia="Verdana" w:hAnsi="Verdana" w:cs="Verdana"/>
          <w:color w:val="0000FF"/>
          <w:u w:val="single" w:color="0000FF"/>
        </w:rPr>
        <w:t>rutiny%20in%20local%20government/written/48572.html</w:t>
      </w:r>
      <w:r>
        <w:fldChar w:fldCharType="end"/>
      </w:r>
      <w:r>
        <w:fldChar w:fldCharType="begin"/>
      </w:r>
      <w:r>
        <w:instrText xml:space="preserve"> HYPERLINK "http://data.parliament.uk/WrittenEvidence/CommitteeEvidence.svc/EvidenceDocument/Communities%20and%20Local%20Government/Overview%20and%20scrutiny%20in%20local%20government/written/48572.html" </w:instrText>
      </w:r>
      <w:r>
        <w:fldChar w:fldCharType="separate"/>
      </w:r>
      <w:r w:rsidRPr="005B5CB6" w:rsidR="00A72806">
        <w:rPr>
          <w:rFonts w:ascii="Verdana" w:eastAsia="Verdana" w:hAnsi="Verdana" w:cs="Verdana"/>
          <w:color w:val="0000FF"/>
          <w:u w:val="single" w:color="0000FF"/>
        </w:rPr>
        <w:t xml:space="preserve"> </w:t>
      </w:r>
      <w:r>
        <w:fldChar w:fldCharType="end"/>
      </w:r>
      <w:r w:rsidRPr="005B5CB6" w:rsidR="00A72806">
        <w:rPr>
          <w:rFonts w:ascii="Verdana" w:eastAsia="Verdana" w:hAnsi="Verdana" w:cs="Verdana"/>
        </w:rPr>
        <w:t>- particularly Annex G, point 2</w:t>
      </w:r>
      <w:r w:rsidRPr="005B5CB6" w:rsidR="00A72806">
        <w:rPr>
          <w:rFonts w:ascii="Verdana" w:eastAsia="Verdana" w:hAnsi="Verdana" w:cs="Verdana"/>
          <w:color w:val="0000FF"/>
        </w:rPr>
        <w:t xml:space="preserve"> </w:t>
      </w:r>
    </w:p>
    <w:p w:rsidR="00FB0B24" w:rsidRPr="005B5CB6" w:rsidP="001512F6">
      <w:pPr>
        <w:spacing w:after="0"/>
        <w:jc w:val="both"/>
        <w:rPr>
          <w:rFonts w:ascii="Verdana" w:hAnsi="Verdana"/>
        </w:rPr>
      </w:pPr>
      <w:r w:rsidRPr="005B5CB6">
        <w:rPr>
          <w:rFonts w:ascii="Verdana" w:eastAsia="Verdana" w:hAnsi="Verdana" w:cs="Verdana"/>
          <w:color w:val="0000FF"/>
        </w:rPr>
        <w:t xml:space="preserve"> </w:t>
      </w:r>
    </w:p>
    <w:p w:rsidR="00FB0B24" w:rsidRPr="005B5CB6" w:rsidP="001512F6">
      <w:pPr>
        <w:spacing w:after="0"/>
        <w:jc w:val="both"/>
        <w:rPr>
          <w:rFonts w:ascii="Verdana" w:hAnsi="Verdana"/>
        </w:rPr>
      </w:pPr>
      <w:r w:rsidRPr="005B5CB6">
        <w:rPr>
          <w:rFonts w:ascii="Verdana" w:eastAsia="Verdana" w:hAnsi="Verdana" w:cs="Verdana"/>
          <w:color w:val="0000FF"/>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5          RECOMMENDATION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5.1.1      WHATEVER ELSE HAPPENS, THERE SHOULD CERTAINLY BE AN AUDIT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OF WHO CAN GET ACCESS TO EFFECTIVE MEANS TO OBTAIN, MAINTAIN, AND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OPERATE DIGITAL TECHNOLOGY TO THE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EXTENT THAT THEY CAN HAVE EQUAL ACCESS TO DEMOCRATIC INFORMATION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AND PARTICIPATION – this is where the traditional census might be a better vehicle than collecting information about people from a variety of data sources, because those who are most likely to be missed out of democracy in digital technologies may well be those who are most likely to be missed out of other commonly used databases.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5.1.2      e.g. the many grandparents, particularly widows, who tell me that they have an old computer which their husband used, but they don’t know how to work it, and when they ask their grandchildren to show them, they don’t really understand, and don’t like to keep asking. </w:t>
      </w:r>
    </w:p>
    <w:p w:rsidR="00FB0B24" w:rsidRPr="005B5CB6" w:rsidP="001512F6">
      <w:pPr>
        <w:spacing w:after="1" w:line="239" w:lineRule="auto"/>
        <w:ind w:left="-5" w:right="10" w:hanging="10"/>
        <w:jc w:val="both"/>
        <w:rPr>
          <w:rFonts w:ascii="Verdana" w:hAnsi="Verdana"/>
        </w:rPr>
      </w:pPr>
      <w:r w:rsidRPr="005B5CB6">
        <w:rPr>
          <w:rFonts w:ascii="Verdana" w:eastAsia="Verdana" w:hAnsi="Verdana" w:cs="Verdana"/>
        </w:rPr>
        <w:t xml:space="preserve">5.1.3      For full details, if submissions are ever published, please see section 3 [in answer to question 8] of mine to  </w:t>
      </w:r>
      <w:r>
        <w:fldChar w:fldCharType="begin"/>
      </w:r>
      <w:r>
        <w:instrText xml:space="preserve"> HYPERLINK "https://www.parliament.uk/business/committees/committees-a-z/lords-select/electoral-registration-act-2013-committee/news-parliament-2017/call-for-ev/" </w:instrText>
      </w:r>
      <w:r>
        <w:fldChar w:fldCharType="separate"/>
      </w:r>
      <w:r w:rsidRPr="005B5CB6">
        <w:rPr>
          <w:rFonts w:ascii="Verdana" w:eastAsia="Verdana" w:hAnsi="Verdana" w:cs="Verdana"/>
          <w:color w:val="0000FF"/>
          <w:u w:val="single" w:color="0000FF"/>
        </w:rPr>
        <w:t>https://www.parliament.uk/business/committees/committees-a-z/lords</w:t>
      </w:r>
      <w:r>
        <w:fldChar w:fldCharType="end"/>
      </w:r>
      <w:r>
        <w:fldChar w:fldCharType="begin"/>
      </w:r>
      <w:r>
        <w:instrText xml:space="preserve"> HYPERLINK "https://www.parliament.uk/business/committees/committees-a-z/lords-select/electoral-registration-act-2013-committee/news-parliament-2017/call-for-ev/" </w:instrText>
      </w:r>
      <w:r>
        <w:fldChar w:fldCharType="separate"/>
      </w:r>
      <w:r w:rsidRPr="005B5CB6">
        <w:rPr>
          <w:rFonts w:ascii="Verdana" w:eastAsia="Verdana" w:hAnsi="Verdana" w:cs="Verdana"/>
          <w:color w:val="0000FF"/>
          <w:u w:val="single" w:color="0000FF"/>
        </w:rPr>
        <w:t>select/electoral-registration-act-2013-committee/news-parliament-2017/call-for</w:t>
      </w:r>
      <w:r>
        <w:fldChar w:fldCharType="end"/>
      </w:r>
      <w:r>
        <w:fldChar w:fldCharType="begin"/>
      </w:r>
      <w:r>
        <w:instrText xml:space="preserve"> HYPERLINK "https://www.parliament.uk/business/committees/committees-a-z/lords-select/electoral-registration-act-2013-committee/news-parliament-2017/call-for-ev/" </w:instrText>
      </w:r>
      <w:r>
        <w:fldChar w:fldCharType="separate"/>
      </w:r>
      <w:r w:rsidRPr="005B5CB6">
        <w:rPr>
          <w:rFonts w:ascii="Verdana" w:eastAsia="Verdana" w:hAnsi="Verdana" w:cs="Verdana"/>
          <w:color w:val="0000FF"/>
          <w:u w:val="single" w:color="0000FF"/>
        </w:rPr>
        <w:t>ev/</w:t>
      </w:r>
      <w:r>
        <w:fldChar w:fldCharType="end"/>
      </w:r>
      <w:r>
        <w:fldChar w:fldCharType="begin"/>
      </w:r>
      <w:r>
        <w:instrText xml:space="preserve"> HYPERLINK "https://www.parliament.uk/business/committees/committees-a-z/lords-select/electoral-registration-act-2013-committee/news-parliament-2017/call-for-ev/"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5.2     ENSURE THAT THOSE WHO DON’T HAVE TIME TO PARTICIPATE IN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DIGITAL DEMOCRACY OR TO CHECK THE VALIDITY OF WHAT THEY DO SEE ARE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GIVEN EQUAL MEANS TO INFORMATION AND PARTICIPATION VIA OTHER CHANNELS in order to redress para 3.4.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8</w:t>
      </w:r>
      <w:r w:rsidRPr="005B5CB6">
        <w:rPr>
          <w:rFonts w:ascii="Verdana" w:eastAsia="Verdana" w:hAnsi="Verdana" w:cs="Verdana"/>
          <w:vertAlign w:val="superscript"/>
        </w:rPr>
        <w:t>th</w:t>
      </w:r>
      <w:r w:rsidRPr="005B5CB6">
        <w:rPr>
          <w:rFonts w:ascii="Verdana" w:eastAsia="Verdana" w:hAnsi="Verdana" w:cs="Verdana"/>
        </w:rPr>
        <w:t xml:space="preserve"> October 2019. </w:t>
      </w:r>
    </w:p>
    <w:p w:rsidR="00FB0B24" w:rsidRPr="005B5CB6" w:rsidP="001512F6">
      <w:pPr>
        <w:spacing w:after="0"/>
        <w:jc w:val="both"/>
        <w:rPr>
          <w:rFonts w:ascii="Verdana" w:hAnsi="Verdana"/>
        </w:rPr>
      </w:pPr>
      <w:r w:rsidRPr="005B5CB6">
        <w:rPr>
          <w:rFonts w:ascii="Verdana" w:eastAsia="Verdana" w:hAnsi="Verdana" w:cs="Verdana"/>
          <w:color w:val="E36C0A"/>
        </w:rPr>
        <w:t xml:space="preserve"> </w:t>
      </w:r>
    </w:p>
    <w:p w:rsidR="00FB0B24" w:rsidRPr="005B5CB6" w:rsidP="001512F6">
      <w:pPr>
        <w:spacing w:after="0"/>
        <w:jc w:val="both"/>
        <w:rPr>
          <w:rFonts w:ascii="Verdana" w:hAnsi="Verdana"/>
        </w:rPr>
      </w:pPr>
      <w:r w:rsidRPr="005B5CB6">
        <w:rPr>
          <w:rFonts w:ascii="Verdana" w:eastAsia="Verdana" w:hAnsi="Verdana" w:cs="Verdana"/>
          <w:color w:val="E36C0A"/>
        </w:rPr>
        <w:t xml:space="preserve"> </w:t>
      </w:r>
    </w:p>
    <w:p w:rsidR="00FB0B24" w:rsidRPr="005B5CB6" w:rsidP="001512F6">
      <w:pPr>
        <w:jc w:val="both"/>
        <w:rPr>
          <w:rFonts w:ascii="Verdana" w:hAnsi="Verdana"/>
        </w:rPr>
        <w:sectPr w:rsidSect="00D20189">
          <w:headerReference w:type="even" r:id="rId274"/>
          <w:headerReference w:type="default" r:id="rId275"/>
          <w:footerReference w:type="even" r:id="rId276"/>
          <w:footerReference w:type="default" r:id="rId277"/>
          <w:headerReference w:type="first" r:id="rId278"/>
          <w:footerReference w:type="first" r:id="rId279"/>
          <w:pgSz w:w="11906" w:h="16838"/>
          <w:pgMar w:top="1492" w:right="1448" w:bottom="1763" w:left="1440" w:header="720" w:footer="709" w:gutter="0"/>
          <w:cols w:space="720"/>
        </w:sectPr>
      </w:pPr>
    </w:p>
    <w:p w:rsidR="00FB0B24" w:rsidRPr="005B5CB6" w:rsidP="00A1624B">
      <w:pPr>
        <w:pStyle w:val="Heading1"/>
        <w:rPr>
          <w:sz w:val="22"/>
        </w:rPr>
      </w:pPr>
      <w:bookmarkStart w:id="49" w:name="_Toc44517737"/>
      <w:r w:rsidRPr="005B5CB6">
        <w:rPr>
          <w:sz w:val="22"/>
        </w:rPr>
        <w:t>Electoral Commission – written evidence (DAD0058)</w:t>
      </w:r>
      <w:bookmarkEnd w:id="49"/>
      <w:r w:rsidRPr="005B5CB6">
        <w:rPr>
          <w:sz w:val="22"/>
        </w:rPr>
        <w:t xml:space="preserve">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The Electoral Commission is the independent body which oversees elections and regulates political finance in the UK. We work to promote public confidence in the democratic process and ensure its integrity. This includes using our expertise to make and advocate for changes to our democracy, aiming to improve fairness and transparency.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We have answered the Committee’s questions that are directly related to our regulatory remit or where we have contextual information the Committee may find useful.  </w:t>
      </w:r>
    </w:p>
    <w:p w:rsidR="00FB0B24" w:rsidRPr="005B5CB6" w:rsidP="001512F6">
      <w:pPr>
        <w:spacing w:after="247" w:line="250" w:lineRule="auto"/>
        <w:ind w:left="11" w:hanging="10"/>
        <w:jc w:val="both"/>
        <w:rPr>
          <w:rFonts w:ascii="Verdana" w:hAnsi="Verdana"/>
        </w:rPr>
      </w:pPr>
      <w:r w:rsidRPr="005B5CB6">
        <w:rPr>
          <w:rFonts w:ascii="Verdana" w:eastAsia="Verdana" w:hAnsi="Verdana" w:cs="Verdana"/>
          <w:b/>
        </w:rPr>
        <w:t xml:space="preserve">1. How has digital technology changed the way that democracy works in the UK and has this been a net positive or negative effect?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Digital technology is leading to fundamental shifts in the way democracy works both in the UK and abroad. Voters in the UK can now register to vote online, which has significantly improved access to this process, and we have recently published the findings from</w:t>
      </w:r>
      <w:r>
        <w:fldChar w:fldCharType="begin"/>
      </w:r>
      <w:r>
        <w:instrText xml:space="preserve"> HYPERLINK "https://www.electoralcommission.org.uk/who-we-are-and-what-we-do/changing-electoral-law/a-modern-electoral-register/modernising-electoral-registration-feasibility-studies/feasibility-studies-scope-and-approach"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"https://www.electoralcommission.org.uk/who-we-are-and-what-we-do/changing-electoral-law/a-modern-electoral-register/modernising-electoral-registration-feasibility-studies/feasibility-studies-scope-and-approach" </w:instrText>
      </w:r>
      <w:r>
        <w:fldChar w:fldCharType="separate"/>
      </w:r>
      <w:r w:rsidRPr="005B5CB6">
        <w:rPr>
          <w:rFonts w:ascii="Verdana" w:eastAsia="Verdana" w:hAnsi="Verdana" w:cs="Verdana"/>
          <w:u w:val="single" w:color="000000"/>
        </w:rPr>
        <w:t>feasibility studies</w:t>
      </w:r>
      <w:r>
        <w:fldChar w:fldCharType="end"/>
      </w:r>
      <w:r>
        <w:fldChar w:fldCharType="begin"/>
      </w:r>
      <w:r>
        <w:instrText xml:space="preserve"> HYPERLINK "https://www.electoralcommission.org.uk/who-we-are-and-what-we-do/changing-electoral-law/a-modern-electoral-register/modernising-electoral-registration-feasibility-studies/feasibility-studies-scope-and-approach"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showing how technology could support strengthened registration through better use of public data. Electronic counting of ballots is now used for certain elections in the UK. In some countries voters can cast their ballots online, and adopting such technology has been discussed here in the UK.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But the biggest change to UK democracy in recent years is the rapid increase in the use of digital tools to campaign at elections and referendums. This is evident in the</w:t>
      </w:r>
      <w:r>
        <w:fldChar w:fldCharType="begin"/>
      </w:r>
      <w:r>
        <w:instrText xml:space="preserve"> HYPERLINK "https://www.electoralcommission.org.uk/who-we-are-and-what-we-do/changing-electoral-law/transparent-digital-campaigning/report-digital-campaigning-increasing-transparency-voters"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"https://www.electoralcommission.org.uk/who-we-are-and-what-we-do/changing-electoral-law/transparent-digital-campaigning/report-digital-campaigning-increasing-transparency-voters" </w:instrText>
      </w:r>
      <w:r>
        <w:fldChar w:fldCharType="separate"/>
      </w:r>
      <w:r w:rsidRPr="005B5CB6">
        <w:rPr>
          <w:rFonts w:ascii="Verdana" w:eastAsia="Verdana" w:hAnsi="Verdana" w:cs="Verdana"/>
          <w:u w:val="single" w:color="000000"/>
        </w:rPr>
        <w:t>spending reported</w:t>
      </w:r>
      <w:r>
        <w:fldChar w:fldCharType="end"/>
      </w:r>
      <w:r>
        <w:fldChar w:fldCharType="begin"/>
      </w:r>
      <w:r>
        <w:instrText xml:space="preserve"> HYPERLINK "https://www.electoralcommission.org.uk/who-we-are-and-what-we-do/changing-electoral-law/transparent-digital-campaigning/report-digital-campaigning-increasing-transparency-voters"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to us by political parties and campaigners after recent elections. At the 2015 UK Parliamentary General election, campaigners spent an estimate</w:t>
      </w:r>
      <w:r>
        <w:rPr>
          <w:rFonts w:ascii="Verdana" w:eastAsia="Verdana" w:hAnsi="Verdana" w:cs="Verdana"/>
          <w:vertAlign w:val="superscript"/>
        </w:rPr>
        <w:footnoteReference w:id="255"/>
      </w:r>
      <w:r w:rsidRPr="005B5CB6">
        <w:rPr>
          <w:rFonts w:ascii="Verdana" w:eastAsia="Verdana" w:hAnsi="Verdana" w:cs="Verdana"/>
        </w:rPr>
        <w:t xml:space="preserve"> of 23.9% of their total advertising spending on digital advertising. That figure rose to 42.8% at the 2017 election.  </w:t>
      </w:r>
    </w:p>
    <w:p w:rsidR="00FB0B24" w:rsidRPr="005B5CB6" w:rsidP="001512F6">
      <w:pPr>
        <w:spacing w:after="1001" w:line="250" w:lineRule="auto"/>
        <w:ind w:left="23" w:right="11" w:hanging="8"/>
        <w:jc w:val="both"/>
        <w:rPr>
          <w:rFonts w:ascii="Verdana" w:hAnsi="Verdana"/>
        </w:rPr>
      </w:pPr>
      <w:r w:rsidRPr="005B5CB6">
        <w:rPr>
          <w:rFonts w:ascii="Verdana" w:eastAsia="Verdana" w:hAnsi="Verdana" w:cs="Verdana"/>
        </w:rPr>
        <w:t xml:space="preserve">Campaigns that communicate effectively with voters are essential to well-run elections and referendums. Digital campaigning is a net positive for voters and campaigners. Its lower cost has helped smaller parties and campaigners reach voters. Crowdfunding technology has supported smaller parties and independent candidates to raise money for deposits and campaigning. It allows campaigners to talk to a wider section of voters about the issues that matter to them.     </w:t>
      </w:r>
    </w:p>
    <w:p w:rsidR="00FB0B24" w:rsidRPr="005B5CB6" w:rsidP="001512F6">
      <w:pPr>
        <w:spacing w:after="23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65330" name="Group 56533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031" name="Shape 63603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3057"/>
                          </a:fillRef>
                          <a:effectRef idx="0">
                            <a:scrgbClr r="0" g="0" b="0"/>
                          </a:effectRef>
                          <a:fontRef idx="none"/>
                        </wps:style>
                        <wps:bodyPr/>
                      </wps:wsp>
                    </wpg:wgp>
                  </a:graphicData>
                </a:graphic>
              </wp:inline>
            </w:drawing>
          </mc:Choice>
          <mc:Fallback>
            <w:pict>
              <v:group id="_x0000_i1263" style="height:0.6pt;mso-position-horizontal-relative:char;mso-position-vertical-relative:line;width:2in" coordsize="18288,76">
                <v:shape id="_x0000_s1264"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color w:val="003057"/>
        </w:rPr>
        <w:t xml:space="preserve"> </w:t>
      </w:r>
    </w:p>
    <w:p w:rsidR="00FB0B24" w:rsidRPr="005B5CB6" w:rsidP="001512F6">
      <w:pPr>
        <w:spacing w:after="0"/>
        <w:jc w:val="both"/>
        <w:rPr>
          <w:rFonts w:ascii="Verdana" w:hAnsi="Verdana"/>
        </w:rPr>
      </w:pPr>
      <w:r w:rsidRPr="005B5CB6">
        <w:rPr>
          <w:rFonts w:ascii="Verdana" w:eastAsia="Arial" w:hAnsi="Verdana" w:cs="Arial"/>
          <w:color w:val="003057"/>
        </w:rPr>
        <w:t xml:space="preserve">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But there is a negative side to digital campaigning. In 2018 we commissioned </w:t>
      </w:r>
      <w:r>
        <w:fldChar w:fldCharType="begin"/>
      </w:r>
      <w:r>
        <w:instrText xml:space="preserve"> HYPERLINK "https://www.electoralcommission.org.uk/media/2565" </w:instrText>
      </w:r>
      <w:r>
        <w:fldChar w:fldCharType="separate"/>
      </w:r>
      <w:r w:rsidRPr="005B5CB6">
        <w:rPr>
          <w:rFonts w:ascii="Verdana" w:eastAsia="Verdana" w:hAnsi="Verdana" w:cs="Verdana"/>
          <w:u w:val="single" w:color="000000"/>
        </w:rPr>
        <w:t>research</w:t>
      </w:r>
      <w:r>
        <w:fldChar w:fldCharType="end"/>
      </w:r>
      <w:r>
        <w:fldChar w:fldCharType="begin"/>
      </w:r>
      <w:r>
        <w:instrText xml:space="preserve"> HYPERLINK "https://www.electoralcommission.org.uk/media/2565"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into the public’s understanding of political finance regulation and digital </w:t>
      </w:r>
      <w:r w:rsidRPr="005B5CB6">
        <w:rPr>
          <w:rFonts w:ascii="Verdana" w:eastAsia="Verdana" w:hAnsi="Verdana" w:cs="Verdana"/>
        </w:rPr>
        <w:t xml:space="preserve">campaigning. Participants said that targeted online messages were helpful if they got information that was interesting or relevant to them.  But they were also concerned about the use of their personal data, about targeted messages spreading false or misleading information, and about who was funding these messages.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Our</w:t>
      </w:r>
      <w:r>
        <w:fldChar w:fldCharType="begin"/>
      </w:r>
      <w:r>
        <w:instrText xml:space="preserve"> HYPERLINK "https://www.electoralcommission.org.uk/__data/assets/excel_doc/0008/259811/Winter-Tracker-2019-data-tables-for-web.xlsx"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"https://www.electoralcommission.org.uk/__data/assets/excel_doc/0008/259811/Winter-Tracker-2019-data-tables-for-web.xlsx" </w:instrText>
      </w:r>
      <w:r>
        <w:fldChar w:fldCharType="separate"/>
      </w:r>
      <w:r w:rsidRPr="005B5CB6">
        <w:rPr>
          <w:rFonts w:ascii="Verdana" w:eastAsia="Verdana" w:hAnsi="Verdana" w:cs="Verdana"/>
          <w:u w:val="single" w:color="000000"/>
        </w:rPr>
        <w:t>annual research</w:t>
      </w:r>
      <w:r>
        <w:fldChar w:fldCharType="end"/>
      </w:r>
      <w:r>
        <w:fldChar w:fldCharType="begin"/>
      </w:r>
      <w:r>
        <w:instrText xml:space="preserve"> HYPERLINK "https://www.electoralcommission.org.uk/__data/assets/excel_doc/0008/259811/Winter-Tracker-2019-data-tables-for-web.xlsx"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measuring public attitudes echoed these concerns. It showed that 46% of respondents thought inadequate regulation of political activity on social media was a problem, with 21% thinking it was a serious problem.  </w:t>
      </w:r>
    </w:p>
    <w:p w:rsidR="00FB0B24" w:rsidRPr="005B5CB6" w:rsidP="00575F14">
      <w:pPr>
        <w:numPr>
          <w:ilvl w:val="0"/>
          <w:numId w:val="171"/>
        </w:numPr>
        <w:spacing w:after="248" w:line="249" w:lineRule="auto"/>
        <w:ind w:hanging="10"/>
        <w:jc w:val="both"/>
        <w:rPr>
          <w:rFonts w:ascii="Verdana" w:hAnsi="Verdana"/>
        </w:rPr>
      </w:pPr>
      <w:r w:rsidRPr="005B5CB6">
        <w:rPr>
          <w:rFonts w:ascii="Verdana" w:eastAsia="Verdana" w:hAnsi="Verdana" w:cs="Verdana"/>
          <w:b/>
        </w:rPr>
        <w:t xml:space="preserve">How have the design of algorithms used by social media platforms shaped democratic debate? To what extent should there be greater accountability for the design of these algorithms?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There is currently little understanding about how social media companies design their algorithms, apart from statements by the companies. This enhances concern that algorithms prioritise sensational content that may be polarising or inflammatory because users are more likely to click on it.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The companies’ efforts to improve transparency of political content have so far focussed on paid advertising. Campaigners pay for adverts to be targeted at specific audiences or promoted higher in ‘news feeds’ or search results. Voluntary action means these adverts are now labelled as promoted political content, but not all election campaigning is done through paid advertising. Election campaign material can be placed on ‘owned assets’ (such as websites or social media) and “liked” or shared by followers. The companies’ algorithms may promote the “liked” or shared content to others connected to the user. This is known as unpaid organic content.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Some commentators have suggested that an independent body should audit the algorithms to ensure that the companies are acting ethically and responsibly. This would provide more accountability about the way they work. However, the operation of the tech companies’ algorithms affects not just political content and activity, but the entire digital ecosystem. Any algorithmic regulation would need to be holistic. </w:t>
      </w:r>
    </w:p>
    <w:p w:rsidR="00FB0B24" w:rsidRPr="005B5CB6" w:rsidP="00575F14">
      <w:pPr>
        <w:numPr>
          <w:ilvl w:val="0"/>
          <w:numId w:val="171"/>
        </w:numPr>
        <w:spacing w:after="247" w:line="250" w:lineRule="auto"/>
        <w:ind w:hanging="10"/>
        <w:jc w:val="both"/>
        <w:rPr>
          <w:rFonts w:ascii="Verdana" w:hAnsi="Verdana"/>
        </w:rPr>
      </w:pPr>
      <w:r w:rsidRPr="005B5CB6">
        <w:rPr>
          <w:rFonts w:ascii="Verdana" w:eastAsia="Verdana" w:hAnsi="Verdana" w:cs="Verdana"/>
          <w:b/>
        </w:rPr>
        <w:t xml:space="preserve">What role should every stage of education play in helping to create a healthy, active, digitally literate democracy?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Digital literacy skills are becoming increasingly important in our lives. The ability to consider critically any election material we see online is only one aspect of this.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The voters who took part in our public opinion research said they adopted a sceptical attitude to the campaign material they saw online. They anticipated that not all information online is true and that not all sources are credible. But it was also clear that they were unlikely to be aware of the extent to which they may be influenced by digital material. For example, some younger voters did not recognise certain issues-based digital content as being political, or as linked to a specific campaign.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Free speech means that regulating all political content online is neither feasible nor desirable, so enhancing digital literacy skills is vital. Some countries, including</w:t>
      </w:r>
      <w:r>
        <w:fldChar w:fldCharType="begin"/>
      </w:r>
      <w:r>
        <w:instrText xml:space="preserve"> HYPERLINK "https://www.canada.ca/content/dam/di-id/documents/think-critically.pdf"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"https://www.canada.ca/content/dam/di-id/documents/think-critically.pdf" </w:instrText>
      </w:r>
      <w:r>
        <w:fldChar w:fldCharType="separate"/>
      </w:r>
      <w:r w:rsidRPr="005B5CB6">
        <w:rPr>
          <w:rFonts w:ascii="Verdana" w:eastAsia="Verdana" w:hAnsi="Verdana" w:cs="Verdana"/>
          <w:u w:val="single" w:color="000000"/>
        </w:rPr>
        <w:t>Canada</w:t>
      </w:r>
      <w:r>
        <w:fldChar w:fldCharType="end"/>
      </w:r>
      <w:r>
        <w:fldChar w:fldCharType="begin"/>
      </w:r>
      <w:r>
        <w:instrText xml:space="preserve"> HYPERLINK "https://www.canada.ca/content/dam/di-id/documents/think-critically.pdf"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and</w:t>
      </w:r>
      <w:r>
        <w:fldChar w:fldCharType="begin"/>
      </w:r>
      <w:r>
        <w:instrText xml:space="preserve"> HYPERLINK "https://www.aec.gov.au/media/media-releases/2019/04-15.htm"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"https://www.aec.gov.au/media/media-releases/2019/04-15.htm" </w:instrText>
      </w:r>
      <w:r>
        <w:fldChar w:fldCharType="separate"/>
      </w:r>
      <w:r w:rsidRPr="005B5CB6">
        <w:rPr>
          <w:rFonts w:ascii="Verdana" w:eastAsia="Verdana" w:hAnsi="Verdana" w:cs="Verdana"/>
          <w:u w:val="single" w:color="000000"/>
        </w:rPr>
        <w:t>Australia</w:t>
      </w:r>
      <w:r>
        <w:fldChar w:fldCharType="end"/>
      </w:r>
      <w:r>
        <w:fldChar w:fldCharType="begin"/>
      </w:r>
      <w:r>
        <w:instrText xml:space="preserve"> HYPERLINK "https://www.aec.gov.au/media/media-releases/2019/04-15.htm"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are already taking steps to raise public awareness and develop media literacy to help the public engage with political campaigns.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In its final report on fake news and disinformation, the DCMS Select Committee recommended that the UK Government coordinate a more united strategy to promote digital political literacy. While in its response the Government has not taken up this suggestion, we are currently considering how this work might be taken forward. </w:t>
      </w:r>
    </w:p>
    <w:p w:rsidR="00FB0B24" w:rsidRPr="005B5CB6" w:rsidP="00575F14">
      <w:pPr>
        <w:numPr>
          <w:ilvl w:val="0"/>
          <w:numId w:val="172"/>
        </w:numPr>
        <w:spacing w:after="248" w:line="249" w:lineRule="auto"/>
        <w:ind w:hanging="10"/>
        <w:jc w:val="both"/>
        <w:rPr>
          <w:rFonts w:ascii="Verdana" w:hAnsi="Verdana"/>
        </w:rPr>
      </w:pPr>
      <w:r w:rsidRPr="005B5CB6">
        <w:rPr>
          <w:rFonts w:ascii="Verdana" w:eastAsia="Verdana" w:hAnsi="Verdana" w:cs="Verdana"/>
          <w:b/>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Electoral law should be updated to reflect modern campaigning techniques. These updates should increase transparency about digital campaigning for voters and for the Commission, and enhance the regulatory powers available to us to enforce those rules. This would give voters more information about how campaigners are trying to influence their votes and help to ensure compliance. These changes need to be implemented alongside the UK Government’s wider online harms agenda and further measures taken by social media companies.   </w:t>
      </w:r>
    </w:p>
    <w:p w:rsidR="00FB0B24" w:rsidRPr="005B5CB6" w:rsidP="00575F14">
      <w:pPr>
        <w:numPr>
          <w:ilvl w:val="0"/>
          <w:numId w:val="172"/>
        </w:numPr>
        <w:spacing w:after="248" w:line="249" w:lineRule="auto"/>
        <w:ind w:hanging="10"/>
        <w:jc w:val="both"/>
        <w:rPr>
          <w:rFonts w:ascii="Verdana" w:hAnsi="Verdana"/>
        </w:rPr>
      </w:pPr>
      <w:r w:rsidRPr="005B5CB6">
        <w:rPr>
          <w:rFonts w:ascii="Verdana" w:eastAsia="Verdana" w:hAnsi="Verdana" w:cs="Verdana"/>
          <w:b/>
        </w:rPr>
        <w:t xml:space="preserve">What effect does online targeted advertising have on the political process, and what effects could it have in the future? Should there be additional regulation of political advertising?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It is important to recognise the distinction between political campaigning and election campaigning. Political campaigning can happen at any time with a wide variety of aims, including influencing public opinion or the decisions of politicians. Election campaigning is a sub-set of this, covering campaigns that are intended to influence how people vote. The spending rules only apply during a period of time ahead of a vote, known as the ‘regulated period’. We are responsible for ensuring compliance with these rules, but do not regulate wider political campaigning.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Some commentators have argued that political advertising should be regulated on a year-round basis. Such a move would require careful thought and scrutiny, in relation to free speech as well as the practicalities of enforcing the new rules.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Digital campaigning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Digital campaigning helps voters to receive campaign messages they’re interested in, but there’s the risk of anonymous UK campaigners and foreign entities using social media to try and influence voters. Additional regulation of election advertising is needed to make it more transparent. However, it needs to be proportionate so that it does not stifle open political debate. In our 2018 </w:t>
      </w:r>
      <w:r>
        <w:fldChar w:fldCharType="begin"/>
      </w:r>
      <w:r>
        <w:instrText xml:space="preserve"> HYPERLINK "https://www.electoralcommission.org.uk/who-we-are-and-what-we-do/changing-electoral-law/transparent-digital-campaigning/report-digital-campaigning-increasing-transparency-voters" </w:instrText>
      </w:r>
      <w:r>
        <w:fldChar w:fldCharType="separate"/>
      </w:r>
      <w:r w:rsidRPr="005B5CB6">
        <w:rPr>
          <w:rFonts w:ascii="Verdana" w:eastAsia="Verdana" w:hAnsi="Verdana" w:cs="Verdana"/>
          <w:u w:val="single" w:color="000000"/>
        </w:rPr>
        <w:t>Digital Campaigning</w:t>
      </w:r>
      <w:r>
        <w:fldChar w:fldCharType="end"/>
      </w:r>
      <w:r>
        <w:fldChar w:fldCharType="begin"/>
      </w:r>
      <w:r>
        <w:instrText xml:space="preserve"> HYPERLINK "https://www.electoralcommission.org.uk/who-we-are-and-what-we-do/changing-electoral-law/transparent-digital-campaigning/report-digital-campaigning-increasing-transparency-voters"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report, we made a number of recommendations to improve the regulation of digital campaigning. We include the main recommendations from that report below and any developments on them since its release.   </w:t>
      </w:r>
    </w:p>
    <w:p w:rsidR="00FB0B24" w:rsidRPr="005B5CB6" w:rsidP="001512F6">
      <w:pPr>
        <w:spacing w:after="246" w:line="250" w:lineRule="auto"/>
        <w:ind w:left="11" w:hanging="10"/>
        <w:jc w:val="both"/>
        <w:rPr>
          <w:rFonts w:ascii="Verdana" w:hAnsi="Verdana"/>
        </w:rPr>
      </w:pPr>
      <w:r w:rsidRPr="005B5CB6">
        <w:rPr>
          <w:rFonts w:ascii="Verdana" w:eastAsia="Verdana" w:hAnsi="Verdana" w:cs="Verdana"/>
          <w:b/>
        </w:rPr>
        <w:t xml:space="preserve">Imprints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Online campaign materials must be required to have an imprint stating who has created them, as is the case for printed material. An imprint is a short piece of </w:t>
      </w:r>
      <w:r w:rsidRPr="005B5CB6">
        <w:rPr>
          <w:rFonts w:ascii="Verdana" w:eastAsia="Verdana" w:hAnsi="Verdana" w:cs="Verdana"/>
        </w:rPr>
        <w:t>text on election material that identifies who is behind it. We are pleased that the UK Government</w:t>
      </w:r>
      <w:r>
        <w:fldChar w:fldCharType="begin"/>
      </w:r>
      <w:r>
        <w:instrText xml:space="preserve"> HYPERLINK "https://www.gov.uk/government/news/government-safeguards-uk-elections"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"https://www.gov.uk/government/news/government-safeguards-uk-elections" </w:instrText>
      </w:r>
      <w:r>
        <w:fldChar w:fldCharType="separate"/>
      </w:r>
      <w:r w:rsidRPr="005B5CB6">
        <w:rPr>
          <w:rFonts w:ascii="Verdana" w:eastAsia="Verdana" w:hAnsi="Verdana" w:cs="Verdana"/>
          <w:u w:val="single" w:color="000000"/>
        </w:rPr>
        <w:t>has committed</w:t>
      </w:r>
      <w:r>
        <w:fldChar w:fldCharType="end"/>
      </w:r>
      <w:r>
        <w:fldChar w:fldCharType="begin"/>
      </w:r>
      <w:r>
        <w:instrText xml:space="preserve"> HYPERLINK "https://www.gov.uk/government/news/government-safeguards-uk-elections"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to implementing a digital imprint requirement and to publish legislative proposals by the end of the year, and that a digital imprint requirement also features in the Referendums (Scotland) Bill. </w:t>
      </w:r>
    </w:p>
    <w:p w:rsidR="00FB0B24" w:rsidRPr="005B5CB6" w:rsidP="001512F6">
      <w:pPr>
        <w:spacing w:after="246" w:line="250" w:lineRule="auto"/>
        <w:ind w:left="11" w:hanging="10"/>
        <w:jc w:val="both"/>
        <w:rPr>
          <w:rFonts w:ascii="Verdana" w:hAnsi="Verdana"/>
        </w:rPr>
      </w:pPr>
      <w:r w:rsidRPr="005B5CB6">
        <w:rPr>
          <w:rFonts w:ascii="Verdana" w:eastAsia="Verdana" w:hAnsi="Verdana" w:cs="Verdana"/>
          <w:b/>
        </w:rPr>
        <w:t xml:space="preserve">Social media companies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The social media companies should continue to work with us to improve their political advertising policies, to label election and referendum adverts on their platforms, and make sure their political advert databases follow UK electoral law.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At the 2019 European Parliament election, Facebook, Twitter and Google voluntarily published advert libraries/reports for election advertising in accordance with the</w:t>
      </w:r>
      <w:r>
        <w:fldChar w:fldCharType="begin"/>
      </w:r>
      <w:r>
        <w:instrText xml:space="preserve"> HYPERLINK "https://europa.eu/rapid/press-release_STATEMENT-18-5914_en.htm"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"https://europa.eu/rapid/press-release_STATEMENT-18-5914_en.htm" </w:instrText>
      </w:r>
      <w:r>
        <w:fldChar w:fldCharType="separate"/>
      </w:r>
      <w:r w:rsidRPr="005B5CB6">
        <w:rPr>
          <w:rFonts w:ascii="Verdana" w:eastAsia="Verdana" w:hAnsi="Verdana" w:cs="Verdana"/>
          <w:u w:val="single" w:color="000000"/>
        </w:rPr>
        <w:t>EU Code of Practice on disinformation</w:t>
      </w:r>
      <w:r>
        <w:fldChar w:fldCharType="end"/>
      </w:r>
      <w:r>
        <w:fldChar w:fldCharType="begin"/>
      </w:r>
      <w:r>
        <w:instrText xml:space="preserve"> HYPERLINK "https://europa.eu/rapid/press-release_STATEMENT-18-5914_en.htm"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Facebook’s operates on a year-round basis. These advert libraries were a positive first step. We used them for our monitoring work and they made it easier to identify who was paying to advertise.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These companies included new advert labelling or ‘Paid for by’ disclaimers for some political advertising on their platforms and channels during the European Parliamentary election campaign. This made it easier to identify who was spending money to influence voters.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Social media companies that operate in the UK should continue to develop their advert policies and libraries, and ensure that they have them in place for the next set of national level elections or any future referendums in the UK, and thereafter. They should ensure that their election advertising policies fit the definitions of election campaigning in electoral law. This may need to become a legal requirement.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There should be a formal requirement for social media companies and other digital platforms to run these kinds of libraries and reports, which could be enforced as appropriate, possibly through the UK Government’s proposed </w:t>
      </w:r>
      <w:r>
        <w:fldChar w:fldCharType="begin"/>
      </w:r>
      <w:r>
        <w:instrText xml:space="preserve"> HYPERLINK "https://www.gov.uk/government/consultations/online-harms-white-paper" </w:instrText>
      </w:r>
      <w:r>
        <w:fldChar w:fldCharType="separate"/>
      </w:r>
      <w:r w:rsidRPr="005B5CB6">
        <w:rPr>
          <w:rFonts w:ascii="Verdana" w:eastAsia="Verdana" w:hAnsi="Verdana" w:cs="Verdana"/>
          <w:u w:val="single" w:color="000000"/>
        </w:rPr>
        <w:t>Online</w:t>
      </w:r>
      <w:r>
        <w:fldChar w:fldCharType="end"/>
      </w:r>
      <w:r>
        <w:fldChar w:fldCharType="begin"/>
      </w:r>
      <w:r>
        <w:instrText xml:space="preserve"> HYPERLINK "https://www.gov.uk/government/consultations/online-harms-white-paper"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"https://www.gov.uk/government/consultations/online-harms-white-paper" </w:instrText>
      </w:r>
      <w:r>
        <w:fldChar w:fldCharType="separate"/>
      </w:r>
      <w:r w:rsidRPr="005B5CB6">
        <w:rPr>
          <w:rFonts w:ascii="Verdana" w:eastAsia="Verdana" w:hAnsi="Verdana" w:cs="Verdana"/>
          <w:u w:val="single" w:color="000000"/>
        </w:rPr>
        <w:t>Harms regulator</w:t>
      </w:r>
      <w:r>
        <w:fldChar w:fldCharType="end"/>
      </w:r>
      <w:r>
        <w:fldChar w:fldCharType="begin"/>
      </w:r>
      <w:r>
        <w:instrText xml:space="preserve"> HYPERLINK "https://www.gov.uk/government/consultations/online-harms-white-paper"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The proposed online harms regime should set common standards and obligations for what the social media companies publish, including what is defined as political campaigning, and what information is required about how adverts are targeted.  </w:t>
      </w:r>
    </w:p>
    <w:p w:rsidR="00FB0B24" w:rsidRPr="005B5CB6" w:rsidP="001512F6">
      <w:pPr>
        <w:spacing w:after="246" w:line="250" w:lineRule="auto"/>
        <w:ind w:left="11" w:hanging="10"/>
        <w:jc w:val="both"/>
        <w:rPr>
          <w:rFonts w:ascii="Verdana" w:hAnsi="Verdana"/>
        </w:rPr>
      </w:pPr>
      <w:r w:rsidRPr="005B5CB6">
        <w:rPr>
          <w:rFonts w:ascii="Verdana" w:eastAsia="Verdana" w:hAnsi="Verdana" w:cs="Verdana"/>
          <w:b/>
        </w:rPr>
        <w:t xml:space="preserve">Other recommendations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The Commission’s investigatory and sanctioning powers should be strengthened to deter campaigners from breaking the rules: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We need further powers to obtain information from others, beyond those we regulate, where it is in the public interest to do so. That will allow us to deal with compliance issues in real time, and compel – for example, social media companies – to give us information about the source of an online campaign.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A higher maximum fine should be available for the most serious offences to act as an effective deterrent. As a benchmark a higher fine should be in line with the powers available to other UK regulators such as the ICO, which under the Privacy and Electronic Communications Regulations is able to impose a fine of £500,000.  </w:t>
      </w:r>
    </w:p>
    <w:p w:rsidR="00FB0B24" w:rsidRPr="005B5CB6" w:rsidP="00575F14">
      <w:pPr>
        <w:numPr>
          <w:ilvl w:val="0"/>
          <w:numId w:val="173"/>
        </w:numPr>
        <w:spacing w:after="247" w:line="250" w:lineRule="auto"/>
        <w:ind w:hanging="10"/>
        <w:jc w:val="both"/>
        <w:rPr>
          <w:rFonts w:ascii="Verdana" w:hAnsi="Verdana"/>
        </w:rPr>
      </w:pPr>
      <w:r w:rsidRPr="005B5CB6">
        <w:rPr>
          <w:rFonts w:ascii="Verdana" w:eastAsia="Verdana" w:hAnsi="Verdana" w:cs="Verdana"/>
          <w:b/>
        </w:rPr>
        <w:t xml:space="preserve">To what extent does increasing use of encrypted messaging and private groups present a challenge to the democratic process?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If campaigners are spending money on encrypted messages and election or referendum advertising in private groups, that spending must be declared to the Commission. Those messages should also appear in the social media companies’ advert libraries. However, we do not believe it would be appropriate to regulate private conversations about politics in messaging apps or private social media groups, any more than it would be our role to regulate private face-to-face political conversations. Exempting individuals expressing their personal political opinions online from any new rules requiring imprints on digital material should be considered.   </w:t>
      </w:r>
    </w:p>
    <w:p w:rsidR="00FB0B24" w:rsidRPr="005B5CB6" w:rsidP="00575F14">
      <w:pPr>
        <w:numPr>
          <w:ilvl w:val="0"/>
          <w:numId w:val="173"/>
        </w:numPr>
        <w:spacing w:after="247" w:line="250" w:lineRule="auto"/>
        <w:ind w:hanging="10"/>
        <w:jc w:val="both"/>
        <w:rPr>
          <w:rFonts w:ascii="Verdana" w:hAnsi="Verdana"/>
        </w:rPr>
      </w:pPr>
      <w:r w:rsidRPr="005B5CB6">
        <w:rPr>
          <w:rFonts w:ascii="Verdana" w:eastAsia="Verdana" w:hAnsi="Verdana" w:cs="Verdana"/>
          <w:b/>
        </w:rPr>
        <w:t xml:space="preserve">What are the positive or negative effects of anonymity on online democratic discourse?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Transparency is key to a healthy democracy. Anything that undermines transparency, such as anonymous campaigning, risks harm to the integrity of elections and voters’ confidence in the political system. We have included relevant recommendations, such as on digital imprints, elsewhere in this response.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Transparency around donations to political parties and campaigners is important, including the continued application of the permissibility rules. Some online services or cryptocurrencies – such as Facebook’s proposed Libra – may not enable campaigners to have a way of checking permissibility. If they can’t get enough information to check donations given this way, they shouldn’t use the service. </w:t>
      </w:r>
    </w:p>
    <w:p w:rsidR="00FB0B24" w:rsidRPr="005B5CB6" w:rsidP="00575F14">
      <w:pPr>
        <w:numPr>
          <w:ilvl w:val="0"/>
          <w:numId w:val="173"/>
        </w:numPr>
        <w:spacing w:after="248" w:line="249" w:lineRule="auto"/>
        <w:ind w:hanging="10"/>
        <w:jc w:val="both"/>
        <w:rPr>
          <w:rFonts w:ascii="Verdana" w:hAnsi="Verdana"/>
        </w:rPr>
      </w:pPr>
      <w:r w:rsidRPr="005B5CB6">
        <w:rPr>
          <w:rFonts w:ascii="Verdana" w:eastAsia="Verdana" w:hAnsi="Verdana" w:cs="Verdana"/>
          <w:b/>
        </w:rPr>
        <w:t xml:space="preserve">To what extent does social media negatively shape public debate, either through encouraging polarisation or through abuse deterring individuals from engaging in public life?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The Committee on Standards in Public Life has looked at the increasing intimidation of public figures and recommended that the Government consult on a new offence in electoral law of intimidating parliamentary candidates and party campaigners.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In</w:t>
      </w:r>
      <w:r>
        <w:fldChar w:fldCharType="begin"/>
      </w:r>
      <w:r>
        <w:instrText xml:space="preserve"> HYPERLINK "https://www.electoralcommission.org.uk/who-we-are-and-what-we-do/our-views-and-research/responses-consultations/response-uk-government-policy-consultation-protecting-debate"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"https://www.electoralcommission.org.uk/who-we-are-and-what-we-do/our-views-and-research/responses-consultations/response-uk-government-policy-consultation-protecting-debate" </w:instrText>
      </w:r>
      <w:r>
        <w:fldChar w:fldCharType="separate"/>
      </w:r>
      <w:r w:rsidRPr="005B5CB6">
        <w:rPr>
          <w:rFonts w:ascii="Verdana" w:eastAsia="Verdana" w:hAnsi="Verdana" w:cs="Verdana"/>
          <w:u w:val="single" w:color="000000"/>
        </w:rPr>
        <w:t>our response</w:t>
      </w:r>
      <w:r>
        <w:fldChar w:fldCharType="end"/>
      </w:r>
      <w:r>
        <w:fldChar w:fldCharType="begin"/>
      </w:r>
      <w:r>
        <w:instrText xml:space="preserve"> HYPERLINK "https://www.electoralcommission.org.uk/who-we-are-and-what-we-do/our-views-and-research/responses-consultations/response-uk-government-policy-consultation-protecting-debate"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to the</w:t>
      </w:r>
      <w:r>
        <w:fldChar w:fldCharType="begin"/>
      </w:r>
      <w:r>
        <w:instrText xml:space="preserve"> HYPERLINK "https://www.gov.uk/government/consultations/protecting-the-debate-intimidation-influence-and-information"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"https://www.gov.uk/government/consultations/protecting-the-debate-intimidation-influence-and-information" </w:instrText>
      </w:r>
      <w:r>
        <w:fldChar w:fldCharType="separate"/>
      </w:r>
      <w:r w:rsidRPr="005B5CB6">
        <w:rPr>
          <w:rFonts w:ascii="Verdana" w:eastAsia="Verdana" w:hAnsi="Verdana" w:cs="Verdana"/>
          <w:u w:val="single" w:color="000000"/>
        </w:rPr>
        <w:t>resulting consultation</w:t>
      </w:r>
      <w:r>
        <w:fldChar w:fldCharType="end"/>
      </w:r>
      <w:r>
        <w:fldChar w:fldCharType="begin"/>
      </w:r>
      <w:r>
        <w:instrText xml:space="preserve"> HYPERLINK "https://www.gov.uk/government/consultations/protecting-the-debate-intimidation-influence-and-information"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we agreed that allowing electoral sanctions to be applied as well as criminal sanctions could act as a strengthened deterrent against intimidation. We said that the Government should consider whether increasing the maximum sentence for serious offences relating to elections, as recommended by the UK’s Law Commissions, would also act as a strengthened deterrent against intimidation.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The UK Government has since announced its plans for a new electoral offence, including being banned from running for public office for 5 years. We will support work to ensure this offence is workable and proportionate.  </w:t>
      </w:r>
    </w:p>
    <w:p w:rsidR="00FB0B24" w:rsidRPr="005B5CB6" w:rsidP="00575F14">
      <w:pPr>
        <w:numPr>
          <w:ilvl w:val="0"/>
          <w:numId w:val="173"/>
        </w:numPr>
        <w:spacing w:after="248" w:line="249" w:lineRule="auto"/>
        <w:ind w:hanging="10"/>
        <w:jc w:val="both"/>
        <w:rPr>
          <w:rFonts w:ascii="Verdana" w:hAnsi="Verdana"/>
        </w:rPr>
      </w:pPr>
      <w:r w:rsidRPr="005B5CB6">
        <w:rPr>
          <w:rFonts w:ascii="Verdana" w:eastAsia="Verdana" w:hAnsi="Verdana" w:cs="Verdana"/>
          <w:b/>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There is the risk of bad actors using social media to try and disrupt elections and affect the outcome by depressing turnout. Voters in various countries have received messages telling them that polling day has changed. The big social media companies have created special teams before electoral events to combat such misinformation and do this in cooperation with election bodies like us. </w:t>
      </w:r>
    </w:p>
    <w:p w:rsidR="00FB0B24" w:rsidRPr="005B5CB6" w:rsidP="00575F14">
      <w:pPr>
        <w:numPr>
          <w:ilvl w:val="0"/>
          <w:numId w:val="173"/>
        </w:numPr>
        <w:spacing w:after="247" w:line="250" w:lineRule="auto"/>
        <w:ind w:hanging="10"/>
        <w:jc w:val="both"/>
        <w:rPr>
          <w:rFonts w:ascii="Verdana" w:hAnsi="Verdana"/>
        </w:rPr>
      </w:pPr>
      <w:r w:rsidRPr="005B5CB6">
        <w:rPr>
          <w:rFonts w:ascii="Verdana" w:eastAsia="Verdana" w:hAnsi="Verdana" w:cs="Verdana"/>
          <w:b/>
        </w:rPr>
        <w:t xml:space="preserve">What might be the best ways of reducing the effects of misinformation on social media platforms?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Improving digital literacy is an urgent priority for reducing the effects of misinformation, as noted in our answer to question 3. Imprints on digital campaign material will also help. They will allow voters to see who is trying to influence them so that they can make informed decisions about whether to trust particular sources. </w:t>
      </w:r>
    </w:p>
    <w:p w:rsidR="00FB0B24" w:rsidRPr="005B5CB6" w:rsidP="00575F14">
      <w:pPr>
        <w:numPr>
          <w:ilvl w:val="0"/>
          <w:numId w:val="173"/>
        </w:numPr>
        <w:spacing w:after="248" w:line="249" w:lineRule="auto"/>
        <w:ind w:hanging="10"/>
        <w:jc w:val="both"/>
        <w:rPr>
          <w:rFonts w:ascii="Verdana" w:hAnsi="Verdana"/>
        </w:rPr>
      </w:pPr>
      <w:r w:rsidRPr="005B5CB6">
        <w:rPr>
          <w:rFonts w:ascii="Verdana" w:eastAsia="Verdana" w:hAnsi="Verdana" w:cs="Verdana"/>
          <w:b/>
        </w:rPr>
        <w:t xml:space="preserve">How could the moderation processes of large technology companies be improved to better tackle abuse and misinformation, as well as helping public debate flourish?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Facebook, Google and Twitter introduced tools for users to report adverts that should have been labelled as political content but weren’t. In the future, the companies could make it clearer to users how to do this. </w:t>
      </w:r>
    </w:p>
    <w:p w:rsidR="00FB0B24" w:rsidRPr="005B5CB6" w:rsidP="00575F14">
      <w:pPr>
        <w:numPr>
          <w:ilvl w:val="0"/>
          <w:numId w:val="173"/>
        </w:numPr>
        <w:spacing w:after="248" w:line="249" w:lineRule="auto"/>
        <w:ind w:hanging="10"/>
        <w:jc w:val="both"/>
        <w:rPr>
          <w:rFonts w:ascii="Verdana" w:hAnsi="Verdana"/>
        </w:rPr>
      </w:pPr>
      <w:r w:rsidRPr="005B5CB6">
        <w:rPr>
          <w:rFonts w:ascii="Verdana" w:eastAsia="Verdana" w:hAnsi="Verdana" w:cs="Verdana"/>
          <w:b/>
        </w:rPr>
        <w:t xml:space="preserve">How could the Government better support the positive work of civil society organisations using technology to facilitate engagement with democratic processes?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Before elections and referendums, the Electoral Commission runs its own voter registration campaigns. We also partner with civil society organisations which want to promote voter registration to specific demographics. We would be happy to share our experiences and knowledge with the Committee and the UK’s governments.  </w:t>
      </w:r>
    </w:p>
    <w:p w:rsidR="00FB0B24" w:rsidRPr="005B5CB6" w:rsidP="00575F14">
      <w:pPr>
        <w:numPr>
          <w:ilvl w:val="0"/>
          <w:numId w:val="173"/>
        </w:numPr>
        <w:spacing w:after="248" w:line="249" w:lineRule="auto"/>
        <w:ind w:hanging="10"/>
        <w:jc w:val="both"/>
        <w:rPr>
          <w:rFonts w:ascii="Verdana" w:hAnsi="Verdana"/>
        </w:rPr>
      </w:pPr>
      <w:r w:rsidRPr="005B5CB6">
        <w:rPr>
          <w:rFonts w:ascii="Verdana" w:eastAsia="Verdana" w:hAnsi="Verdana" w:cs="Verdana"/>
          <w:b/>
        </w:rPr>
        <w:t xml:space="preserve">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Being registered to vote is a key foundation of democratic engagement. We recently published</w:t>
      </w:r>
      <w:r>
        <w:fldChar w:fldCharType="begin"/>
      </w:r>
      <w:r>
        <w:instrText xml:space="preserve"> HYPERLINK "https://www.electoralcommission.org.uk/who-we-are-and-what-we-do/changing-electoral-law/a-modern-electoral-register/modernising-electoral-registration-feasibility-studies"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"https://www.electoralcommission.org.uk/who-we-are-and-what-we-do/changing-electoral-law/a-modern-electoral-register/modernising-electoral-registration-feasibility-studies" </w:instrText>
      </w:r>
      <w:r>
        <w:fldChar w:fldCharType="separate"/>
      </w:r>
      <w:r w:rsidRPr="005B5CB6">
        <w:rPr>
          <w:rFonts w:ascii="Verdana" w:eastAsia="Verdana" w:hAnsi="Verdana" w:cs="Verdana"/>
          <w:u w:val="single" w:color="000000"/>
        </w:rPr>
        <w:t>the findings of feasibility studies</w:t>
      </w:r>
      <w:r>
        <w:fldChar w:fldCharType="end"/>
      </w:r>
      <w:r>
        <w:fldChar w:fldCharType="begin"/>
      </w:r>
      <w:r>
        <w:instrText xml:space="preserve"> HYPERLINK "https://www.electoralcommission.org.uk/who-we-are-and-what-we-do/changing-electoral-law/a-modern-electoral-register/modernising-electoral-registration-feasibility-studies"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about reforming the process for registering voters. They examined the potential for using technology to improve the system, and found that these reforms were feasible and could be implemented without radically changing the way electoral registration works in the UK. </w:t>
      </w:r>
    </w:p>
    <w:p w:rsidR="00FB0B24" w:rsidRPr="005B5CB6" w:rsidP="001512F6">
      <w:pPr>
        <w:spacing w:after="247" w:line="250" w:lineRule="auto"/>
        <w:ind w:left="11" w:hanging="10"/>
        <w:jc w:val="both"/>
        <w:rPr>
          <w:rFonts w:ascii="Verdana" w:hAnsi="Verdana"/>
        </w:rPr>
      </w:pPr>
      <w:r w:rsidRPr="005B5CB6">
        <w:rPr>
          <w:rFonts w:ascii="Verdana" w:eastAsia="Verdana" w:hAnsi="Verdana" w:cs="Verdana"/>
          <w:b/>
        </w:rPr>
        <w:t xml:space="preserve">What positive examples are there of technology being used to enhance democracy?  </w:t>
      </w:r>
    </w:p>
    <w:p w:rsidR="00FB0B24" w:rsidRPr="005B5CB6" w:rsidP="001512F6">
      <w:pPr>
        <w:spacing w:after="247" w:line="250" w:lineRule="auto"/>
        <w:ind w:left="23" w:right="11" w:hanging="8"/>
        <w:jc w:val="both"/>
        <w:rPr>
          <w:rFonts w:ascii="Verdana" w:hAnsi="Verdana"/>
        </w:rPr>
      </w:pPr>
      <w:r w:rsidRPr="005B5CB6">
        <w:rPr>
          <w:rFonts w:ascii="Verdana" w:eastAsia="Verdana" w:hAnsi="Verdana" w:cs="Verdana"/>
        </w:rPr>
        <w:t xml:space="preserve"> Please see our answer to the first question.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D20189">
          <w:headerReference w:type="even" r:id="rId280"/>
          <w:headerReference w:type="default" r:id="rId281"/>
          <w:footerReference w:type="even" r:id="rId282"/>
          <w:footerReference w:type="default" r:id="rId283"/>
          <w:headerReference w:type="first" r:id="rId284"/>
          <w:footerReference w:type="first" r:id="rId285"/>
          <w:pgSz w:w="11906" w:h="16838"/>
          <w:pgMar w:top="1514" w:right="1448" w:bottom="398" w:left="1440" w:header="720" w:footer="398" w:gutter="0"/>
          <w:cols w:space="720"/>
          <w:titlePg/>
        </w:sectPr>
      </w:pPr>
    </w:p>
    <w:p w:rsidR="00FB0B24" w:rsidRPr="005B5CB6" w:rsidP="00A1624B">
      <w:pPr>
        <w:pStyle w:val="Heading1"/>
        <w:rPr>
          <w:sz w:val="22"/>
        </w:rPr>
      </w:pPr>
      <w:bookmarkStart w:id="50" w:name="_Toc44517738"/>
      <w:r w:rsidRPr="005B5CB6">
        <w:rPr>
          <w:sz w:val="22"/>
        </w:rPr>
        <w:t>Dr Felipe Romero-Moreno – written evidence (DAD0059)</w:t>
      </w:r>
      <w:bookmarkEnd w:id="50"/>
      <w:r w:rsidRPr="005B5CB6">
        <w:rPr>
          <w:sz w:val="22"/>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General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 w:line="250" w:lineRule="auto"/>
        <w:ind w:hanging="360"/>
        <w:jc w:val="both"/>
        <w:rPr>
          <w:rFonts w:ascii="Verdana" w:hAnsi="Verdana"/>
        </w:rPr>
      </w:pPr>
      <w:r w:rsidRPr="005B5CB6">
        <w:rPr>
          <w:rFonts w:ascii="Verdana" w:eastAsia="Verdana" w:hAnsi="Verdana" w:cs="Verdana"/>
          <w:b/>
        </w:rPr>
        <w:t xml:space="preserve">How has digital technology changed the way that democracy works in the UK and has this been a net positive or negative effect?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1"/>
          <w:numId w:val="174"/>
        </w:numPr>
        <w:spacing w:after="5" w:line="249" w:lineRule="auto"/>
        <w:ind w:right="12" w:hanging="10"/>
        <w:jc w:val="both"/>
        <w:rPr>
          <w:rFonts w:ascii="Verdana" w:hAnsi="Verdana"/>
        </w:rPr>
      </w:pPr>
      <w:r w:rsidRPr="005B5CB6">
        <w:rPr>
          <w:rFonts w:ascii="Verdana" w:eastAsia="Verdana" w:hAnsi="Verdana" w:cs="Verdana"/>
        </w:rPr>
        <w:t>The democratization of information and the way in which user data is weaponized by social media platforms, has permitted hostile players to exert excessive power over the public interest.</w:t>
      </w:r>
      <w:r>
        <w:rPr>
          <w:rFonts w:ascii="Verdana" w:eastAsia="Verdana" w:hAnsi="Verdana" w:cs="Verdana"/>
          <w:vertAlign w:val="superscript"/>
        </w:rPr>
        <w:footnoteReference w:id="256"/>
      </w:r>
      <w:r w:rsidRPr="005B5CB6">
        <w:rPr>
          <w:rFonts w:ascii="Verdana" w:eastAsia="Verdana" w:hAnsi="Verdana" w:cs="Verdana"/>
        </w:rPr>
        <w:t xml:space="preserve"> If this is not tackled, there is an actual threat of cross-contamination among all sources, with public confidence and trust in society decreasing further, whatever the news source or its dissemination platform. As the situation worsens, simple allegations will hamper the accuracy of facts that are real.</w:t>
      </w:r>
      <w:r>
        <w:rPr>
          <w:rFonts w:ascii="Verdana" w:eastAsia="Verdana" w:hAnsi="Verdana" w:cs="Verdana"/>
          <w:vertAlign w:val="superscript"/>
        </w:rPr>
        <w:footnoteReference w:id="257"/>
      </w:r>
      <w:r w:rsidRPr="005B5CB6">
        <w:rPr>
          <w:rFonts w:ascii="Verdana" w:eastAsia="Verdana" w:hAnsi="Verdana" w:cs="Verdana"/>
        </w:rPr>
        <w:t xml:space="preserve"> Indeed, the UK government regards this problem as ‘fourth generation espionage’.</w:t>
      </w:r>
      <w:r>
        <w:rPr>
          <w:rFonts w:ascii="Verdana" w:eastAsia="Verdana" w:hAnsi="Verdana" w:cs="Verdana"/>
          <w:vertAlign w:val="superscript"/>
        </w:rPr>
        <w:footnoteReference w:id="258"/>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 w:line="250" w:lineRule="auto"/>
        <w:ind w:hanging="360"/>
        <w:jc w:val="both"/>
        <w:rPr>
          <w:rFonts w:ascii="Verdana" w:hAnsi="Verdana"/>
        </w:rPr>
      </w:pPr>
      <w:r w:rsidRPr="005B5CB6">
        <w:rPr>
          <w:rFonts w:ascii="Verdana" w:eastAsia="Verdana" w:hAnsi="Verdana" w:cs="Verdana"/>
          <w:b/>
        </w:rPr>
        <w:t xml:space="preserve">How have the design of algorithms used by social media platforms shaped democratic debate? To what extent should there be greater accountability for the design of these algorithms?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174"/>
        </w:numPr>
        <w:spacing w:after="5" w:line="249" w:lineRule="auto"/>
        <w:ind w:right="12" w:hanging="10"/>
        <w:jc w:val="both"/>
        <w:rPr>
          <w:rFonts w:ascii="Verdana" w:hAnsi="Verdana"/>
        </w:rPr>
      </w:pPr>
      <w:r w:rsidRPr="005B5CB6">
        <w:rPr>
          <w:rFonts w:ascii="Verdana" w:eastAsia="Verdana" w:hAnsi="Verdana" w:cs="Verdana"/>
        </w:rPr>
        <w:t>In 2017 in the US over 125 million people were specifically targeted using ‘divisive’ information such as, ads and messages coming from cloned accounts.</w:t>
      </w:r>
      <w:r>
        <w:rPr>
          <w:rFonts w:ascii="Verdana" w:eastAsia="Verdana" w:hAnsi="Verdana" w:cs="Verdana"/>
          <w:vertAlign w:val="superscript"/>
        </w:rPr>
        <w:footnoteReference w:id="259"/>
      </w:r>
      <w:r w:rsidRPr="005B5CB6">
        <w:rPr>
          <w:rFonts w:ascii="Verdana" w:eastAsia="Verdana" w:hAnsi="Verdana" w:cs="Verdana"/>
        </w:rPr>
        <w:t xml:space="preserve"> In 2018 the Facebook-Cambridge Analytica scandal also revealed unlawful access to, and data use, from 50 million Facebook profiles, affecting both the US presidential election and the Brexit referendum.</w:t>
      </w:r>
      <w:r w:rsidRPr="005B5CB6">
        <w:rPr>
          <w:rFonts w:ascii="Verdana" w:eastAsia="Verdana" w:hAnsi="Verdana" w:cs="Verdana"/>
          <w:vertAlign w:val="superscript"/>
        </w:rPr>
        <w:t>5</w:t>
      </w:r>
      <w:r w:rsidRPr="005B5CB6">
        <w:rPr>
          <w:rFonts w:ascii="Verdana" w:eastAsia="Verdana" w:hAnsi="Verdana" w:cs="Verdana"/>
        </w:rPr>
        <w:t xml:space="preserve"> In terms of accountability, individual States should ensure that human rights are essential to corporate design, use and adoption of algorithms, requiring companies to conduct impact assessments and AI audits, as well as guaranteeing adequate external accountability processes.</w:t>
      </w:r>
      <w:r w:rsidRPr="005B5CB6">
        <w:rPr>
          <w:rFonts w:ascii="Verdana" w:eastAsia="Verdana" w:hAnsi="Verdana" w:cs="Verdana"/>
          <w:vertAlign w:val="superscript"/>
        </w:rPr>
        <w:t>6</w:t>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Education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 w:line="250" w:lineRule="auto"/>
        <w:ind w:hanging="360"/>
        <w:jc w:val="both"/>
        <w:rPr>
          <w:rFonts w:ascii="Verdana" w:hAnsi="Verdana"/>
        </w:rPr>
      </w:pPr>
      <w:r w:rsidRPr="005B5CB6">
        <w:rPr>
          <w:rFonts w:ascii="Verdana" w:eastAsia="Verdana" w:hAnsi="Verdana" w:cs="Verdana"/>
          <w:b/>
        </w:rPr>
        <w:t xml:space="preserve">What role should every stage of education play in helping to create a healthy, active, digitally literate democracy?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1"/>
          <w:numId w:val="174"/>
        </w:numPr>
        <w:spacing w:after="203" w:line="249" w:lineRule="auto"/>
        <w:ind w:right="12" w:hanging="10"/>
        <w:jc w:val="both"/>
        <w:rPr>
          <w:rFonts w:ascii="Verdana" w:hAnsi="Verdana"/>
        </w:rPr>
      </w:pPr>
      <w:r w:rsidRPr="005B5CB6">
        <w:rPr>
          <w:rFonts w:ascii="Verdana" w:eastAsia="Verdana" w:hAnsi="Verdana" w:cs="Verdana"/>
        </w:rPr>
        <w:t xml:space="preserve">Algorithm transparency does not have to be complex, since even refined accounts of policies, reasons, outputs and inputs of AI can </w:t>
      </w:r>
      <w:r w:rsidRPr="005B5CB6">
        <w:rPr>
          <w:rFonts w:ascii="Verdana" w:eastAsia="Verdana" w:hAnsi="Verdana" w:cs="Verdana"/>
        </w:rPr>
        <w:t xml:space="preserve">contribute to efforts in the increase public of education and debate, through technology at every stage. Rather than struggling with the onerous task of making convoluted algorithmic systems comprehensible to the public, corporations should attempt to promote transparency without demanding technical skills in AI procedures. Thus, the focus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7394" name="Group 56739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063" name="Shape 63606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65" style="height:0.72pt;mso-position-horizontal-relative:char;mso-position-vertical-relative:line;width:2in" coordsize="18288,91">
                <v:shape id="_x0000_s1266"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should be upon educating users about an AI’s rationale, nature, presence and effect, instead of scrutinizing the training data, source code, outputs and inputs.</w:t>
      </w:r>
      <w:r>
        <w:rPr>
          <w:rFonts w:ascii="Verdana" w:eastAsia="Verdana" w:hAnsi="Verdana" w:cs="Verdana"/>
          <w:vertAlign w:val="superscript"/>
        </w:rPr>
        <w:footnoteReference w:id="260"/>
      </w:r>
      <w:r w:rsidRPr="005B5CB6">
        <w:rPr>
          <w:rFonts w:ascii="Verdana" w:eastAsia="Verdana" w:hAnsi="Verdana" w:cs="Verdana"/>
          <w:i/>
        </w:rPr>
        <w:t xml:space="preserve"> </w:t>
      </w:r>
      <w:r w:rsidRPr="005B5CB6">
        <w:rPr>
          <w:rFonts w:ascii="Verdana" w:eastAsia="Verdana" w:hAnsi="Verdana" w:cs="Verdana"/>
        </w:rPr>
        <w:t>Moreover, aggregate data showing trends in the display of information should also be accessible for users to examine, along with case studies, which exemplify why specific information is displayed first in favour of other information, and education on political profiling. Additionally, companies should also ensure that users are wholly informed about how AI decision-making can affect them, for instance, through education campaigns, just-in-time notices, and other ways to signal whether AI technology is shaping an individual’s enjoyment of a site, service or platform.</w:t>
      </w:r>
      <w:r>
        <w:rPr>
          <w:rFonts w:ascii="Verdana" w:eastAsia="Verdana" w:hAnsi="Verdana" w:cs="Verdana"/>
          <w:vertAlign w:val="superscript"/>
        </w:rPr>
        <w:footnoteReference w:id="261"/>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Online campaigning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 w:line="250" w:lineRule="auto"/>
        <w:ind w:hanging="360"/>
        <w:jc w:val="both"/>
        <w:rPr>
          <w:rFonts w:ascii="Verdana" w:hAnsi="Verdana"/>
        </w:rPr>
      </w:pPr>
      <w:r w:rsidRPr="005B5CB6">
        <w:rPr>
          <w:rFonts w:ascii="Verdana" w:eastAsia="Verdana" w:hAnsi="Verdana" w:cs="Verdana"/>
          <w:b/>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174"/>
        </w:numPr>
        <w:spacing w:after="5" w:line="249" w:lineRule="auto"/>
        <w:ind w:right="12" w:hanging="10"/>
        <w:jc w:val="both"/>
        <w:rPr>
          <w:rFonts w:ascii="Verdana" w:hAnsi="Verdana"/>
        </w:rPr>
      </w:pPr>
      <w:r w:rsidRPr="005B5CB6">
        <w:rPr>
          <w:rFonts w:ascii="Verdana" w:eastAsia="Verdana" w:hAnsi="Verdana" w:cs="Verdana"/>
        </w:rPr>
        <w:t>Reports handed in by political groups specifying their campaign spending and electoral authorities’ investigations, could offer vital information to the data protection authorities, concerning political campaigns data gathering and processing practices. Notably, this might also feed into the compatibility assessment with the GDPR, including transparency, accountability, legality and fairness of data processing. Thus, all State authorities and regulators involved must understand to what extent political groups carry out user targeting and profiling, what sources of personal data are utilized, and what profiling and targeting techniques are deployed.</w:t>
      </w:r>
      <w:r>
        <w:rPr>
          <w:rFonts w:ascii="Verdana" w:eastAsia="Verdana" w:hAnsi="Verdana" w:cs="Verdana"/>
          <w:vertAlign w:val="superscript"/>
        </w:rPr>
        <w:footnoteReference w:id="262"/>
      </w: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 w:line="250" w:lineRule="auto"/>
        <w:ind w:hanging="360"/>
        <w:jc w:val="both"/>
        <w:rPr>
          <w:rFonts w:ascii="Verdana" w:hAnsi="Verdana"/>
        </w:rPr>
      </w:pPr>
      <w:r w:rsidRPr="005B5CB6">
        <w:rPr>
          <w:rFonts w:ascii="Verdana" w:eastAsia="Verdana" w:hAnsi="Verdana" w:cs="Verdana"/>
          <w:b/>
        </w:rPr>
        <w:t xml:space="preserve">What effect does online targeted advertising have on the political process, and what effects could it have in the future? Should there be additional regulation of political advertising?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1"/>
          <w:numId w:val="174"/>
        </w:numPr>
        <w:spacing w:after="31" w:line="249" w:lineRule="auto"/>
        <w:ind w:right="12" w:hanging="10"/>
        <w:jc w:val="both"/>
        <w:rPr>
          <w:rFonts w:ascii="Verdana" w:hAnsi="Verdana"/>
        </w:rPr>
      </w:pPr>
      <w:r w:rsidRPr="005B5CB6">
        <w:rPr>
          <w:rFonts w:ascii="Verdana" w:eastAsia="Verdana" w:hAnsi="Verdana" w:cs="Verdana"/>
        </w:rPr>
        <w:t xml:space="preserve">Of significant concern is the fact that technology such as, Deep Packet Inspection (DPI), which is essential for micro-targeted advertising, also enables the </w:t>
      </w:r>
      <w:r w:rsidRPr="005B5CB6">
        <w:rPr>
          <w:rFonts w:ascii="Verdana" w:eastAsia="Verdana" w:hAnsi="Verdana" w:cs="Verdana"/>
          <w:i/>
          <w:u w:val="single" w:color="000000"/>
        </w:rPr>
        <w:t>modification of internet content</w:t>
      </w:r>
      <w:r w:rsidRPr="005B5CB6">
        <w:rPr>
          <w:rFonts w:ascii="Verdana" w:eastAsia="Verdana" w:hAnsi="Verdana" w:cs="Verdana"/>
        </w:rPr>
        <w:t xml:space="preserve"> as it passes through the network. Yet, while packet modification has been used for behavioural advertising,</w:t>
      </w:r>
      <w:r>
        <w:rPr>
          <w:rFonts w:ascii="Verdana" w:eastAsia="Verdana" w:hAnsi="Verdana" w:cs="Verdana"/>
          <w:vertAlign w:val="superscript"/>
        </w:rPr>
        <w:footnoteReference w:id="263"/>
      </w:r>
      <w:r w:rsidRPr="005B5CB6">
        <w:rPr>
          <w:rFonts w:ascii="Verdana" w:eastAsia="Verdana" w:hAnsi="Verdana" w:cs="Verdana"/>
        </w:rPr>
        <w:t xml:space="preserve"> worryingly, in the future, this DPI feature could also result in a political party’s or contender’s website, manipulating its content according to the established user political leanings.</w:t>
      </w:r>
      <w:r>
        <w:rPr>
          <w:rFonts w:ascii="Verdana" w:eastAsia="Verdana" w:hAnsi="Verdana" w:cs="Verdana"/>
          <w:vertAlign w:val="superscript"/>
        </w:rPr>
        <w:footnoteReference w:id="264"/>
      </w:r>
      <w:r w:rsidRPr="005B5CB6">
        <w:rPr>
          <w:rFonts w:ascii="Verdana" w:eastAsia="Verdana" w:hAnsi="Verdana" w:cs="Verdana"/>
        </w:rPr>
        <w:t xml:space="preserve"> Thus, part of the solution to the manipulation problem is to properly enforce existing GDPR provisions along with rules for media pluralism and elections.</w:t>
      </w:r>
      <w:r w:rsidRPr="005B5CB6">
        <w:rPr>
          <w:rFonts w:ascii="Verdana" w:eastAsia="Verdana" w:hAnsi="Verdana" w:cs="Verdana"/>
          <w:vertAlign w:val="superscript"/>
        </w:rPr>
        <w:t>12</w:t>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6777" name="Group 56677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069" name="Shape 63606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67" style="height:0.72pt;mso-position-horizontal-relative:char;mso-position-vertical-relative:line;width:2in" coordsize="18288,91">
                <v:shape id="_x0000_s126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Privacy and anonymity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 w:line="250" w:lineRule="auto"/>
        <w:ind w:hanging="360"/>
        <w:jc w:val="both"/>
        <w:rPr>
          <w:rFonts w:ascii="Verdana" w:hAnsi="Verdana"/>
        </w:rPr>
      </w:pPr>
      <w:r w:rsidRPr="005B5CB6">
        <w:rPr>
          <w:rFonts w:ascii="Verdana" w:eastAsia="Verdana" w:hAnsi="Verdana" w:cs="Verdana"/>
          <w:b/>
        </w:rPr>
        <w:t xml:space="preserve">To what extent does increasing use of encrypted messaging and private groups present a challenge to the democratic process?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1"/>
          <w:numId w:val="174"/>
        </w:numPr>
        <w:spacing w:after="269" w:line="249" w:lineRule="auto"/>
        <w:ind w:right="12" w:hanging="10"/>
        <w:jc w:val="both"/>
        <w:rPr>
          <w:rFonts w:ascii="Verdana" w:hAnsi="Verdana"/>
        </w:rPr>
      </w:pPr>
      <w:r w:rsidRPr="005B5CB6">
        <w:rPr>
          <w:rFonts w:ascii="Verdana" w:eastAsia="Verdana" w:hAnsi="Verdana" w:cs="Verdana"/>
        </w:rPr>
        <w:t>In recent years, user privacy and anonymity are playing an increasingly important role in preserving democracy, and encrypted communication apps such as WhatsApp, Telegram or Signal, alongside private groups like Chatcrypt,</w:t>
      </w:r>
      <w:r>
        <w:rPr>
          <w:rFonts w:ascii="Verdana" w:eastAsia="Verdana" w:hAnsi="Verdana" w:cs="Verdana"/>
          <w:vertAlign w:val="superscript"/>
        </w:rPr>
        <w:footnoteReference w:id="265"/>
      </w:r>
      <w:r w:rsidRPr="005B5CB6">
        <w:rPr>
          <w:rFonts w:ascii="Verdana" w:eastAsia="Verdana" w:hAnsi="Verdana" w:cs="Verdana"/>
        </w:rPr>
        <w:t xml:space="preserve"> are just one of the techniques users can rely upon to better safeguard not only their personal data, but also themselves.</w:t>
      </w:r>
      <w:r>
        <w:rPr>
          <w:rFonts w:ascii="Verdana" w:eastAsia="Verdana" w:hAnsi="Verdana" w:cs="Verdana"/>
          <w:vertAlign w:val="superscript"/>
        </w:rPr>
        <w:footnoteReference w:id="266"/>
      </w:r>
      <w:r w:rsidRPr="005B5CB6">
        <w:rPr>
          <w:rFonts w:ascii="Verdana" w:eastAsia="Verdana" w:hAnsi="Verdana" w:cs="Verdana"/>
        </w:rPr>
        <w:t xml:space="preserve"> As Google explains, HTTPS connections protect against man-in-the-middle attacks, snoopers and criminals</w:t>
      </w:r>
      <w:r w:rsidRPr="005B5CB6">
        <w:rPr>
          <w:rFonts w:ascii="Verdana" w:eastAsia="Verdana" w:hAnsi="Verdana" w:cs="Verdana"/>
          <w:i/>
        </w:rPr>
        <w:t xml:space="preserve"> </w:t>
      </w:r>
      <w:r w:rsidRPr="005B5CB6">
        <w:rPr>
          <w:rFonts w:ascii="Verdana" w:eastAsia="Verdana" w:hAnsi="Verdana" w:cs="Verdana"/>
        </w:rPr>
        <w:t>who try to deceive a trusted site. End-to-end encryption specifically prevents interception of user data and protects the integrity of content, which is communicated and received.</w:t>
      </w:r>
      <w:r>
        <w:rPr>
          <w:rFonts w:ascii="Verdana" w:eastAsia="Verdana" w:hAnsi="Verdana" w:cs="Verdana"/>
          <w:vertAlign w:val="superscript"/>
        </w:rPr>
        <w:footnoteReference w:id="267"/>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 w:line="250" w:lineRule="auto"/>
        <w:ind w:hanging="360"/>
        <w:jc w:val="both"/>
        <w:rPr>
          <w:rFonts w:ascii="Verdana" w:hAnsi="Verdana"/>
        </w:rPr>
      </w:pPr>
      <w:r w:rsidRPr="005B5CB6">
        <w:rPr>
          <w:rFonts w:ascii="Verdana" w:eastAsia="Verdana" w:hAnsi="Verdana" w:cs="Verdana"/>
          <w:b/>
        </w:rPr>
        <w:t xml:space="preserve">What are the positive or negative effects of anonymity on online democratic discourse?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1"/>
          <w:numId w:val="174"/>
        </w:numPr>
        <w:spacing w:after="27" w:line="249" w:lineRule="auto"/>
        <w:ind w:right="12" w:hanging="10"/>
        <w:jc w:val="both"/>
        <w:rPr>
          <w:rFonts w:ascii="Verdana" w:hAnsi="Verdana"/>
        </w:rPr>
      </w:pPr>
      <w:r w:rsidRPr="005B5CB6">
        <w:rPr>
          <w:rFonts w:ascii="Verdana" w:eastAsia="Verdana" w:hAnsi="Verdana" w:cs="Verdana"/>
        </w:rPr>
        <w:t>On the one hand, anonymity and encryption, which are</w:t>
      </w:r>
      <w:r w:rsidRPr="005B5CB6">
        <w:rPr>
          <w:rFonts w:ascii="Verdana" w:eastAsia="Verdana" w:hAnsi="Verdana" w:cs="Verdana"/>
          <w:i/>
        </w:rPr>
        <w:t xml:space="preserve"> </w:t>
      </w:r>
      <w:r w:rsidRPr="005B5CB6">
        <w:rPr>
          <w:rFonts w:ascii="Verdana" w:eastAsia="Verdana" w:hAnsi="Verdana" w:cs="Verdana"/>
        </w:rPr>
        <w:t>fundamental aspects of security, offer everyone</w:t>
      </w:r>
      <w:r w:rsidRPr="005B5CB6">
        <w:rPr>
          <w:rFonts w:ascii="Verdana" w:eastAsia="Verdana" w:hAnsi="Verdana" w:cs="Verdana"/>
          <w:i/>
        </w:rPr>
        <w:t xml:space="preserve"> </w:t>
      </w:r>
      <w:r w:rsidRPr="005B5CB6">
        <w:rPr>
          <w:rFonts w:ascii="Verdana" w:eastAsia="Verdana" w:hAnsi="Verdana" w:cs="Verdana"/>
        </w:rPr>
        <w:t>a mechanism for safeguarding their privacy, enabling them to search, learn, develop and exchange views and</w:t>
      </w:r>
      <w:r w:rsidRPr="005B5CB6">
        <w:rPr>
          <w:rFonts w:ascii="Verdana" w:eastAsia="Verdana" w:hAnsi="Verdana" w:cs="Verdana"/>
          <w:i/>
        </w:rPr>
        <w:t xml:space="preserve"> </w:t>
      </w:r>
      <w:r w:rsidRPr="005B5CB6">
        <w:rPr>
          <w:rFonts w:ascii="Verdana" w:eastAsia="Verdana" w:hAnsi="Verdana" w:cs="Verdana"/>
        </w:rPr>
        <w:t>content without restricting the right to freedom of expression. Intelligence services and law enforcement authorities, on the other, frequently claim that encrypted or</w:t>
      </w:r>
      <w:r w:rsidRPr="005B5CB6">
        <w:rPr>
          <w:rFonts w:ascii="Verdana" w:eastAsia="Verdana" w:hAnsi="Verdana" w:cs="Verdana"/>
          <w:i/>
        </w:rPr>
        <w:t xml:space="preserve"> </w:t>
      </w:r>
      <w:r w:rsidRPr="005B5CB6">
        <w:rPr>
          <w:rFonts w:ascii="Verdana" w:eastAsia="Verdana" w:hAnsi="Verdana" w:cs="Verdana"/>
        </w:rPr>
        <w:t>anonymous information exchange make it hard to scrutinize drug dealing,</w:t>
      </w:r>
      <w:r w:rsidRPr="005B5CB6">
        <w:rPr>
          <w:rFonts w:ascii="Verdana" w:eastAsia="Verdana" w:hAnsi="Verdana" w:cs="Verdana"/>
          <w:i/>
        </w:rPr>
        <w:t xml:space="preserve"> </w:t>
      </w:r>
      <w:r w:rsidRPr="005B5CB6">
        <w:rPr>
          <w:rFonts w:ascii="Verdana" w:eastAsia="Verdana" w:hAnsi="Verdana" w:cs="Verdana"/>
        </w:rPr>
        <w:t xml:space="preserve">economic crimes, terrorism and child sexual abuse. Moreover, individuals also raise valid concerns </w:t>
      </w:r>
      <w:r w:rsidRPr="005B5CB6">
        <w:rPr>
          <w:rFonts w:ascii="Verdana" w:eastAsia="Verdana" w:hAnsi="Verdana" w:cs="Verdana"/>
        </w:rPr>
        <w:t>regarding how offenders and bullies deploy modern technology to carry out harassment.</w:t>
      </w:r>
      <w:r>
        <w:rPr>
          <w:rFonts w:ascii="Verdana" w:eastAsia="Verdana" w:hAnsi="Verdana" w:cs="Verdana"/>
          <w:vertAlign w:val="superscript"/>
        </w:rPr>
        <w:footnoteReference w:id="268"/>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Democratic debate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 w:line="250" w:lineRule="auto"/>
        <w:ind w:hanging="360"/>
        <w:jc w:val="both"/>
        <w:rPr>
          <w:rFonts w:ascii="Verdana" w:hAnsi="Verdana"/>
        </w:rPr>
      </w:pPr>
      <w:r w:rsidRPr="005B5CB6">
        <w:rPr>
          <w:rFonts w:ascii="Verdana" w:eastAsia="Verdana" w:hAnsi="Verdana" w:cs="Verdana"/>
          <w:b/>
        </w:rPr>
        <w:t xml:space="preserve">To what extent does social media negatively shape public debate, either through encouraging polarisation or through abuse deterring individuals from engaging in public life?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1"/>
          <w:numId w:val="174"/>
        </w:numPr>
        <w:spacing w:after="258" w:line="249" w:lineRule="auto"/>
        <w:ind w:right="12" w:hanging="10"/>
        <w:jc w:val="both"/>
        <w:rPr>
          <w:rFonts w:ascii="Verdana" w:hAnsi="Verdana"/>
        </w:rPr>
      </w:pPr>
      <w:r w:rsidRPr="005B5CB6">
        <w:rPr>
          <w:rFonts w:ascii="Verdana" w:eastAsia="Verdana" w:hAnsi="Verdana" w:cs="Verdana"/>
        </w:rPr>
        <w:t>The problem of utilizing personal data and content to manipulate politics and individuals,</w:t>
      </w:r>
      <w:r w:rsidRPr="005B5CB6">
        <w:rPr>
          <w:rFonts w:ascii="Verdana" w:eastAsia="Verdana" w:hAnsi="Verdana" w:cs="Verdana"/>
          <w:i/>
        </w:rPr>
        <w:t xml:space="preserve"> </w:t>
      </w:r>
      <w:r w:rsidRPr="005B5CB6">
        <w:rPr>
          <w:rFonts w:ascii="Verdana" w:eastAsia="Verdana" w:hAnsi="Verdana" w:cs="Verdana"/>
        </w:rPr>
        <w:t>obviously surpasses</w:t>
      </w:r>
      <w:r w:rsidRPr="005B5CB6">
        <w:rPr>
          <w:rFonts w:ascii="Verdana" w:eastAsia="Verdana" w:hAnsi="Verdana" w:cs="Verdana"/>
          <w:i/>
        </w:rPr>
        <w:t xml:space="preserve"> </w:t>
      </w:r>
      <w:r w:rsidRPr="005B5CB6">
        <w:rPr>
          <w:rFonts w:ascii="Verdana" w:eastAsia="Verdana" w:hAnsi="Verdana" w:cs="Verdana"/>
        </w:rPr>
        <w:t>users’ right to privacy and protection of their personal data. An individualized, microtargeted digital domain generates</w:t>
      </w:r>
      <w:r w:rsidRPr="005B5CB6">
        <w:rPr>
          <w:rFonts w:ascii="Verdana" w:eastAsia="Verdana" w:hAnsi="Verdana" w:cs="Verdana"/>
          <w:i/>
        </w:rPr>
        <w:t xml:space="preserve"> </w:t>
      </w:r>
      <w:r w:rsidRPr="005B5CB6">
        <w:rPr>
          <w:rFonts w:ascii="Verdana" w:eastAsia="Verdana" w:hAnsi="Verdana" w:cs="Verdana"/>
        </w:rPr>
        <w:t>‘filterbubbles’ in which individuals are subject to ‘more-of-the-same’ like-minded content and come across</w:t>
      </w:r>
      <w:r w:rsidRPr="005B5CB6">
        <w:rPr>
          <w:rFonts w:ascii="Verdana" w:eastAsia="Verdana" w:hAnsi="Verdana" w:cs="Verdana"/>
          <w:i/>
        </w:rPr>
        <w:t xml:space="preserve"> </w:t>
      </w:r>
      <w:r w:rsidRPr="005B5CB6">
        <w:rPr>
          <w:rFonts w:ascii="Verdana" w:eastAsia="Verdana" w:hAnsi="Verdana" w:cs="Verdana"/>
        </w:rPr>
        <w:t>less</w:t>
      </w:r>
      <w:r w:rsidRPr="005B5CB6">
        <w:rPr>
          <w:rFonts w:ascii="Verdana" w:eastAsia="Verdana" w:hAnsi="Verdana" w:cs="Verdana"/>
          <w:i/>
        </w:rPr>
        <w:t xml:space="preserve"> </w:t>
      </w:r>
      <w:r w:rsidRPr="005B5CB6">
        <w:rPr>
          <w:rFonts w:ascii="Verdana" w:eastAsia="Verdana" w:hAnsi="Verdana" w:cs="Verdana"/>
        </w:rPr>
        <w:t>viewpoints, leading to expanded ideological and political polarisation.</w:t>
      </w:r>
      <w:r>
        <w:rPr>
          <w:rFonts w:ascii="Verdana" w:eastAsia="Verdana" w:hAnsi="Verdana" w:cs="Verdana"/>
          <w:vertAlign w:val="superscript"/>
        </w:rPr>
        <w:footnoteReference w:id="269"/>
      </w:r>
      <w:r w:rsidRPr="005B5CB6">
        <w:rPr>
          <w:rFonts w:ascii="Verdana" w:eastAsia="Verdana" w:hAnsi="Verdana" w:cs="Verdana"/>
          <w:i/>
        </w:rPr>
        <w:t xml:space="preserve"> </w:t>
      </w:r>
      <w:r w:rsidRPr="005B5CB6">
        <w:rPr>
          <w:rFonts w:ascii="Verdana" w:eastAsia="Verdana" w:hAnsi="Verdana" w:cs="Verdana"/>
        </w:rPr>
        <w:t>This in turn intensifies the prevalence and power of fabricated news and conspiracy theories.</w:t>
      </w:r>
      <w:r w:rsidRPr="005B5CB6">
        <w:rPr>
          <w:rFonts w:ascii="Verdana" w:eastAsia="Verdana" w:hAnsi="Verdana" w:cs="Verdana"/>
          <w:vertAlign w:val="superscript"/>
        </w:rPr>
        <w:t>18</w:t>
      </w:r>
      <w:r w:rsidRPr="005B5CB6">
        <w:rPr>
          <w:rFonts w:ascii="Verdana" w:eastAsia="Verdana" w:hAnsi="Verdana" w:cs="Verdana"/>
        </w:rPr>
        <w:t xml:space="preserve"> Moreover, importantly, there is also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7849" name="Group 56784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077" name="Shape 63607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69" style="height:0.72pt;mso-position-horizontal-relative:char;mso-position-vertical-relative:line;width:2in" coordsize="18288,91">
                <v:shape id="_x0000_s1270"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evidence that the manipulation of users’ search results and newsfeeds can determine their voting decision.</w:t>
      </w:r>
      <w:r>
        <w:rPr>
          <w:rFonts w:ascii="Verdana" w:eastAsia="Verdana" w:hAnsi="Verdana" w:cs="Verdana"/>
          <w:vertAlign w:val="superscript"/>
        </w:rPr>
        <w:footnoteReference w:id="270"/>
      </w: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 w:line="250" w:lineRule="auto"/>
        <w:ind w:hanging="360"/>
        <w:jc w:val="both"/>
        <w:rPr>
          <w:rFonts w:ascii="Verdana" w:hAnsi="Verdana"/>
        </w:rPr>
      </w:pPr>
      <w:r w:rsidRPr="005B5CB6">
        <w:rPr>
          <w:rFonts w:ascii="Verdana" w:eastAsia="Verdana" w:hAnsi="Verdana" w:cs="Verdana"/>
          <w:b/>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1"/>
          <w:numId w:val="174"/>
        </w:numPr>
        <w:spacing w:after="5" w:line="250" w:lineRule="auto"/>
        <w:ind w:right="12" w:hanging="10"/>
        <w:jc w:val="both"/>
        <w:rPr>
          <w:rFonts w:ascii="Verdana" w:hAnsi="Verdana"/>
        </w:rPr>
      </w:pPr>
      <w:r w:rsidRPr="005B5CB6">
        <w:rPr>
          <w:rFonts w:ascii="Verdana" w:eastAsia="Verdana" w:hAnsi="Verdana" w:cs="Verdana"/>
        </w:rPr>
        <w:t xml:space="preserve">Please refer to general questions above and the misinformation question below.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Misinformation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 w:line="250" w:lineRule="auto"/>
        <w:ind w:hanging="360"/>
        <w:jc w:val="both"/>
        <w:rPr>
          <w:rFonts w:ascii="Verdana" w:hAnsi="Verdana"/>
        </w:rPr>
      </w:pPr>
      <w:r w:rsidRPr="005B5CB6">
        <w:rPr>
          <w:rFonts w:ascii="Verdana" w:eastAsia="Verdana" w:hAnsi="Verdana" w:cs="Verdana"/>
          <w:b/>
        </w:rPr>
        <w:t xml:space="preserve">What might be the bests ways of reducing the effects of misinformation on social media platforms?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1"/>
          <w:numId w:val="174"/>
        </w:numPr>
        <w:spacing w:after="5" w:line="249" w:lineRule="auto"/>
        <w:ind w:right="12" w:hanging="10"/>
        <w:jc w:val="both"/>
        <w:rPr>
          <w:rFonts w:ascii="Verdana" w:hAnsi="Verdana"/>
        </w:rPr>
      </w:pPr>
      <w:r w:rsidRPr="005B5CB6">
        <w:rPr>
          <w:rFonts w:ascii="Verdana" w:eastAsia="Verdana" w:hAnsi="Verdana" w:cs="Verdana"/>
        </w:rPr>
        <w:t xml:space="preserve">Using the example of Google as a case study, the search engine recently </w:t>
      </w:r>
      <w:r w:rsidRPr="005B5CB6">
        <w:rPr>
          <w:rFonts w:ascii="Verdana" w:eastAsia="Verdana" w:hAnsi="Verdana" w:cs="Verdana"/>
          <w:color w:val="202124"/>
        </w:rPr>
        <w:t xml:space="preserve">made global ranking updates to better identify original reporting, showing it more clearly in searches and guaranteeing that it </w:t>
      </w:r>
      <w:r w:rsidRPr="005B5CB6">
        <w:rPr>
          <w:rFonts w:ascii="Verdana" w:eastAsia="Verdana" w:hAnsi="Verdana" w:cs="Verdana"/>
          <w:color w:val="202124"/>
        </w:rPr>
        <w:t>remains there longer. While users interested in the most recent stories can locate the news, which initiated it all, publishers can also take advantage of having their original reporting more broadly viewed. It is therefore arguable that providing everyone with better access to original journalism might well reduce the impact of fake-news on social media platforms.</w:t>
      </w:r>
      <w:r>
        <w:rPr>
          <w:rFonts w:ascii="Verdana" w:eastAsia="Verdana" w:hAnsi="Verdana" w:cs="Verdana"/>
          <w:color w:val="202124"/>
          <w:vertAlign w:val="superscript"/>
        </w:rPr>
        <w:footnoteReference w:id="271"/>
      </w:r>
      <w:r w:rsidRPr="005B5CB6">
        <w:rPr>
          <w:rFonts w:ascii="Verdana" w:eastAsia="Verdana" w:hAnsi="Verdana" w:cs="Verdana"/>
          <w:color w:val="202124"/>
        </w:rPr>
        <w:t xml:space="preserve"> Similarly,</w:t>
      </w:r>
      <w:r w:rsidRPr="005B5CB6">
        <w:rPr>
          <w:rFonts w:ascii="Verdana" w:eastAsia="Verdana" w:hAnsi="Verdana" w:cs="Verdana"/>
        </w:rPr>
        <w:t xml:space="preserve"> </w:t>
      </w:r>
      <w:r w:rsidRPr="005B5CB6">
        <w:rPr>
          <w:rFonts w:ascii="Verdana" w:eastAsia="Verdana" w:hAnsi="Verdana" w:cs="Verdana"/>
          <w:color w:val="202124"/>
        </w:rPr>
        <w:t>t</w:t>
      </w:r>
      <w:r w:rsidRPr="005B5CB6">
        <w:rPr>
          <w:rFonts w:ascii="Verdana" w:eastAsia="Verdana" w:hAnsi="Verdana" w:cs="Verdana"/>
        </w:rPr>
        <w:t>he Rapid Response Unit, which is the executive branch of the UK Government, has created a system with the acronym FACT (find, assess, create and target), to help it identify and tackle the misinformation problem</w:t>
      </w:r>
      <w:r w:rsidRPr="005B5CB6">
        <w:rPr>
          <w:rFonts w:ascii="Verdana" w:eastAsia="Verdana" w:hAnsi="Verdana" w:cs="Verdana"/>
          <w:i/>
        </w:rPr>
        <w:t>.</w:t>
      </w:r>
      <w:r w:rsidRPr="005B5CB6">
        <w:rPr>
          <w:rFonts w:ascii="Verdana" w:eastAsia="Verdana" w:hAnsi="Verdana" w:cs="Verdana"/>
          <w:vertAlign w:val="superscript"/>
        </w:rPr>
        <w:t>21</w:t>
      </w:r>
      <w:r w:rsidRPr="005B5CB6">
        <w:rPr>
          <w:rFonts w:ascii="Verdana" w:eastAsia="Verdana" w:hAnsi="Verdana" w:cs="Verdana"/>
          <w:i/>
        </w:rPr>
        <w:t xml:space="preserve"> </w:t>
      </w:r>
      <w:r w:rsidRPr="005B5CB6">
        <w:rPr>
          <w:rFonts w:ascii="Verdana" w:eastAsia="Verdana" w:hAnsi="Verdana" w:cs="Verdana"/>
        </w:rPr>
        <w:t>FACT particularly concentrates on analysing trends in story sources, and if specific search terms reflect a bias in search results, it is designed to enhance government pages to show higher in results or activate user-generated content, to help readjust the story and convince the most engaged users of the content.</w:t>
      </w:r>
      <w:r w:rsidRPr="005B5CB6">
        <w:rPr>
          <w:rFonts w:ascii="Verdana" w:eastAsia="Verdana" w:hAnsi="Verdana" w:cs="Verdana"/>
          <w:vertAlign w:val="superscript"/>
        </w:rPr>
        <w:t>22</w:t>
      </w:r>
      <w:r w:rsidRPr="005B5CB6">
        <w:rPr>
          <w:rFonts w:ascii="Verdana" w:eastAsia="Verdana" w:hAnsi="Verdana" w:cs="Verdana"/>
          <w:color w:val="202124"/>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Moderation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 w:line="250" w:lineRule="auto"/>
        <w:ind w:hanging="360"/>
        <w:jc w:val="both"/>
        <w:rPr>
          <w:rFonts w:ascii="Verdana" w:hAnsi="Verdana"/>
        </w:rPr>
      </w:pPr>
      <w:r w:rsidRPr="005B5CB6">
        <w:rPr>
          <w:rFonts w:ascii="Verdana" w:eastAsia="Verdana" w:hAnsi="Verdana" w:cs="Verdana"/>
          <w:b/>
        </w:rPr>
        <w:t xml:space="preserve">How could the moderation processes of large technology companies be improved to better tackle abuse and misinformation, as well as helping public debate flourish?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1"/>
          <w:numId w:val="174"/>
        </w:numPr>
        <w:spacing w:after="129" w:line="249" w:lineRule="auto"/>
        <w:ind w:right="12" w:hanging="10"/>
        <w:jc w:val="both"/>
        <w:rPr>
          <w:rFonts w:ascii="Verdana" w:hAnsi="Verdana"/>
        </w:rPr>
      </w:pPr>
      <w:r w:rsidRPr="005B5CB6">
        <w:rPr>
          <w:rFonts w:ascii="Verdana" w:eastAsia="Verdana" w:hAnsi="Verdana" w:cs="Verdana"/>
        </w:rPr>
        <w:t xml:space="preserve">To enhance their moderation systems, intermediaries should: (i) implement, where possible after consulting their users, clear, pre-established policies premised upon objectively reasonable principles instead of political or ideological aims; (ii) adopt effective mechanisms to guarantee that users can easily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6845" name="Group 56684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089" name="Shape 63608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71" style="height:0.72pt;mso-position-horizontal-relative:char;mso-position-vertical-relative:line;width:2in" coordsize="18288,91">
                <v:shape id="_x0000_s1272"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25" w:line="249" w:lineRule="auto"/>
        <w:ind w:left="10" w:right="12" w:hanging="9"/>
        <w:jc w:val="both"/>
        <w:rPr>
          <w:rFonts w:ascii="Verdana" w:hAnsi="Verdana"/>
        </w:rPr>
      </w:pPr>
      <w:r w:rsidRPr="005B5CB6">
        <w:rPr>
          <w:rFonts w:ascii="Verdana" w:eastAsia="Verdana" w:hAnsi="Verdana" w:cs="Verdana"/>
        </w:rPr>
        <w:t>comprehend and access any practices and policies, including platform terms and conditions, as well as comprehensive information about enforcement measures by publishing explanatory notes or outlines of these practices and policies; (iii) notify users quickly if material that they host, generated or uploaded could be subject to a restriction and provide the user with an opportunity to challenge such restriction; (iv) rely on automated procedures (whether or not based on AI) regarding their own or third party material only for legitimate operational or competitive purposes; (v) support the creation and research of adequate technical solutions to the fake news problem that users might voluntarily apply; and (vi) take part in initiatives, which provide</w:t>
      </w:r>
      <w:r w:rsidRPr="005B5CB6">
        <w:rPr>
          <w:rFonts w:ascii="Verdana" w:eastAsia="Verdana" w:hAnsi="Verdana" w:cs="Verdana"/>
          <w:i/>
        </w:rPr>
        <w:t xml:space="preserve"> </w:t>
      </w:r>
      <w:r w:rsidRPr="005B5CB6">
        <w:rPr>
          <w:rFonts w:ascii="Verdana" w:eastAsia="Verdana" w:hAnsi="Verdana" w:cs="Verdana"/>
        </w:rPr>
        <w:t>fact-checking systems to users, as well as revising advertising practices to guarantee</w:t>
      </w:r>
      <w:r w:rsidRPr="005B5CB6">
        <w:rPr>
          <w:rFonts w:ascii="Verdana" w:eastAsia="Verdana" w:hAnsi="Verdana" w:cs="Verdana"/>
          <w:i/>
        </w:rPr>
        <w:t xml:space="preserve"> </w:t>
      </w:r>
      <w:r w:rsidRPr="005B5CB6">
        <w:rPr>
          <w:rFonts w:ascii="Verdana" w:eastAsia="Verdana" w:hAnsi="Verdana" w:cs="Verdana"/>
        </w:rPr>
        <w:t>that diverse ideas and opinions are not negatively impacted.</w:t>
      </w:r>
      <w:r>
        <w:rPr>
          <w:rFonts w:ascii="Verdana" w:eastAsia="Verdana" w:hAnsi="Verdana" w:cs="Verdana"/>
          <w:vertAlign w:val="superscript"/>
        </w:rPr>
        <w:footnoteReference w:id="272"/>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Technology and democratic engagement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 w:line="250" w:lineRule="auto"/>
        <w:ind w:hanging="360"/>
        <w:jc w:val="both"/>
        <w:rPr>
          <w:rFonts w:ascii="Verdana" w:hAnsi="Verdana"/>
        </w:rPr>
      </w:pPr>
      <w:r w:rsidRPr="005B5CB6">
        <w:rPr>
          <w:rFonts w:ascii="Verdana" w:eastAsia="Verdana" w:hAnsi="Verdana" w:cs="Verdana"/>
          <w:b/>
        </w:rPr>
        <w:t xml:space="preserve">How could the Government better support the positive work of civil society organisations using technology to facilitate engagement with democratic processes?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1"/>
          <w:numId w:val="174"/>
        </w:numPr>
        <w:spacing w:after="33" w:line="237" w:lineRule="auto"/>
        <w:ind w:right="12" w:hanging="10"/>
        <w:jc w:val="both"/>
        <w:rPr>
          <w:rFonts w:ascii="Verdana" w:hAnsi="Verdana"/>
        </w:rPr>
      </w:pPr>
      <w:r w:rsidRPr="005B5CB6">
        <w:rPr>
          <w:rFonts w:ascii="Verdana" w:eastAsia="Verdana" w:hAnsi="Verdana" w:cs="Verdana"/>
          <w:color w:val="231F20"/>
        </w:rPr>
        <w:t>As tools developed by D-CENT and My society show, it would be advisable to support the creation of open source systems. The idea is to create a multi-tool online repository, which city governments can deploy when carrying out new citizen engagement operations. Moreover, for instance, platforms such as, BetterReykjavic also contain a debate feature for any proposal, which is suggested. After receiving feedback, the individual who suggested the proposal, can then rewrite it, before public voting.</w:t>
      </w:r>
      <w:r>
        <w:rPr>
          <w:rFonts w:ascii="Verdana" w:eastAsia="Verdana" w:hAnsi="Verdana" w:cs="Verdana"/>
          <w:color w:val="231F20"/>
          <w:vertAlign w:val="superscript"/>
        </w:rPr>
        <w:footnoteReference w:id="273"/>
      </w:r>
      <w:r w:rsidRPr="005B5CB6">
        <w:rPr>
          <w:rFonts w:ascii="Verdana" w:eastAsia="Verdana" w:hAnsi="Verdana" w:cs="Verdana"/>
          <w:color w:val="231F20"/>
        </w:rPr>
        <w:t xml:space="preserve"> </w:t>
      </w:r>
    </w:p>
    <w:p w:rsidR="00FB0B24" w:rsidRPr="005B5CB6" w:rsidP="001512F6">
      <w:pPr>
        <w:spacing w:after="0"/>
        <w:jc w:val="both"/>
        <w:rPr>
          <w:rFonts w:ascii="Verdana" w:hAnsi="Verdana"/>
        </w:rPr>
      </w:pPr>
      <w:r w:rsidRPr="005B5CB6">
        <w:rPr>
          <w:rFonts w:ascii="Verdana" w:eastAsia="Verdana" w:hAnsi="Verdana" w:cs="Verdana"/>
          <w:color w:val="231F20"/>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 w:line="250" w:lineRule="auto"/>
        <w:ind w:hanging="360"/>
        <w:jc w:val="both"/>
        <w:rPr>
          <w:rFonts w:ascii="Verdana" w:hAnsi="Verdana"/>
        </w:rPr>
      </w:pPr>
      <w:r w:rsidRPr="005B5CB6">
        <w:rPr>
          <w:rFonts w:ascii="Verdana" w:eastAsia="Verdana" w:hAnsi="Verdana" w:cs="Verdana"/>
          <w:b/>
        </w:rPr>
        <w:t xml:space="preserve">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1512F6">
      <w:pPr>
        <w:spacing w:after="0"/>
        <w:ind w:left="720"/>
        <w:jc w:val="both"/>
        <w:rPr>
          <w:rFonts w:ascii="Verdana" w:hAnsi="Verdana"/>
        </w:rPr>
      </w:pPr>
      <w:r w:rsidRPr="005B5CB6">
        <w:rPr>
          <w:rFonts w:ascii="Verdana" w:eastAsia="Verdana" w:hAnsi="Verdana" w:cs="Verdana"/>
          <w:b/>
        </w:rPr>
        <w:t xml:space="preserve"> </w:t>
      </w:r>
    </w:p>
    <w:p w:rsidR="00FB0B24" w:rsidRPr="005B5CB6" w:rsidP="00575F14">
      <w:pPr>
        <w:numPr>
          <w:ilvl w:val="1"/>
          <w:numId w:val="174"/>
        </w:numPr>
        <w:spacing w:after="33" w:line="237" w:lineRule="auto"/>
        <w:ind w:right="12" w:hanging="10"/>
        <w:jc w:val="both"/>
        <w:rPr>
          <w:rFonts w:ascii="Verdana" w:hAnsi="Verdana"/>
        </w:rPr>
      </w:pPr>
      <w:r w:rsidRPr="005B5CB6">
        <w:rPr>
          <w:rFonts w:ascii="Verdana" w:eastAsia="Verdana" w:hAnsi="Verdana" w:cs="Verdana"/>
          <w:color w:val="231F20"/>
        </w:rPr>
        <w:t>Technology can also provide elected representatives with the power to make decisions directly to individuals utilizing collaborative budgeting. This entails permitting citizens to choose how a proportion of the city budget is used. For example, ‘Madame Mayor, I have an idea’ is a collaborative budgeting procedure, which allows individuals to vote and suggest project proposals in Paris. In 2016, its pilot stage received more than 5000 submissions and over 20000 citizens subscribed to the platform.</w:t>
      </w:r>
      <w:r>
        <w:rPr>
          <w:rFonts w:ascii="Verdana" w:eastAsia="Verdana" w:hAnsi="Verdana" w:cs="Verdana"/>
          <w:color w:val="231F20"/>
          <w:vertAlign w:val="superscript"/>
        </w:rPr>
        <w:footnoteReference w:id="274"/>
      </w:r>
      <w:r w:rsidRPr="005B5CB6">
        <w:rPr>
          <w:rFonts w:ascii="Verdana" w:eastAsia="Verdana" w:hAnsi="Verdana" w:cs="Verdana"/>
          <w:color w:val="231F20"/>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ind w:left="720"/>
        <w:jc w:val="both"/>
        <w:rPr>
          <w:rFonts w:ascii="Verdana" w:hAnsi="Verdana"/>
        </w:rPr>
      </w:pPr>
      <w:r w:rsidRPr="005B5CB6">
        <w:rPr>
          <w:rFonts w:ascii="Verdana" w:eastAsia="Verdana" w:hAnsi="Verdana" w:cs="Verdana"/>
          <w:b/>
        </w:rPr>
        <w:t xml:space="preserve"> </w:t>
      </w:r>
    </w:p>
    <w:p w:rsidR="00FB0B24" w:rsidRPr="005B5CB6" w:rsidP="00575F14">
      <w:pPr>
        <w:numPr>
          <w:ilvl w:val="0"/>
          <w:numId w:val="174"/>
        </w:numPr>
        <w:spacing w:after="56" w:line="250" w:lineRule="auto"/>
        <w:ind w:hanging="360"/>
        <w:jc w:val="both"/>
        <w:rPr>
          <w:rFonts w:ascii="Verdana" w:hAnsi="Verdana"/>
        </w:rPr>
      </w:pPr>
      <w:r w:rsidRPr="005B5CB6">
        <w:rPr>
          <w:rFonts w:ascii="Verdana" w:eastAsia="Verdana" w:hAnsi="Verdana" w:cs="Verdana"/>
          <w:b/>
        </w:rPr>
        <w:t xml:space="preserve">What positive examples are there of technology being used to enhance democracy?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7570" name="Group 56757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099" name="Shape 63609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73" style="height:0.72pt;mso-position-horizontal-relative:char;mso-position-vertical-relative:line;width:2in" coordsize="18288,91">
                <v:shape id="_x0000_s1274"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1"/>
          <w:numId w:val="174"/>
        </w:numPr>
        <w:spacing w:after="454" w:line="237" w:lineRule="auto"/>
        <w:ind w:right="12" w:hanging="10"/>
        <w:jc w:val="both"/>
        <w:rPr>
          <w:rFonts w:ascii="Verdana" w:hAnsi="Verdana"/>
        </w:rPr>
      </w:pPr>
      <w:r w:rsidRPr="005B5CB6">
        <w:rPr>
          <w:rFonts w:ascii="Verdana" w:eastAsia="Verdana" w:hAnsi="Verdana" w:cs="Verdana"/>
          <w:color w:val="231F20"/>
        </w:rPr>
        <w:t xml:space="preserve">Taking Nesta as an example, the foundation has developed several distributed, privacy-aware, open source mechanisms for direct democracy, which permit individuals to receive relevant notifications in real-time, work cooperatively to suggest and write policies, vote and agree proposals, and assign resources using communal budgeting processes. For instance, Objective8 is an online crowdsourcing mechanism utilized for participatory policy writing, Mooncake offers a newsfeed bringing together notifications, comments and content, and </w:t>
      </w:r>
      <w:r w:rsidRPr="005B5CB6">
        <w:rPr>
          <w:rFonts w:ascii="Verdana" w:eastAsia="Verdana" w:hAnsi="Verdana" w:cs="Verdana"/>
          <w:color w:val="231F20"/>
        </w:rPr>
        <w:t>Agora Voting software opens the ballot boxes and calculates the election results whilst protecting privacy.</w:t>
      </w:r>
      <w:r>
        <w:rPr>
          <w:rFonts w:ascii="Verdana" w:eastAsia="Verdana" w:hAnsi="Verdana" w:cs="Verdana"/>
          <w:color w:val="231F20"/>
          <w:vertAlign w:val="superscript"/>
        </w:rPr>
        <w:footnoteReference w:id="275"/>
      </w:r>
      <w:r w:rsidRPr="005B5CB6">
        <w:rPr>
          <w:rFonts w:ascii="Verdana" w:eastAsia="Verdana" w:hAnsi="Verdana" w:cs="Verdana"/>
          <w:color w:val="231F20"/>
        </w:rPr>
        <w:t xml:space="preserve"> </w:t>
      </w:r>
    </w:p>
    <w:p w:rsidR="00FB0B24" w:rsidRPr="005B5CB6" w:rsidP="001512F6">
      <w:pPr>
        <w:spacing w:after="396"/>
        <w:jc w:val="both"/>
        <w:rPr>
          <w:rFonts w:ascii="Verdana" w:hAnsi="Verdana"/>
        </w:rPr>
      </w:pPr>
      <w:r w:rsidRPr="005B5CB6">
        <w:rPr>
          <w:rFonts w:ascii="Verdana" w:eastAsia="Verdana" w:hAnsi="Verdana" w:cs="Verdana"/>
          <w:b/>
          <w:color w:val="231F20"/>
        </w:rPr>
        <w:t xml:space="preserve"> </w:t>
      </w:r>
    </w:p>
    <w:p w:rsidR="00FB0B24" w:rsidRPr="005B5CB6" w:rsidP="001512F6">
      <w:pPr>
        <w:spacing w:after="9413"/>
        <w:jc w:val="both"/>
        <w:rPr>
          <w:rFonts w:ascii="Verdana" w:hAnsi="Verdana"/>
        </w:rPr>
      </w:pPr>
      <w:r w:rsidRPr="005B5CB6">
        <w:rPr>
          <w:rFonts w:ascii="Verdana" w:eastAsia="Verdana" w:hAnsi="Verdana" w:cs="Verdana"/>
          <w:color w:val="231F20"/>
        </w:rPr>
        <w:t xml:space="preserve"> </w:t>
      </w:r>
    </w:p>
    <w:p w:rsidR="00FB0B24" w:rsidRPr="005B5CB6" w:rsidP="001512F6">
      <w:pPr>
        <w:spacing w:after="0"/>
        <w:jc w:val="both"/>
        <w:rPr>
          <w:rFonts w:ascii="Verdana" w:hAnsi="Verdana"/>
        </w:rPr>
      </w:pPr>
      <w:r w:rsidRPr="005B5CB6">
        <w:rPr>
          <w:rFonts w:ascii="Verdana" w:hAnsi="Verdana"/>
        </w:rPr>
        <w:t xml:space="preserve"> </w:t>
      </w:r>
    </w:p>
    <w:p w:rsidR="00FB0B24" w:rsidRPr="005B5CB6" w:rsidP="001512F6">
      <w:pPr>
        <w:jc w:val="both"/>
        <w:rPr>
          <w:rFonts w:ascii="Verdana" w:hAnsi="Verdana"/>
        </w:rPr>
        <w:sectPr w:rsidSect="00D20189">
          <w:headerReference w:type="even" r:id="rId286"/>
          <w:headerReference w:type="default" r:id="rId287"/>
          <w:footerReference w:type="even" r:id="rId288"/>
          <w:footerReference w:type="default" r:id="rId289"/>
          <w:headerReference w:type="first" r:id="rId290"/>
          <w:footerReference w:type="first" r:id="rId291"/>
          <w:pgSz w:w="11906" w:h="16838"/>
          <w:pgMar w:top="1492" w:right="1436" w:bottom="1441" w:left="1440" w:header="720" w:footer="709" w:gutter="0"/>
          <w:cols w:space="720"/>
        </w:sectPr>
      </w:pPr>
    </w:p>
    <w:p w:rsidR="00FB0B24" w:rsidRPr="005B5CB6" w:rsidP="00A1624B">
      <w:pPr>
        <w:pStyle w:val="Heading1"/>
        <w:rPr>
          <w:sz w:val="22"/>
        </w:rPr>
      </w:pPr>
      <w:bookmarkStart w:id="51" w:name="_Toc44517739"/>
      <w:r w:rsidRPr="005B5CB6">
        <w:rPr>
          <w:sz w:val="22"/>
        </w:rPr>
        <w:t>Oxford Internet Institute – written evidence (DAD0060)</w:t>
      </w:r>
      <w:bookmarkEnd w:id="51"/>
      <w:r w:rsidRPr="005B5CB6">
        <w:rPr>
          <w:sz w:val="22"/>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i/>
        </w:rPr>
        <w:t xml:space="preserve">Written evidence submitted by Dr Victoria Nash, Dr Taha Yasseri and Dr Chico Camargo on behalf of the Oxford Internet Institute, University of Oxford.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As a multi-disciplinary department conducting research and teaching on the social, economic and political implications of digital technologies, it is our pleasure to provide written evidence to this important call. Please note that the responses here are compiled from research conducted by multiple faculty members, and do not reflect a single over-arching departmental position.  </w:t>
      </w:r>
    </w:p>
    <w:p w:rsidR="00FB0B24" w:rsidRPr="005B5CB6" w:rsidP="001512F6">
      <w:pPr>
        <w:spacing w:after="0"/>
        <w:jc w:val="both"/>
        <w:rPr>
          <w:rFonts w:ascii="Verdana" w:hAnsi="Verdana"/>
        </w:rPr>
      </w:pPr>
      <w:r w:rsidRPr="005B5CB6">
        <w:rPr>
          <w:rFonts w:ascii="Verdana" w:eastAsia="Verdana" w:hAnsi="Verdana" w:cs="Verdana"/>
          <w:i/>
        </w:rPr>
        <w:t xml:space="preserve">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i/>
        </w:rPr>
        <w:t xml:space="preserve">General </w:t>
      </w:r>
    </w:p>
    <w:p w:rsidR="00FB0B24" w:rsidRPr="005B5CB6" w:rsidP="00575F14">
      <w:pPr>
        <w:numPr>
          <w:ilvl w:val="2"/>
          <w:numId w:val="174"/>
        </w:numPr>
        <w:spacing w:after="5" w:line="250" w:lineRule="auto"/>
        <w:ind w:right="11" w:hanging="480"/>
        <w:jc w:val="both"/>
        <w:rPr>
          <w:rFonts w:ascii="Verdana" w:hAnsi="Verdana"/>
        </w:rPr>
      </w:pPr>
      <w:r w:rsidRPr="005B5CB6">
        <w:rPr>
          <w:rFonts w:ascii="Verdana" w:eastAsia="Verdana" w:hAnsi="Verdana" w:cs="Verdana"/>
        </w:rPr>
        <w:t xml:space="preserve">How has digital technology changed the way that democracy works in the UK and has this been a net positive or negative effect? </w:t>
      </w:r>
    </w:p>
    <w:p w:rsidR="00FB0B24" w:rsidRPr="005B5CB6" w:rsidP="001512F6">
      <w:pPr>
        <w:spacing w:after="0"/>
        <w:ind w:left="120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208" w:right="11" w:hanging="8"/>
        <w:jc w:val="both"/>
        <w:rPr>
          <w:rFonts w:ascii="Verdana" w:hAnsi="Verdana"/>
        </w:rPr>
      </w:pPr>
      <w:r w:rsidRPr="005B5CB6">
        <w:rPr>
          <w:rFonts w:ascii="Verdana" w:eastAsia="Verdana" w:hAnsi="Verdana" w:cs="Verdana"/>
        </w:rPr>
        <w:t xml:space="preserve">It may yet be too early to assess the effects of digital technologies on democracy in the UK, not least because the tools and devices we use are changing rapidly. However, as discussed in a key recent text by three OII faculty, Political Turbulence (Margetts, John, Hale, and Yasseri, 2015), the main societal effect of digital technology and specifically social media on political behaviour has been the evolution of political engagement. Through actions such as liking, commenting on or sharing content, social media enable tiny acts of participation that can scale up and lead to tangible political change. These actions may, but do not necessarily develop into larger collective action activities. It is hard to predict which ones will grow and sustain deeper engagement, but some of our research has shown that the dynamics of digitally driven collective actions is fundamentally different to collective action campaigns before the age of the Internet (Yasseri, Hale, and Margetts, 2017). This calls for more research, discussion, and legislation.  </w:t>
      </w:r>
    </w:p>
    <w:p w:rsidR="00FB0B24" w:rsidRPr="005B5CB6" w:rsidP="001512F6">
      <w:pPr>
        <w:spacing w:after="0"/>
        <w:ind w:left="1200"/>
        <w:jc w:val="both"/>
        <w:rPr>
          <w:rFonts w:ascii="Verdana" w:hAnsi="Verdana"/>
        </w:rPr>
      </w:pPr>
      <w:r w:rsidRPr="005B5CB6">
        <w:rPr>
          <w:rFonts w:ascii="Verdana" w:eastAsia="Verdana" w:hAnsi="Verdana" w:cs="Verdana"/>
        </w:rPr>
        <w:t xml:space="preserve"> </w:t>
      </w:r>
    </w:p>
    <w:p w:rsidR="00FB0B24" w:rsidRPr="005B5CB6" w:rsidP="00575F14">
      <w:pPr>
        <w:numPr>
          <w:ilvl w:val="2"/>
          <w:numId w:val="174"/>
        </w:numPr>
        <w:spacing w:after="5" w:line="250" w:lineRule="auto"/>
        <w:ind w:right="11" w:hanging="480"/>
        <w:jc w:val="both"/>
        <w:rPr>
          <w:rFonts w:ascii="Verdana" w:hAnsi="Verdana"/>
        </w:rPr>
      </w:pPr>
      <w:r w:rsidRPr="005B5CB6">
        <w:rPr>
          <w:rFonts w:ascii="Verdana" w:eastAsia="Verdana" w:hAnsi="Verdana" w:cs="Verdana"/>
        </w:rPr>
        <w:t xml:space="preserve">How have the design of algorithms used by social media platforms shaped democratic debate? To what extent should there be greater accountability for the design of these algorithms? </w:t>
      </w:r>
    </w:p>
    <w:p w:rsidR="00FB0B24" w:rsidRPr="005B5CB6" w:rsidP="001512F6">
      <w:pPr>
        <w:spacing w:after="0"/>
        <w:ind w:left="120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208" w:right="11" w:hanging="8"/>
        <w:jc w:val="both"/>
        <w:rPr>
          <w:rFonts w:ascii="Verdana" w:hAnsi="Verdana"/>
        </w:rPr>
      </w:pPr>
      <w:r w:rsidRPr="005B5CB6">
        <w:rPr>
          <w:rFonts w:ascii="Verdana" w:eastAsia="Verdana" w:hAnsi="Verdana" w:cs="Verdana"/>
        </w:rPr>
        <w:t xml:space="preserve">It is not merely the design of algorithms that shapes online democratic debate, other choices in platform design and in how those choices are implemented also make a significant difference. Factors such as the design of platforms and the way they encourage or discourage interactions between users make a difference, as do strategies for decisions regarding content moderation or content promotion. In certain platforms, the design allows considerable segmentation and polarization (Twitter) and in some, the design of the platform encourages collaboration and consensus (Wikipedia). Algorithms can determine how much social influence is channelled through each </w:t>
      </w:r>
      <w:r w:rsidRPr="005B5CB6">
        <w:rPr>
          <w:rFonts w:ascii="Verdana" w:eastAsia="Verdana" w:hAnsi="Verdana" w:cs="Verdana"/>
        </w:rPr>
        <w:t xml:space="preserve">interaction, for example promoting the content of popular individuals above the content of individuals with few followers or small networks. Algorithms determine who sees what and in what order, often on the basis of how users have engaged with previous content, regardless of whether this engagement was positive or negative, constructive or toxic, fact-based or misinformed. This creates an ecosystem which is dominated by high-engagement content, which very often appeals to emotion or false claims. This system also leaves users with little to no control over their algorithmically-sorted content or interactions, often without much evidence of how or why such selection occurs. There is a great deal of public and academic debate as to the extent and possible democratic implications of ‘filter bubble effects’. The mixed academic findings suggest that we should not automatically assume social media will reinforce existing beliefs or increase partisanship. The annual Digital News Surveys conducted by Oxford colleagues at the Reuters Institute for the Study of Journalism has previously noted that social media users consume a more diverse array of news sources than those who do not use social media (Newman et al 2017), whilst a recent survey of UK Internet users conducted by OII’s Dr Grant Blank concluded that only a small portion of the population are likely to find themselves in such online political echo chambers (Dubois and Blank 2018).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i/>
        </w:rPr>
        <w:t xml:space="preserve">Education </w:t>
      </w:r>
    </w:p>
    <w:p w:rsidR="00FB0B24" w:rsidRPr="005B5CB6" w:rsidP="00575F14">
      <w:pPr>
        <w:numPr>
          <w:ilvl w:val="2"/>
          <w:numId w:val="174"/>
        </w:numPr>
        <w:spacing w:after="5" w:line="250" w:lineRule="auto"/>
        <w:ind w:right="11" w:hanging="480"/>
        <w:jc w:val="both"/>
        <w:rPr>
          <w:rFonts w:ascii="Verdana" w:hAnsi="Verdana"/>
        </w:rPr>
      </w:pPr>
      <w:r w:rsidRPr="005B5CB6">
        <w:rPr>
          <w:rFonts w:ascii="Verdana" w:eastAsia="Verdana" w:hAnsi="Verdana" w:cs="Verdana"/>
        </w:rPr>
        <w:t xml:space="preserve">What role should every stage of education play in helping to create a healthy, active, digitally literate democracy? </w:t>
      </w:r>
    </w:p>
    <w:p w:rsidR="00FB0B24" w:rsidRPr="005B5CB6" w:rsidP="001512F6">
      <w:pPr>
        <w:spacing w:after="0"/>
        <w:ind w:left="120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Education clearly has a crucial role to play and we welcome initiatives such as OfCom’s new Making Sense of Media programme which seeks to improve digital skills for UK children and adults. In considering how best to maximise the benefits of current and future educational initiatives supporting digital literacy the Committee should note the research findings of OII colleague Prof. Rebecca Eynon, whose research has consistently revealed persistent inequalities in young people’s ability to access and use the Internet (e.g.  Wilkin, Davies and Eynon 2017). Contrary to the ‘digital natives’ narrative, this empirical research suggests that a small but significant proportion of young people still struggle with gaining the digital skills necessary to engage fully in modern society. Whilst considering the democratic benefits of new forms of online engagement, the Committee might thus want to also consider the increasing opportunity cost for those who lack the skills to capitalise on this, and ask how this could be mitigated. It is also important to assess the actual effectiveness of the educational measures put in place to tackle digital illiteracy, such as the implementation of England’s new National Curriculum for computing, as a replacement for the previous ICT program. In recent research, our OII colleague Dr Laura Larke has highlighted the need to work together with teachers to develop National Curriculum standards for computing that actually meet students’ needs and schools’ resources (Larke 2019).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i/>
        </w:rPr>
        <w:t xml:space="preserve">Online campaigning </w:t>
      </w:r>
    </w:p>
    <w:p w:rsidR="00FB0B24" w:rsidRPr="005B5CB6" w:rsidP="00575F14">
      <w:pPr>
        <w:numPr>
          <w:ilvl w:val="2"/>
          <w:numId w:val="174"/>
        </w:numPr>
        <w:spacing w:after="5" w:line="250" w:lineRule="auto"/>
        <w:ind w:right="11" w:hanging="480"/>
        <w:jc w:val="both"/>
        <w:rPr>
          <w:rFonts w:ascii="Verdana" w:hAnsi="Verdana"/>
        </w:rPr>
      </w:pPr>
      <w:r w:rsidRPr="005B5CB6">
        <w:rPr>
          <w:rFonts w:ascii="Verdana" w:eastAsia="Verdana" w:hAnsi="Verdana" w:cs="Verdana"/>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Online campaigning is no longer separable from any other type of campaigning (McElwee and Yasseri, 2017). In principle, existing rules and conventions governing election spending and campaigning should be applied to online campaigning. However, given growing public and political concern about irregularities in campaign behaviour and uncertainty around the scale and implications of new forms of political advertising, the OII established a Commission of experts to provide a clear framework for understanding the technological mechanisms, algorithms and big data practices that could undermine the mechanics of democracy. This Commission, the </w:t>
      </w:r>
      <w:r>
        <w:fldChar w:fldCharType="begin"/>
      </w:r>
      <w:r>
        <w:instrText xml:space="preserve"> HYPERLINK "https://oxtec.oii.ox.ac.uk/mission/" </w:instrText>
      </w:r>
      <w:r>
        <w:fldChar w:fldCharType="separate"/>
      </w:r>
      <w:r w:rsidRPr="005B5CB6">
        <w:rPr>
          <w:rFonts w:ascii="Verdana" w:eastAsia="Verdana" w:hAnsi="Verdana" w:cs="Verdana"/>
          <w:u w:val="single" w:color="000000"/>
        </w:rPr>
        <w:t>Oxford Technology and Elections Commission</w:t>
      </w:r>
      <w:r>
        <w:fldChar w:fldCharType="end"/>
      </w:r>
      <w:r>
        <w:fldChar w:fldCharType="begin"/>
      </w:r>
      <w:r>
        <w:instrText xml:space="preserve"> HYPERLINK "https://oxtec.oii.ox.ac.uk/mission/"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will deliver its recommendations on the 16</w:t>
      </w:r>
      <w:r w:rsidRPr="005B5CB6">
        <w:rPr>
          <w:rFonts w:ascii="Verdana" w:eastAsia="Verdana" w:hAnsi="Verdana" w:cs="Verdana"/>
          <w:vertAlign w:val="superscript"/>
        </w:rPr>
        <w:t>th</w:t>
      </w:r>
      <w:r w:rsidRPr="005B5CB6">
        <w:rPr>
          <w:rFonts w:ascii="Verdana" w:eastAsia="Verdana" w:hAnsi="Verdana" w:cs="Verdana"/>
        </w:rPr>
        <w:t xml:space="preserve"> October and these will likely include specific recommendations on measures to improve accountability and transparency. An OxTEC background report summarising existing research literature on elections and campaigning in the digital age may also be of interest to this Committee (Thwaite 2019).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2"/>
          <w:numId w:val="175"/>
        </w:numPr>
        <w:spacing w:after="5" w:line="250" w:lineRule="auto"/>
        <w:ind w:right="109" w:hanging="480"/>
        <w:jc w:val="both"/>
        <w:rPr>
          <w:rFonts w:ascii="Verdana" w:hAnsi="Verdana"/>
        </w:rPr>
      </w:pPr>
      <w:r w:rsidRPr="005B5CB6">
        <w:rPr>
          <w:rFonts w:ascii="Verdana" w:eastAsia="Verdana" w:hAnsi="Verdana" w:cs="Verdana"/>
        </w:rPr>
        <w:t xml:space="preserve">What effect does online targeted advertising have on the political process, and what effects could it have in the future? Should there be additional regulation of political advertising? </w:t>
      </w:r>
    </w:p>
    <w:p w:rsidR="00FB0B24" w:rsidRPr="005B5CB6" w:rsidP="001512F6">
      <w:pPr>
        <w:spacing w:after="0"/>
        <w:ind w:left="1200"/>
        <w:jc w:val="both"/>
        <w:rPr>
          <w:rFonts w:ascii="Verdana" w:hAnsi="Verdana"/>
        </w:rPr>
      </w:pPr>
      <w:r w:rsidRPr="005B5CB6">
        <w:rPr>
          <w:rFonts w:ascii="Verdana" w:eastAsia="Verdana" w:hAnsi="Verdana" w:cs="Verdana"/>
        </w:rPr>
        <w:t xml:space="preserve"> </w:t>
      </w:r>
    </w:p>
    <w:p w:rsidR="00FB0B24" w:rsidRPr="005B5CB6" w:rsidP="001512F6">
      <w:pPr>
        <w:spacing w:after="31" w:line="250" w:lineRule="auto"/>
        <w:ind w:left="728" w:right="11" w:hanging="8"/>
        <w:jc w:val="both"/>
        <w:rPr>
          <w:rFonts w:ascii="Verdana" w:hAnsi="Verdana"/>
        </w:rPr>
      </w:pPr>
      <w:r w:rsidRPr="005B5CB6">
        <w:rPr>
          <w:rFonts w:ascii="Verdana" w:eastAsia="Verdana" w:hAnsi="Verdana" w:cs="Verdana"/>
        </w:rPr>
        <w:t>The OII has not conducted any research into the efficacy of targeted advertising in election campaigns or other political contexts. However, Prof. Sandra Wachter has drawn attention to relevant aspects of behavioural advertising which may merit more regulatory attention, regardless of the political effects. In an article to be published in 2020 (Wachter 2019), she highlights three possible legal challenges that arise as a result of affinity profiling in such advertising, by which she means the practice of grouping people according to assumed interests rather than their personal traits. Such assumed interests are effectively guessed based on individuals’ online data traces and habits, and this practice may give rise to legal concerns relating to privacy, non-discrimination and group level protection. Additional recommendations are likely to be included in the final output of the OxTEC due on the 16</w:t>
      </w:r>
      <w:r w:rsidRPr="005B5CB6">
        <w:rPr>
          <w:rFonts w:ascii="Verdana" w:eastAsia="Verdana" w:hAnsi="Verdana" w:cs="Verdana"/>
          <w:vertAlign w:val="superscript"/>
        </w:rPr>
        <w:t>th</w:t>
      </w:r>
      <w:r w:rsidRPr="005B5CB6">
        <w:rPr>
          <w:rFonts w:ascii="Verdana" w:eastAsia="Verdana" w:hAnsi="Verdana" w:cs="Verdana"/>
        </w:rPr>
        <w:t xml:space="preserve"> October.  </w:t>
      </w:r>
    </w:p>
    <w:p w:rsidR="00FB0B24" w:rsidRPr="005B5CB6" w:rsidP="001512F6">
      <w:pPr>
        <w:spacing w:after="0"/>
        <w:jc w:val="both"/>
        <w:rPr>
          <w:rFonts w:ascii="Verdana" w:hAnsi="Verdana"/>
        </w:rPr>
      </w:pPr>
      <w:r w:rsidRPr="005B5CB6">
        <w:rPr>
          <w:rFonts w:ascii="Verdana" w:eastAsia="Verdana" w:hAnsi="Verdana" w:cs="Verdana"/>
        </w:rPr>
        <w:t xml:space="preserve"> </w:t>
      </w:r>
      <w:r w:rsidRPr="005B5CB6">
        <w:rPr>
          <w:rFonts w:ascii="Verdana" w:eastAsia="Verdana" w:hAnsi="Verdana" w:cs="Verdana"/>
        </w:rPr>
        <w:tab/>
        <w:t xml:space="preserve">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i/>
        </w:rPr>
        <w:t xml:space="preserve">Privacy and anonymity </w:t>
      </w:r>
    </w:p>
    <w:p w:rsidR="00FB0B24" w:rsidRPr="005B5CB6" w:rsidP="00575F14">
      <w:pPr>
        <w:numPr>
          <w:ilvl w:val="2"/>
          <w:numId w:val="175"/>
        </w:numPr>
        <w:spacing w:after="5" w:line="250" w:lineRule="auto"/>
        <w:ind w:right="109" w:hanging="480"/>
        <w:jc w:val="both"/>
        <w:rPr>
          <w:rFonts w:ascii="Verdana" w:hAnsi="Verdana"/>
        </w:rPr>
      </w:pPr>
      <w:r w:rsidRPr="005B5CB6">
        <w:rPr>
          <w:rFonts w:ascii="Verdana" w:eastAsia="Verdana" w:hAnsi="Verdana" w:cs="Verdana"/>
        </w:rPr>
        <w:t xml:space="preserve">To what extent does increasing use of encrypted messaging and private groups present a challenge to the democratic process? </w:t>
      </w:r>
    </w:p>
    <w:p w:rsidR="00FB0B24" w:rsidRPr="005B5CB6" w:rsidP="001512F6">
      <w:pPr>
        <w:spacing w:after="0"/>
        <w:ind w:left="120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We do not currently have any research results to report on this question, but the 2019 RISJ Digital News Report does include a section on this question, albeit reporting on countries such as Brazil, India and South Africa where private messaging apps have become an increasingly important way of communicating and discussing news. Their data suggests that although </w:t>
      </w:r>
      <w:r w:rsidRPr="005B5CB6">
        <w:rPr>
          <w:rFonts w:ascii="Verdana" w:eastAsia="Verdana" w:hAnsi="Verdana" w:cs="Verdana"/>
        </w:rPr>
        <w:t xml:space="preserve">news group users do tend to be more partisan, just 8% of UK Internet users use Facebook groups for news and politics, and just 2% currently use WhatsApp groups for this purpose (Newman et al 2019, p. 19).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2"/>
          <w:numId w:val="176"/>
        </w:numPr>
        <w:spacing w:after="5" w:line="250" w:lineRule="auto"/>
        <w:ind w:right="11" w:hanging="8"/>
        <w:jc w:val="both"/>
        <w:rPr>
          <w:rFonts w:ascii="Verdana" w:hAnsi="Verdana"/>
        </w:rPr>
      </w:pPr>
      <w:r w:rsidRPr="005B5CB6">
        <w:rPr>
          <w:rFonts w:ascii="Verdana" w:eastAsia="Verdana" w:hAnsi="Verdana" w:cs="Verdana"/>
        </w:rPr>
        <w:t xml:space="preserve">What are the positive or negative effects of anonymity on online democratic discourse?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i/>
        </w:rPr>
        <w:t xml:space="preserve">Democratic debate </w:t>
      </w:r>
    </w:p>
    <w:p w:rsidR="00FB0B24" w:rsidRPr="005B5CB6" w:rsidP="00575F14">
      <w:pPr>
        <w:numPr>
          <w:ilvl w:val="2"/>
          <w:numId w:val="176"/>
        </w:numPr>
        <w:spacing w:after="5" w:line="250" w:lineRule="auto"/>
        <w:ind w:right="11" w:hanging="8"/>
        <w:jc w:val="both"/>
        <w:rPr>
          <w:rFonts w:ascii="Verdana" w:hAnsi="Verdana"/>
        </w:rPr>
      </w:pPr>
      <w:r w:rsidRPr="005B5CB6">
        <w:rPr>
          <w:rFonts w:ascii="Verdana" w:eastAsia="Verdana" w:hAnsi="Verdana" w:cs="Verdana"/>
        </w:rPr>
        <w:t xml:space="preserve">To what extent does social media negatively shape public debate, either through encouraging polarisation or through abuse deterring individuals from engaging in public life?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OII researchers Lisa-Maria Neudert and Nahema Marchal have produced a report for the European Parliament summarising research into social media and political polarisation (Neudert &amp; Marchal 2019). Their report identifies two key ways in which social media can encourage polarisation, namely through the technological design of platforms and apps, and by the explicit manipulation of political actors. Three counter-trends are also highlighted, however, suggesting that social media are not inherently polarising. Social media can be used to counter polarisation by enabling activism and political mobilisation, through their potential to nudge for positive political behaviours and engagements, and through advances in AI which may gradually promote better transparency and accountability.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2"/>
          <w:numId w:val="176"/>
        </w:numPr>
        <w:spacing w:after="5" w:line="250" w:lineRule="auto"/>
        <w:ind w:right="11" w:hanging="8"/>
        <w:jc w:val="both"/>
        <w:rPr>
          <w:rFonts w:ascii="Verdana" w:hAnsi="Verdana"/>
        </w:rPr>
      </w:pPr>
      <w:r w:rsidRPr="005B5CB6">
        <w:rPr>
          <w:rFonts w:ascii="Verdana" w:eastAsia="Verdana" w:hAnsi="Verdana" w:cs="Verdana"/>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The OII research project on </w:t>
      </w:r>
      <w:r>
        <w:fldChar w:fldCharType="begin"/>
      </w:r>
      <w:r>
        <w:instrText xml:space="preserve"> HYPERLINK "https://comprop.oii.ox.ac.uk/" </w:instrText>
      </w:r>
      <w:r>
        <w:fldChar w:fldCharType="separate"/>
      </w:r>
      <w:r w:rsidRPr="005B5CB6">
        <w:rPr>
          <w:rFonts w:ascii="Verdana" w:eastAsia="Verdana" w:hAnsi="Verdana" w:cs="Verdana"/>
          <w:u w:val="single" w:color="000000"/>
        </w:rPr>
        <w:t>Computational Propaganda</w:t>
      </w:r>
      <w:r>
        <w:fldChar w:fldCharType="end"/>
      </w:r>
      <w:r>
        <w:fldChar w:fldCharType="begin"/>
      </w:r>
      <w:r>
        <w:instrText xml:space="preserve"> HYPERLINK "https://comprop.oii.ox.ac.uk/"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has produced a substantial body of research identifying and measuring the spread of online disinformation. The most recent report provides an inventory of global organised social media manipulation, and provides evidence of such campaigns in 70 countries, including 28 where such tools are used to suppress human rights, discredit political opponents or squash dissent (Bradshaw &amp; Howard 2019). In relation to the UK, the report notes evidence of organised social media accounts being used to promote the government, promote the opposition, distract attention and encourage political division.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i/>
        </w:rPr>
        <w:t xml:space="preserve">Misinformation </w:t>
      </w:r>
    </w:p>
    <w:p w:rsidR="00FB0B24" w:rsidRPr="005B5CB6" w:rsidP="00575F14">
      <w:pPr>
        <w:numPr>
          <w:ilvl w:val="2"/>
          <w:numId w:val="176"/>
        </w:numPr>
        <w:spacing w:after="5" w:line="250" w:lineRule="auto"/>
        <w:ind w:right="11" w:hanging="8"/>
        <w:jc w:val="both"/>
        <w:rPr>
          <w:rFonts w:ascii="Verdana" w:hAnsi="Verdana"/>
        </w:rPr>
      </w:pPr>
      <w:r w:rsidRPr="005B5CB6">
        <w:rPr>
          <w:rFonts w:ascii="Verdana" w:eastAsia="Verdana" w:hAnsi="Verdana" w:cs="Verdana"/>
        </w:rPr>
        <w:t xml:space="preserve">What might be the best ways of reducing the effects of misinformation on social media platforms?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In addition to the report mentioned above, the OII has published two inventories of international policy approaches to tackling online disinformation and its political effects (Bradshaw et al 2019; Robinson et al 2019). These reports do not promote a particular policy intervention for tackling disinformation, but the array of strategies identified suggests that different policy responses may be appropriate in different political contexts </w:t>
      </w:r>
      <w:r w:rsidRPr="005B5CB6">
        <w:rPr>
          <w:rFonts w:ascii="Verdana" w:eastAsia="Verdana" w:hAnsi="Verdana" w:cs="Verdana"/>
        </w:rPr>
        <w:t xml:space="preserve">and cultures. It seems plausible that multiple interventions targeting different social and political actors, akin to a ‘public health’ approach will be necessary to tackle the problem.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i/>
        </w:rPr>
        <w:t xml:space="preserve">Moderation </w:t>
      </w:r>
    </w:p>
    <w:p w:rsidR="00FB0B24" w:rsidRPr="005B5CB6" w:rsidP="00575F14">
      <w:pPr>
        <w:numPr>
          <w:ilvl w:val="2"/>
          <w:numId w:val="176"/>
        </w:numPr>
        <w:spacing w:after="5" w:line="250" w:lineRule="auto"/>
        <w:ind w:right="11" w:hanging="8"/>
        <w:jc w:val="both"/>
        <w:rPr>
          <w:rFonts w:ascii="Verdana" w:hAnsi="Verdana"/>
        </w:rPr>
      </w:pPr>
      <w:r w:rsidRPr="005B5CB6">
        <w:rPr>
          <w:rFonts w:ascii="Verdana" w:eastAsia="Verdana" w:hAnsi="Verdana" w:cs="Verdana"/>
        </w:rPr>
        <w:t xml:space="preserve">How could the moderation processes of large technology companies be improved to better tackle abuse and misinformation, as well as helping public debate flourish? </w:t>
      </w:r>
    </w:p>
    <w:p w:rsidR="00FB0B24" w:rsidRPr="005B5CB6" w:rsidP="001512F6">
      <w:pPr>
        <w:spacing w:after="0"/>
        <w:jc w:val="both"/>
        <w:rPr>
          <w:rFonts w:ascii="Verdana" w:hAnsi="Verdana"/>
        </w:rPr>
      </w:pPr>
      <w:r w:rsidRPr="005B5CB6">
        <w:rPr>
          <w:rFonts w:ascii="Verdana" w:eastAsia="Verdana" w:hAnsi="Verdana" w:cs="Verdana"/>
        </w:rPr>
        <w:t xml:space="preserve"> </w:t>
      </w:r>
      <w:r w:rsidRPr="005B5CB6">
        <w:rPr>
          <w:rFonts w:ascii="Verdana" w:eastAsia="Verdana" w:hAnsi="Verdana" w:cs="Verdana"/>
          <w:i/>
        </w:rPr>
        <w:t xml:space="preserve">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i/>
        </w:rPr>
        <w:t xml:space="preserve">Technology and democratic engagement </w:t>
      </w:r>
    </w:p>
    <w:p w:rsidR="00FB0B24" w:rsidRPr="005B5CB6" w:rsidP="00575F14">
      <w:pPr>
        <w:numPr>
          <w:ilvl w:val="2"/>
          <w:numId w:val="176"/>
        </w:numPr>
        <w:spacing w:after="5" w:line="250" w:lineRule="auto"/>
        <w:ind w:right="11" w:hanging="8"/>
        <w:jc w:val="both"/>
        <w:rPr>
          <w:rFonts w:ascii="Verdana" w:hAnsi="Verdana"/>
        </w:rPr>
      </w:pPr>
      <w:r w:rsidRPr="005B5CB6">
        <w:rPr>
          <w:rFonts w:ascii="Verdana" w:eastAsia="Verdana" w:hAnsi="Verdana" w:cs="Verdana"/>
        </w:rPr>
        <w:t xml:space="preserve">How could the Government better support the positive work of civil society organisations using technology to facilitate engagement with democratic processes?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2"/>
          <w:numId w:val="176"/>
        </w:numPr>
        <w:spacing w:after="5" w:line="250" w:lineRule="auto"/>
        <w:ind w:right="11" w:hanging="8"/>
        <w:jc w:val="both"/>
        <w:rPr>
          <w:rFonts w:ascii="Verdana" w:hAnsi="Verdana"/>
        </w:rPr>
      </w:pPr>
      <w:r w:rsidRPr="005B5CB6">
        <w:rPr>
          <w:rFonts w:ascii="Verdana" w:eastAsia="Verdana" w:hAnsi="Verdana" w:cs="Verdana"/>
        </w:rPr>
        <w:t xml:space="preserve">How can elected representatives use technology to engage with the public in local and national decision making? What can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Parliament and Government do to better use technology to support democratic engagement and ensure the efficacy of the democratic process?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728" w:right="11" w:hanging="8"/>
        <w:jc w:val="both"/>
        <w:rPr>
          <w:rFonts w:ascii="Verdana" w:hAnsi="Verdana"/>
        </w:rPr>
      </w:pPr>
      <w:r w:rsidRPr="005B5CB6">
        <w:rPr>
          <w:rFonts w:ascii="Verdana" w:eastAsia="Verdana" w:hAnsi="Verdana" w:cs="Verdana"/>
        </w:rPr>
        <w:t xml:space="preserve">User-generated content on social media should be recognised as a potentially valuable source of information for gauging the public opinion on a policy or service provision. OII faculty research on social media discussion of Universal Credit (Bright, Margetts, Hale and Yasseri, 2014), as well as our analysis of all petition activity and content on the UK parliament petitioning website (Vidgen and Yasseri 2019) has demonstrated how information harvested from public discourse on social media could facilitate more informed policy making.  Given that research from our faculty indicate that there is an increase in the number and diversity of issues considered important by the public, digital channels offer flexible and responsive means for effectively engaging with an ever more fragmented public (Camargo, Hale, John and Margetts, 2018).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2"/>
          <w:numId w:val="176"/>
        </w:numPr>
        <w:spacing w:after="5" w:line="250" w:lineRule="auto"/>
        <w:ind w:right="11" w:hanging="8"/>
        <w:jc w:val="both"/>
        <w:rPr>
          <w:rFonts w:ascii="Verdana" w:hAnsi="Verdana"/>
        </w:rPr>
      </w:pPr>
      <w:r w:rsidRPr="005B5CB6">
        <w:rPr>
          <w:rFonts w:ascii="Verdana" w:eastAsia="Verdana" w:hAnsi="Verdana" w:cs="Verdana"/>
        </w:rPr>
        <w:t xml:space="preserve">What positive examples are there of technology being used to enhance democracy?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References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 xml:space="preserve">Bradshaw, S. &amp; Howard, P.H. (2019). </w:t>
      </w:r>
      <w:r w:rsidRPr="005B5CB6">
        <w:rPr>
          <w:rFonts w:ascii="Verdana" w:eastAsia="Verdana" w:hAnsi="Verdana" w:cs="Verdana"/>
          <w:i/>
        </w:rPr>
        <w:t>The Global Disinformation Disorder: 2019 Global Inventory of Organised Social Media Manipulation.</w:t>
      </w:r>
      <w:r w:rsidRPr="005B5CB6">
        <w:rPr>
          <w:rFonts w:ascii="Verdana" w:eastAsia="Verdana" w:hAnsi="Verdana" w:cs="Verdana"/>
        </w:rPr>
        <w:t xml:space="preserve"> Working Paper 2019.2. Oxford, UK: Project on Computational Propaganda.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 xml:space="preserve">Bradshaw, S., Neudert, L-M., &amp; Howard, P.H. (2019). </w:t>
      </w:r>
      <w:r w:rsidRPr="005B5CB6">
        <w:rPr>
          <w:rFonts w:ascii="Verdana" w:eastAsia="Verdana" w:hAnsi="Verdana" w:cs="Verdana"/>
          <w:i/>
        </w:rPr>
        <w:t>Government Responses to Malicious Use of Social Media.</w:t>
      </w:r>
      <w:r w:rsidRPr="005B5CB6">
        <w:rPr>
          <w:rFonts w:ascii="Verdana" w:eastAsia="Verdana" w:hAnsi="Verdana" w:cs="Verdana"/>
        </w:rPr>
        <w:t xml:space="preserve"> Working Paper 2019.2. Oxford, UK: Project on Computational Propaganda.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 xml:space="preserve">Bright, J., Margetts, H., Hale, S., &amp; Yasseri, T. (2014). </w:t>
      </w:r>
      <w:r w:rsidRPr="005B5CB6">
        <w:rPr>
          <w:rFonts w:ascii="Verdana" w:eastAsia="Verdana" w:hAnsi="Verdana" w:cs="Verdana"/>
          <w:i/>
        </w:rPr>
        <w:t>The use of social media for research and analysis: a feasibility study.</w:t>
      </w:r>
      <w:r w:rsidRPr="005B5CB6">
        <w:rPr>
          <w:rFonts w:ascii="Verdana" w:eastAsia="Verdana" w:hAnsi="Verdana" w:cs="Verdana"/>
        </w:rPr>
        <w:t xml:space="preserve"> A report of research carried out by the Oxford Internet Institute on behalf of the Department for Work and Pensions.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 xml:space="preserve">Camargo, C. Q., Hale, S. A., John, P., &amp; Margetts, H. Z. (2018). Volatility in the Issue Attention Economy. </w:t>
      </w:r>
      <w:r w:rsidRPr="005B5CB6">
        <w:rPr>
          <w:rFonts w:ascii="Verdana" w:eastAsia="Verdana" w:hAnsi="Verdana" w:cs="Verdana"/>
          <w:i/>
        </w:rPr>
        <w:t>arXiv preprint arXiv:1808.09037</w:t>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 xml:space="preserve">Dubois, E. &amp; Blank, G. (2018). The echo chamber is overstated: the moderating effect of political interest and diverse media. </w:t>
      </w:r>
      <w:r w:rsidRPr="005B5CB6">
        <w:rPr>
          <w:rFonts w:ascii="Verdana" w:eastAsia="Verdana" w:hAnsi="Verdana" w:cs="Verdana"/>
          <w:i/>
        </w:rPr>
        <w:t>Information, Communication &amp; Society</w:t>
      </w:r>
      <w:r w:rsidRPr="005B5CB6">
        <w:rPr>
          <w:rFonts w:ascii="Verdana" w:eastAsia="Verdana" w:hAnsi="Verdana" w:cs="Verdana"/>
        </w:rPr>
        <w:t xml:space="preserve">, 21:5, 729-745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 xml:space="preserve">Larke, L. R. (2019), Agentic neglect: Teachers as gatekeepers of England’s national computing curriculum. </w:t>
      </w:r>
      <w:r w:rsidRPr="005B5CB6">
        <w:rPr>
          <w:rFonts w:ascii="Verdana" w:eastAsia="Verdana" w:hAnsi="Verdana" w:cs="Verdana"/>
          <w:i/>
        </w:rPr>
        <w:t>British Journal of Education Technology</w:t>
      </w:r>
      <w:r w:rsidRPr="005B5CB6">
        <w:rPr>
          <w:rFonts w:ascii="Verdana" w:eastAsia="Verdana" w:hAnsi="Verdana" w:cs="Verdana"/>
        </w:rPr>
        <w:t xml:space="preserve">, 50: 1137-1150.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 xml:space="preserve">Margetts, H., John, P., Hale, S., &amp; Yasseri, T. (2015). </w:t>
      </w:r>
      <w:r w:rsidRPr="005B5CB6">
        <w:rPr>
          <w:rFonts w:ascii="Verdana" w:eastAsia="Verdana" w:hAnsi="Verdana" w:cs="Verdana"/>
          <w:i/>
        </w:rPr>
        <w:t>Political turbulence: How social media shape collective action</w:t>
      </w:r>
      <w:r w:rsidRPr="005B5CB6">
        <w:rPr>
          <w:rFonts w:ascii="Verdana" w:eastAsia="Verdana" w:hAnsi="Verdana" w:cs="Verdana"/>
        </w:rPr>
        <w:t xml:space="preserve">. Princeton University Press.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 xml:space="preserve">McElwee, L., &amp; Yasseri, T. (2017). Social Media, Money, and Politics: Campaign Finance in the 2016 US Congressional Cycle. </w:t>
      </w:r>
      <w:r w:rsidRPr="005B5CB6">
        <w:rPr>
          <w:rFonts w:ascii="Verdana" w:eastAsia="Verdana" w:hAnsi="Verdana" w:cs="Verdana"/>
          <w:i/>
        </w:rPr>
        <w:t>arXiv preprint arXiv:1711.10380</w:t>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right="764" w:hanging="10"/>
        <w:jc w:val="both"/>
        <w:rPr>
          <w:rFonts w:ascii="Verdana" w:hAnsi="Verdana"/>
        </w:rPr>
      </w:pPr>
      <w:r w:rsidRPr="005B5CB6">
        <w:rPr>
          <w:rFonts w:ascii="Verdana" w:eastAsia="Verdana" w:hAnsi="Verdana" w:cs="Verdana"/>
        </w:rPr>
        <w:t xml:space="preserve">Neudert, L-M., &amp; Marechal, N. (2019). </w:t>
      </w:r>
      <w:r w:rsidRPr="005B5CB6">
        <w:rPr>
          <w:rFonts w:ascii="Verdana" w:eastAsia="Verdana" w:hAnsi="Verdana" w:cs="Verdana"/>
          <w:i/>
        </w:rPr>
        <w:t>Polarisation and the use of technology in political campaigns and communication.</w:t>
      </w:r>
      <w:r w:rsidRPr="005B5CB6">
        <w:rPr>
          <w:rFonts w:ascii="Verdana" w:eastAsia="Verdana" w:hAnsi="Verdana" w:cs="Verdana"/>
        </w:rPr>
        <w:t xml:space="preserve"> Panel for the Future of Science and Technology, European Parliament.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Newman, N., Fletcher, R., Kalogeropuoulos, A., and Nielsen, R.K. (2019).</w:t>
      </w:r>
      <w:r w:rsidRPr="005B5CB6">
        <w:rPr>
          <w:rFonts w:ascii="Verdana" w:eastAsia="Verdana" w:hAnsi="Verdana" w:cs="Verdana"/>
          <w:i/>
        </w:rPr>
        <w:t xml:space="preserve"> Reuters Institute digital news report 2019. </w:t>
      </w:r>
      <w:r w:rsidRPr="005B5CB6">
        <w:rPr>
          <w:rFonts w:ascii="Verdana" w:eastAsia="Verdana" w:hAnsi="Verdana" w:cs="Verdana"/>
        </w:rPr>
        <w:t>Available at:</w:t>
      </w:r>
      <w:r>
        <w:fldChar w:fldCharType="begin"/>
      </w:r>
      <w:r>
        <w:instrText xml:space="preserve"> HYPERLINK "http://www.digitalnewsreport.org/" </w:instrText>
      </w:r>
      <w:r>
        <w:fldChar w:fldCharType="separate"/>
      </w:r>
      <w:r w:rsidRPr="005B5CB6">
        <w:rPr>
          <w:rFonts w:ascii="Verdana" w:eastAsia="Verdana" w:hAnsi="Verdana" w:cs="Verdana"/>
          <w:i/>
        </w:rPr>
        <w:t xml:space="preserve"> </w:t>
      </w:r>
      <w:r>
        <w:fldChar w:fldCharType="end"/>
      </w:r>
      <w:r>
        <w:fldChar w:fldCharType="begin"/>
      </w:r>
      <w:r>
        <w:instrText xml:space="preserve"> HYPERLINK "http://www.digitalnewsreport.org/" </w:instrText>
      </w:r>
      <w:r>
        <w:fldChar w:fldCharType="separate"/>
      </w:r>
      <w:r w:rsidRPr="005B5CB6">
        <w:rPr>
          <w:rFonts w:ascii="Verdana" w:eastAsia="Verdana" w:hAnsi="Verdana" w:cs="Verdana"/>
          <w:u w:val="single" w:color="000000"/>
        </w:rPr>
        <w:t>http://www.digitalnewsreport.org/</w:t>
      </w:r>
      <w:r>
        <w:fldChar w:fldCharType="end"/>
      </w:r>
      <w:r>
        <w:fldChar w:fldCharType="begin"/>
      </w:r>
      <w:r>
        <w:instrText xml:space="preserve"> HYPERLINK "http://www.digitalnewsreport.org/" </w:instrText>
      </w:r>
      <w:r>
        <w:fldChar w:fldCharType="separate"/>
      </w:r>
      <w:r w:rsidRPr="005B5CB6">
        <w:rPr>
          <w:rFonts w:ascii="Verdana" w:eastAsia="Verdana" w:hAnsi="Verdana" w:cs="Verdana"/>
          <w:i/>
        </w:rPr>
        <w:t xml:space="preserve"> </w:t>
      </w:r>
      <w:r>
        <w:fldChar w:fldCharType="end"/>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 xml:space="preserve">Newman, N., Fletcher, R., Kalogeropuoulos, A., Levy, D.A.L., and Nielsen, R.K. (2017). </w:t>
      </w:r>
      <w:r w:rsidRPr="005B5CB6">
        <w:rPr>
          <w:rFonts w:ascii="Verdana" w:eastAsia="Verdana" w:hAnsi="Verdana" w:cs="Verdana"/>
          <w:i/>
        </w:rPr>
        <w:t xml:space="preserve">Reuters Institute digital news report 2017. </w:t>
      </w:r>
      <w:r w:rsidRPr="005B5CB6">
        <w:rPr>
          <w:rFonts w:ascii="Verdana" w:eastAsia="Verdana" w:hAnsi="Verdana" w:cs="Verdana"/>
        </w:rPr>
        <w:t xml:space="preserve">Available at: </w:t>
      </w:r>
      <w:r>
        <w:fldChar w:fldCharType="begin"/>
      </w:r>
      <w:r>
        <w:instrText xml:space="preserve"> HYPERLINK "http://www.digitalnewsreport.org/" </w:instrText>
      </w:r>
      <w:r>
        <w:fldChar w:fldCharType="separate"/>
      </w:r>
      <w:r w:rsidRPr="005B5CB6">
        <w:rPr>
          <w:rFonts w:ascii="Verdana" w:eastAsia="Verdana" w:hAnsi="Verdana" w:cs="Verdana"/>
          <w:u w:val="single" w:color="000000"/>
        </w:rPr>
        <w:t>http://www.digitalnewsreport.org/</w:t>
      </w:r>
      <w:r>
        <w:fldChar w:fldCharType="end"/>
      </w:r>
      <w:r>
        <w:fldChar w:fldCharType="begin"/>
      </w:r>
      <w:r>
        <w:instrText xml:space="preserve"> HYPERLINK "http://www.digitalnewsreport.org/" </w:instrText>
      </w:r>
      <w:r>
        <w:fldChar w:fldCharType="separate"/>
      </w:r>
      <w:r w:rsidRPr="005B5CB6">
        <w:rPr>
          <w:rFonts w:ascii="Verdana" w:eastAsia="Verdana" w:hAnsi="Verdana" w:cs="Verdana"/>
          <w:i/>
        </w:rPr>
        <w:t xml:space="preserve"> </w:t>
      </w:r>
      <w:r>
        <w:fldChar w:fldCharType="end"/>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 xml:space="preserve">Robinson, O., Coleman, A., &amp; Sardarizadeh, S. (2019). </w:t>
      </w:r>
      <w:r w:rsidRPr="005B5CB6">
        <w:rPr>
          <w:rFonts w:ascii="Verdana" w:eastAsia="Verdana" w:hAnsi="Verdana" w:cs="Verdana"/>
          <w:i/>
        </w:rPr>
        <w:t xml:space="preserve">A report of anti-disinformation initiatives. </w:t>
      </w:r>
      <w:r w:rsidRPr="005B5CB6">
        <w:rPr>
          <w:rFonts w:ascii="Verdana" w:eastAsia="Verdana" w:hAnsi="Verdana" w:cs="Verdana"/>
        </w:rPr>
        <w:t xml:space="preserve">OxTEC, </w:t>
      </w:r>
    </w:p>
    <w:p w:rsidR="00FB0B24" w:rsidRPr="005B5CB6" w:rsidP="001512F6">
      <w:pPr>
        <w:spacing w:after="0" w:line="249" w:lineRule="auto"/>
        <w:ind w:left="-4" w:hanging="10"/>
        <w:jc w:val="both"/>
        <w:rPr>
          <w:rFonts w:ascii="Verdana" w:hAnsi="Verdana"/>
        </w:rPr>
      </w:pPr>
      <w:r w:rsidRPr="005B5CB6">
        <w:rPr>
          <w:rFonts w:ascii="Verdana" w:eastAsia="Verdana" w:hAnsi="Verdana" w:cs="Verdana"/>
        </w:rPr>
        <w:t xml:space="preserve">University of Oxford. Available at: </w:t>
      </w:r>
      <w:r>
        <w:fldChar w:fldCharType="begin"/>
      </w:r>
      <w:r>
        <w:instrText xml:space="preserve"> HYPERLINK "https://oxtec.oii.ox.ac.uk/wp-content/uploads/sites/115/2019/08/OxTEC-Anti-Disinformation-Initiatives-1.pdf" </w:instrText>
      </w:r>
      <w:r>
        <w:fldChar w:fldCharType="separate"/>
      </w:r>
      <w:r w:rsidRPr="005B5CB6">
        <w:rPr>
          <w:rFonts w:ascii="Verdana" w:eastAsia="Verdana" w:hAnsi="Verdana" w:cs="Verdana"/>
          <w:u w:val="single" w:color="000000"/>
        </w:rPr>
        <w:t>https://oxtec.oii.ox.ac.uk/wp-content/uploads/sites/115/2019/08/OxTEC</w:t>
      </w:r>
      <w:r>
        <w:fldChar w:fldCharType="end"/>
      </w:r>
      <w:r>
        <w:fldChar w:fldCharType="begin"/>
      </w:r>
      <w:r>
        <w:instrText xml:space="preserve"> HYPERLINK "https://oxtec.oii.ox.ac.uk/wp-content/uploads/sites/115/2019/08/OxTEC-Anti-Disinformation-Initiatives-1.pdf" </w:instrText>
      </w:r>
      <w:r>
        <w:fldChar w:fldCharType="separate"/>
      </w:r>
      <w:r w:rsidRPr="005B5CB6">
        <w:rPr>
          <w:rFonts w:ascii="Verdana" w:eastAsia="Verdana" w:hAnsi="Verdana" w:cs="Verdana"/>
          <w:u w:val="single" w:color="000000"/>
        </w:rPr>
        <w:t>Anti-Disinformation-Initiatives-1.pdf</w:t>
      </w:r>
      <w:r>
        <w:fldChar w:fldCharType="end"/>
      </w:r>
      <w:r>
        <w:fldChar w:fldCharType="begin"/>
      </w:r>
      <w:r>
        <w:instrText xml:space="preserve"> HYPERLINK "https://oxtec.oii.ox.ac.uk/wp-content/uploads/sites/115/2019/08/OxTEC-Anti-Disinformation-Initiatives-1.pdf"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3" w:line="249" w:lineRule="auto"/>
        <w:ind w:left="-4" w:hanging="10"/>
        <w:jc w:val="both"/>
        <w:rPr>
          <w:rFonts w:ascii="Verdana" w:hAnsi="Verdana"/>
        </w:rPr>
      </w:pPr>
      <w:r w:rsidRPr="005B5CB6">
        <w:rPr>
          <w:rFonts w:ascii="Verdana" w:eastAsia="Verdana" w:hAnsi="Verdana" w:cs="Verdana"/>
        </w:rPr>
        <w:t xml:space="preserve">Thwaite, A. (2019). </w:t>
      </w:r>
      <w:r w:rsidRPr="005B5CB6">
        <w:rPr>
          <w:rFonts w:ascii="Verdana" w:eastAsia="Verdana" w:hAnsi="Verdana" w:cs="Verdana"/>
          <w:i/>
        </w:rPr>
        <w:t xml:space="preserve">Literature review on elections, political campaigning and democracy. OxTEC, University of </w:t>
      </w:r>
    </w:p>
    <w:p w:rsidR="00FB0B24" w:rsidRPr="005B5CB6" w:rsidP="001512F6">
      <w:pPr>
        <w:spacing w:after="0" w:line="249" w:lineRule="auto"/>
        <w:ind w:left="-4" w:hanging="10"/>
        <w:jc w:val="both"/>
        <w:rPr>
          <w:rFonts w:ascii="Verdana" w:hAnsi="Verdana"/>
        </w:rPr>
      </w:pPr>
      <w:r w:rsidRPr="005B5CB6">
        <w:rPr>
          <w:rFonts w:ascii="Verdana" w:eastAsia="Verdana" w:hAnsi="Verdana" w:cs="Verdana"/>
          <w:i/>
        </w:rPr>
        <w:t>Oxford.</w:t>
      </w:r>
      <w:r w:rsidRPr="005B5CB6">
        <w:rPr>
          <w:rFonts w:ascii="Verdana" w:eastAsia="Verdana" w:hAnsi="Verdana" w:cs="Verdana"/>
        </w:rPr>
        <w:t xml:space="preserve"> Available at: </w:t>
      </w:r>
      <w:r>
        <w:fldChar w:fldCharType="begin"/>
      </w:r>
      <w:r>
        <w:instrText xml:space="preserve"> HYPERLINK "https://oxtec.oii.ox.ac.uk/wp-content/uploads/sites/115/2019/09/OxTEC-Literature-Review-Alice-Thwaite-Report-25-09-19.pdf" </w:instrText>
      </w:r>
      <w:r>
        <w:fldChar w:fldCharType="separate"/>
      </w:r>
      <w:r w:rsidRPr="005B5CB6">
        <w:rPr>
          <w:rFonts w:ascii="Verdana" w:eastAsia="Verdana" w:hAnsi="Verdana" w:cs="Verdana"/>
          <w:u w:val="single" w:color="000000"/>
        </w:rPr>
        <w:t>https://oxtec.oii.ox.ac.uk/wp-content/uploads/sites/115/2019/09/OxTEC-Literature</w:t>
      </w:r>
      <w:r>
        <w:fldChar w:fldCharType="end"/>
      </w:r>
      <w:r>
        <w:fldChar w:fldCharType="begin"/>
      </w:r>
      <w:r>
        <w:instrText xml:space="preserve"> HYPERLINK "https://oxtec.oii.ox.ac.uk/wp-content/uploads/sites/115/2019/09/OxTEC-Literature-Review-Alice-Thwaite-Report-25-09-19.pdf" </w:instrText>
      </w:r>
      <w:r>
        <w:fldChar w:fldCharType="separate"/>
      </w:r>
      <w:r w:rsidRPr="005B5CB6">
        <w:rPr>
          <w:rFonts w:ascii="Verdana" w:eastAsia="Verdana" w:hAnsi="Verdana" w:cs="Verdana"/>
          <w:u w:val="single" w:color="000000"/>
        </w:rPr>
        <w:t>Review-Alice-Thwaite-Report-25-09-19.pdf</w:t>
      </w:r>
      <w:r>
        <w:fldChar w:fldCharType="end"/>
      </w:r>
      <w:r>
        <w:fldChar w:fldCharType="begin"/>
      </w:r>
      <w:r>
        <w:instrText xml:space="preserve"> HYPERLINK "https://oxtec.oii.ox.ac.uk/wp-content/uploads/sites/115/2019/09/OxTEC-Literature-Review-Alice-Thwaite-Report-25-09-19.pdf"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 xml:space="preserve">Vidgen, B., &amp; Yasseri, T. (2019). What, When and Where of petitions submitted to the UK Government during a time of chaos. </w:t>
      </w:r>
      <w:r w:rsidRPr="005B5CB6">
        <w:rPr>
          <w:rFonts w:ascii="Verdana" w:eastAsia="Verdana" w:hAnsi="Verdana" w:cs="Verdana"/>
          <w:i/>
        </w:rPr>
        <w:t>arXiv preprint arXiv:1907.01536</w:t>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 xml:space="preserve">Wachter, S. (forthcoming). Affinity profiling and discrimination by association in online behavioural advertising. </w:t>
      </w:r>
      <w:r w:rsidRPr="005B5CB6">
        <w:rPr>
          <w:rFonts w:ascii="Verdana" w:eastAsia="Verdana" w:hAnsi="Verdana" w:cs="Verdana"/>
          <w:i/>
        </w:rPr>
        <w:t>Berkeley Technology Law Journal</w:t>
      </w:r>
      <w:r w:rsidRPr="005B5CB6">
        <w:rPr>
          <w:rFonts w:ascii="Verdana" w:eastAsia="Verdana" w:hAnsi="Verdana" w:cs="Verdana"/>
        </w:rPr>
        <w:t xml:space="preserve">, 35:2.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4" w:line="249" w:lineRule="auto"/>
        <w:ind w:left="-2" w:hanging="10"/>
        <w:jc w:val="both"/>
        <w:rPr>
          <w:rFonts w:ascii="Verdana" w:hAnsi="Verdana"/>
        </w:rPr>
      </w:pPr>
      <w:r w:rsidRPr="005B5CB6">
        <w:rPr>
          <w:rFonts w:ascii="Verdana" w:eastAsia="Verdana" w:hAnsi="Verdana" w:cs="Verdana"/>
        </w:rPr>
        <w:t xml:space="preserve">Wilkins, S., Davies, H. &amp; Eynon, R. (2017). Addressing digital inequalities amongst young people: conflicting discourses and complex outcomes. </w:t>
      </w:r>
      <w:r w:rsidRPr="005B5CB6">
        <w:rPr>
          <w:rFonts w:ascii="Verdana" w:eastAsia="Verdana" w:hAnsi="Verdana" w:cs="Verdana"/>
          <w:i/>
        </w:rPr>
        <w:t>Oxford Review of Education</w:t>
      </w:r>
      <w:r w:rsidRPr="005B5CB6">
        <w:rPr>
          <w:rFonts w:ascii="Verdana" w:eastAsia="Verdana" w:hAnsi="Verdana" w:cs="Verdana"/>
        </w:rPr>
        <w:t xml:space="preserve">, 43:3, 332-347.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3" w:line="249" w:lineRule="auto"/>
        <w:ind w:left="-2" w:right="256" w:hanging="10"/>
        <w:jc w:val="both"/>
        <w:rPr>
          <w:rFonts w:ascii="Verdana" w:hAnsi="Verdana"/>
        </w:rPr>
      </w:pPr>
      <w:r w:rsidRPr="005B5CB6">
        <w:rPr>
          <w:rFonts w:ascii="Verdana" w:eastAsia="Verdana" w:hAnsi="Verdana" w:cs="Verdana"/>
        </w:rPr>
        <w:t xml:space="preserve">Yasseri, T., Hale, S. A., &amp; Margetts, H. Z. (2017). Rapid rise and decay in petition signing. </w:t>
      </w:r>
      <w:r w:rsidRPr="005B5CB6">
        <w:rPr>
          <w:rFonts w:ascii="Verdana" w:eastAsia="Verdana" w:hAnsi="Verdana" w:cs="Verdana"/>
          <w:i/>
        </w:rPr>
        <w:t>EPJ Data Science</w:t>
      </w:r>
      <w:r w:rsidRPr="005B5CB6">
        <w:rPr>
          <w:rFonts w:ascii="Verdana" w:eastAsia="Verdana" w:hAnsi="Verdana" w:cs="Verdana"/>
        </w:rPr>
        <w:t xml:space="preserve">, </w:t>
      </w:r>
      <w:r w:rsidRPr="005B5CB6">
        <w:rPr>
          <w:rFonts w:ascii="Verdana" w:eastAsia="Verdana" w:hAnsi="Verdana" w:cs="Verdana"/>
          <w:i/>
        </w:rPr>
        <w:t>6</w:t>
      </w:r>
      <w:r w:rsidRPr="005B5CB6">
        <w:rPr>
          <w:rFonts w:ascii="Verdana" w:eastAsia="Verdana" w:hAnsi="Verdana" w:cs="Verdana"/>
        </w:rPr>
        <w:t xml:space="preserve">(1), 20.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D20189">
          <w:headerReference w:type="even" r:id="rId292"/>
          <w:headerReference w:type="default" r:id="rId293"/>
          <w:footerReference w:type="even" r:id="rId294"/>
          <w:footerReference w:type="default" r:id="rId295"/>
          <w:headerReference w:type="first" r:id="rId296"/>
          <w:footerReference w:type="first" r:id="rId297"/>
          <w:pgSz w:w="11906" w:h="16838"/>
          <w:pgMar w:top="1478" w:right="1443" w:bottom="1494" w:left="1440" w:header="720" w:footer="709" w:gutter="0"/>
          <w:cols w:space="720"/>
        </w:sectPr>
      </w:pPr>
    </w:p>
    <w:p w:rsidR="00FB0B24" w:rsidRPr="005B5CB6" w:rsidP="001512F6">
      <w:pPr>
        <w:spacing w:after="688"/>
        <w:jc w:val="both"/>
        <w:rPr>
          <w:rFonts w:ascii="Verdana" w:hAnsi="Verdana"/>
        </w:rPr>
      </w:pPr>
      <w:r w:rsidRPr="005B5CB6">
        <w:rPr>
          <w:rFonts w:ascii="Verdana" w:hAnsi="Verdana"/>
        </w:rPr>
        <w:t xml:space="preserve"> </w:t>
      </w:r>
    </w:p>
    <w:p w:rsidR="00FB0B24" w:rsidRPr="005B5CB6" w:rsidP="00A1624B">
      <w:pPr>
        <w:pStyle w:val="Heading1"/>
        <w:rPr>
          <w:sz w:val="22"/>
        </w:rPr>
      </w:pPr>
      <w:bookmarkStart w:id="52" w:name="_Toc44517740"/>
      <w:r w:rsidRPr="005B5CB6">
        <w:rPr>
          <w:sz w:val="22"/>
        </w:rPr>
        <w:t>Open University Submission – written evidence (DAD0061)</w:t>
      </w:r>
      <w:bookmarkEnd w:id="52"/>
      <w:r w:rsidRPr="005B5CB6">
        <w:rPr>
          <w:sz w:val="22"/>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Executive Summary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77"/>
        </w:numPr>
        <w:spacing w:after="5" w:line="249" w:lineRule="auto"/>
        <w:ind w:left="342" w:right="12" w:hanging="341"/>
        <w:jc w:val="both"/>
        <w:rPr>
          <w:rFonts w:ascii="Verdana" w:hAnsi="Verdana"/>
        </w:rPr>
      </w:pPr>
      <w:r w:rsidRPr="005B5CB6">
        <w:rPr>
          <w:rFonts w:ascii="Verdana" w:eastAsia="Verdana" w:hAnsi="Verdana" w:cs="Verdana"/>
        </w:rPr>
        <w:t>The Open University (OU) welcomes the Committee’s inquiry into digital technologies. This written submission constitutes the informed take by OU research Harith Alani focused on the questions related to misinformation (</w:t>
      </w:r>
      <w:r w:rsidRPr="005B5CB6">
        <w:rPr>
          <w:rFonts w:ascii="Verdana" w:eastAsia="Verdana" w:hAnsi="Verdana" w:cs="Verdana"/>
          <w:b/>
        </w:rPr>
        <w:t>Q2, 10, and 11 in the Call for Evidence</w:t>
      </w:r>
      <w:r w:rsidRPr="005B5CB6">
        <w:rPr>
          <w:rFonts w:ascii="Verdana" w:eastAsia="Verdana" w:hAnsi="Verdana" w:cs="Verdana"/>
        </w:rPr>
        <w:t xml:space="preserve">). </w:t>
      </w:r>
      <w:r w:rsidRPr="005B5CB6">
        <w:rPr>
          <w:rFonts w:ascii="Verdana" w:eastAsia="Verdana" w:hAnsi="Verdana" w:cs="Verdana"/>
          <w:b/>
        </w:rPr>
        <w:t xml:space="preserve"> </w:t>
      </w:r>
    </w:p>
    <w:p w:rsidR="00FB0B24" w:rsidRPr="005B5CB6" w:rsidP="001512F6">
      <w:pPr>
        <w:spacing w:after="0"/>
        <w:ind w:left="341"/>
        <w:jc w:val="both"/>
        <w:rPr>
          <w:rFonts w:ascii="Verdana" w:hAnsi="Verdana"/>
        </w:rPr>
      </w:pPr>
      <w:r w:rsidRPr="005B5CB6">
        <w:rPr>
          <w:rFonts w:ascii="Verdana" w:eastAsia="Verdana" w:hAnsi="Verdana" w:cs="Verdana"/>
          <w:b/>
        </w:rPr>
        <w:t xml:space="preserve"> </w:t>
      </w:r>
    </w:p>
    <w:p w:rsidR="00FB0B24" w:rsidRPr="005B5CB6" w:rsidP="00575F14">
      <w:pPr>
        <w:numPr>
          <w:ilvl w:val="0"/>
          <w:numId w:val="177"/>
        </w:numPr>
        <w:spacing w:after="5" w:line="250" w:lineRule="auto"/>
        <w:ind w:left="342" w:right="12" w:hanging="341"/>
        <w:jc w:val="both"/>
        <w:rPr>
          <w:rFonts w:ascii="Verdana" w:hAnsi="Verdana"/>
        </w:rPr>
      </w:pPr>
      <w:r w:rsidRPr="005B5CB6">
        <w:rPr>
          <w:rFonts w:ascii="Verdana" w:eastAsia="Verdana" w:hAnsi="Verdana" w:cs="Verdana"/>
        </w:rPr>
        <w:t xml:space="preserve">Based on the evidence from the OU’s reseach on misinformation, the following policy recommendations are made: </w:t>
      </w:r>
    </w:p>
    <w:p w:rsidR="00FB0B24" w:rsidRPr="005B5CB6" w:rsidP="00575F14">
      <w:pPr>
        <w:numPr>
          <w:ilvl w:val="1"/>
          <w:numId w:val="177"/>
        </w:numPr>
        <w:spacing w:after="5" w:line="249" w:lineRule="auto"/>
        <w:ind w:right="11" w:hanging="360"/>
        <w:jc w:val="both"/>
        <w:rPr>
          <w:rFonts w:ascii="Verdana" w:hAnsi="Verdana"/>
        </w:rPr>
      </w:pPr>
      <w:r w:rsidRPr="005B5CB6">
        <w:rPr>
          <w:rFonts w:ascii="Verdana" w:eastAsia="Verdana" w:hAnsi="Verdana" w:cs="Verdana"/>
          <w:b/>
        </w:rPr>
        <w:t>Support interdisciplinary research on misinformation</w:t>
      </w:r>
      <w:r w:rsidRPr="005B5CB6">
        <w:rPr>
          <w:rFonts w:ascii="Verdana" w:eastAsia="Verdana" w:hAnsi="Verdana" w:cs="Verdana"/>
        </w:rPr>
        <w:t xml:space="preserve">, to produce easy to use, accurate, unbiased, transparent, co-created, and explainable AI algorithms and tools to reduce the spread and impact of misinformation; </w:t>
      </w:r>
    </w:p>
    <w:p w:rsidR="00FB0B24" w:rsidRPr="005B5CB6" w:rsidP="00575F14">
      <w:pPr>
        <w:numPr>
          <w:ilvl w:val="1"/>
          <w:numId w:val="177"/>
        </w:numPr>
        <w:spacing w:after="5" w:line="250" w:lineRule="auto"/>
        <w:ind w:right="11" w:hanging="360"/>
        <w:jc w:val="both"/>
        <w:rPr>
          <w:rFonts w:ascii="Verdana" w:hAnsi="Verdana"/>
        </w:rPr>
      </w:pPr>
      <w:r w:rsidRPr="005B5CB6">
        <w:rPr>
          <w:rFonts w:ascii="Verdana" w:eastAsia="Verdana" w:hAnsi="Verdana" w:cs="Verdana"/>
          <w:b/>
        </w:rPr>
        <w:t>Support research on automated methods</w:t>
      </w:r>
      <w:r w:rsidRPr="005B5CB6">
        <w:rPr>
          <w:rFonts w:ascii="Verdana" w:eastAsia="Verdana" w:hAnsi="Verdana" w:cs="Verdana"/>
        </w:rPr>
        <w:t xml:space="preserve"> to determine the social values associated with, or targetted by, misinformation;  </w:t>
      </w:r>
    </w:p>
    <w:p w:rsidR="00FB0B24" w:rsidRPr="005B5CB6" w:rsidP="00575F14">
      <w:pPr>
        <w:numPr>
          <w:ilvl w:val="1"/>
          <w:numId w:val="177"/>
        </w:numPr>
        <w:spacing w:after="5" w:line="250" w:lineRule="auto"/>
        <w:ind w:right="11" w:hanging="360"/>
        <w:jc w:val="both"/>
        <w:rPr>
          <w:rFonts w:ascii="Verdana" w:hAnsi="Verdana"/>
        </w:rPr>
      </w:pPr>
      <w:r w:rsidRPr="005B5CB6">
        <w:rPr>
          <w:rFonts w:ascii="Verdana" w:eastAsia="Verdana" w:hAnsi="Verdana" w:cs="Verdana"/>
          <w:b/>
        </w:rPr>
        <w:t>Invest in the development of tools and campaigns to raise people’s awareness</w:t>
      </w:r>
      <w:r w:rsidRPr="005B5CB6">
        <w:rPr>
          <w:rFonts w:ascii="Verdana" w:eastAsia="Verdana" w:hAnsi="Verdana" w:cs="Verdana"/>
        </w:rPr>
        <w:t xml:space="preserve"> to their consumption of, and exposure to, misinformation; </w:t>
      </w:r>
    </w:p>
    <w:p w:rsidR="00FB0B24" w:rsidRPr="005B5CB6" w:rsidP="00575F14">
      <w:pPr>
        <w:numPr>
          <w:ilvl w:val="1"/>
          <w:numId w:val="177"/>
        </w:numPr>
        <w:spacing w:after="5" w:line="249" w:lineRule="auto"/>
        <w:ind w:right="11" w:hanging="360"/>
        <w:jc w:val="both"/>
        <w:rPr>
          <w:rFonts w:ascii="Verdana" w:hAnsi="Verdana"/>
        </w:rPr>
      </w:pPr>
      <w:r w:rsidRPr="005B5CB6">
        <w:rPr>
          <w:rFonts w:ascii="Verdana" w:eastAsia="Verdana" w:hAnsi="Verdana" w:cs="Verdana"/>
          <w:b/>
        </w:rPr>
        <w:t>Review the publishing of manipulated information</w:t>
      </w:r>
      <w:r w:rsidRPr="005B5CB6">
        <w:rPr>
          <w:rFonts w:ascii="Verdana" w:eastAsia="Verdana" w:hAnsi="Verdana" w:cs="Verdana"/>
        </w:rPr>
        <w:t xml:space="preserve"> by traditional media and public figures and its correlation with misinformation propagation on social media;  </w:t>
      </w:r>
    </w:p>
    <w:p w:rsidR="00FB0B24" w:rsidRPr="005B5CB6" w:rsidP="00575F14">
      <w:pPr>
        <w:numPr>
          <w:ilvl w:val="1"/>
          <w:numId w:val="177"/>
        </w:numPr>
        <w:spacing w:after="5" w:line="250" w:lineRule="auto"/>
        <w:ind w:right="11" w:hanging="360"/>
        <w:jc w:val="both"/>
        <w:rPr>
          <w:rFonts w:ascii="Verdana" w:hAnsi="Verdana"/>
        </w:rPr>
      </w:pPr>
      <w:r w:rsidRPr="005B5CB6">
        <w:rPr>
          <w:rFonts w:ascii="Verdana" w:eastAsia="Verdana" w:hAnsi="Verdana" w:cs="Verdana"/>
          <w:b/>
        </w:rPr>
        <w:t>Support the research and development of mechanisms to leverage the outcomes of legitimate fact checkers</w:t>
      </w:r>
      <w:r w:rsidRPr="005B5CB6">
        <w:rPr>
          <w:rFonts w:ascii="Verdana" w:eastAsia="Verdana" w:hAnsi="Verdana" w:cs="Verdana"/>
        </w:rPr>
        <w:t xml:space="preserve"> to curb the spread of misinformation on social media platforms. </w:t>
      </w:r>
      <w:r w:rsidRPr="005B5CB6">
        <w:rPr>
          <w:rFonts w:ascii="Verdana" w:eastAsia="Verdana" w:hAnsi="Verdana" w:cs="Verdana"/>
          <w:b/>
        </w:rPr>
        <w:t xml:space="preserve">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1512F6">
      <w:pPr>
        <w:spacing w:after="228" w:line="250" w:lineRule="auto"/>
        <w:ind w:left="11" w:hanging="10"/>
        <w:jc w:val="both"/>
        <w:rPr>
          <w:rFonts w:ascii="Verdana" w:hAnsi="Verdana"/>
        </w:rPr>
      </w:pPr>
      <w:r w:rsidRPr="005B5CB6">
        <w:rPr>
          <w:rFonts w:ascii="Verdana" w:eastAsia="Verdana" w:hAnsi="Verdana" w:cs="Verdana"/>
          <w:b/>
        </w:rPr>
        <w:t xml:space="preserve">Background on The Open University </w:t>
      </w:r>
    </w:p>
    <w:p w:rsidR="00FB0B24" w:rsidRPr="005B5CB6" w:rsidP="00575F14">
      <w:pPr>
        <w:numPr>
          <w:ilvl w:val="0"/>
          <w:numId w:val="177"/>
        </w:numPr>
        <w:spacing w:after="5" w:line="249" w:lineRule="auto"/>
        <w:ind w:left="342" w:right="12" w:hanging="341"/>
        <w:jc w:val="both"/>
        <w:rPr>
          <w:rFonts w:ascii="Verdana" w:hAnsi="Verdana"/>
        </w:rPr>
      </w:pPr>
      <w:r w:rsidRPr="005B5CB6">
        <w:rPr>
          <w:rFonts w:ascii="Verdana" w:eastAsia="Verdana" w:hAnsi="Verdana" w:cs="Verdana"/>
        </w:rPr>
        <w:t>The author of this submission, Harith Alani</w:t>
      </w:r>
      <w:r>
        <w:rPr>
          <w:rFonts w:ascii="Verdana" w:eastAsia="Verdana" w:hAnsi="Verdana" w:cs="Verdana"/>
          <w:vertAlign w:val="superscript"/>
        </w:rPr>
        <w:footnoteReference w:id="276"/>
      </w:r>
      <w:r w:rsidRPr="005B5CB6">
        <w:rPr>
          <w:rFonts w:ascii="Verdana" w:eastAsia="Verdana" w:hAnsi="Verdana" w:cs="Verdana"/>
        </w:rPr>
        <w:t>, is Professor of Web Science at the Knowledge Media institute, The Open University, where he leads the multidisciplinary Social Data Science group. His research is focused on studying various social phenomena on the Web to better understand their patterns and dynamics and to research, develop, and assess appropriate socio-technical solutions. He is currently the OU Principal Investigator on Co-Inform;</w:t>
      </w:r>
      <w:r>
        <w:rPr>
          <w:rFonts w:ascii="Verdana" w:eastAsia="Verdana" w:hAnsi="Verdana" w:cs="Verdana"/>
          <w:vertAlign w:val="superscript"/>
        </w:rPr>
        <w:footnoteReference w:id="277"/>
      </w:r>
      <w:r w:rsidRPr="005B5CB6">
        <w:rPr>
          <w:rFonts w:ascii="Verdana" w:eastAsia="Verdana" w:hAnsi="Verdana" w:cs="Verdana"/>
        </w:rPr>
        <w:t xml:space="preserve"> a €4M international research project funded by the European Commission to study and co-create tools for tackling online misinformation.   </w:t>
      </w:r>
    </w:p>
    <w:p w:rsidR="00FB0B24" w:rsidRPr="005B5CB6" w:rsidP="001512F6">
      <w:pPr>
        <w:spacing w:after="0"/>
        <w:ind w:left="34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Question 2</w:t>
      </w:r>
      <w:r w:rsidRPr="005B5CB6">
        <w:rPr>
          <w:rFonts w:ascii="Verdana" w:eastAsia="Verdana" w:hAnsi="Verdana" w:cs="Verdana"/>
        </w:rPr>
        <w:t xml:space="preserve">: </w:t>
      </w:r>
      <w:r w:rsidRPr="005B5CB6">
        <w:rPr>
          <w:rFonts w:ascii="Verdana" w:eastAsia="Verdana" w:hAnsi="Verdana" w:cs="Verdana"/>
          <w:b/>
        </w:rPr>
        <w:t>How have the design of algorithms used by social media platforms shaped democratic debate? To what extent should there be greater accountability for the design of these algorithms?</w:t>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77"/>
        </w:numPr>
        <w:spacing w:after="371" w:line="249" w:lineRule="auto"/>
        <w:ind w:left="342" w:right="12" w:hanging="341"/>
        <w:jc w:val="both"/>
        <w:rPr>
          <w:rFonts w:ascii="Verdana" w:hAnsi="Verdana"/>
        </w:rPr>
      </w:pPr>
      <w:r w:rsidRPr="005B5CB6">
        <w:rPr>
          <w:rFonts w:ascii="Verdana" w:eastAsia="Verdana" w:hAnsi="Verdana" w:cs="Verdana"/>
        </w:rPr>
        <w:t xml:space="preserve">These algorithms are designed specifically to help users find similar content to what they usually view or search for, and thus to strengthen and extend their engagement on the social media platform. A side effect of this is that the algorithms promote content which tends to strengthen users’ prior opinions,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9733" name="Group 56973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123" name="Shape 63612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75" style="height:0.72pt;mso-position-horizontal-relative:char;mso-position-vertical-relative:line;width:2in" coordsize="18288,91">
                <v:shape id="_x0000_s1276"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188" w:line="250" w:lineRule="auto"/>
        <w:ind w:left="349" w:right="11" w:hanging="8"/>
        <w:jc w:val="both"/>
        <w:rPr>
          <w:rFonts w:ascii="Verdana" w:hAnsi="Verdana"/>
        </w:rPr>
      </w:pPr>
      <w:r w:rsidRPr="005B5CB6">
        <w:rPr>
          <w:rFonts w:ascii="Verdana" w:eastAsia="Verdana" w:hAnsi="Verdana" w:cs="Verdana"/>
        </w:rPr>
        <w:t xml:space="preserve">confirm their biases, and reduce their exposure to counter opinions. Therefore, the algorithms have an unintended effect in polarising users’ views.  </w:t>
      </w:r>
    </w:p>
    <w:p w:rsidR="00FB0B24" w:rsidRPr="005B5CB6" w:rsidP="00575F14">
      <w:pPr>
        <w:numPr>
          <w:ilvl w:val="0"/>
          <w:numId w:val="177"/>
        </w:numPr>
        <w:spacing w:after="186" w:line="249" w:lineRule="auto"/>
        <w:ind w:left="342" w:right="12" w:hanging="341"/>
        <w:jc w:val="both"/>
        <w:rPr>
          <w:rFonts w:ascii="Verdana" w:hAnsi="Verdana"/>
        </w:rPr>
      </w:pPr>
      <w:r w:rsidRPr="005B5CB6">
        <w:rPr>
          <w:rFonts w:ascii="Verdana" w:eastAsia="Verdana" w:hAnsi="Verdana" w:cs="Verdana"/>
        </w:rPr>
        <w:t xml:space="preserve">Designing algorithms that recommend related but countering opinions could be one way of tackling this issue, although these are more difficult to develop in some cases where opinions are not binary since the parameters by which content can be deemed countering are diverse (opposing opinions, alternative views, opinions from other groups, experts, cultures, etc.) and often are difficult to automatically determine.  </w:t>
      </w:r>
    </w:p>
    <w:p w:rsidR="00FB0B24" w:rsidRPr="005B5CB6" w:rsidP="00575F14">
      <w:pPr>
        <w:numPr>
          <w:ilvl w:val="0"/>
          <w:numId w:val="177"/>
        </w:numPr>
        <w:spacing w:after="188" w:line="249" w:lineRule="auto"/>
        <w:ind w:left="342" w:right="12" w:hanging="341"/>
        <w:jc w:val="both"/>
        <w:rPr>
          <w:rFonts w:ascii="Verdana" w:hAnsi="Verdana"/>
        </w:rPr>
      </w:pPr>
      <w:r w:rsidRPr="005B5CB6">
        <w:rPr>
          <w:rFonts w:ascii="Verdana" w:eastAsia="Verdana" w:hAnsi="Verdana" w:cs="Verdana"/>
        </w:rPr>
        <w:t xml:space="preserve">One undesirable consequence of creating </w:t>
      </w:r>
      <w:r w:rsidRPr="005B5CB6">
        <w:rPr>
          <w:rFonts w:ascii="Verdana" w:eastAsia="Verdana" w:hAnsi="Verdana" w:cs="Verdana"/>
          <w:i/>
        </w:rPr>
        <w:t>countering content recommendation algorithms</w:t>
      </w:r>
      <w:r w:rsidRPr="005B5CB6">
        <w:rPr>
          <w:rFonts w:ascii="Verdana" w:eastAsia="Verdana" w:hAnsi="Verdana" w:cs="Verdana"/>
        </w:rPr>
        <w:t xml:space="preserve"> could be the recommendation of content that opposes facts, common sense, and our social and democratic values. There is evidence that social values impact the shareability of misinformation.</w:t>
      </w:r>
      <w:r>
        <w:rPr>
          <w:rFonts w:ascii="Verdana" w:eastAsia="Verdana" w:hAnsi="Verdana" w:cs="Verdana"/>
          <w:vertAlign w:val="superscript"/>
        </w:rPr>
        <w:footnoteReference w:id="278"/>
      </w:r>
      <w:r w:rsidRPr="005B5CB6">
        <w:rPr>
          <w:rFonts w:ascii="Verdana" w:eastAsia="Verdana" w:hAnsi="Verdana" w:cs="Verdana"/>
        </w:rPr>
        <w:t xml:space="preserve"> Hence the design of such AI algorithms needs to account for such parameters, to preserve and reinforce such values, and to finally move beyond the mere goal of engaging users at all costs; a strategy often followed by social media platforms. However, much further research is needed to create algorithms that are able to detect such values in online content, to take social values into account when recommending content, and to increase the explainability of their output to users.  </w:t>
      </w:r>
    </w:p>
    <w:p w:rsidR="00FB0B24" w:rsidRPr="005B5CB6" w:rsidP="001512F6">
      <w:pPr>
        <w:spacing w:after="188" w:line="250" w:lineRule="auto"/>
        <w:ind w:left="11" w:hanging="10"/>
        <w:jc w:val="both"/>
        <w:rPr>
          <w:rFonts w:ascii="Verdana" w:hAnsi="Verdana"/>
        </w:rPr>
      </w:pPr>
      <w:r w:rsidRPr="005B5CB6">
        <w:rPr>
          <w:rFonts w:ascii="Verdana" w:eastAsia="Verdana" w:hAnsi="Verdana" w:cs="Verdana"/>
          <w:b/>
        </w:rPr>
        <w:t>Question 10</w:t>
      </w:r>
      <w:r w:rsidRPr="005B5CB6">
        <w:rPr>
          <w:rFonts w:ascii="Verdana" w:eastAsia="Verdana" w:hAnsi="Verdana" w:cs="Verdana"/>
        </w:rPr>
        <w:t xml:space="preserve">. </w:t>
      </w:r>
      <w:r w:rsidRPr="005B5CB6">
        <w:rPr>
          <w:rFonts w:ascii="Verdana" w:eastAsia="Verdana" w:hAnsi="Verdana" w:cs="Verdana"/>
          <w:b/>
        </w:rPr>
        <w:t>What might be the best ways of reducing the effects of misinformation on social media platforms?</w:t>
      </w:r>
      <w:r w:rsidRPr="005B5CB6">
        <w:rPr>
          <w:rFonts w:ascii="Verdana" w:eastAsia="Verdana" w:hAnsi="Verdana" w:cs="Verdana"/>
        </w:rPr>
        <w:t xml:space="preserve"> </w:t>
      </w:r>
    </w:p>
    <w:p w:rsidR="00FB0B24" w:rsidRPr="005B5CB6" w:rsidP="00575F14">
      <w:pPr>
        <w:numPr>
          <w:ilvl w:val="0"/>
          <w:numId w:val="177"/>
        </w:numPr>
        <w:spacing w:after="189" w:line="249" w:lineRule="auto"/>
        <w:ind w:left="342" w:right="12" w:hanging="341"/>
        <w:jc w:val="both"/>
        <w:rPr>
          <w:rFonts w:ascii="Verdana" w:hAnsi="Verdana"/>
        </w:rPr>
      </w:pPr>
      <w:r w:rsidRPr="005B5CB6">
        <w:rPr>
          <w:rFonts w:ascii="Verdana" w:eastAsia="Verdana" w:hAnsi="Verdana" w:cs="Verdana"/>
        </w:rPr>
        <w:t xml:space="preserve">Social media has no doubt created a haven for the rapid spread of misinformation. Multiple mechanisms are required to reduce this highly damaging phenomenon, all of which require much further research and development. This includes AI tools to: </w:t>
      </w:r>
    </w:p>
    <w:p w:rsidR="00FB0B24" w:rsidRPr="005B5CB6" w:rsidP="00575F14">
      <w:pPr>
        <w:numPr>
          <w:ilvl w:val="1"/>
          <w:numId w:val="177"/>
        </w:numPr>
        <w:spacing w:after="5" w:line="250" w:lineRule="auto"/>
        <w:ind w:right="11" w:hanging="360"/>
        <w:jc w:val="both"/>
        <w:rPr>
          <w:rFonts w:ascii="Verdana" w:hAnsi="Verdana"/>
        </w:rPr>
      </w:pPr>
      <w:r w:rsidRPr="005B5CB6">
        <w:rPr>
          <w:rFonts w:ascii="Verdana" w:eastAsia="Verdana" w:hAnsi="Verdana" w:cs="Verdana"/>
        </w:rPr>
        <w:t xml:space="preserve">Detect and remove or demote misinforming content; </w:t>
      </w:r>
    </w:p>
    <w:p w:rsidR="00FB0B24" w:rsidRPr="005B5CB6" w:rsidP="00575F14">
      <w:pPr>
        <w:numPr>
          <w:ilvl w:val="1"/>
          <w:numId w:val="177"/>
        </w:numPr>
        <w:spacing w:after="5" w:line="250" w:lineRule="auto"/>
        <w:ind w:right="11" w:hanging="360"/>
        <w:jc w:val="both"/>
        <w:rPr>
          <w:rFonts w:ascii="Verdana" w:hAnsi="Verdana"/>
        </w:rPr>
      </w:pPr>
      <w:r w:rsidRPr="005B5CB6">
        <w:rPr>
          <w:rFonts w:ascii="Verdana" w:eastAsia="Verdana" w:hAnsi="Verdana" w:cs="Verdana"/>
        </w:rPr>
        <w:t xml:space="preserve">Match and promote content from fact-checkers when and where relevant; </w:t>
      </w:r>
    </w:p>
    <w:p w:rsidR="00FB0B24" w:rsidRPr="005B5CB6" w:rsidP="00575F14">
      <w:pPr>
        <w:numPr>
          <w:ilvl w:val="1"/>
          <w:numId w:val="177"/>
        </w:numPr>
        <w:spacing w:after="5" w:line="250" w:lineRule="auto"/>
        <w:ind w:right="11" w:hanging="360"/>
        <w:jc w:val="both"/>
        <w:rPr>
          <w:rFonts w:ascii="Verdana" w:hAnsi="Verdana"/>
        </w:rPr>
      </w:pPr>
      <w:r w:rsidRPr="005B5CB6">
        <w:rPr>
          <w:rFonts w:ascii="Verdana" w:eastAsia="Verdana" w:hAnsi="Verdana" w:cs="Verdana"/>
        </w:rPr>
        <w:t>Raise the awareness of individual users to their own interactions and exposure to misinformation in their own social networks;</w:t>
      </w:r>
      <w:r>
        <w:rPr>
          <w:rFonts w:ascii="Verdana" w:eastAsia="Verdana" w:hAnsi="Verdana" w:cs="Verdana"/>
          <w:vertAlign w:val="superscript"/>
        </w:rPr>
        <w:footnoteReference w:id="279"/>
      </w:r>
      <w:r w:rsidRPr="005B5CB6">
        <w:rPr>
          <w:rFonts w:ascii="Verdana" w:eastAsia="Verdana" w:hAnsi="Verdana" w:cs="Verdana"/>
        </w:rPr>
        <w:t xml:space="preserve"> </w:t>
      </w:r>
    </w:p>
    <w:p w:rsidR="00FB0B24" w:rsidRPr="005B5CB6" w:rsidP="00575F14">
      <w:pPr>
        <w:numPr>
          <w:ilvl w:val="1"/>
          <w:numId w:val="177"/>
        </w:numPr>
        <w:spacing w:after="5" w:line="249" w:lineRule="auto"/>
        <w:ind w:right="11" w:hanging="360"/>
        <w:jc w:val="both"/>
        <w:rPr>
          <w:rFonts w:ascii="Verdana" w:hAnsi="Verdana"/>
        </w:rPr>
      </w:pPr>
      <w:r w:rsidRPr="005B5CB6">
        <w:rPr>
          <w:rFonts w:ascii="Verdana" w:eastAsia="Verdana" w:hAnsi="Verdana" w:cs="Verdana"/>
        </w:rPr>
        <w:t xml:space="preserve">Provide users with embedded tools to quickly, easily, and reliably verify information, to detect, correct, and perhaps block social media group pages that spread harmful misinformation; </w:t>
      </w:r>
    </w:p>
    <w:p w:rsidR="00FB0B24" w:rsidRPr="005B5CB6" w:rsidP="00575F14">
      <w:pPr>
        <w:numPr>
          <w:ilvl w:val="1"/>
          <w:numId w:val="177"/>
        </w:numPr>
        <w:spacing w:after="5" w:line="250" w:lineRule="auto"/>
        <w:ind w:right="11" w:hanging="360"/>
        <w:jc w:val="both"/>
        <w:rPr>
          <w:rFonts w:ascii="Verdana" w:hAnsi="Verdana"/>
        </w:rPr>
      </w:pPr>
      <w:r w:rsidRPr="005B5CB6">
        <w:rPr>
          <w:rFonts w:ascii="Verdana" w:eastAsia="Verdana" w:hAnsi="Verdana" w:cs="Verdana"/>
        </w:rPr>
        <w:t xml:space="preserve">Discourage users from uploading and/or sharing misinforming content.  </w:t>
      </w:r>
    </w:p>
    <w:p w:rsidR="00FB0B24" w:rsidRPr="005B5CB6" w:rsidP="001512F6">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177"/>
        </w:numPr>
        <w:spacing w:after="5" w:line="249" w:lineRule="auto"/>
        <w:ind w:left="342" w:right="12" w:hanging="341"/>
        <w:jc w:val="both"/>
        <w:rPr>
          <w:rFonts w:ascii="Verdana" w:hAnsi="Verdana"/>
        </w:rPr>
      </w:pPr>
      <w:r w:rsidRPr="005B5CB6">
        <w:rPr>
          <w:rFonts w:ascii="Verdana" w:eastAsia="Verdana" w:hAnsi="Verdana" w:cs="Verdana"/>
        </w:rPr>
        <w:t xml:space="preserve">Although many social media platforms are researching and experimenting with some of the ideas above, their methods tend to be non-transparent, and their attention is often more focused on specific issues and topics (e.g., US politics, Russian propaganda, and certain types of extremism).  </w:t>
      </w:r>
    </w:p>
    <w:p w:rsidR="00FB0B24" w:rsidRPr="005B5CB6" w:rsidP="001512F6">
      <w:pPr>
        <w:spacing w:after="0"/>
        <w:ind w:left="341"/>
        <w:jc w:val="both"/>
        <w:rPr>
          <w:rFonts w:ascii="Verdana" w:hAnsi="Verdana"/>
        </w:rPr>
      </w:pPr>
      <w:r w:rsidRPr="005B5CB6">
        <w:rPr>
          <w:rFonts w:ascii="Verdana" w:eastAsia="Verdana" w:hAnsi="Verdana" w:cs="Verdana"/>
        </w:rPr>
        <w:t xml:space="preserve"> </w:t>
      </w:r>
    </w:p>
    <w:p w:rsidR="00FB0B24" w:rsidRPr="005B5CB6" w:rsidP="00575F14">
      <w:pPr>
        <w:numPr>
          <w:ilvl w:val="0"/>
          <w:numId w:val="177"/>
        </w:numPr>
        <w:spacing w:after="395" w:line="250" w:lineRule="auto"/>
        <w:ind w:left="342" w:right="12" w:hanging="341"/>
        <w:jc w:val="both"/>
        <w:rPr>
          <w:rFonts w:ascii="Verdana" w:hAnsi="Verdana"/>
        </w:rPr>
      </w:pPr>
      <w:r w:rsidRPr="005B5CB6">
        <w:rPr>
          <w:rFonts w:ascii="Verdana" w:eastAsia="Verdana" w:hAnsi="Verdana" w:cs="Verdana"/>
        </w:rPr>
        <w:t xml:space="preserve">Much research has been carried out in recent years to develop AI algorithms and tools for detecting misinformation and to understand their dynamics.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9303" name="Group 56930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125" name="Shape 63612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77" style="height:0.72pt;mso-position-horizontal-relative:char;mso-position-vertical-relative:line;width:2in" coordsize="18288,91">
                <v:shape id="_x0000_s127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5" w:line="250" w:lineRule="auto"/>
        <w:ind w:left="349" w:right="11" w:hanging="8"/>
        <w:jc w:val="both"/>
        <w:rPr>
          <w:rFonts w:ascii="Verdana" w:hAnsi="Verdana"/>
        </w:rPr>
      </w:pPr>
      <w:r w:rsidRPr="005B5CB6">
        <w:rPr>
          <w:rFonts w:ascii="Verdana" w:eastAsia="Verdana" w:hAnsi="Verdana" w:cs="Verdana"/>
        </w:rPr>
        <w:t>Nevertheless, such technologies are often designed and developed with very little involvement of end-users and other stakeholders.</w:t>
      </w:r>
      <w:r>
        <w:rPr>
          <w:rFonts w:ascii="Verdana" w:eastAsia="Verdana" w:hAnsi="Verdana" w:cs="Verdana"/>
          <w:vertAlign w:val="superscript"/>
        </w:rPr>
        <w:footnoteReference w:id="280"/>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77"/>
        </w:numPr>
        <w:spacing w:after="5" w:line="249" w:lineRule="auto"/>
        <w:ind w:left="342" w:right="12" w:hanging="341"/>
        <w:jc w:val="both"/>
        <w:rPr>
          <w:rFonts w:ascii="Verdana" w:hAnsi="Verdana"/>
        </w:rPr>
      </w:pPr>
      <w:r w:rsidRPr="005B5CB6">
        <w:rPr>
          <w:rFonts w:ascii="Verdana" w:eastAsia="Verdana" w:hAnsi="Verdana" w:cs="Verdana"/>
        </w:rPr>
        <w:t>Using registered fact checkers’ expertise, opinion, and verification outcomes is certainly beneficial to acquire appropriate and trusted assessments of information. These assessments are often published by the fact checkers in the form of articles on their websites, as well as in machine-processible format using the ClaimReview schema,</w:t>
      </w:r>
      <w:r>
        <w:rPr>
          <w:rFonts w:ascii="Verdana" w:eastAsia="Verdana" w:hAnsi="Verdana" w:cs="Verdana"/>
          <w:vertAlign w:val="superscript"/>
        </w:rPr>
        <w:footnoteReference w:id="281"/>
      </w:r>
      <w:r w:rsidRPr="005B5CB6">
        <w:rPr>
          <w:rFonts w:ascii="Verdana" w:eastAsia="Verdana" w:hAnsi="Verdana" w:cs="Verdana"/>
        </w:rPr>
        <w:t xml:space="preserve"> which enables search engines to easily recognise it and to use it in their search results. However, there are a number of related challenges that hinder the use of such output for reducing misinformation on social media, such as: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177"/>
        </w:numPr>
        <w:spacing w:after="5" w:line="249" w:lineRule="auto"/>
        <w:ind w:right="11" w:hanging="360"/>
        <w:jc w:val="both"/>
        <w:rPr>
          <w:rFonts w:ascii="Verdana" w:hAnsi="Verdana"/>
        </w:rPr>
      </w:pPr>
      <w:r w:rsidRPr="005B5CB6">
        <w:rPr>
          <w:rFonts w:ascii="Verdana" w:eastAsia="Verdana" w:hAnsi="Verdana" w:cs="Verdana"/>
        </w:rPr>
        <w:t xml:space="preserve">Lack of mechanisms that bridge between the verification results of fact checkers, and the spread and consumption of related misinformation on social media platforms;  </w:t>
      </w:r>
    </w:p>
    <w:p w:rsidR="00FB0B24" w:rsidRPr="005B5CB6" w:rsidP="00575F14">
      <w:pPr>
        <w:numPr>
          <w:ilvl w:val="1"/>
          <w:numId w:val="177"/>
        </w:numPr>
        <w:spacing w:after="5" w:line="249" w:lineRule="auto"/>
        <w:ind w:right="11" w:hanging="360"/>
        <w:jc w:val="both"/>
        <w:rPr>
          <w:rFonts w:ascii="Verdana" w:hAnsi="Verdana"/>
        </w:rPr>
      </w:pPr>
      <w:r w:rsidRPr="005B5CB6">
        <w:rPr>
          <w:rFonts w:ascii="Verdana" w:eastAsia="Verdana" w:hAnsi="Verdana" w:cs="Verdana"/>
        </w:rPr>
        <w:t xml:space="preserve">In spite of much academic literature in the field, it remains unclear which scalable and computational intervention techniques should be used, under what conditions, and for which category and profile of users, to reduce their exposure and interaction with misinformaiton;  </w:t>
      </w:r>
    </w:p>
    <w:p w:rsidR="00FB0B24" w:rsidRPr="005B5CB6" w:rsidP="00575F14">
      <w:pPr>
        <w:numPr>
          <w:ilvl w:val="1"/>
          <w:numId w:val="177"/>
        </w:numPr>
        <w:spacing w:after="5" w:line="250" w:lineRule="auto"/>
        <w:ind w:right="11" w:hanging="360"/>
        <w:jc w:val="both"/>
        <w:rPr>
          <w:rFonts w:ascii="Verdana" w:hAnsi="Verdana"/>
        </w:rPr>
      </w:pPr>
      <w:r w:rsidRPr="005B5CB6">
        <w:rPr>
          <w:rFonts w:ascii="Verdana" w:eastAsia="Verdana" w:hAnsi="Verdana" w:cs="Verdana"/>
        </w:rPr>
        <w:t>There is evidence that the assessments provided by multiple organisations to the same content or information source can be inconsistent;</w:t>
      </w:r>
      <w:r>
        <w:rPr>
          <w:rFonts w:ascii="Verdana" w:eastAsia="Verdana" w:hAnsi="Verdana" w:cs="Verdana"/>
          <w:vertAlign w:val="superscript"/>
        </w:rPr>
        <w:footnoteReference w:id="282"/>
      </w:r>
      <w:r w:rsidRPr="005B5CB6">
        <w:rPr>
          <w:rFonts w:ascii="Verdana" w:eastAsia="Verdana" w:hAnsi="Verdana" w:cs="Verdana"/>
        </w:rPr>
        <w:t xml:space="preserve"> </w:t>
      </w:r>
    </w:p>
    <w:p w:rsidR="00FB0B24" w:rsidRPr="005B5CB6" w:rsidP="00575F14">
      <w:pPr>
        <w:numPr>
          <w:ilvl w:val="1"/>
          <w:numId w:val="177"/>
        </w:numPr>
        <w:spacing w:after="5" w:line="250" w:lineRule="auto"/>
        <w:ind w:right="11" w:hanging="360"/>
        <w:jc w:val="both"/>
        <w:rPr>
          <w:rFonts w:ascii="Verdana" w:hAnsi="Verdana"/>
        </w:rPr>
      </w:pPr>
      <w:r w:rsidRPr="005B5CB6">
        <w:rPr>
          <w:rFonts w:ascii="Verdana" w:eastAsia="Verdana" w:hAnsi="Verdana" w:cs="Verdana"/>
        </w:rPr>
        <w:t xml:space="preserve">The verification labels used by fact checkers vary significantly, thus comparing or merging their assessment results is chalenging.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Question 11</w:t>
      </w:r>
      <w:r w:rsidRPr="005B5CB6">
        <w:rPr>
          <w:rFonts w:ascii="Verdana" w:eastAsia="Verdana" w:hAnsi="Verdana" w:cs="Verdana"/>
        </w:rPr>
        <w:t xml:space="preserve">. </w:t>
      </w:r>
      <w:r w:rsidRPr="005B5CB6">
        <w:rPr>
          <w:rFonts w:ascii="Verdana" w:eastAsia="Verdana" w:hAnsi="Verdana" w:cs="Verdana"/>
          <w:b/>
        </w:rPr>
        <w:t xml:space="preserve">How could the moderation processes of large technology companies be improved to better tackle abuse and misinformation, as well as helping public debate flourish?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78"/>
        </w:numPr>
        <w:spacing w:after="189" w:line="249" w:lineRule="auto"/>
        <w:ind w:left="342" w:right="12" w:hanging="341"/>
        <w:jc w:val="both"/>
        <w:rPr>
          <w:rFonts w:ascii="Verdana" w:hAnsi="Verdana"/>
        </w:rPr>
      </w:pPr>
      <w:r w:rsidRPr="005B5CB6">
        <w:rPr>
          <w:rFonts w:ascii="Verdana" w:eastAsia="Verdana" w:hAnsi="Verdana" w:cs="Verdana"/>
        </w:rPr>
        <w:t xml:space="preserve">There is no doubt that social media technology companies can do more to tackle the problem, and there is good evidence that some of them (especially the biggest companies who are the ones under the most pressure) are taking many positive steps in that direction. However, it is also important to acknowledge that the </w:t>
      </w:r>
      <w:r w:rsidRPr="005B5CB6">
        <w:rPr>
          <w:rFonts w:ascii="Verdana" w:eastAsia="Verdana" w:hAnsi="Verdana" w:cs="Verdana"/>
        </w:rPr>
        <w:t xml:space="preserve">solution to this problem is extremely complex, and many of its relevant sociotechnical issues remain to be not well understood. Further, open, and well organised support and collaboration with researchers in academia and beyond is necessary to establish such solutions.  </w:t>
      </w:r>
    </w:p>
    <w:p w:rsidR="00FB0B24" w:rsidRPr="005B5CB6" w:rsidP="00575F14">
      <w:pPr>
        <w:numPr>
          <w:ilvl w:val="0"/>
          <w:numId w:val="178"/>
        </w:numPr>
        <w:spacing w:after="162" w:line="249" w:lineRule="auto"/>
        <w:ind w:left="342" w:right="12" w:hanging="341"/>
        <w:jc w:val="both"/>
        <w:rPr>
          <w:rFonts w:ascii="Verdana" w:hAnsi="Verdana"/>
        </w:rPr>
      </w:pPr>
      <w:r w:rsidRPr="005B5CB6">
        <w:rPr>
          <w:rFonts w:ascii="Verdana" w:eastAsia="Verdana" w:hAnsi="Verdana" w:cs="Verdana"/>
        </w:rPr>
        <w:t xml:space="preserve">Currently, the pressure to moderate is unequally applied to some technology companies and not to others. Furthermore, while the pressure is increasing on social media companies, there does not seem to be any similar pressures applied to traditional media. It is well known that some traditional media regularly misrepresent information, wrap facts with many layers of subjective or unverifiable information, or author information in a carefully chosen way to reinforce certain biased views. It is therefore unclear how impactful the regulation of social media would be when other media can publish misrepresented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68581" name="Group 56858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127" name="Shape 63612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79" style="height:0.72pt;mso-position-horizontal-relative:char;mso-position-vertical-relative:line;width:2in" coordsize="18288,91">
                <v:shape id="_x0000_s1280"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189" w:line="249" w:lineRule="auto"/>
        <w:ind w:left="350" w:right="12" w:hanging="9"/>
        <w:jc w:val="both"/>
        <w:rPr>
          <w:rFonts w:ascii="Verdana" w:hAnsi="Verdana"/>
        </w:rPr>
      </w:pPr>
      <w:r w:rsidRPr="005B5CB6">
        <w:rPr>
          <w:rFonts w:ascii="Verdana" w:eastAsia="Verdana" w:hAnsi="Verdana" w:cs="Verdana"/>
        </w:rPr>
        <w:t xml:space="preserve">information regularly. There is currently very little research on understanding and measuring this impact and on tracking where misinformation originates and how it propagates across various media platforms.  </w:t>
      </w:r>
    </w:p>
    <w:p w:rsidR="00FB0B24" w:rsidRPr="005B5CB6" w:rsidP="00575F14">
      <w:pPr>
        <w:numPr>
          <w:ilvl w:val="0"/>
          <w:numId w:val="178"/>
        </w:numPr>
        <w:spacing w:after="189" w:line="249" w:lineRule="auto"/>
        <w:ind w:left="342" w:right="12" w:hanging="341"/>
        <w:jc w:val="both"/>
        <w:rPr>
          <w:rFonts w:ascii="Verdana" w:hAnsi="Verdana"/>
        </w:rPr>
      </w:pPr>
      <w:r w:rsidRPr="005B5CB6">
        <w:rPr>
          <w:rFonts w:ascii="Verdana" w:eastAsia="Verdana" w:hAnsi="Verdana" w:cs="Verdana"/>
        </w:rPr>
        <w:t xml:space="preserve">There is evidence that some influencing politicians in the UK frequently spread information on social media that was published by unreliable and biased sources. If politicians, journalists, and media organisations, are not put under similar moderation processes and pressures, are not held accountable to sharing misinformation, then it is unclear how effective our efforts will be in tackling misinformation at the societal level. </w:t>
      </w:r>
    </w:p>
    <w:p w:rsidR="00FB0B24" w:rsidRPr="005B5CB6" w:rsidP="001512F6">
      <w:pPr>
        <w:spacing w:after="0"/>
        <w:ind w:left="341"/>
        <w:jc w:val="both"/>
        <w:rPr>
          <w:rFonts w:ascii="Verdana" w:hAnsi="Verdana"/>
        </w:rPr>
      </w:pPr>
      <w:r w:rsidRPr="005B5CB6">
        <w:rPr>
          <w:rFonts w:ascii="Verdana" w:eastAsia="Verdana" w:hAnsi="Verdana" w:cs="Verdana"/>
          <w:b/>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spacing w:after="0"/>
        <w:ind w:left="341"/>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About The Open University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179"/>
        </w:numPr>
        <w:spacing w:after="5" w:line="249" w:lineRule="auto"/>
        <w:ind w:left="342" w:right="12" w:hanging="341"/>
        <w:jc w:val="both"/>
        <w:rPr>
          <w:rFonts w:ascii="Verdana" w:hAnsi="Verdana"/>
        </w:rPr>
      </w:pPr>
      <w:r w:rsidRPr="005B5CB6">
        <w:rPr>
          <w:rFonts w:ascii="Verdana" w:eastAsia="Verdana" w:hAnsi="Verdana" w:cs="Verdana"/>
        </w:rPr>
        <w:t xml:space="preserve">The OU’s mission is to be </w:t>
      </w:r>
      <w:r w:rsidRPr="005B5CB6">
        <w:rPr>
          <w:rFonts w:ascii="Verdana" w:eastAsia="Verdana" w:hAnsi="Verdana" w:cs="Verdana"/>
          <w:i/>
        </w:rPr>
        <w:t>Open to people, places, methods and ideas</w:t>
      </w:r>
      <w:r w:rsidRPr="005B5CB6">
        <w:rPr>
          <w:rFonts w:ascii="Verdana" w:eastAsia="Verdana" w:hAnsi="Verdana" w:cs="Verdana"/>
        </w:rPr>
        <w:t xml:space="preserve">. For most of our undergraduate qualifications there are no academic entry requirements. We believe students should have the opportunity to succeed irrespective of their previous experiences of education.  </w:t>
      </w:r>
    </w:p>
    <w:p w:rsidR="00FB0B24" w:rsidRPr="005B5CB6" w:rsidP="001512F6">
      <w:pPr>
        <w:spacing w:after="0"/>
        <w:ind w:left="358"/>
        <w:jc w:val="both"/>
        <w:rPr>
          <w:rFonts w:ascii="Verdana" w:hAnsi="Verdana"/>
        </w:rPr>
      </w:pPr>
      <w:r w:rsidRPr="005B5CB6">
        <w:rPr>
          <w:rFonts w:ascii="Verdana" w:eastAsia="Verdana" w:hAnsi="Verdana" w:cs="Verdana"/>
        </w:rPr>
        <w:t xml:space="preserve"> </w:t>
      </w:r>
    </w:p>
    <w:p w:rsidR="00FB0B24" w:rsidRPr="005B5CB6" w:rsidP="00575F14">
      <w:pPr>
        <w:numPr>
          <w:ilvl w:val="0"/>
          <w:numId w:val="179"/>
        </w:numPr>
        <w:spacing w:after="5" w:line="250" w:lineRule="auto"/>
        <w:ind w:left="342" w:right="12" w:hanging="341"/>
        <w:jc w:val="both"/>
        <w:rPr>
          <w:rFonts w:ascii="Verdana" w:hAnsi="Verdana"/>
        </w:rPr>
      </w:pPr>
      <w:r w:rsidRPr="005B5CB6">
        <w:rPr>
          <w:rFonts w:ascii="Verdana" w:eastAsia="Verdana" w:hAnsi="Verdana" w:cs="Verdana"/>
        </w:rPr>
        <w:t xml:space="preserve">The OU operates across all four nations of the UK and has 175,000 students. We teach four in ten part-time UK undergraduates (41%).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79"/>
        </w:numPr>
        <w:spacing w:after="5" w:line="249" w:lineRule="auto"/>
        <w:ind w:left="342" w:right="12" w:hanging="341"/>
        <w:jc w:val="both"/>
        <w:rPr>
          <w:rFonts w:ascii="Verdana" w:hAnsi="Verdana"/>
        </w:rPr>
      </w:pPr>
      <w:r w:rsidRPr="005B5CB6">
        <w:rPr>
          <w:rFonts w:ascii="Verdana" w:eastAsia="Verdana" w:hAnsi="Verdana" w:cs="Verdana"/>
        </w:rPr>
        <w:t xml:space="preserve">The OU is a world leader in distance learning. Our undergraduates do not attend a campus; they live in their own homes throughout the UK.  One in five of our first-year undergraduates study at full-time intensity, a proportion that has almost doubled since 2012/13.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79"/>
        </w:numPr>
        <w:spacing w:after="5" w:line="249" w:lineRule="auto"/>
        <w:ind w:left="342" w:right="12" w:hanging="341"/>
        <w:jc w:val="both"/>
        <w:rPr>
          <w:rFonts w:ascii="Verdana" w:hAnsi="Verdana"/>
        </w:rPr>
      </w:pPr>
      <w:r w:rsidRPr="005B5CB6">
        <w:rPr>
          <w:rFonts w:ascii="Verdana" w:eastAsia="Verdana" w:hAnsi="Verdana" w:cs="Verdana"/>
        </w:rPr>
        <w:t xml:space="preserve">In this year’s National Student Survey, overall satisfaction with the OU remains at 87%, keeping the OU in the top 20 of UK universities. The OU continues to rank first for assessment and feedback.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179"/>
        </w:numPr>
        <w:spacing w:after="5" w:line="249" w:lineRule="auto"/>
        <w:ind w:left="342" w:right="12" w:hanging="341"/>
        <w:jc w:val="both"/>
        <w:rPr>
          <w:rFonts w:ascii="Verdana" w:hAnsi="Verdana"/>
        </w:rPr>
      </w:pPr>
      <w:r w:rsidRPr="005B5CB6">
        <w:rPr>
          <w:rFonts w:ascii="Verdana" w:eastAsia="Verdana" w:hAnsi="Verdana" w:cs="Verdana"/>
        </w:rPr>
        <w:t xml:space="preserve">There is no typical OU student. People of all ages and backgrounds study with us and for many reasons – to update their skills, get a qualification, boost their career, change direction, prove themselves or keep mentally active.   </w:t>
      </w:r>
    </w:p>
    <w:p w:rsidR="00FB0B24" w:rsidRPr="005B5CB6" w:rsidP="00575F14">
      <w:pPr>
        <w:numPr>
          <w:ilvl w:val="1"/>
          <w:numId w:val="179"/>
        </w:numPr>
        <w:spacing w:after="5" w:line="250" w:lineRule="auto"/>
        <w:ind w:right="11" w:hanging="358"/>
        <w:jc w:val="both"/>
        <w:rPr>
          <w:rFonts w:ascii="Verdana" w:hAnsi="Verdana"/>
        </w:rPr>
      </w:pPr>
      <w:r w:rsidRPr="005B5CB6">
        <w:rPr>
          <w:rFonts w:ascii="Verdana" w:eastAsia="Verdana" w:hAnsi="Verdana" w:cs="Verdana"/>
        </w:rPr>
        <w:t xml:space="preserve">76% of our directly-registered students work full or part-time </w:t>
      </w:r>
    </w:p>
    <w:p w:rsidR="00FB0B24" w:rsidRPr="005B5CB6" w:rsidP="00575F14">
      <w:pPr>
        <w:numPr>
          <w:ilvl w:val="1"/>
          <w:numId w:val="179"/>
        </w:numPr>
        <w:spacing w:after="5" w:line="250" w:lineRule="auto"/>
        <w:ind w:right="11" w:hanging="358"/>
        <w:jc w:val="both"/>
        <w:rPr>
          <w:rFonts w:ascii="Verdana" w:hAnsi="Verdana"/>
        </w:rPr>
      </w:pPr>
      <w:r w:rsidRPr="005B5CB6">
        <w:rPr>
          <w:rFonts w:ascii="Verdana" w:eastAsia="Verdana" w:hAnsi="Verdana" w:cs="Verdana"/>
        </w:rPr>
        <w:t xml:space="preserve">23% of our undergraduates live in the 25% most deprived areas </w:t>
      </w:r>
    </w:p>
    <w:p w:rsidR="00FB0B24" w:rsidRPr="005B5CB6" w:rsidP="00575F14">
      <w:pPr>
        <w:numPr>
          <w:ilvl w:val="1"/>
          <w:numId w:val="179"/>
        </w:numPr>
        <w:spacing w:after="5" w:line="250" w:lineRule="auto"/>
        <w:ind w:right="11" w:hanging="358"/>
        <w:jc w:val="both"/>
        <w:rPr>
          <w:rFonts w:ascii="Verdana" w:hAnsi="Verdana"/>
        </w:rPr>
      </w:pPr>
      <w:r w:rsidRPr="005B5CB6">
        <w:rPr>
          <w:rFonts w:ascii="Verdana" w:eastAsia="Verdana" w:hAnsi="Verdana" w:cs="Verdana"/>
        </w:rPr>
        <w:t xml:space="preserve">24,709 students with disabilities studied with us in 2017/18 </w:t>
      </w:r>
      <w:r w:rsidRPr="005B5CB6">
        <w:rPr>
          <w:rFonts w:ascii="Verdana" w:eastAsia="Segoe UI Symbol" w:hAnsi="Verdana" w:cs="Segoe UI Symbol"/>
        </w:rPr>
        <w:t>•</w:t>
      </w:r>
      <w:r w:rsidRPr="005B5CB6">
        <w:rPr>
          <w:rFonts w:ascii="Verdana" w:eastAsia="Arial" w:hAnsi="Verdana" w:cs="Arial"/>
        </w:rPr>
        <w:t xml:space="preserve"> </w:t>
      </w:r>
      <w:r w:rsidRPr="005B5CB6">
        <w:rPr>
          <w:rFonts w:ascii="Verdana" w:eastAsia="Verdana" w:hAnsi="Verdana" w:cs="Verdana"/>
        </w:rPr>
        <w:t xml:space="preserve">33% of our students begin their studies with 1 A Level or less.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D20189">
          <w:headerReference w:type="even" r:id="rId298"/>
          <w:headerReference w:type="default" r:id="rId299"/>
          <w:footerReference w:type="even" r:id="rId300"/>
          <w:footerReference w:type="default" r:id="rId301"/>
          <w:headerReference w:type="first" r:id="rId302"/>
          <w:footerReference w:type="first" r:id="rId303"/>
          <w:pgSz w:w="12240" w:h="15840"/>
          <w:pgMar w:top="751" w:right="1390" w:bottom="1246" w:left="1440" w:header="720" w:footer="709" w:gutter="0"/>
          <w:cols w:space="720"/>
        </w:sectPr>
      </w:pPr>
    </w:p>
    <w:p w:rsidR="00FB0B24" w:rsidRPr="005B5CB6" w:rsidP="00A1624B">
      <w:pPr>
        <w:pStyle w:val="Heading1"/>
        <w:rPr>
          <w:sz w:val="22"/>
        </w:rPr>
      </w:pPr>
      <w:bookmarkStart w:id="53" w:name="_Toc44517741"/>
      <w:r w:rsidRPr="005B5CB6">
        <w:rPr>
          <w:sz w:val="22"/>
        </w:rPr>
        <w:t>BBC – written evidence (DAD0062)</w:t>
      </w:r>
      <w:bookmarkEnd w:id="53"/>
      <w:r w:rsidRPr="005B5CB6">
        <w:rPr>
          <w:sz w:val="22"/>
        </w:rPr>
        <w:t xml:space="preserv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Introduction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is responding to the House of Lords’ Select Committee on Democracy and Digital Technology’s call for evidence. The BBC is submitting evidence as an organisation that delivers world-class, impartial and accurate news and a major provider of internet services.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internet has transformed the media landscape in the UK and how the BBC delivers its mission and services. The exponential growth in digital technologies enables the BBC to share impartial and accurate news with larger audiences, inform the democratic debate and offer richer, more targeted experiences for audiences in the UK and across the world.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Nevertheless, there are well-documented concerns about how digital technologies disrupt the democratic debate, whether through misinformation, abuse of those in public life or polarisation of the online debate.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as the leading public service broadcaster (PSB) with a mission to inform, educate and entertain, can continue to play a vital role in delivering accurate and impartial news, informing the debate, bringing partners together and leading responsible technological development, with stable funding and support for its position as a PSB.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Impact of digital technologies on democracy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Misinformation and disinformation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is concerned about the impact of misinformation on the democratic process. Despite some reforms, misinformation still circulates extensively online, both on public channels such as Twitter and encrypted messaging services such as WhatsApp.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This includes disinformation from those acting for commercial gain, the amplification of unintentionally false information, and the spread of state-backed disinformation from state-funded broadcasters and inauthentic organised behaviour from hidden operatives who seek to manipulate national conversations.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79" w:hanging="8"/>
        <w:jc w:val="both"/>
        <w:rPr>
          <w:rFonts w:ascii="Verdana" w:hAnsi="Verdana"/>
        </w:rPr>
      </w:pPr>
      <w:r w:rsidRPr="005B5CB6">
        <w:rPr>
          <w:rFonts w:ascii="Verdana" w:eastAsia="Verdana" w:hAnsi="Verdana" w:cs="Verdana"/>
        </w:rPr>
        <w:t xml:space="preserve">In addition, technology can increasingly be used to create, as well as spread, misinformation. Advances in Artificial Intelligence (AI) have made it possible to create profoundly misleading content including fake audio and video, which can then be distributed rapidly through social media1. For example, an AI-generated or edited video created to mislead viewers might go viral on a social network and there is a risk that newsrooms could unwittingly use synthetic audio as legitimate evidence in reporting.  </w:t>
      </w:r>
    </w:p>
    <w:p w:rsidR="00FB0B24" w:rsidRPr="005B5CB6" w:rsidP="001512F6">
      <w:pPr>
        <w:spacing w:after="505"/>
        <w:ind w:left="2"/>
        <w:jc w:val="both"/>
        <w:rPr>
          <w:rFonts w:ascii="Verdana" w:hAnsi="Verdana"/>
        </w:rPr>
      </w:pPr>
      <w:r w:rsidRPr="005B5CB6">
        <w:rPr>
          <w:rFonts w:ascii="Verdana" w:eastAsia="Verdana" w:hAnsi="Verdana" w:cs="Verdana"/>
        </w:rPr>
        <w:t xml:space="preserve">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70318" name="Group 57031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129" name="Shape 63612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81" style="height:0.72pt;mso-position-horizontal-relative:char;mso-position-vertical-relative:line;width:2in" coordsize="18288,91">
                <v:shape id="_x0000_s1282"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223" w:line="249" w:lineRule="auto"/>
        <w:ind w:left="-4" w:hanging="10"/>
        <w:jc w:val="both"/>
        <w:rPr>
          <w:rFonts w:ascii="Verdana" w:hAnsi="Verdana"/>
        </w:rPr>
      </w:pPr>
      <w:r w:rsidRPr="005B5CB6">
        <w:rPr>
          <w:rFonts w:ascii="Verdana" w:hAnsi="Verdana"/>
          <w:vertAlign w:val="superscript"/>
        </w:rPr>
        <w:t>1</w:t>
      </w:r>
      <w:r w:rsidRPr="005B5CB6">
        <w:rPr>
          <w:rFonts w:ascii="Verdana" w:hAnsi="Verdana"/>
        </w:rPr>
        <w:t xml:space="preserve"> https://medium.com/bbc-design-engineering/tackling-misinformation-30d39f6d02e9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Misinformation poses a two-fold threat to democracy. Firstly, it leaves voters and politicians ill-informed. For example, the BBC reported on the extensive misinformation circulated online during the 2019 Indian Election2.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Secondly, it undermines trust in and engagement with accurate, impartial news. Public concern about misinformation in the UK rose to 70% in 2019 and people increasingly say they actively avoid news3. Given their extensive use of social media for news, the impact on young audiences is of particular concern. The Commission on Fake News and the Teaching of National Literacy Skills found that fake news was “driving a culture of fear and uncertainty among young people”4.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Algorithms and online targeting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Algorithms are increasingly responsible for what news audiences view online. The Reuters Digital News Report (2019) found that a majority (55%) of users polled prefer to get news digitally through a ‘side door’ i.e. search engines, social media, or news aggregators - interfaces which use ranking algorithms to select stories rather than editors5.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Inquiries including the Government’s White Paper on Online Harms6 have raised concerns about how algorithms create echo chambers and filter bubbles. While there is some debate around the extent of their impact, there is sufficient evidence that algorithms on social media platforms do optimise for engagement, amplifying emotional, ‘click bait’ style content, and shaping what information is seen in opaque ways. We are concerned about the consequences for universally accessible and reliable information online.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Recent media investigations have also highlighted the radicalising effects of algorithms. For example, YouTube was found to be recommending increasingly radical political content to users who had started watching ‘mainstream’ political videos7. Opaque profiling and targeting of users also has political implications, for example, micro-targeting of political adverts during election campaigns.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is concerned about how accurate, impartial news from PSBs will be accessed in a world increasingly curated by algorithms. While some platforms are taking action to address particular harms, for example the surfacing of content related to self-harm or vaccinations, there is little focus on how algorithms can proactively surface high-quality and impartial news on news aggregators or social media newsfeeds.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is engaging with the Centre for Data Ethics and Innovation’s review of online targeting, which is also considering the trustworthiness of news, and looks forward to its recommendations later this year.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92" w:line="250" w:lineRule="auto"/>
        <w:ind w:left="11" w:hanging="10"/>
        <w:jc w:val="both"/>
        <w:rPr>
          <w:rFonts w:ascii="Verdana" w:hAnsi="Verdana"/>
        </w:rPr>
      </w:pPr>
      <w:r w:rsidRPr="005B5CB6">
        <w:rPr>
          <w:rFonts w:ascii="Verdana" w:eastAsia="Verdana" w:hAnsi="Verdana" w:cs="Verdana"/>
          <w:b/>
        </w:rPr>
        <w:t xml:space="preserve">Anonymity, privacy and encryption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70832" name="Group 57083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131" name="Shape 63613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83" style="height:0.72pt;mso-position-horizontal-relative:char;mso-position-vertical-relative:line;width:2in" coordsize="18288,91">
                <v:shape id="_x0000_s1284"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180"/>
        </w:numPr>
        <w:spacing w:after="11" w:line="249" w:lineRule="auto"/>
        <w:jc w:val="both"/>
        <w:rPr>
          <w:rFonts w:ascii="Verdana" w:hAnsi="Verdana"/>
        </w:rPr>
      </w:pPr>
      <w:r w:rsidRPr="005B5CB6">
        <w:rPr>
          <w:rFonts w:ascii="Verdana" w:hAnsi="Verdana"/>
        </w:rPr>
        <w:t xml:space="preserve">https://www.bbc.co.uk/news/world-asia-india-47878178 </w:t>
      </w:r>
    </w:p>
    <w:p w:rsidR="00FB0B24" w:rsidRPr="005B5CB6" w:rsidP="00575F14">
      <w:pPr>
        <w:numPr>
          <w:ilvl w:val="0"/>
          <w:numId w:val="180"/>
        </w:numPr>
        <w:spacing w:after="0" w:line="251" w:lineRule="auto"/>
        <w:jc w:val="both"/>
        <w:rPr>
          <w:rFonts w:ascii="Verdana" w:hAnsi="Verdana"/>
        </w:rPr>
      </w:pPr>
      <w:r>
        <w:fldChar w:fldCharType="begin"/>
      </w:r>
      <w:r>
        <w:instrText xml:space="preserve"> HYPERLINK "https://reutersinstitute.politics.ox.ac.uk/sites/default/files/inline-files/DNR_2019_FINAL_27_08_2019.pdf" </w:instrText>
      </w:r>
      <w:r>
        <w:fldChar w:fldCharType="separate"/>
      </w:r>
      <w:r w:rsidRPr="005B5CB6" w:rsidR="00A72806">
        <w:rPr>
          <w:rFonts w:ascii="Verdana" w:hAnsi="Verdana"/>
          <w:color w:val="0000FF"/>
          <w:u w:val="single" w:color="0000FF"/>
        </w:rPr>
        <w:t>https://reutersinstitute.politics.ox.ac.uk/sites/default/files/inline-files/DNR_2019_FINAL_27_08_2019.pdf</w:t>
      </w:r>
      <w:r>
        <w:fldChar w:fldCharType="end"/>
      </w:r>
      <w:r>
        <w:fldChar w:fldCharType="begin"/>
      </w:r>
      <w:r>
        <w:instrText xml:space="preserve"> HYPERLINK "https://reutersinstitute.politics.ox.ac.uk/sites/default/files/inline-files/DNR_2019_FINAL_27_08_2019.pdf" </w:instrText>
      </w:r>
      <w:r>
        <w:fldChar w:fldCharType="separate"/>
      </w:r>
      <w:r w:rsidRPr="005B5CB6" w:rsidR="00A72806">
        <w:rPr>
          <w:rFonts w:ascii="Verdana" w:hAnsi="Verdana"/>
        </w:rPr>
        <w:t xml:space="preserve">. </w:t>
      </w:r>
      <w:r>
        <w:fldChar w:fldCharType="end"/>
      </w:r>
      <w:r w:rsidRPr="005B5CB6" w:rsidR="00A72806">
        <w:rPr>
          <w:rFonts w:ascii="Verdana" w:hAnsi="Verdana"/>
        </w:rPr>
        <w:t xml:space="preserve">Users saying they activity avoid the news has risen from 29% in 2017 to 32% in 2019 </w:t>
      </w:r>
    </w:p>
    <w:p w:rsidR="00FB0B24" w:rsidRPr="005B5CB6" w:rsidP="00575F14">
      <w:pPr>
        <w:numPr>
          <w:ilvl w:val="0"/>
          <w:numId w:val="180"/>
        </w:numPr>
        <w:spacing w:after="11" w:line="249" w:lineRule="auto"/>
        <w:jc w:val="both"/>
        <w:rPr>
          <w:rFonts w:ascii="Verdana" w:hAnsi="Verdana"/>
        </w:rPr>
      </w:pPr>
      <w:r w:rsidRPr="005B5CB6">
        <w:rPr>
          <w:rFonts w:ascii="Verdana" w:hAnsi="Verdana"/>
        </w:rPr>
        <w:t xml:space="preserve">https://literacytrust.org.uk/research-services/research-reports/fake-news-and-critical-literacy-final-report </w:t>
      </w:r>
    </w:p>
    <w:p w:rsidR="00FB0B24" w:rsidRPr="005B5CB6" w:rsidP="00575F14">
      <w:pPr>
        <w:numPr>
          <w:ilvl w:val="0"/>
          <w:numId w:val="180"/>
        </w:numPr>
        <w:spacing w:after="11" w:line="249" w:lineRule="auto"/>
        <w:jc w:val="both"/>
        <w:rPr>
          <w:rFonts w:ascii="Verdana" w:hAnsi="Verdana"/>
        </w:rPr>
      </w:pPr>
      <w:r w:rsidRPr="005B5CB6">
        <w:rPr>
          <w:rFonts w:ascii="Verdana" w:hAnsi="Verdana"/>
        </w:rPr>
        <w:t xml:space="preserve">ibid </w:t>
      </w:r>
    </w:p>
    <w:p w:rsidR="00FB0B24" w:rsidRPr="005B5CB6" w:rsidP="00575F14">
      <w:pPr>
        <w:numPr>
          <w:ilvl w:val="0"/>
          <w:numId w:val="180"/>
        </w:numPr>
        <w:spacing w:after="11" w:line="249" w:lineRule="auto"/>
        <w:jc w:val="both"/>
        <w:rPr>
          <w:rFonts w:ascii="Verdana" w:hAnsi="Verdana"/>
        </w:rPr>
      </w:pPr>
      <w:r w:rsidRPr="005B5CB6">
        <w:rPr>
          <w:rFonts w:ascii="Verdana" w:hAnsi="Verdana"/>
        </w:rPr>
        <w:t xml:space="preserve">https://www.gov.uk/government/consultations/online-harms-white-paper/online-harms-white-paper </w:t>
      </w:r>
    </w:p>
    <w:p w:rsidR="00FB0B24" w:rsidRPr="005B5CB6" w:rsidP="00575F14">
      <w:pPr>
        <w:numPr>
          <w:ilvl w:val="0"/>
          <w:numId w:val="180"/>
        </w:numPr>
        <w:spacing w:after="11" w:line="249" w:lineRule="auto"/>
        <w:jc w:val="both"/>
        <w:rPr>
          <w:rFonts w:ascii="Verdana" w:hAnsi="Verdana"/>
        </w:rPr>
      </w:pPr>
      <w:r w:rsidRPr="005B5CB6">
        <w:rPr>
          <w:rFonts w:ascii="Verdana" w:hAnsi="Verdana"/>
        </w:rPr>
        <w:t xml:space="preserve">https://www.nytimes.com/2018/03/10/opinion/sunday/youtube-politics-radical.html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Online anonymity has fuelled an increasingly toxic online debate, in which views are polarised and those in public life face unacceptable levels of abuse. As highlighted by the BBC’s Chairman, Sir David Clementi, some journalists – and particularly female journalists – are subject to abuse on an almost daily basis8. An international survey of female journalists found two thirds (64%) had experienced online abuse – death or rape threats, sexist comments, cyberstalking, account impersonation and obscene messages. Almost half (47%) did not report the abuse they had received, and two fifths (38%) admitted to self-censorship in the face of this abuse9.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use of private and encrypted methods of communication to share news also threatens people’s access to accurate information. This is particularly prevalent in some non-Western countries. For instance, WhatsApp has become a primary network for sharing news in Brazil (53%), Malaysia (50%), and South Africa (49%) and people are increasingly part of large WhatsApp groups with people they don’t know10.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Such groups enable misinformation to be shared at scale and, due to the private and encrypted nature of the communication, often beyond the sight of the platform. For example, the rapid spread of misinformation on WhatsApp in India in 2017 was linked to mob-related killings11. In contrast to misinformation shared visibly – which platforms can take down or label, and journalists or factcheckers can rebut – misinformation shared privately is extremely difficult to identify and tackle.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World Service continues to find false, BBC-branded stories circulating on encrypted platforms, including false reports of BBC election polls during the 2019 Indian Election12. This has significant implications for the BBC’s reputation as a trusted news provider globally.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right="12" w:hanging="9"/>
        <w:jc w:val="both"/>
        <w:rPr>
          <w:rFonts w:ascii="Verdana" w:hAnsi="Verdana"/>
        </w:rPr>
      </w:pPr>
      <w:r w:rsidRPr="005B5CB6">
        <w:rPr>
          <w:rFonts w:ascii="Verdana" w:eastAsia="Verdana" w:hAnsi="Verdana" w:cs="Verdana"/>
        </w:rPr>
        <w:t xml:space="preserve">In the UK, users are far more likely to turn to Facebook than WhatsApp for news. However, with Facebook increasingly repositioning itself as a ‘privacy-focused’ service13, the same issues around private and encrypted news-sharing are likely to come the fore. BBC role and response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as the most trusted source of news in the UK and major provider of online services, is well placed to respond to some the challenges posed to democracy by digital technologies through the provision of accurate and impartial news, tackling </w:t>
      </w:r>
      <w:r w:rsidRPr="005B5CB6">
        <w:rPr>
          <w:rFonts w:ascii="Verdana" w:eastAsia="Verdana" w:hAnsi="Verdana" w:cs="Verdana"/>
        </w:rPr>
        <w:t xml:space="preserve">misinformation, promoting media literacy and working with partners on responsible technological development.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Providing impartial news  </w:t>
      </w:r>
    </w:p>
    <w:p w:rsidR="00FB0B24" w:rsidRPr="005B5CB6" w:rsidP="001512F6">
      <w:pPr>
        <w:spacing w:after="352"/>
        <w:ind w:left="2"/>
        <w:jc w:val="both"/>
        <w:rPr>
          <w:rFonts w:ascii="Verdana" w:hAnsi="Verdana"/>
        </w:rPr>
      </w:pPr>
      <w:r w:rsidRPr="005B5CB6">
        <w:rPr>
          <w:rFonts w:ascii="Verdana" w:eastAsia="Verdana" w:hAnsi="Verdana" w:cs="Verdana"/>
        </w:rPr>
        <w:t xml:space="preserve">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70614" name="Group 57061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143" name="Shape 63614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85" style="height:0.72pt;mso-position-horizontal-relative:char;mso-position-vertical-relative:line;width:2in" coordsize="18288,91">
                <v:shape id="_x0000_s1286"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181"/>
        </w:numPr>
        <w:spacing w:after="11" w:line="249" w:lineRule="auto"/>
        <w:ind w:hanging="161"/>
        <w:jc w:val="both"/>
        <w:rPr>
          <w:rFonts w:ascii="Verdana" w:hAnsi="Verdana"/>
        </w:rPr>
      </w:pPr>
      <w:r w:rsidRPr="005B5CB6">
        <w:rPr>
          <w:rFonts w:ascii="Verdana" w:hAnsi="Verdana"/>
        </w:rPr>
        <w:t xml:space="preserve">https://rts.org.uk/article/step-counter-harassment-journalists-demands-bbc-chairman </w:t>
      </w:r>
    </w:p>
    <w:p w:rsidR="00FB0B24" w:rsidRPr="005B5CB6" w:rsidP="00575F14">
      <w:pPr>
        <w:numPr>
          <w:ilvl w:val="0"/>
          <w:numId w:val="181"/>
        </w:numPr>
        <w:spacing w:after="11" w:line="249" w:lineRule="auto"/>
        <w:ind w:hanging="161"/>
        <w:jc w:val="both"/>
        <w:rPr>
          <w:rFonts w:ascii="Verdana" w:hAnsi="Verdana"/>
        </w:rPr>
      </w:pPr>
      <w:r w:rsidRPr="005B5CB6">
        <w:rPr>
          <w:rFonts w:ascii="Verdana" w:hAnsi="Verdana"/>
        </w:rPr>
        <w:t xml:space="preserve">https://www.ifj.org/media-centre/news/detail/article/ifj-global-survey-shows-massive-impact-of-online-abuse-on-women-journalists.html </w:t>
      </w:r>
    </w:p>
    <w:p w:rsidR="00FB0B24" w:rsidRPr="005B5CB6" w:rsidP="00575F14">
      <w:pPr>
        <w:numPr>
          <w:ilvl w:val="0"/>
          <w:numId w:val="181"/>
        </w:numPr>
        <w:spacing w:after="11" w:line="249" w:lineRule="auto"/>
        <w:ind w:hanging="161"/>
        <w:jc w:val="both"/>
        <w:rPr>
          <w:rFonts w:ascii="Verdana" w:hAnsi="Verdana"/>
        </w:rPr>
      </w:pPr>
      <w:r w:rsidRPr="005B5CB6">
        <w:rPr>
          <w:rFonts w:ascii="Verdana" w:hAnsi="Verdana"/>
        </w:rPr>
        <w:t xml:space="preserve">https://reutersinstitute.politics.ox.ac.uk/sites/default/files/inline-files/DNR_2019_FINAL_27_08_2019.pdf </w:t>
      </w:r>
    </w:p>
    <w:p w:rsidR="00FB0B24" w:rsidRPr="005B5CB6" w:rsidP="00575F14">
      <w:pPr>
        <w:numPr>
          <w:ilvl w:val="0"/>
          <w:numId w:val="181"/>
        </w:numPr>
        <w:spacing w:after="11" w:line="249" w:lineRule="auto"/>
        <w:ind w:hanging="161"/>
        <w:jc w:val="both"/>
        <w:rPr>
          <w:rFonts w:ascii="Verdana" w:hAnsi="Verdana"/>
        </w:rPr>
      </w:pPr>
      <w:r w:rsidRPr="005B5CB6">
        <w:rPr>
          <w:rFonts w:ascii="Verdana" w:hAnsi="Verdana"/>
        </w:rPr>
        <w:t xml:space="preserve">WhatsApp has since restricted the forwarding of messages to a maximum of five people </w:t>
      </w:r>
    </w:p>
    <w:p w:rsidR="00FB0B24" w:rsidRPr="005B5CB6" w:rsidP="00575F14">
      <w:pPr>
        <w:numPr>
          <w:ilvl w:val="0"/>
          <w:numId w:val="181"/>
        </w:numPr>
        <w:spacing w:after="11" w:line="249" w:lineRule="auto"/>
        <w:ind w:hanging="161"/>
        <w:jc w:val="both"/>
        <w:rPr>
          <w:rFonts w:ascii="Verdana" w:hAnsi="Verdana"/>
        </w:rPr>
      </w:pPr>
      <w:r w:rsidRPr="005B5CB6">
        <w:rPr>
          <w:rFonts w:ascii="Verdana" w:hAnsi="Verdana"/>
        </w:rPr>
        <w:t xml:space="preserve">https://www.bbc.co.uk/news/world-asia-india-47878178 </w:t>
      </w:r>
    </w:p>
    <w:p w:rsidR="00FB0B24" w:rsidRPr="005B5CB6" w:rsidP="00575F14">
      <w:pPr>
        <w:numPr>
          <w:ilvl w:val="0"/>
          <w:numId w:val="181"/>
        </w:numPr>
        <w:spacing w:after="11" w:line="249" w:lineRule="auto"/>
        <w:ind w:hanging="161"/>
        <w:jc w:val="both"/>
        <w:rPr>
          <w:rFonts w:ascii="Verdana" w:hAnsi="Verdana"/>
        </w:rPr>
      </w:pPr>
      <w:r w:rsidRPr="005B5CB6">
        <w:rPr>
          <w:rFonts w:ascii="Verdana" w:hAnsi="Verdana"/>
        </w:rPr>
        <w:t xml:space="preserve">https://reutersinstitute.politics.ox.ac.uk/sites/default/files/inline-files/DNR_2019_FINAL_27_08_2019.pdf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BBC’s most important contribution to tackling misinformation and supporting democracy is the provision of accurate, impartial news. As the BBC’s Director General said “If fake news is the poison, those who stand up for integrity and impartiality in news must be the antidote.”14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has a unique role as the most trusted and popular source of news in the </w:t>
      </w:r>
    </w:p>
    <w:p w:rsidR="00FB0B24" w:rsidRPr="005B5CB6" w:rsidP="001512F6">
      <w:pPr>
        <w:spacing w:after="5" w:line="250" w:lineRule="auto"/>
        <w:ind w:left="23" w:right="78" w:hanging="8"/>
        <w:jc w:val="both"/>
        <w:rPr>
          <w:rFonts w:ascii="Verdana" w:hAnsi="Verdana"/>
        </w:rPr>
      </w:pPr>
      <w:r w:rsidRPr="005B5CB6">
        <w:rPr>
          <w:rFonts w:ascii="Verdana" w:eastAsia="Verdana" w:hAnsi="Verdana" w:cs="Verdana"/>
        </w:rPr>
        <w:t xml:space="preserve">UK. BBC News services are used by eight out of ten UK adults each week and 51% of UK adults turn to the BBC for the news they trust the most – significantly more than any other news provider.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BBC News is the most trusted news provider in the world – reaching a record 394 million people in 201915.  BBC World Service is available in 42 languages with correspondents on location in more countries than any other broadcaster. It is a digital innovator, pioneering new ideas, such as delivery of news on chat apps.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82" w:hanging="8"/>
        <w:jc w:val="both"/>
        <w:rPr>
          <w:rFonts w:ascii="Verdana" w:hAnsi="Verdana"/>
        </w:rPr>
      </w:pPr>
      <w:r w:rsidRPr="005B5CB6">
        <w:rPr>
          <w:rFonts w:ascii="Verdana" w:eastAsia="Verdana" w:hAnsi="Verdana" w:cs="Verdana"/>
        </w:rPr>
        <w:t xml:space="preserve">This trust comes from the strength of our journalism and commitments enshrined in the BBC’s Charter and the BBC’s Editorial Guidelines. The BBC’s Public Purposes include the duty “To provide impartial news and information to help people understand and engage with the world around them”16. In accordance with the Editorial Guidelines, we are committed to achieving the highest standards of accuracy and impartiality and checking the veracity of every story.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value of accurate, impartial news has grown in the digital age. As concerns about disinformation online increase, people need somewhere to find news they trust. The BBC was one of the first news providers online, and the BBC’s digital services play a vital role in providing news, including to an average of 33 million UK browsers a week through BBC News Online.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Tackling misinformation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As a trusted news providers and partners, the BBC and BBC World Service also play important roles in proactively tackling misinformation.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Following the Trusted News Summit hosted by the BBC and attended by partners including the European Broadcasting Union (EBU), Facebook, Financial Times, First Draft, Google, The Hindu, and The Wall Street Journal, the BBC and partners have launched a major industry collaboration to tackle dangerous misinformation. This will include: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b/>
        </w:rPr>
        <w:t>Early Warning System</w:t>
      </w:r>
      <w:r w:rsidRPr="005B5CB6">
        <w:rPr>
          <w:rFonts w:ascii="Verdana" w:eastAsia="Verdana" w:hAnsi="Verdana" w:cs="Verdana"/>
        </w:rPr>
        <w:t xml:space="preserve">: creating a system so organisations can alert each other rapidly when they discover disinformation which threatens human life or disrupts democracy during elections. The emphasis will be on moving quickly and collectively to undermine disinformation before it can take hold.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221" w:line="250" w:lineRule="auto"/>
        <w:ind w:left="23" w:right="11" w:hanging="8"/>
        <w:jc w:val="both"/>
        <w:rPr>
          <w:rFonts w:ascii="Verdana" w:hAnsi="Verdana"/>
        </w:rPr>
      </w:pPr>
      <w:r w:rsidRPr="005B5CB6">
        <w:rPr>
          <w:rFonts w:ascii="Verdana" w:eastAsia="Verdana" w:hAnsi="Verdana" w:cs="Verdana"/>
          <w:b/>
        </w:rPr>
        <w:t>Media Education</w:t>
      </w:r>
      <w:r w:rsidRPr="005B5CB6">
        <w:rPr>
          <w:rFonts w:ascii="Verdana" w:eastAsia="Verdana" w:hAnsi="Verdana" w:cs="Verdana"/>
        </w:rPr>
        <w:t xml:space="preserve">: a joint online media education campaign to support and promote media education messages.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71154" name="Group 57115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157" name="Shape 63615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87" style="height:0.72pt;mso-position-horizontal-relative:char;mso-position-vertical-relative:line;width:2in" coordsize="18288,91">
                <v:shape id="_x0000_s128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182"/>
        </w:numPr>
        <w:spacing w:after="11" w:line="249" w:lineRule="auto"/>
        <w:ind w:hanging="161"/>
        <w:jc w:val="both"/>
        <w:rPr>
          <w:rFonts w:ascii="Verdana" w:hAnsi="Verdana"/>
        </w:rPr>
      </w:pPr>
      <w:r w:rsidRPr="005B5CB6">
        <w:rPr>
          <w:rFonts w:ascii="Verdana" w:hAnsi="Verdana"/>
        </w:rPr>
        <w:t xml:space="preserve">https://www.ft.com/content/0df496e2-2a0b-11e9-9222-7024d72222bc?fbclid=IwAR0yHIjldTllTt8YzM7uS-CZ6MviqSBfqTDgWiA0tMtx-e3T0ogn3HfFnyI </w:t>
      </w:r>
    </w:p>
    <w:p w:rsidR="00FB0B24" w:rsidRPr="005B5CB6" w:rsidP="00575F14">
      <w:pPr>
        <w:numPr>
          <w:ilvl w:val="0"/>
          <w:numId w:val="182"/>
        </w:numPr>
        <w:spacing w:after="11" w:line="249" w:lineRule="auto"/>
        <w:ind w:hanging="161"/>
        <w:jc w:val="both"/>
        <w:rPr>
          <w:rFonts w:ascii="Verdana" w:hAnsi="Verdana"/>
        </w:rPr>
      </w:pPr>
      <w:r w:rsidRPr="005B5CB6">
        <w:rPr>
          <w:rFonts w:ascii="Verdana" w:hAnsi="Verdana"/>
        </w:rPr>
        <w:t xml:space="preserve">https://www.bbc.co.uk/mediacentre/latestnews/2019/bbc-international-audience-record-high </w:t>
      </w:r>
    </w:p>
    <w:p w:rsidR="00FB0B24" w:rsidRPr="005B5CB6" w:rsidP="00575F14">
      <w:pPr>
        <w:numPr>
          <w:ilvl w:val="0"/>
          <w:numId w:val="182"/>
        </w:numPr>
        <w:spacing w:after="11" w:line="249" w:lineRule="auto"/>
        <w:ind w:hanging="161"/>
        <w:jc w:val="both"/>
        <w:rPr>
          <w:rFonts w:ascii="Verdana" w:hAnsi="Verdana"/>
        </w:rPr>
      </w:pPr>
      <w:r w:rsidRPr="005B5CB6">
        <w:rPr>
          <w:rFonts w:ascii="Verdana" w:hAnsi="Verdana"/>
        </w:rPr>
        <w:t xml:space="preserve">http://downloads.bbc.co.uk/bbctrust/assets/files/pdf/about/how_we_govern/2016/charter.pdf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b/>
        </w:rPr>
        <w:t>Voter Information</w:t>
      </w:r>
      <w:r w:rsidRPr="005B5CB6">
        <w:rPr>
          <w:rFonts w:ascii="Verdana" w:eastAsia="Verdana" w:hAnsi="Verdana" w:cs="Verdana"/>
        </w:rPr>
        <w:t xml:space="preserve">: co-operation on civic information around elections, so there is a common way to explain how and where to vote. </w:t>
      </w:r>
    </w:p>
    <w:p w:rsidR="00FB0B24" w:rsidRPr="005B5CB6" w:rsidP="001512F6">
      <w:pPr>
        <w:spacing w:after="0"/>
        <w:ind w:left="1"/>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b/>
        </w:rPr>
        <w:t>Shared learning</w:t>
      </w:r>
      <w:r w:rsidRPr="005B5CB6">
        <w:rPr>
          <w:rFonts w:ascii="Verdana" w:eastAsia="Verdana" w:hAnsi="Verdana" w:cs="Verdana"/>
        </w:rPr>
        <w:t xml:space="preserve">: particularly around high-profile elections.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is also part of the Trust Project, a news industry initiative supported by over 70 international news organisations and Google and Facebook. This aims to distinguish quality news from ‘noise’ online via a system of trust indicators (e.g. Ethics Policy, Corrections Policy, content category labels), which provide audiences and platforms with evidence of reliable news.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Reality Check is the BBC’s flagship fact-checking service dedicated to creating content which examines the facts and claims behind a story, across TV, radio and online, including social media. BBC World Service and BBC Monitoring are also at the forefront of delivering practical solutions to tackle the spread of disinformation. The World Service has taken a lead on addressing the issue of misinformation through its “Beyond Fake News” project. This included concrete plans to tackle disinformation via a season of programming, a focus on global media literacy and outreach events in India, Nigeria, Kenya, Ethiopia, Brazil and Belgrade. This was supported by in-depth research commissioned by the BBC into online behaviours and their impact around the world.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Examples of content include: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Global Reality Check, launched in 2018, brings the expertise of the BBC’s UK Reality Check teams to a global audience.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BBC Africa TV content that gives audiences the tools to tackle disinformation. These include What’s New? for 13-15 year olds, Factfinder which analyses disinformation and Africa Eye which has raised the bar for investigative journalism in Africa, with the episode on killings in Cameroon winning the 2019 RTS Award for News Technology.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BBC Monitoring has a dedicated disinformation team, who provide fact-checking and analysis of the trends and tactics adopted by disinformation actors.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Media literacy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most important counter to misinformation and its threat to the democratic process is the provision of accurate, impartial and universally accessible news. Nevertheless, media literacy can help audiences to discern reliable news sources and filter out misinformation.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is part of a number of initiatives to promote this: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BBC Young Reporter empowers 11-18 year olds to navigate, understand and create news. It offers mentoring to up to 1,000 schools from respected and wellknown BBC journalists. BBC iReporter, an online interactive game to help young people in the UK identify ‘fake news’ has been played by over 115,000 people.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Similar initiatives have been launched in India, Kenya and Brazil by the World Service.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Radio 4’s Moral Maze and the University of Dundee wrote a programme to help students to learn ask critical questions and locate key elements within news articles.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My World – a TV programme jointly produced by the World Service and Angelina Jolie in partnership with Microsoft and aimed at providing global teenagers with the skills to discern between fact and fiction in today’s news stories launches last 2019.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is a UK-leader in providing guidance to children and parents on how to navigate online. This includes the BBC Own It app, which uses machine-learning technology to develop children’s digital literacy17.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As the most trusted source of news in the UK, the BBC also increases audiences’ understanding of advances in digital technologies. For example, we are committed to informing audiences about developments in AI, as a subject that will have far-reaching implications for society.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Technological solutions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works with partners across technology, media, civil society, and academia to promote the responsible development of technologies and coordinate practical, technological responses to issues such as ‘deep fakes' in news.  Algorithms and Public Service Curation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Algorithms can play a beneficial role in how they surface content for users and the BBC is at the forefront of responsible technological development in this area. Drawing on our unparalleled expertise in content curation, the BBC is bringing </w:t>
      </w:r>
      <w:r w:rsidRPr="005B5CB6">
        <w:rPr>
          <w:rFonts w:ascii="Verdana" w:eastAsia="Verdana" w:hAnsi="Verdana" w:cs="Verdana"/>
        </w:rPr>
        <w:t xml:space="preserve">together data scientists and editorial leads to develop our recommendation and personalisation algorithms. We see these as an extension to the BBC’s approach to public service curation.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Personalised recommendations allow the BBC to better connect with audiences and showcase great content which our users would not otherwise find. Public service curation in this context is different to some commercial models of personalisation, as we are seeking seeking to broaden our audience’s horizons, and will not optimise for attention and engagement at any cost. We are looking at many different measures of success – not just hit rate, but also relevance, diversity, recency, impartiality and editorial priority.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It is also important to note that algorithms form just part of BBC content discovery in a digital space. Due to the risks described in the section above, BBC algorithmic curation sits alongside human curation so that we can continue to serve our audiences responsibly.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Verification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and partners are also exploring how machine learning can be used to help detect and flag misinformation. For example, the BBC uses machine learning to check quotes in news. The project uses natural language processing techniques to verify quotations that are automatically extracted from news articles. It has been applied to 8 years of BBC News to create a searchable database. </w:t>
      </w:r>
    </w:p>
    <w:p w:rsidR="00FB0B24" w:rsidRPr="005B5CB6" w:rsidP="001512F6">
      <w:pPr>
        <w:spacing w:after="599"/>
        <w:ind w:left="2"/>
        <w:jc w:val="both"/>
        <w:rPr>
          <w:rFonts w:ascii="Verdana" w:hAnsi="Verdana"/>
        </w:rPr>
      </w:pPr>
      <w:r w:rsidRPr="005B5CB6">
        <w:rPr>
          <w:rFonts w:ascii="Verdana" w:eastAsia="Verdana" w:hAnsi="Verdana" w:cs="Verdana"/>
        </w:rPr>
        <w:t xml:space="preserve">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72210" name="Group 57221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165" name="Shape 63616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89" style="height:0.72pt;mso-position-horizontal-relative:char;mso-position-vertical-relative:line;width:2in" coordsize="18288,91">
                <v:shape id="_x0000_s1290"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11" w:line="249" w:lineRule="auto"/>
        <w:ind w:left="-4" w:hanging="10"/>
        <w:jc w:val="both"/>
        <w:rPr>
          <w:rFonts w:ascii="Verdana" w:hAnsi="Verdana"/>
        </w:rPr>
      </w:pPr>
      <w:r w:rsidRPr="005B5CB6">
        <w:rPr>
          <w:rFonts w:ascii="Verdana" w:hAnsi="Verdana"/>
          <w:vertAlign w:val="superscript"/>
        </w:rPr>
        <w:t>17</w:t>
      </w:r>
      <w:r w:rsidRPr="005B5CB6">
        <w:rPr>
          <w:rFonts w:ascii="Verdana" w:hAnsi="Verdana"/>
        </w:rPr>
        <w:t xml:space="preserve"> https://www.bbc.co.uk/mediacentre/latestnews/2018/childrens-app-own-it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However, outsourcing the problem to algorithms is not a sufficient solution in itself, in part because cases of misinformation are not often clear cut and rely on careful interpretation.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Over a decade ago, the BBC established a User Generated Content (UGC) Hub as the first dedicated eyewitness verification unit in a newsroom. Over time, we have adopted a number of techniques for scrutinising contributions from members of the public (pictures, videos and audio). In recent years, the team’s focus has shifted towards contributions and stories on social media – these stories are carefully scrutinised for their reliability, with staff making direct content with individuals involved to verify their stories.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84" w:hanging="8"/>
        <w:jc w:val="both"/>
        <w:rPr>
          <w:rFonts w:ascii="Verdana" w:hAnsi="Verdana"/>
        </w:rPr>
      </w:pPr>
      <w:r w:rsidRPr="005B5CB6">
        <w:rPr>
          <w:rFonts w:ascii="Verdana" w:eastAsia="Verdana" w:hAnsi="Verdana" w:cs="Verdana"/>
        </w:rPr>
        <w:t xml:space="preserve">As part of the BBC’s partnership with Canadian PSB CBC, we are working on technological solutions to demonstrating the provenance of verified news sources e.g. through watermarking.  Partnerships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is a member of the Partnership on AI and co-hosted with the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Partnership and WITNESS, global human rights organisation, a workshop in May on how media prepares for the increasing impact of AI with partners including Google, Facebook etc.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workshop explored: </w:t>
      </w:r>
    </w:p>
    <w:p w:rsidR="00FB0B24" w:rsidRPr="005B5CB6" w:rsidP="001512F6">
      <w:pPr>
        <w:spacing w:after="5" w:line="250" w:lineRule="auto"/>
        <w:ind w:left="23" w:right="82" w:hanging="8"/>
        <w:jc w:val="both"/>
        <w:rPr>
          <w:rFonts w:ascii="Verdana" w:hAnsi="Verdana"/>
        </w:rPr>
      </w:pPr>
      <w:r w:rsidRPr="005B5CB6">
        <w:rPr>
          <w:rFonts w:ascii="Verdana" w:eastAsia="Verdana" w:hAnsi="Verdana" w:cs="Verdana"/>
          <w:b/>
        </w:rPr>
        <w:t>Authentication and Provenance</w:t>
      </w:r>
      <w:r w:rsidRPr="005B5CB6">
        <w:rPr>
          <w:rFonts w:ascii="Verdana" w:eastAsia="Verdana" w:hAnsi="Verdana" w:cs="Verdana"/>
        </w:rPr>
        <w:t xml:space="preserve">: Technological solutions to checking the provenance of and signalling the authenticity of news sources online e.g. How can users on social media know an article purporting to be from the BBC is valid? What common tools can media organisations and platforms agree to use to signal to audiences that content is valid e.g. a watermark. How can this be achieved without brand misappropriation?  </w:t>
      </w:r>
    </w:p>
    <w:p w:rsidR="00FB0B24" w:rsidRPr="005B5CB6" w:rsidP="001512F6">
      <w:pPr>
        <w:spacing w:after="0"/>
        <w:ind w:left="2"/>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b/>
        </w:rPr>
        <w:t>Co-ordination</w:t>
      </w:r>
      <w:r w:rsidRPr="005B5CB6">
        <w:rPr>
          <w:rFonts w:ascii="Verdana" w:eastAsia="Verdana" w:hAnsi="Verdana" w:cs="Verdana"/>
        </w:rPr>
        <w:t xml:space="preserve">: The establishment of an alliance against misinformation, in which newsrooms globally can co-ordinate with each other to ensure misinformation is not spread, particularly in the wake of an international disaster/terrorist attack when misinformation is often more prevalent.  </w:t>
      </w:r>
    </w:p>
    <w:p w:rsidR="00FB0B24" w:rsidRPr="005B5CB6" w:rsidP="001512F6">
      <w:pPr>
        <w:spacing w:after="0"/>
        <w:ind w:left="2"/>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b/>
        </w:rPr>
        <w:t>Synthetic Media Detection</w:t>
      </w:r>
      <w:r w:rsidRPr="005B5CB6">
        <w:rPr>
          <w:rFonts w:ascii="Verdana" w:eastAsia="Verdana" w:hAnsi="Verdana" w:cs="Verdana"/>
        </w:rPr>
        <w:t xml:space="preserve">: How to respond to synthetic media, including deep and shallow fakes e.g. Are there sufficiently robust mechanisms between organisations to deal with deep fakes? Can we use technology to identify them?  </w:t>
      </w:r>
    </w:p>
    <w:p w:rsidR="00FB0B24" w:rsidRPr="005B5CB6" w:rsidP="001512F6">
      <w:pPr>
        <w:spacing w:after="0"/>
        <w:ind w:left="2"/>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b/>
        </w:rPr>
        <w:t>Alerting the Wider World</w:t>
      </w:r>
      <w:r w:rsidRPr="005B5CB6">
        <w:rPr>
          <w:rFonts w:ascii="Verdana" w:eastAsia="Verdana" w:hAnsi="Verdana" w:cs="Verdana"/>
        </w:rPr>
        <w:t xml:space="preserve">: e.g. How do we talk to audiences about harmful and truthful content and share information about new forms of audio-visual manipulation?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Role of Government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Funding  </w:t>
      </w:r>
    </w:p>
    <w:p w:rsidR="00FB0B24" w:rsidRPr="005B5CB6" w:rsidP="001512F6">
      <w:pPr>
        <w:spacing w:after="0"/>
        <w:ind w:left="2"/>
        <w:jc w:val="both"/>
        <w:rPr>
          <w:rFonts w:ascii="Verdana" w:hAnsi="Verdana"/>
        </w:rPr>
      </w:pPr>
      <w:r w:rsidRPr="005B5CB6">
        <w:rPr>
          <w:rFonts w:ascii="Verdana" w:eastAsia="Verdana" w:hAnsi="Verdana" w:cs="Verdana"/>
          <w:b/>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and other PSBs can play a vital role in delivering accurate and impartial news, tackling misinformation, and promoting media literacy and responsible technological development. However, PSBs are making difficult financial choices in the face of an increasingly competitive media market and declining real-terms revenues.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By 2018/19, the BBC’s funding for UK services was 24% lower compared to what funding for UK services would have been had the cost of the licence fee risen with inflation since 2010/11.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For the BBC to continue to deliver impartial, accurate news to the benefit of democracy, it needs stable finances and a fair licence fee settlement. Future licence fee settlements need to be more open and evidence based, ensuring the BBC has resources to deliver its remit, including in news.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World Service’s important role in tackling misinformation globally is partly supported by UK Government funding. Government funding of additional services under the World 2020 scheme has allowed the World Service to build new audiences through 12 new language services and enhancement of existing services, invest extensively in digital innovation to keep pace with changing audience behaviours and pioneer important investigative journalism like BBC Africa Eye.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welcomed the news in the Government’s Spending Review in September that existing funding levels for the World 2020 programme would be rolled over </w:t>
      </w:r>
      <w:r w:rsidRPr="005B5CB6">
        <w:rPr>
          <w:rFonts w:ascii="Verdana" w:eastAsia="Verdana" w:hAnsi="Verdana" w:cs="Verdana"/>
        </w:rPr>
        <w:t xml:space="preserve">for the full year 2020/21. Discussions with the Government about a further uplift in funding beyond 2021 to increase reach, strengthen output and boost editorial priorities like investigative journalism are ongoing.  This would allow the BBC to better compete against the growing challenge from international broadcasters and other global players who are increasingly funded by state sponsors with no commitment to impartiality.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Regulation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There is a role for regulation in protecting democracy from the risks caused by digital technology.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supports the Government’s aim to introduce further regulation to address the worst excesses of the internet, such as misinformation and online abuse. As outlined in the Online Harms White Paper18, this includes the introduction of independent regulatory oversight of the internet platforms and codes of conduct enforced by the regulator.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We agree with the Government that it is not reasonable to expect the public to navigate all online harms themselves. Nor is it viable to expect social media to make all the judgements on what is acceptable without independent oversight. An independent regulator and code of conduct would help to tackle issues such as the spread of misinformation and online abuse. In relation to this inquiry, we particularly support the proposal in the White Paper draft code of conduct for disinformation to promote authoritative news providers.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BBC responded to the Government’s consultation on the Online Harms White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Paper in support of its central proposals and await the Government’s next steps.  </w:t>
      </w:r>
    </w:p>
    <w:p w:rsidR="00FB0B24" w:rsidRPr="005B5CB6" w:rsidP="001512F6">
      <w:pPr>
        <w:spacing w:after="0"/>
        <w:ind w:left="2"/>
        <w:jc w:val="both"/>
        <w:rPr>
          <w:rFonts w:ascii="Verdana" w:hAnsi="Verdana"/>
        </w:rPr>
      </w:pPr>
      <w:r w:rsidRPr="005B5CB6">
        <w:rPr>
          <w:rFonts w:ascii="Verdana" w:eastAsia="Verdana" w:hAnsi="Verdana" w:cs="Verdana"/>
          <w:b/>
        </w:rPr>
        <w:t xml:space="preserve"> </w:t>
      </w:r>
    </w:p>
    <w:p w:rsidR="00FB0B24" w:rsidRPr="005B5CB6" w:rsidP="001512F6">
      <w:pPr>
        <w:spacing w:after="145" w:line="250" w:lineRule="auto"/>
        <w:ind w:left="11" w:hanging="10"/>
        <w:jc w:val="both"/>
        <w:rPr>
          <w:rFonts w:ascii="Verdana" w:hAnsi="Verdana"/>
        </w:rPr>
      </w:pPr>
      <w:r w:rsidRPr="005B5CB6">
        <w:rPr>
          <w:rFonts w:ascii="Verdana" w:eastAsia="Verdana" w:hAnsi="Verdana" w:cs="Verdana"/>
          <w:b/>
        </w:rPr>
        <w:t xml:space="preserve">Prominence and discoverability of BBC content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71966" name="Group 57196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167" name="Shape 63616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91" style="height:0.72pt;mso-position-horizontal-relative:char;mso-position-vertical-relative:line;width:2in" coordsize="18288,91">
                <v:shape id="_x0000_s1292"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61"/>
        <w:ind w:left="1"/>
        <w:jc w:val="both"/>
        <w:rPr>
          <w:rFonts w:ascii="Verdana" w:hAnsi="Verdana"/>
        </w:rPr>
      </w:pPr>
      <w:r w:rsidRPr="005B5CB6">
        <w:rPr>
          <w:rFonts w:ascii="Verdana" w:hAnsi="Verdana"/>
        </w:rPr>
        <w:t xml:space="preserve">18 </w:t>
      </w:r>
    </w:p>
    <w:p w:rsidR="00FB0B24" w:rsidRPr="005B5CB6" w:rsidP="001512F6">
      <w:pPr>
        <w:spacing w:after="11" w:line="249" w:lineRule="auto"/>
        <w:ind w:left="-4" w:hanging="10"/>
        <w:jc w:val="both"/>
        <w:rPr>
          <w:rFonts w:ascii="Verdana" w:hAnsi="Verdana"/>
        </w:rPr>
      </w:pPr>
      <w:r w:rsidRPr="005B5CB6">
        <w:rPr>
          <w:rFonts w:ascii="Verdana" w:hAnsi="Verdana"/>
        </w:rPr>
        <w:t xml:space="preserve">https://assets.publishing.service.gov.uk/government/uploads/system/uploads/attachment_data/file/793360/Online_Har ms_White_Paper.pdf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As outlined, algorithms are increasingly responsible for what content audiences view online, whether through social media platforms or news aggregator apps. This has implications for the discoverability of accurate and impartial news from the BBC and other PSBs. A market driven by global commercial principles does not have the right incentives to make PSB content easy to find and could fail to deliver the accurate and impartial news that democracy benefits from.  The BBC is working with platforms to ensure that trusted news stories can be found.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We welcome Ofcom’s recommendations to give PSB content prominence in the era of on-demand and internet TV viewing. These recommendations would ensure viewers can easily find PSB content across a range of devices including smart TVs, set-top boxes and streaming sticks. Rapid changes in technology mean the flexible framework recommended - so the new rules can quickly be adapted to changes in </w:t>
      </w:r>
      <w:r w:rsidRPr="005B5CB6">
        <w:rPr>
          <w:rFonts w:ascii="Verdana" w:eastAsia="Verdana" w:hAnsi="Verdana" w:cs="Verdana"/>
        </w:rPr>
        <w:t xml:space="preserve">technology and viewer behaviour - is also warmly welcomed. We ask Parliamentarians to support the legislation needed to underpin these changes.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We believe that discoverabilty of trusted news content merits further policy and regulatory consideration. For example, the advent of voice activated search for news has created a new challenge. When consumers use voice to search for e.g. “today’s headlines”, it is the platform owner who determines what product or news provider(s) are presented. There are clear issues around user choice and transparency given the binary way search results are presented.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Data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Data offers huge potential and is central to the future of online services. But the volume of user data tech giants are building up could reinforce market-distorting monopolies and prevent others from innovating. For the BBC, this data is crucial for audience insight and our ability to develop and improve our own personalisation services. </w:t>
      </w:r>
    </w:p>
    <w:p w:rsidR="00FB0B24" w:rsidRPr="005B5CB6" w:rsidP="001512F6">
      <w:pPr>
        <w:spacing w:after="0"/>
        <w:ind w:left="2"/>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Data regulation to-date has been primarily focussed on giving consumers greater transparency and control over their personal data. New EU regulation will be adopted in the UK and extend data transparency to business users of platforms from May 2020 onwards. The BBC is campaigning for future data regulation to give content providers (and other business users) greater rights to access data generated around the consumption of their content and services on third party platforms and to require our authorisation for its use by the platform (directly or by making it available to other business users). </w:t>
      </w:r>
    </w:p>
    <w:p w:rsidR="00FB0B24" w:rsidRPr="005B5CB6" w:rsidP="001512F6">
      <w:pPr>
        <w:jc w:val="both"/>
        <w:rPr>
          <w:rFonts w:ascii="Verdana" w:hAnsi="Verdana"/>
        </w:rPr>
        <w:sectPr w:rsidSect="00D20189">
          <w:headerReference w:type="even" r:id="rId304"/>
          <w:headerReference w:type="default" r:id="rId305"/>
          <w:footerReference w:type="even" r:id="rId306"/>
          <w:footerReference w:type="default" r:id="rId307"/>
          <w:headerReference w:type="first" r:id="rId308"/>
          <w:footerReference w:type="first" r:id="rId309"/>
          <w:pgSz w:w="11906" w:h="16838"/>
          <w:pgMar w:top="1492" w:right="1356" w:bottom="1439" w:left="1439" w:header="720" w:footer="709" w:gutter="0"/>
          <w:cols w:space="720"/>
        </w:sectPr>
      </w:pPr>
    </w:p>
    <w:p w:rsidR="00FB0B24" w:rsidRPr="005B5CB6" w:rsidP="00A1624B">
      <w:pPr>
        <w:pStyle w:val="Heading1"/>
        <w:rPr>
          <w:sz w:val="22"/>
        </w:rPr>
      </w:pPr>
      <w:bookmarkStart w:id="54" w:name="_Toc44517742"/>
      <w:r w:rsidRPr="005B5CB6">
        <w:rPr>
          <w:sz w:val="22"/>
        </w:rPr>
        <w:t>The Alan Turing Institute’s Public Policy Programme – written evidence (DAD0063)</w:t>
      </w:r>
      <w:bookmarkEnd w:id="54"/>
      <w:r w:rsidRPr="005B5CB6">
        <w:rPr>
          <w:sz w:val="22"/>
        </w:rPr>
        <w:t xml:space="preserve"> </w:t>
      </w:r>
    </w:p>
    <w:p w:rsidR="00FB0B24" w:rsidRPr="005B5CB6" w:rsidP="00CF6BAD">
      <w:pPr>
        <w:spacing w:after="96"/>
        <w:ind w:left="1"/>
        <w:jc w:val="both"/>
        <w:rPr>
          <w:rFonts w:ascii="Verdana" w:hAnsi="Verdana"/>
        </w:rPr>
      </w:pPr>
      <w:r w:rsidRPr="005B5CB6">
        <w:rPr>
          <w:rFonts w:ascii="Verdana" w:eastAsia="Verdana" w:hAnsi="Verdana" w:cs="Verdana"/>
        </w:rPr>
        <w:t xml:space="preserve"> </w:t>
      </w:r>
    </w:p>
    <w:p w:rsidR="00FB0B24" w:rsidRPr="005B5CB6" w:rsidP="00CF6BAD">
      <w:pPr>
        <w:spacing w:after="105" w:line="250" w:lineRule="auto"/>
        <w:ind w:left="11" w:hanging="10"/>
        <w:jc w:val="both"/>
        <w:rPr>
          <w:rFonts w:ascii="Verdana" w:hAnsi="Verdana"/>
        </w:rPr>
      </w:pPr>
      <w:r w:rsidRPr="005B5CB6">
        <w:rPr>
          <w:rFonts w:ascii="Verdana" w:eastAsia="Verdana" w:hAnsi="Verdana" w:cs="Verdana"/>
          <w:b/>
        </w:rPr>
        <w:t xml:space="preserve">About the contributors </w:t>
      </w:r>
    </w:p>
    <w:p w:rsidR="00FB0B24" w:rsidRPr="005B5CB6" w:rsidP="00CF6BAD">
      <w:pPr>
        <w:spacing w:after="110" w:line="249" w:lineRule="auto"/>
        <w:ind w:left="10" w:right="12" w:hanging="9"/>
        <w:jc w:val="both"/>
        <w:rPr>
          <w:rFonts w:ascii="Verdana" w:hAnsi="Verdana"/>
        </w:rPr>
      </w:pPr>
      <w:r w:rsidRPr="005B5CB6">
        <w:rPr>
          <w:rFonts w:ascii="Verdana" w:eastAsia="Verdana" w:hAnsi="Verdana" w:cs="Verdana"/>
        </w:rPr>
        <w:t xml:space="preserve">This contribution is made by The Alan Turing Institute’s </w:t>
      </w:r>
      <w:r>
        <w:fldChar w:fldCharType="begin"/>
      </w:r>
      <w:r>
        <w:instrText xml:space="preserve"> HYPERLINK "https://www.turing.ac.uk/research/research-projects/hate-speech-measures-and-counter-measures" </w:instrText>
      </w:r>
      <w:r>
        <w:fldChar w:fldCharType="separate"/>
      </w:r>
      <w:r w:rsidRPr="005B5CB6">
        <w:rPr>
          <w:rFonts w:ascii="Verdana" w:eastAsia="Verdana" w:hAnsi="Verdana" w:cs="Verdana"/>
          <w:i/>
          <w:color w:val="0563C1"/>
          <w:u w:val="single" w:color="0563C1"/>
        </w:rPr>
        <w:t>Hate Speech: Measures &amp;</w:t>
      </w:r>
      <w:r>
        <w:fldChar w:fldCharType="end"/>
      </w:r>
      <w:r>
        <w:fldChar w:fldCharType="begin"/>
      </w:r>
      <w:r>
        <w:instrText xml:space="preserve"> HYPERLINK "https://www.turing.ac.uk/research/research-projects/hate-speech-measures-and-counter-measures" </w:instrText>
      </w:r>
      <w:r>
        <w:fldChar w:fldCharType="separate"/>
      </w:r>
      <w:r w:rsidRPr="005B5CB6">
        <w:rPr>
          <w:rFonts w:ascii="Verdana" w:eastAsia="Verdana" w:hAnsi="Verdana" w:cs="Verdana"/>
          <w:i/>
          <w:color w:val="0563C1"/>
        </w:rPr>
        <w:t xml:space="preserve"> </w:t>
      </w:r>
      <w:r>
        <w:fldChar w:fldCharType="end"/>
      </w:r>
      <w:r>
        <w:fldChar w:fldCharType="begin"/>
      </w:r>
      <w:r>
        <w:instrText xml:space="preserve"> HYPERLINK "https://www.turing.ac.uk/research/research-projects/hate-speech-measures-and-counter-measures" </w:instrText>
      </w:r>
      <w:r>
        <w:fldChar w:fldCharType="separate"/>
      </w:r>
      <w:r w:rsidRPr="005B5CB6">
        <w:rPr>
          <w:rFonts w:ascii="Verdana" w:eastAsia="Verdana" w:hAnsi="Verdana" w:cs="Verdana"/>
          <w:i/>
          <w:color w:val="0563C1"/>
          <w:u w:val="single" w:color="0563C1"/>
        </w:rPr>
        <w:t>Counter-measures</w:t>
      </w:r>
      <w:r>
        <w:fldChar w:fldCharType="end"/>
      </w:r>
      <w:r>
        <w:fldChar w:fldCharType="begin"/>
      </w:r>
      <w:r>
        <w:instrText xml:space="preserve"> HYPERLINK "https://www.turing.ac.uk/research/research-projects/hate-speech-measures-and-counter-measures"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project, which forms part of the Institute’s Public Policy Programme. We are happy to work more closely with the House of Lords Select Committee and to provide any further information or guidance as needed. Please contact Dr. Bertie Vidgen, </w:t>
      </w:r>
      <w:r w:rsidRPr="005B5CB6">
        <w:rPr>
          <w:rFonts w:ascii="Verdana" w:eastAsia="Verdana" w:hAnsi="Verdana" w:cs="Verdana"/>
          <w:color w:val="0563C1"/>
          <w:u w:val="single" w:color="0563C1"/>
        </w:rPr>
        <w:t>bvidgen@turing.ac.uk</w:t>
      </w:r>
      <w:r w:rsidRPr="005B5CB6">
        <w:rPr>
          <w:rFonts w:ascii="Verdana" w:eastAsia="Verdana" w:hAnsi="Verdana" w:cs="Verdana"/>
        </w:rPr>
        <w:t xml:space="preserve">  </w:t>
      </w:r>
    </w:p>
    <w:p w:rsidR="00FB0B24" w:rsidRPr="005B5CB6" w:rsidP="00CF6BAD">
      <w:pPr>
        <w:spacing w:after="109" w:line="249" w:lineRule="auto"/>
        <w:ind w:left="10" w:right="12" w:hanging="9"/>
        <w:jc w:val="both"/>
        <w:rPr>
          <w:rFonts w:ascii="Verdana" w:hAnsi="Verdana"/>
        </w:rPr>
      </w:pPr>
      <w:r w:rsidRPr="005B5CB6">
        <w:rPr>
          <w:rFonts w:ascii="Verdana" w:eastAsia="Verdana" w:hAnsi="Verdana" w:cs="Verdana"/>
        </w:rPr>
        <w:t>Dr. Bertie Vidgen is a post-doctoral researcher at The Alan Turing Institute, Research Associate at the Oxford Internet Institute and Visiting Researcher at the Open University. His research focuses on online abuse, hate speech, misinformation and the far right. He is a co-Investigator on The Alan Turing Institute’s project, ‘Methods for abusive content detection’, lead researcher on The Alan Turing Institute’s project ‘Hate speech: measures and counter-measures’ as well as an organiser of the 4</w:t>
      </w:r>
      <w:r w:rsidRPr="005B5CB6">
        <w:rPr>
          <w:rFonts w:ascii="Verdana" w:eastAsia="Verdana" w:hAnsi="Verdana" w:cs="Verdana"/>
          <w:vertAlign w:val="superscript"/>
        </w:rPr>
        <w:t>th</w:t>
      </w:r>
      <w:r w:rsidRPr="005B5CB6">
        <w:rPr>
          <w:rFonts w:ascii="Verdana" w:eastAsia="Verdana" w:hAnsi="Verdana" w:cs="Verdana"/>
        </w:rPr>
        <w:t xml:space="preserve"> workshop on abusive language online (ACL). He received his PhD from the University of Oxford. In his work he combines advanced computational tools and social science theory, with the aim of contributing to both academic knowledge and the work of policymakers. </w:t>
      </w:r>
    </w:p>
    <w:p w:rsidR="00FB0B24" w:rsidRPr="005B5CB6" w:rsidP="00CF6BAD">
      <w:pPr>
        <w:spacing w:after="319" w:line="249" w:lineRule="auto"/>
        <w:ind w:left="10" w:right="12" w:hanging="9"/>
        <w:jc w:val="both"/>
        <w:rPr>
          <w:rFonts w:ascii="Verdana" w:hAnsi="Verdana"/>
        </w:rPr>
      </w:pPr>
      <w:r w:rsidRPr="005B5CB6">
        <w:rPr>
          <w:rFonts w:ascii="Verdana" w:eastAsia="Verdana" w:hAnsi="Verdana" w:cs="Verdana"/>
        </w:rPr>
        <w:t xml:space="preserve">Professor Helen Margetts is Director of the Public Policy Programme at The Alan Turing Institute, and Professor of Society and the Internet at the University of Oxford and Professorial Fellow of Mansfield College. From 2011 to 2018, she was Director of the Oxford Internet Institute, a multi-disciplinary department of the University of Oxford dedicated to understanding the relationship between the Internet and society, before which she was UCL's first professor of Political Science and Director of the School of Public Policy (1999-2004). She sits on the UK government’s Digital Economy Council, the Home Office Scientific Advisory Council, the WEF Global Agenda Council on Agile Government and the Ada Lovelace Institute for Data Ethics. She was a member of the UK government’s Digital Advisory Board (2011-16). She is the founding Editor of the journal Policy and Internet, published by Wiley. In 2018 she was awarded the Friedrich Schiedel Prize by the Technical University of Munich for research and research leadership in technology and politics. In the 2019 New Years Honours List she was awarded an OBE for services to social and political science. In 2019 she was elected as a Fellow of the British Academy and also took up a visiting appointment as the John F Kluge Senior Chair in Technology and Society at the Library of Congress. </w:t>
      </w:r>
    </w:p>
    <w:p w:rsidR="00FB0B24" w:rsidRPr="005B5CB6" w:rsidP="00CF6BAD">
      <w:pPr>
        <w:spacing w:after="0"/>
        <w:ind w:left="1"/>
        <w:jc w:val="both"/>
        <w:rPr>
          <w:rFonts w:ascii="Verdana" w:hAnsi="Verdana"/>
        </w:rPr>
      </w:pPr>
      <w:r w:rsidRPr="005B5CB6">
        <w:rPr>
          <w:rFonts w:ascii="Verdana" w:eastAsia="Arial" w:hAnsi="Verdana" w:cs="Arial"/>
          <w:b/>
        </w:rPr>
        <w:t xml:space="preserve"> </w:t>
      </w:r>
      <w:r w:rsidRPr="005B5CB6">
        <w:rPr>
          <w:rFonts w:ascii="Verdana" w:eastAsia="Arial" w:hAnsi="Verdana" w:cs="Arial"/>
          <w:b/>
        </w:rPr>
        <w:tab/>
      </w:r>
      <w:r w:rsidRPr="005B5CB6">
        <w:rPr>
          <w:rFonts w:ascii="Verdana" w:eastAsia="Verdana" w:hAnsi="Verdana" w:cs="Verdana"/>
          <w:b/>
        </w:rPr>
        <w:t xml:space="preserve"> </w:t>
      </w:r>
    </w:p>
    <w:p w:rsidR="00FB0B24" w:rsidRPr="005B5CB6" w:rsidP="00CF6BAD">
      <w:pPr>
        <w:spacing w:after="109" w:line="250" w:lineRule="auto"/>
        <w:ind w:left="11" w:hanging="10"/>
        <w:jc w:val="both"/>
        <w:rPr>
          <w:rFonts w:ascii="Verdana" w:hAnsi="Verdana"/>
        </w:rPr>
      </w:pPr>
      <w:r w:rsidRPr="005B5CB6">
        <w:rPr>
          <w:rFonts w:ascii="Verdana" w:eastAsia="Verdana" w:hAnsi="Verdana" w:cs="Verdana"/>
          <w:b/>
        </w:rPr>
        <w:t xml:space="preserve">Question 8: To what extent does social media negatively shape public debate, either through encouraging polarisation or through abuse deterring individuals from engaging in public life? </w:t>
      </w:r>
    </w:p>
    <w:p w:rsidR="00FB0B24" w:rsidRPr="005B5CB6" w:rsidP="00CF6BAD">
      <w:pPr>
        <w:spacing w:after="112" w:line="249" w:lineRule="auto"/>
        <w:ind w:left="10" w:right="12" w:hanging="9"/>
        <w:jc w:val="both"/>
        <w:rPr>
          <w:rFonts w:ascii="Verdana" w:hAnsi="Verdana"/>
        </w:rPr>
      </w:pPr>
      <w:r w:rsidRPr="005B5CB6">
        <w:rPr>
          <w:rFonts w:ascii="Verdana" w:eastAsia="Verdana" w:hAnsi="Verdana" w:cs="Verdana"/>
        </w:rPr>
        <w:t xml:space="preserve">Social media has transformed contemporary politics, from making huge audiences instantaneously accessible to sidestepping the role played by ‘gatekeepers’, such as the traditional broadcast media. Social media are where people find, consume and share political information and news, and participate, communicate and organise politically. In this way, social media enable users to engage in new ‘tiny acts’ of participation (through liking, following, viewing, sharing and so on) which have the positive effect of drawing people into politics (including groups where </w:t>
      </w:r>
      <w:r w:rsidRPr="005B5CB6">
        <w:rPr>
          <w:rFonts w:ascii="Verdana" w:eastAsia="Verdana" w:hAnsi="Verdana" w:cs="Verdana"/>
        </w:rPr>
        <w:t>participation has traditionally been low) and sometimes this scan scale up into large mobilizations and campaigns for policy change. Although most such mobilizations fail, the speed and scale of the ones that succeed have had dramatic effects on political life across the world, with almost every country in the world seeing a rise in collective action organised through social media, and offering people with no more resources than a mobile phone the opportunity to fight injustice and campaign for policy change.</w:t>
      </w:r>
      <w:r>
        <w:rPr>
          <w:rFonts w:ascii="Verdana" w:eastAsia="Verdana" w:hAnsi="Verdana" w:cs="Verdana"/>
          <w:vertAlign w:val="superscript"/>
        </w:rPr>
        <w:footnoteReference w:id="283"/>
      </w:r>
      <w:r w:rsidRPr="005B5CB6">
        <w:rPr>
          <w:rFonts w:ascii="Verdana" w:eastAsia="Verdana" w:hAnsi="Verdana" w:cs="Verdana"/>
        </w:rPr>
        <w:t xml:space="preserve"> Social media have had a number of positive effects on public life and political discourse, such as enabling like-minded people who are separated by time, space, social networks and culture, to connect with each other, and in those cases fostering respectable and constructive dialogues. Support networks and activist groups which would not previously be possible are now commonplace and it has never been easier to learn about competing perspectives, find out new information and to engage with people who have different views. </w:t>
      </w:r>
    </w:p>
    <w:p w:rsidR="00FB0B24" w:rsidRPr="005B5CB6" w:rsidP="00CF6BAD">
      <w:pPr>
        <w:spacing w:after="109" w:line="249" w:lineRule="auto"/>
        <w:ind w:left="10" w:right="12" w:hanging="9"/>
        <w:jc w:val="both"/>
        <w:rPr>
          <w:rFonts w:ascii="Verdana" w:hAnsi="Verdana"/>
        </w:rPr>
      </w:pPr>
      <w:r w:rsidRPr="005B5CB6">
        <w:rPr>
          <w:rFonts w:ascii="Verdana" w:eastAsia="Verdana" w:hAnsi="Verdana" w:cs="Verdana"/>
        </w:rPr>
        <w:t>However, social media have also given new voice to otherwise marginalised actors across the political spectrum, such as extremist far right protestors and niche leftwing environmentalists. Some argue that the affordances of social media have fundamentally changed how people interact with each other. Anonymity and not being face-to-face with interlocutors mean that people are far more impolite and angrier. This line of reasoning suggests that although people troll, dox and ‘cancel’ opponents online, if they met face-to-face in the offline world then they would be civil and reasonable. As one study of comments below online news articles put it: ‘Anyone can become a troll’.</w:t>
      </w:r>
      <w:r>
        <w:rPr>
          <w:rFonts w:ascii="Verdana" w:eastAsia="Verdana" w:hAnsi="Verdana" w:cs="Verdana"/>
          <w:vertAlign w:val="superscript"/>
        </w:rPr>
        <w:footnoteReference w:id="284"/>
      </w:r>
      <w:r w:rsidRPr="005B5CB6">
        <w:rPr>
          <w:rFonts w:ascii="Verdana" w:eastAsia="Verdana" w:hAnsi="Verdana" w:cs="Verdana"/>
        </w:rPr>
        <w:t xml:space="preserve"> For social science researchers, disentangling the effects – both positive and negative – of social media is a considerable challenge: its ubiquity and the volatile nature of contemporary politics means that we cannot be sure exactly which political developments are due to social media and which are due to other causes. And, much as we are often pressed to ‘take a side’ when discussing whether social media has had a positive or negative impact, the truth is inevitably more complex: depending on how it is used, and by whom, social media can have both a positive and negative impact.  </w:t>
      </w:r>
    </w:p>
    <w:p w:rsidR="00FB0B24" w:rsidRPr="005B5CB6" w:rsidP="00CF6BAD">
      <w:pPr>
        <w:spacing w:after="97" w:line="249" w:lineRule="auto"/>
        <w:ind w:left="10" w:right="12" w:hanging="9"/>
        <w:jc w:val="both"/>
        <w:rPr>
          <w:rFonts w:ascii="Verdana" w:hAnsi="Verdana"/>
        </w:rPr>
      </w:pPr>
      <w:r w:rsidRPr="005B5CB6">
        <w:rPr>
          <w:rFonts w:ascii="Verdana" w:eastAsia="Verdana" w:hAnsi="Verdana" w:cs="Verdana"/>
        </w:rPr>
        <w:t xml:space="preserve">This consultation response focuses on one particular aspect of online debate which has raised concern in recent years – abusive language. Our research in </w:t>
      </w:r>
      <w:r w:rsidRPr="005B5CB6">
        <w:rPr>
          <w:rFonts w:ascii="Verdana" w:eastAsia="Verdana" w:hAnsi="Verdana" w:cs="Verdana"/>
          <w:i/>
        </w:rPr>
        <w:t>Hate Speech: Measures and counter-measures</w:t>
      </w:r>
      <w:r w:rsidRPr="005B5CB6">
        <w:rPr>
          <w:rFonts w:ascii="Verdana" w:eastAsia="Verdana" w:hAnsi="Verdana" w:cs="Verdana"/>
        </w:rPr>
        <w:t xml:space="preserve"> shows the myriad problems it creates for society: it can inflict harm on any victims who are targeted, create a sense of fear and exclusion amongst their communities, toxify public discourse and, even, motivate other forms of extremist and hateful behavior through a cycle of </w:t>
      </w:r>
    </w:p>
    <w:p w:rsidR="00FB0B24" w:rsidRPr="005B5CB6" w:rsidP="00CF6BAD">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71408" name="Group 57140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169" name="Shape 63616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93" style="height:0.6pt;mso-position-horizontal-relative:char;mso-position-vertical-relative:line;width:2in" coordsize="18288,76">
                <v:shape id="_x0000_s1294"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CF6BAD">
      <w:pPr>
        <w:spacing w:after="107" w:line="249" w:lineRule="auto"/>
        <w:ind w:left="10" w:right="12" w:hanging="9"/>
        <w:jc w:val="both"/>
        <w:rPr>
          <w:rFonts w:ascii="Verdana" w:hAnsi="Verdana"/>
        </w:rPr>
      </w:pPr>
      <w:r w:rsidRPr="005B5CB6">
        <w:rPr>
          <w:rFonts w:ascii="Verdana" w:eastAsia="Verdana" w:hAnsi="Verdana" w:cs="Verdana"/>
        </w:rPr>
        <w:t>“cumulative extremism”. Online abuse is a deeply harmful part of online discourse</w:t>
      </w:r>
      <w:r>
        <w:rPr>
          <w:rFonts w:ascii="Verdana" w:eastAsia="Verdana" w:hAnsi="Verdana" w:cs="Verdana"/>
          <w:vertAlign w:val="superscript"/>
        </w:rPr>
        <w:footnoteReference w:id="285"/>
      </w:r>
      <w:r w:rsidRPr="005B5CB6">
        <w:rPr>
          <w:rFonts w:ascii="Verdana" w:eastAsia="Verdana" w:hAnsi="Verdana" w:cs="Verdana"/>
        </w:rPr>
        <w:t xml:space="preserve"> which, whilst it is often defended on the basis of free speech, we should take every effort to better understand, challenge and eradicate. </w:t>
      </w:r>
    </w:p>
    <w:p w:rsidR="00FB0B24" w:rsidRPr="005B5CB6" w:rsidP="00CF6BAD">
      <w:pPr>
        <w:spacing w:after="99"/>
        <w:ind w:left="1"/>
        <w:jc w:val="both"/>
        <w:rPr>
          <w:rFonts w:ascii="Verdana" w:hAnsi="Verdana"/>
        </w:rPr>
      </w:pPr>
      <w:r w:rsidRPr="005B5CB6">
        <w:rPr>
          <w:rFonts w:ascii="Verdana" w:eastAsia="Verdana" w:hAnsi="Verdana" w:cs="Verdana"/>
        </w:rPr>
        <w:t xml:space="preserve"> </w:t>
      </w:r>
    </w:p>
    <w:p w:rsidR="00FB0B24" w:rsidRPr="005B5CB6" w:rsidP="00CF6BAD">
      <w:pPr>
        <w:pStyle w:val="Heading2"/>
        <w:rPr>
          <w:sz w:val="22"/>
        </w:rPr>
      </w:pPr>
      <w:r w:rsidRPr="005B5CB6">
        <w:rPr>
          <w:sz w:val="22"/>
        </w:rPr>
        <w:t xml:space="preserve">Prevalence of online abuse </w:t>
      </w:r>
    </w:p>
    <w:p w:rsidR="00FB0B24" w:rsidRPr="005B5CB6" w:rsidP="00CF6BAD">
      <w:pPr>
        <w:spacing w:after="139" w:line="249" w:lineRule="auto"/>
        <w:ind w:left="10" w:right="12" w:hanging="9"/>
        <w:jc w:val="both"/>
        <w:rPr>
          <w:rFonts w:ascii="Verdana" w:hAnsi="Verdana"/>
        </w:rPr>
      </w:pPr>
      <w:r w:rsidRPr="005B5CB6">
        <w:rPr>
          <w:rFonts w:ascii="Verdana" w:eastAsia="Verdana" w:hAnsi="Verdana" w:cs="Verdana"/>
        </w:rPr>
        <w:t>Surprisingly, relatively little is known about the prevalence of online abuse, which seriously constrains our ability to understand and tackle it. Through an ongoing review, we have identified several key insights about contemporary online abuse in the UK</w:t>
      </w:r>
      <w:r>
        <w:rPr>
          <w:rFonts w:ascii="Verdana" w:eastAsia="Verdana" w:hAnsi="Verdana" w:cs="Verdana"/>
          <w:vertAlign w:val="superscript"/>
        </w:rPr>
        <w:footnoteReference w:id="286"/>
      </w:r>
      <w:r w:rsidRPr="005B5CB6">
        <w:rPr>
          <w:rFonts w:ascii="Verdana" w:eastAsia="Verdana" w:hAnsi="Verdana" w:cs="Verdana"/>
        </w:rPr>
        <w:t xml:space="preserve">: </w:t>
      </w:r>
    </w:p>
    <w:p w:rsidR="00FB0B24" w:rsidRPr="005B5CB6" w:rsidP="00575F14">
      <w:pPr>
        <w:numPr>
          <w:ilvl w:val="0"/>
          <w:numId w:val="183"/>
        </w:numPr>
        <w:spacing w:after="5" w:line="249" w:lineRule="auto"/>
        <w:ind w:right="12" w:hanging="360"/>
        <w:jc w:val="both"/>
        <w:rPr>
          <w:rFonts w:ascii="Verdana" w:hAnsi="Verdana"/>
        </w:rPr>
      </w:pPr>
      <w:r w:rsidRPr="005B5CB6">
        <w:rPr>
          <w:rFonts w:ascii="Verdana" w:eastAsia="Verdana" w:hAnsi="Verdana" w:cs="Verdana"/>
        </w:rPr>
        <w:t xml:space="preserve">The prevalence of legally defined abuse is incredibly low. 1,605 online hate crimes were recorded in England and Wales in 2017/2018. We estimate the number of offences for online harassment is around 1 per 1,000 people. Crime survey data from Scotland provides a higher estimate, indicating that ~1% of people have experienced online harassment. However, to fully understand this, we need more statistics to be made available, ideally collated in a single report. </w:t>
      </w:r>
    </w:p>
    <w:p w:rsidR="00FB0B24" w:rsidRPr="005B5CB6" w:rsidP="00575F14">
      <w:pPr>
        <w:numPr>
          <w:ilvl w:val="0"/>
          <w:numId w:val="183"/>
        </w:numPr>
        <w:spacing w:after="5" w:line="249" w:lineRule="auto"/>
        <w:ind w:right="12" w:hanging="360"/>
        <w:jc w:val="both"/>
        <w:rPr>
          <w:rFonts w:ascii="Verdana" w:hAnsi="Verdana"/>
        </w:rPr>
      </w:pPr>
      <w:r w:rsidRPr="005B5CB6">
        <w:rPr>
          <w:rFonts w:ascii="Verdana" w:eastAsia="Verdana" w:hAnsi="Verdana" w:cs="Verdana"/>
        </w:rPr>
        <w:t xml:space="preserve">The prevalence of online abuse on mainstream platforms which is serious enough for them to take down is also very low. We estimate that it is ~0.000001%. For instance, in Q1 of 2019, Facebook removed 4 million pieces of content for hate speech – but this figure relates to all of the content it hosts, including both new posts made during the period and the </w:t>
      </w:r>
      <w:r w:rsidRPr="005B5CB6">
        <w:rPr>
          <w:rFonts w:ascii="Verdana" w:eastAsia="Verdana" w:hAnsi="Verdana" w:cs="Verdana"/>
          <w:i/>
        </w:rPr>
        <w:t>historical</w:t>
      </w:r>
      <w:r w:rsidRPr="005B5CB6">
        <w:rPr>
          <w:rFonts w:ascii="Verdana" w:eastAsia="Verdana" w:hAnsi="Verdana" w:cs="Verdana"/>
        </w:rPr>
        <w:t xml:space="preserve"> content it still hosts, going back to when Facebook was founded. For a platform which reported in 2013 that 4.75 billion posts are made each day, this means that a tiny fraction of its content is considered hateful.</w:t>
      </w:r>
      <w:r>
        <w:rPr>
          <w:rFonts w:ascii="Verdana" w:eastAsia="Verdana" w:hAnsi="Verdana" w:cs="Verdana"/>
          <w:vertAlign w:val="superscript"/>
        </w:rPr>
        <w:footnoteReference w:id="287"/>
      </w:r>
      <w:r w:rsidRPr="005B5CB6">
        <w:rPr>
          <w:rFonts w:ascii="Verdana" w:eastAsia="Verdana" w:hAnsi="Verdana" w:cs="Verdana"/>
        </w:rPr>
        <w:t xml:space="preserve"> </w:t>
      </w:r>
    </w:p>
    <w:p w:rsidR="00FB0B24" w:rsidRPr="005B5CB6" w:rsidP="00575F14">
      <w:pPr>
        <w:numPr>
          <w:ilvl w:val="0"/>
          <w:numId w:val="183"/>
        </w:numPr>
        <w:spacing w:after="5" w:line="249" w:lineRule="auto"/>
        <w:ind w:right="12" w:hanging="360"/>
        <w:jc w:val="both"/>
        <w:rPr>
          <w:rFonts w:ascii="Verdana" w:hAnsi="Verdana"/>
        </w:rPr>
      </w:pPr>
      <w:r w:rsidRPr="005B5CB6">
        <w:rPr>
          <w:rFonts w:ascii="Verdana" w:eastAsia="Verdana" w:hAnsi="Verdana" w:cs="Verdana"/>
        </w:rPr>
        <w:t xml:space="preserve">Measurement studies from academics and thinktanks indicate that prevalence of abuse is higher than the level indicated by mainstream social media platforms’ content take downs. It is still typically less than 0.1%. However, some users and events generate more abuse, such as prominent figures (e.g. MPs) and terror attacks. </w:t>
      </w:r>
    </w:p>
    <w:p w:rsidR="00FB0B24" w:rsidRPr="005B5CB6" w:rsidP="00575F14">
      <w:pPr>
        <w:numPr>
          <w:ilvl w:val="0"/>
          <w:numId w:val="183"/>
        </w:numPr>
        <w:spacing w:after="5" w:line="249" w:lineRule="auto"/>
        <w:ind w:right="12" w:hanging="360"/>
        <w:jc w:val="both"/>
        <w:rPr>
          <w:rFonts w:ascii="Verdana" w:hAnsi="Verdana"/>
        </w:rPr>
      </w:pPr>
      <w:r w:rsidRPr="005B5CB6">
        <w:rPr>
          <w:rFonts w:ascii="Verdana" w:eastAsia="Verdana" w:hAnsi="Verdana" w:cs="Verdana"/>
        </w:rPr>
        <w:t xml:space="preserve">Niche online spaces contain far more abuse, and in some spaces between 5-8% of content is abusive. Most research in this domain has focused on analysing hate speech and there is a lack of research into other forms of abuse, such as harassment.  </w:t>
      </w:r>
    </w:p>
    <w:p w:rsidR="00FB0B24" w:rsidRPr="005B5CB6" w:rsidP="00575F14">
      <w:pPr>
        <w:numPr>
          <w:ilvl w:val="0"/>
          <w:numId w:val="183"/>
        </w:numPr>
        <w:spacing w:after="320" w:line="249" w:lineRule="auto"/>
        <w:ind w:right="12" w:hanging="360"/>
        <w:jc w:val="both"/>
        <w:rPr>
          <w:rFonts w:ascii="Verdana" w:hAnsi="Verdana"/>
        </w:rPr>
      </w:pPr>
      <w:r w:rsidRPr="005B5CB6">
        <w:rPr>
          <w:rFonts w:ascii="Verdana" w:eastAsia="Verdana" w:hAnsi="Verdana" w:cs="Verdana"/>
        </w:rPr>
        <w:t xml:space="preserve">In strong contrast, the amount of people who report having observed, or being targeted by, online abuse is very high. Based on available survey data, we estimate that between 30-40% of people in the UK report having been exposed to online abuse. We also estimate that 10-20% of people in the UK have personally received abuse online. Note that this gives no insight to </w:t>
      </w:r>
      <w:r w:rsidRPr="005B5CB6">
        <w:rPr>
          <w:rFonts w:ascii="Verdana" w:eastAsia="Verdana" w:hAnsi="Verdana" w:cs="Verdana"/>
          <w:i/>
        </w:rPr>
        <w:t xml:space="preserve">how many times </w:t>
      </w:r>
      <w:r w:rsidRPr="005B5CB6">
        <w:rPr>
          <w:rFonts w:ascii="Verdana" w:eastAsia="Verdana" w:hAnsi="Verdana" w:cs="Verdana"/>
        </w:rPr>
        <w:t xml:space="preserve">people have experienced online abuse: in many cases, people will have only experienced online abuse once or twice or only seen one abusive posts out of thousands. Nonetheless, even limited experiences of abuse can be enough to seriously impact their wellbeing and health. </w:t>
      </w:r>
    </w:p>
    <w:p w:rsidR="00FB0B24" w:rsidRPr="005B5CB6" w:rsidP="00CF6BAD">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71754" name="Group 57175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171" name="Shape 63617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95" style="height:0.6pt;mso-position-horizontal-relative:char;mso-position-vertical-relative:line;width:2in" coordsize="18288,76">
                <v:shape id="_x0000_s1296"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CF6BAD">
      <w:pPr>
        <w:spacing w:after="96"/>
        <w:ind w:left="361"/>
        <w:jc w:val="both"/>
        <w:rPr>
          <w:rFonts w:ascii="Verdana" w:hAnsi="Verdana"/>
        </w:rPr>
      </w:pPr>
      <w:r w:rsidRPr="005B5CB6">
        <w:rPr>
          <w:rFonts w:ascii="Verdana" w:eastAsia="Verdana" w:hAnsi="Verdana" w:cs="Verdana"/>
        </w:rPr>
        <w:t xml:space="preserve"> </w:t>
      </w:r>
    </w:p>
    <w:p w:rsidR="00FB0B24" w:rsidRPr="005B5CB6" w:rsidP="00CF6BAD">
      <w:pPr>
        <w:spacing w:after="110" w:line="249" w:lineRule="auto"/>
        <w:ind w:left="10" w:right="12" w:hanging="9"/>
        <w:jc w:val="both"/>
        <w:rPr>
          <w:rFonts w:ascii="Verdana" w:hAnsi="Verdana"/>
        </w:rPr>
      </w:pPr>
      <w:r w:rsidRPr="005B5CB6">
        <w:rPr>
          <w:rFonts w:ascii="Verdana" w:eastAsia="Verdana" w:hAnsi="Verdana" w:cs="Verdana"/>
        </w:rPr>
        <w:t xml:space="preserve">Overall, these results suggest that whilst the prevalence of online abuse is low, especially in terms of content which is illegal or contravenes platforms’ guidelines, </w:t>
      </w:r>
      <w:r w:rsidRPr="005B5CB6">
        <w:rPr>
          <w:rFonts w:ascii="Verdana" w:eastAsia="Verdana" w:hAnsi="Verdana" w:cs="Verdana"/>
        </w:rPr>
        <w:t xml:space="preserve">many people are still exposed to it. This somewhat counterintuitive finding (that online abuse is rare but still seen by many) is crucial for understanding the contemporary landscape of online abuse. It is a key reason for why online abuse is so hard to tackle: even just a few bits of abusive content online can have huge impact which, given the need to balance taking down abuse with protecting individuals’ freedom of speech and right to privacy, creates a ‘wicked problem’ for policymakers. </w:t>
      </w:r>
    </w:p>
    <w:p w:rsidR="00FB0B24" w:rsidRPr="005B5CB6" w:rsidP="00CF6BAD">
      <w:pPr>
        <w:spacing w:after="96"/>
        <w:ind w:left="1"/>
        <w:jc w:val="both"/>
        <w:rPr>
          <w:rFonts w:ascii="Verdana" w:hAnsi="Verdana"/>
        </w:rPr>
      </w:pPr>
      <w:r w:rsidRPr="005B5CB6">
        <w:rPr>
          <w:rFonts w:ascii="Verdana" w:eastAsia="Verdana" w:hAnsi="Verdana" w:cs="Verdana"/>
        </w:rPr>
        <w:t xml:space="preserve"> </w:t>
      </w:r>
    </w:p>
    <w:p w:rsidR="00FB0B24" w:rsidRPr="005B5CB6" w:rsidP="00CF6BAD">
      <w:pPr>
        <w:pStyle w:val="Heading2"/>
        <w:rPr>
          <w:sz w:val="22"/>
        </w:rPr>
      </w:pPr>
      <w:r w:rsidRPr="005B5CB6">
        <w:rPr>
          <w:sz w:val="22"/>
        </w:rPr>
        <w:t xml:space="preserve">How abuse manifests </w:t>
      </w:r>
    </w:p>
    <w:p w:rsidR="00FB0B24" w:rsidRPr="005B5CB6" w:rsidP="00CF6BAD">
      <w:pPr>
        <w:spacing w:after="58" w:line="249" w:lineRule="auto"/>
        <w:ind w:left="10" w:right="12" w:hanging="9"/>
        <w:jc w:val="both"/>
        <w:rPr>
          <w:rFonts w:ascii="Verdana" w:hAnsi="Verdana"/>
        </w:rPr>
      </w:pPr>
      <w:r w:rsidRPr="005B5CB6">
        <w:rPr>
          <w:rFonts w:ascii="Verdana" w:eastAsia="Verdana" w:hAnsi="Verdana" w:cs="Verdana"/>
        </w:rPr>
        <w:t>Abuse impacts on different people and groups very unevenly. For instance, MPs and public figures often receive far more online abuse than ordinary citizens.</w:t>
      </w:r>
      <w:r>
        <w:rPr>
          <w:rFonts w:ascii="Verdana" w:eastAsia="Verdana" w:hAnsi="Verdana" w:cs="Verdana"/>
          <w:vertAlign w:val="superscript"/>
        </w:rPr>
        <w:footnoteReference w:id="288"/>
      </w:r>
      <w:r w:rsidRPr="005B5CB6">
        <w:rPr>
          <w:rFonts w:ascii="Verdana" w:eastAsia="Verdana" w:hAnsi="Verdana" w:cs="Verdana"/>
        </w:rPr>
        <w:t xml:space="preserve"> Our research on how MPs used Twitter during the 2017 general election campaign, also shows that </w:t>
      </w:r>
      <w:r w:rsidRPr="005B5CB6">
        <w:rPr>
          <w:rFonts w:ascii="Verdana" w:eastAsia="Verdana" w:hAnsi="Verdana" w:cs="Verdana"/>
          <w:i/>
        </w:rPr>
        <w:t>how</w:t>
      </w:r>
      <w:r w:rsidRPr="005B5CB6">
        <w:rPr>
          <w:rFonts w:ascii="Verdana" w:eastAsia="Verdana" w:hAnsi="Verdana" w:cs="Verdana"/>
        </w:rPr>
        <w:t xml:space="preserve"> they receive abuse is very different to other online actors.</w:t>
      </w:r>
      <w:r w:rsidRPr="005B5CB6">
        <w:rPr>
          <w:rFonts w:ascii="Verdana" w:eastAsia="Verdana" w:hAnsi="Verdana" w:cs="Verdana"/>
          <w:vertAlign w:val="superscript"/>
        </w:rPr>
        <w:t>7</w:t>
      </w:r>
      <w:r w:rsidRPr="005B5CB6">
        <w:rPr>
          <w:rFonts w:ascii="Verdana" w:eastAsia="Verdana" w:hAnsi="Verdana" w:cs="Verdana"/>
        </w:rPr>
        <w:t xml:space="preserve"> We find that whilst there is always a background level of online abuse, infrequent but intense ‘events’ occur too: brief periods of time in which MPs are targeted by huge amounts of abuse from a wide array of Twitter users. Figure 1 shows the number of abusive tweets received by the Conservative MP Nadine Dorries. The turquoise sections show the occurrence of hate ‘events’ and the red sections show the background level of abuse she constantly experiences. Most of the abuse she receives happens during the short sharp event periods. </w:t>
      </w:r>
    </w:p>
    <w:p w:rsidR="00FB0B24" w:rsidRPr="005B5CB6" w:rsidP="00CF6BAD">
      <w:pPr>
        <w:spacing w:after="53"/>
        <w:ind w:left="1571"/>
        <w:jc w:val="both"/>
        <w:rPr>
          <w:rFonts w:ascii="Verdana" w:hAnsi="Verdana"/>
        </w:rPr>
      </w:pPr>
      <w:r w:rsidRPr="005B5CB6">
        <w:rPr>
          <w:rFonts w:ascii="Verdana" w:hAnsi="Verdana"/>
          <w:noProof/>
        </w:rPr>
        <w:drawing>
          <wp:inline distT="0" distB="0" distL="0" distR="0">
            <wp:extent cx="3731767" cy="3015615"/>
            <wp:effectExtent l="0" t="0" r="0" b="0"/>
            <wp:docPr id="32014" name="Picture 32014"/>
            <wp:cNvGraphicFramePr/>
            <a:graphic xmlns:a="http://schemas.openxmlformats.org/drawingml/2006/main">
              <a:graphicData uri="http://schemas.openxmlformats.org/drawingml/2006/picture">
                <pic:pic xmlns:pic="http://schemas.openxmlformats.org/drawingml/2006/picture">
                  <pic:nvPicPr>
                    <pic:cNvPr id="32014" name="Picture 32014"/>
                    <pic:cNvPicPr/>
                  </pic:nvPicPr>
                  <pic:blipFill>
                    <a:blip xmlns:r="http://schemas.openxmlformats.org/officeDocument/2006/relationships" r:embed="rId310"/>
                    <a:stretch>
                      <a:fillRect/>
                    </a:stretch>
                  </pic:blipFill>
                  <pic:spPr>
                    <a:xfrm>
                      <a:off x="0" y="0"/>
                      <a:ext cx="3731767" cy="3015615"/>
                    </a:xfrm>
                    <a:prstGeom prst="rect">
                      <a:avLst/>
                    </a:prstGeom>
                  </pic:spPr>
                </pic:pic>
              </a:graphicData>
            </a:graphic>
          </wp:inline>
        </w:drawing>
      </w:r>
      <w:r w:rsidRPr="005B5CB6">
        <w:rPr>
          <w:rFonts w:ascii="Verdana" w:eastAsia="Verdana" w:hAnsi="Verdana" w:cs="Verdana"/>
        </w:rPr>
        <w:t xml:space="preserve"> </w:t>
      </w:r>
    </w:p>
    <w:p w:rsidR="00FB0B24" w:rsidRPr="005B5CB6" w:rsidP="00CF6BAD">
      <w:pPr>
        <w:spacing w:after="175"/>
        <w:jc w:val="both"/>
        <w:rPr>
          <w:rFonts w:ascii="Verdana" w:hAnsi="Verdana"/>
        </w:rPr>
      </w:pPr>
      <w:r w:rsidRPr="005B5CB6">
        <w:rPr>
          <w:rFonts w:ascii="Verdana" w:eastAsia="Verdana" w:hAnsi="Verdana" w:cs="Verdana"/>
          <w:i/>
          <w:color w:val="44546A"/>
        </w:rPr>
        <w:t xml:space="preserve">Figure 1, Abuse received by Nadine Dorries during the 2017 general election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Intense hate events are likely to have considerable emotional and mental health impact on MPs and may create the perception that everyone is opposed to them </w:t>
      </w:r>
    </w:p>
    <w:p w:rsidR="00FB0B24" w:rsidRPr="005B5CB6" w:rsidP="00CF6BAD">
      <w:pPr>
        <w:spacing w:after="93" w:line="250" w:lineRule="auto"/>
        <w:ind w:left="23" w:right="11" w:hanging="8"/>
        <w:jc w:val="both"/>
        <w:rPr>
          <w:rFonts w:ascii="Verdana" w:hAnsi="Verdana"/>
        </w:rPr>
      </w:pPr>
      <w:r w:rsidRPr="005B5CB6">
        <w:rPr>
          <w:rFonts w:ascii="Verdana" w:eastAsia="Verdana" w:hAnsi="Verdana" w:cs="Verdana"/>
        </w:rPr>
        <w:t xml:space="preserve">– even though, in many cases, it is just a small but vocal minority who are </w:t>
      </w:r>
    </w:p>
    <w:p w:rsidR="00FB0B24" w:rsidRPr="005B5CB6" w:rsidP="00CF6BAD">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73292" name="Group 57329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173" name="Shape 63617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97" style="height:0.6pt;mso-position-horizontal-relative:char;mso-position-vertical-relative:line;width:2in" coordsize="18288,76">
                <v:shape id="_x0000_s1298"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CF6BAD">
      <w:pPr>
        <w:spacing w:after="112" w:line="249" w:lineRule="auto"/>
        <w:ind w:left="10" w:right="12" w:hanging="9"/>
        <w:jc w:val="both"/>
        <w:rPr>
          <w:rFonts w:ascii="Verdana" w:hAnsi="Verdana"/>
        </w:rPr>
      </w:pPr>
      <w:r w:rsidRPr="005B5CB6">
        <w:rPr>
          <w:rFonts w:ascii="Verdana" w:eastAsia="Verdana" w:hAnsi="Verdana" w:cs="Verdana"/>
        </w:rPr>
        <w:t xml:space="preserve">attacking them for a brief period. We need to develop ways of providing more support to figures who are in the public eye, and not just accept online abuse as </w:t>
      </w:r>
      <w:r w:rsidRPr="005B5CB6">
        <w:rPr>
          <w:rFonts w:ascii="Verdana" w:eastAsia="Verdana" w:hAnsi="Verdana" w:cs="Verdana"/>
        </w:rPr>
        <w:t xml:space="preserve">part of the rough and tumble of politics. Otherwise, we risk excluding certain types of people from public spaces, in particular those who are either more vulnerable or have less support around them. This is not only unfair but will also reduce the diversity and quality of public discourse, negatively impacting all citizens and potentially alienating some groups from civic engagement. </w:t>
      </w:r>
    </w:p>
    <w:p w:rsidR="00FB0B24" w:rsidRPr="005B5CB6" w:rsidP="00CF6BAD">
      <w:pPr>
        <w:spacing w:after="109" w:line="249" w:lineRule="auto"/>
        <w:ind w:left="10" w:right="12" w:hanging="9"/>
        <w:jc w:val="both"/>
        <w:rPr>
          <w:rFonts w:ascii="Verdana" w:hAnsi="Verdana"/>
        </w:rPr>
      </w:pPr>
      <w:r w:rsidRPr="005B5CB6">
        <w:rPr>
          <w:rFonts w:ascii="Verdana" w:eastAsia="Verdana" w:hAnsi="Verdana" w:cs="Verdana"/>
        </w:rPr>
        <w:t>Our research also shows that experiences of online abuse are also highly uneven in other ways, such as by peoples’ demographics. This is based on original analysis of previously unpublished data from the Oxford Internet Institute’s 2019 Oxford Internet Survey (OxIS). We are grateful to the authors for giving us permission to use this data, and to Dr. Grant Blank for making it available.</w:t>
      </w:r>
      <w:r>
        <w:rPr>
          <w:rFonts w:ascii="Verdana" w:eastAsia="Verdana" w:hAnsi="Verdana" w:cs="Verdana"/>
          <w:vertAlign w:val="superscript"/>
        </w:rPr>
        <w:footnoteReference w:id="289"/>
      </w:r>
      <w:r w:rsidRPr="005B5CB6">
        <w:rPr>
          <w:rFonts w:ascii="Verdana" w:eastAsia="Verdana" w:hAnsi="Verdana" w:cs="Verdana"/>
        </w:rPr>
        <w:t xml:space="preserve"> Our results show that younger people, non-Whites and more regular Internet users are more likely to experience online abuse. This unevenness in how online abuse manifests means that when we talk its impact on online democracy, participation and discourse we should not adopt a ‘broad brush’ and act as though all users’ experiences are the same: experiences of online abuse vary systematically by background and activity. </w:t>
      </w:r>
    </w:p>
    <w:p w:rsidR="00FB0B24" w:rsidRPr="005B5CB6" w:rsidP="00CF6BAD">
      <w:pPr>
        <w:spacing w:after="99"/>
        <w:ind w:left="1"/>
        <w:jc w:val="both"/>
        <w:rPr>
          <w:rFonts w:ascii="Verdana" w:hAnsi="Verdana"/>
        </w:rPr>
      </w:pPr>
      <w:r w:rsidRPr="005B5CB6">
        <w:rPr>
          <w:rFonts w:ascii="Verdana" w:eastAsia="Verdana" w:hAnsi="Verdana" w:cs="Verdana"/>
        </w:rPr>
        <w:t xml:space="preserve"> </w:t>
      </w:r>
    </w:p>
    <w:p w:rsidR="00FB0B24" w:rsidRPr="005B5CB6" w:rsidP="003255A4">
      <w:pPr>
        <w:pStyle w:val="Heading2"/>
        <w:rPr>
          <w:sz w:val="22"/>
        </w:rPr>
      </w:pPr>
      <w:r w:rsidRPr="005B5CB6">
        <w:rPr>
          <w:sz w:val="22"/>
        </w:rPr>
        <w:t xml:space="preserve">Online abuse: OxIS 2019 survey results </w:t>
      </w:r>
    </w:p>
    <w:p w:rsidR="00FB0B24" w:rsidRPr="005B5CB6" w:rsidP="003255A4">
      <w:pPr>
        <w:spacing w:after="108" w:line="250" w:lineRule="auto"/>
        <w:ind w:left="23" w:right="11" w:hanging="8"/>
        <w:jc w:val="both"/>
        <w:rPr>
          <w:rFonts w:ascii="Verdana" w:hAnsi="Verdana"/>
        </w:rPr>
      </w:pPr>
      <w:r w:rsidRPr="005B5CB6">
        <w:rPr>
          <w:rFonts w:ascii="Verdana" w:eastAsia="Verdana" w:hAnsi="Verdana" w:cs="Verdana"/>
        </w:rPr>
        <w:t xml:space="preserve">Two questions from the 2019 OxIS survey relate to online abuse </w:t>
      </w:r>
    </w:p>
    <w:p w:rsidR="00FB0B24" w:rsidRPr="005B5CB6" w:rsidP="00575F14">
      <w:pPr>
        <w:numPr>
          <w:ilvl w:val="0"/>
          <w:numId w:val="184"/>
        </w:numPr>
        <w:spacing w:after="5" w:line="250" w:lineRule="auto"/>
        <w:ind w:right="11" w:hanging="379"/>
        <w:jc w:val="both"/>
        <w:rPr>
          <w:rFonts w:ascii="Verdana" w:hAnsi="Verdana"/>
        </w:rPr>
      </w:pPr>
      <w:r w:rsidRPr="005B5CB6">
        <w:rPr>
          <w:rFonts w:ascii="Verdana" w:eastAsia="Verdana" w:hAnsi="Verdana" w:cs="Verdana"/>
        </w:rPr>
        <w:t xml:space="preserve">Have you seen cruel or hateful comments or images posted online? </w:t>
      </w:r>
    </w:p>
    <w:p w:rsidR="00FB0B24" w:rsidRPr="005B5CB6" w:rsidP="00575F14">
      <w:pPr>
        <w:numPr>
          <w:ilvl w:val="0"/>
          <w:numId w:val="184"/>
        </w:numPr>
        <w:spacing w:after="105" w:line="250" w:lineRule="auto"/>
        <w:ind w:right="11" w:hanging="379"/>
        <w:jc w:val="both"/>
        <w:rPr>
          <w:rFonts w:ascii="Verdana" w:hAnsi="Verdana"/>
        </w:rPr>
      </w:pPr>
      <w:r w:rsidRPr="005B5CB6">
        <w:rPr>
          <w:rFonts w:ascii="Verdana" w:eastAsia="Verdana" w:hAnsi="Verdana" w:cs="Verdana"/>
        </w:rPr>
        <w:t xml:space="preserve">Have you received obscene or abusive emails?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In total, 27% of respondents had seen cruel or hateful comments or images posted online. 10% of respondents had received obscene/abusive emails. However, these headline figures mask important differences based on respondents’ demographics. Ethnicity impacted respondents’ experiences of online abuse, with Black people experiencing far more online abuse than White people. Asian and ‘Other’ respondents fell in between these groups for both questions. This is shown in Figure 1. </w:t>
      </w:r>
    </w:p>
    <w:p w:rsidR="00FB0B24" w:rsidRPr="005B5CB6" w:rsidP="003255A4">
      <w:pPr>
        <w:spacing w:after="3506"/>
        <w:ind w:left="1"/>
        <w:jc w:val="both"/>
        <w:rPr>
          <w:rFonts w:ascii="Verdana" w:hAnsi="Verdana"/>
        </w:rPr>
      </w:pPr>
      <w:r w:rsidRPr="005B5CB6">
        <w:rPr>
          <w:rFonts w:ascii="Verdana" w:eastAsia="Verdana" w:hAnsi="Verdana" w:cs="Verdana"/>
        </w:rPr>
        <w:t xml:space="preserve">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72931" name="Group 57293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175" name="Shape 63617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299" style="height:0.6pt;mso-position-horizontal-relative:char;mso-position-vertical-relative:line;width:2in" coordsize="18288,76">
                <v:shape id="_x0000_s1300"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53"/>
        <w:ind w:left="73"/>
        <w:jc w:val="both"/>
        <w:rPr>
          <w:rFonts w:ascii="Verdana" w:hAnsi="Verdana"/>
        </w:rPr>
      </w:pPr>
      <w:r w:rsidRPr="005B5CB6">
        <w:rPr>
          <w:rFonts w:ascii="Verdana" w:hAnsi="Verdana"/>
          <w:noProof/>
        </w:rPr>
        <w:drawing>
          <wp:inline distT="0" distB="0" distL="0" distR="0">
            <wp:extent cx="3235960" cy="3235960"/>
            <wp:effectExtent l="0" t="0" r="0" b="0"/>
            <wp:docPr id="32108" name="Picture 32108"/>
            <wp:cNvGraphicFramePr/>
            <a:graphic xmlns:a="http://schemas.openxmlformats.org/drawingml/2006/main">
              <a:graphicData uri="http://schemas.openxmlformats.org/drawingml/2006/picture">
                <pic:pic xmlns:pic="http://schemas.openxmlformats.org/drawingml/2006/picture">
                  <pic:nvPicPr>
                    <pic:cNvPr id="32108" name="Picture 32108"/>
                    <pic:cNvPicPr/>
                  </pic:nvPicPr>
                  <pic:blipFill>
                    <a:blip xmlns:r="http://schemas.openxmlformats.org/officeDocument/2006/relationships" r:embed="rId311"/>
                    <a:stretch>
                      <a:fillRect/>
                    </a:stretch>
                  </pic:blipFill>
                  <pic:spPr>
                    <a:xfrm>
                      <a:off x="0" y="0"/>
                      <a:ext cx="3235960" cy="3235960"/>
                    </a:xfrm>
                    <a:prstGeom prst="rect">
                      <a:avLst/>
                    </a:prstGeom>
                  </pic:spPr>
                </pic:pic>
              </a:graphicData>
            </a:graphic>
          </wp:inline>
        </w:drawing>
      </w:r>
      <w:r w:rsidRPr="005B5CB6">
        <w:rPr>
          <w:rFonts w:ascii="Verdana" w:eastAsia="Verdana" w:hAnsi="Verdana" w:cs="Verdana"/>
        </w:rPr>
        <w:t xml:space="preserve"> </w:t>
      </w:r>
    </w:p>
    <w:p w:rsidR="00FB0B24" w:rsidRPr="005B5CB6" w:rsidP="003255A4">
      <w:pPr>
        <w:spacing w:after="174"/>
        <w:ind w:left="10" w:right="-10" w:hanging="10"/>
        <w:jc w:val="both"/>
        <w:rPr>
          <w:rFonts w:ascii="Verdana" w:hAnsi="Verdana"/>
        </w:rPr>
      </w:pPr>
      <w:r w:rsidRPr="005B5CB6">
        <w:rPr>
          <w:rFonts w:ascii="Verdana" w:eastAsia="Verdana" w:hAnsi="Verdana" w:cs="Verdana"/>
          <w:i/>
          <w:color w:val="44546A"/>
        </w:rPr>
        <w:t xml:space="preserve">Figure 2, Experiences of online abuse, split by ethnicity (OxIS 2019 data) </w:t>
      </w:r>
    </w:p>
    <w:p w:rsidR="00FB0B24" w:rsidRPr="005B5CB6" w:rsidP="003255A4">
      <w:pPr>
        <w:spacing w:after="59" w:line="249" w:lineRule="auto"/>
        <w:ind w:left="10" w:right="12" w:hanging="9"/>
        <w:jc w:val="both"/>
        <w:rPr>
          <w:rFonts w:ascii="Verdana" w:hAnsi="Verdana"/>
        </w:rPr>
      </w:pPr>
      <w:r w:rsidRPr="005B5CB6">
        <w:rPr>
          <w:rFonts w:ascii="Verdana" w:eastAsia="Verdana" w:hAnsi="Verdana" w:cs="Verdana"/>
        </w:rPr>
        <w:t xml:space="preserve">Age also impacted respondents’ experiences of online abuse. Younger people are more likely to experience abuse. 41.2% of 18-30 year olds had seen cruel/hateful content online, compared with 7.4% of 76+ year olds. Age also impacted whether respondents had received obscene/abusive emails but the relationship was far weaker, ranging only from 13.1% of 18-30 year olds to 6.77% of 76+ year olds. Differences in experiences of online abuse according to age are shown in Figure 2. </w:t>
      </w:r>
    </w:p>
    <w:p w:rsidR="00FB0B24" w:rsidRPr="005B5CB6" w:rsidP="003255A4">
      <w:pPr>
        <w:spacing w:after="53"/>
        <w:ind w:left="73"/>
        <w:jc w:val="both"/>
        <w:rPr>
          <w:rFonts w:ascii="Verdana" w:hAnsi="Verdana"/>
        </w:rPr>
      </w:pPr>
      <w:r w:rsidRPr="005B5CB6">
        <w:rPr>
          <w:rFonts w:ascii="Verdana" w:hAnsi="Verdana"/>
          <w:noProof/>
        </w:rPr>
        <w:drawing>
          <wp:inline distT="0" distB="0" distL="0" distR="0">
            <wp:extent cx="3235960" cy="3235960"/>
            <wp:effectExtent l="0" t="0" r="0" b="0"/>
            <wp:docPr id="32110" name="Picture 32110"/>
            <wp:cNvGraphicFramePr/>
            <a:graphic xmlns:a="http://schemas.openxmlformats.org/drawingml/2006/main">
              <a:graphicData uri="http://schemas.openxmlformats.org/drawingml/2006/picture">
                <pic:pic xmlns:pic="http://schemas.openxmlformats.org/drawingml/2006/picture">
                  <pic:nvPicPr>
                    <pic:cNvPr id="32110" name="Picture 32110"/>
                    <pic:cNvPicPr/>
                  </pic:nvPicPr>
                  <pic:blipFill>
                    <a:blip xmlns:r="http://schemas.openxmlformats.org/officeDocument/2006/relationships" r:embed="rId312"/>
                    <a:stretch>
                      <a:fillRect/>
                    </a:stretch>
                  </pic:blipFill>
                  <pic:spPr>
                    <a:xfrm>
                      <a:off x="0" y="0"/>
                      <a:ext cx="3235960" cy="3235960"/>
                    </a:xfrm>
                    <a:prstGeom prst="rect">
                      <a:avLst/>
                    </a:prstGeom>
                  </pic:spPr>
                </pic:pic>
              </a:graphicData>
            </a:graphic>
          </wp:inline>
        </w:drawing>
      </w:r>
      <w:r w:rsidRPr="005B5CB6">
        <w:rPr>
          <w:rFonts w:ascii="Verdana" w:eastAsia="Verdana" w:hAnsi="Verdana" w:cs="Verdana"/>
        </w:rPr>
        <w:t xml:space="preserve"> </w:t>
      </w:r>
    </w:p>
    <w:p w:rsidR="00FB0B24" w:rsidRPr="005B5CB6" w:rsidP="003255A4">
      <w:pPr>
        <w:spacing w:after="174"/>
        <w:ind w:left="10" w:right="-10" w:hanging="10"/>
        <w:jc w:val="both"/>
        <w:rPr>
          <w:rFonts w:ascii="Verdana" w:hAnsi="Verdana"/>
        </w:rPr>
      </w:pPr>
      <w:r w:rsidRPr="005B5CB6">
        <w:rPr>
          <w:rFonts w:ascii="Verdana" w:eastAsia="Verdana" w:hAnsi="Verdana" w:cs="Verdana"/>
          <w:i/>
          <w:color w:val="44546A"/>
        </w:rPr>
        <w:t xml:space="preserve">Figure 3, Experiences of online abuse, split by age (OxIS 2019 data) </w:t>
      </w:r>
    </w:p>
    <w:p w:rsidR="00FB0B24" w:rsidRPr="005B5CB6" w:rsidP="003255A4">
      <w:pPr>
        <w:spacing w:after="61" w:line="249" w:lineRule="auto"/>
        <w:ind w:left="10" w:right="12" w:hanging="9"/>
        <w:jc w:val="both"/>
        <w:rPr>
          <w:rFonts w:ascii="Verdana" w:hAnsi="Verdana"/>
        </w:rPr>
      </w:pPr>
      <w:r w:rsidRPr="005B5CB6">
        <w:rPr>
          <w:rFonts w:ascii="Verdana" w:eastAsia="Verdana" w:hAnsi="Verdana" w:cs="Verdana"/>
        </w:rPr>
        <w:t xml:space="preserve">Internet use impacted respondents’ experiences of online abuse. 38.9% of users who ‘Constantly’ go online had seen cruel/hateful content online, compared with </w:t>
      </w:r>
      <w:r w:rsidRPr="005B5CB6">
        <w:rPr>
          <w:rFonts w:ascii="Verdana" w:eastAsia="Verdana" w:hAnsi="Verdana" w:cs="Verdana"/>
        </w:rPr>
        <w:t xml:space="preserve">just 5.2% of users who go online less often than once per week. More time spent online was also associated with being less likely to receive obscene/abusive emails, from 16.6% of users who ‘Constantly’ go online to 2.2% of users who go online once per week. However, one exception is users who go online less often than once per week, of whom 21.5% had received obscene/abusive emails. Differences in experiences of online abuse according to Internet use are shown in Figure 2. </w:t>
      </w:r>
    </w:p>
    <w:p w:rsidR="00FB0B24" w:rsidRPr="005B5CB6" w:rsidP="003255A4">
      <w:pPr>
        <w:spacing w:after="53"/>
        <w:ind w:left="73"/>
        <w:jc w:val="both"/>
        <w:rPr>
          <w:rFonts w:ascii="Verdana" w:hAnsi="Verdana"/>
        </w:rPr>
      </w:pPr>
      <w:r w:rsidRPr="005B5CB6">
        <w:rPr>
          <w:rFonts w:ascii="Verdana" w:hAnsi="Verdana"/>
          <w:noProof/>
        </w:rPr>
        <w:drawing>
          <wp:inline distT="0" distB="0" distL="0" distR="0">
            <wp:extent cx="3235960" cy="3235960"/>
            <wp:effectExtent l="0" t="0" r="0" b="0"/>
            <wp:docPr id="32135" name="Picture 32135"/>
            <wp:cNvGraphicFramePr/>
            <a:graphic xmlns:a="http://schemas.openxmlformats.org/drawingml/2006/main">
              <a:graphicData uri="http://schemas.openxmlformats.org/drawingml/2006/picture">
                <pic:pic xmlns:pic="http://schemas.openxmlformats.org/drawingml/2006/picture">
                  <pic:nvPicPr>
                    <pic:cNvPr id="32135" name="Picture 32135"/>
                    <pic:cNvPicPr/>
                  </pic:nvPicPr>
                  <pic:blipFill>
                    <a:blip xmlns:r="http://schemas.openxmlformats.org/officeDocument/2006/relationships" r:embed="rId313"/>
                    <a:stretch>
                      <a:fillRect/>
                    </a:stretch>
                  </pic:blipFill>
                  <pic:spPr>
                    <a:xfrm>
                      <a:off x="0" y="0"/>
                      <a:ext cx="3235960" cy="3235960"/>
                    </a:xfrm>
                    <a:prstGeom prst="rect">
                      <a:avLst/>
                    </a:prstGeom>
                  </pic:spPr>
                </pic:pic>
              </a:graphicData>
            </a:graphic>
          </wp:inline>
        </w:drawing>
      </w:r>
      <w:r w:rsidRPr="005B5CB6">
        <w:rPr>
          <w:rFonts w:ascii="Verdana" w:eastAsia="Verdana" w:hAnsi="Verdana" w:cs="Verdana"/>
        </w:rPr>
        <w:t xml:space="preserve"> </w:t>
      </w:r>
    </w:p>
    <w:p w:rsidR="00FB0B24" w:rsidRPr="005B5CB6" w:rsidP="003255A4">
      <w:pPr>
        <w:spacing w:after="174"/>
        <w:ind w:left="10" w:right="-10" w:hanging="10"/>
        <w:jc w:val="both"/>
        <w:rPr>
          <w:rFonts w:ascii="Verdana" w:hAnsi="Verdana"/>
        </w:rPr>
      </w:pPr>
      <w:r w:rsidRPr="005B5CB6">
        <w:rPr>
          <w:rFonts w:ascii="Verdana" w:eastAsia="Verdana" w:hAnsi="Verdana" w:cs="Verdana"/>
          <w:i/>
          <w:color w:val="44546A"/>
        </w:rPr>
        <w:t xml:space="preserve">Figure 4, Experiences of online abuse, split by Internet use (OxIS 2019 data)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Finally, our results show that gender played a far smaller role in experiences of online abuse. For both variables, a similar proportion of Males as Females experienced online abuse. However, we note that other research indicates that gender is a crucial factor in experiences of online abuse, and so advise caution when interpreting this result. </w:t>
      </w:r>
    </w:p>
    <w:p w:rsidR="00FB0B24" w:rsidRPr="005B5CB6" w:rsidP="003255A4">
      <w:pPr>
        <w:spacing w:after="53"/>
        <w:ind w:right="1664"/>
        <w:jc w:val="both"/>
        <w:rPr>
          <w:rFonts w:ascii="Verdana" w:hAnsi="Verdana"/>
        </w:rPr>
      </w:pPr>
      <w:r w:rsidRPr="005B5CB6">
        <w:rPr>
          <w:rFonts w:ascii="Verdana" w:hAnsi="Verdana"/>
          <w:noProof/>
        </w:rPr>
        <w:drawing>
          <wp:inline distT="0" distB="0" distL="0" distR="0">
            <wp:extent cx="3521075" cy="3521075"/>
            <wp:effectExtent l="0" t="0" r="0" b="0"/>
            <wp:docPr id="32146" name="Picture 32146"/>
            <wp:cNvGraphicFramePr/>
            <a:graphic xmlns:a="http://schemas.openxmlformats.org/drawingml/2006/main">
              <a:graphicData uri="http://schemas.openxmlformats.org/drawingml/2006/picture">
                <pic:pic xmlns:pic="http://schemas.openxmlformats.org/drawingml/2006/picture">
                  <pic:nvPicPr>
                    <pic:cNvPr id="32146" name="Picture 32146"/>
                    <pic:cNvPicPr/>
                  </pic:nvPicPr>
                  <pic:blipFill>
                    <a:blip xmlns:r="http://schemas.openxmlformats.org/officeDocument/2006/relationships" r:embed="rId314"/>
                    <a:stretch>
                      <a:fillRect/>
                    </a:stretch>
                  </pic:blipFill>
                  <pic:spPr>
                    <a:xfrm>
                      <a:off x="0" y="0"/>
                      <a:ext cx="3521075" cy="3521075"/>
                    </a:xfrm>
                    <a:prstGeom prst="rect">
                      <a:avLst/>
                    </a:prstGeom>
                  </pic:spPr>
                </pic:pic>
              </a:graphicData>
            </a:graphic>
          </wp:inline>
        </w:drawing>
      </w:r>
      <w:r w:rsidRPr="005B5CB6">
        <w:rPr>
          <w:rFonts w:ascii="Verdana" w:eastAsia="Verdana" w:hAnsi="Verdana" w:cs="Verdana"/>
        </w:rPr>
        <w:t xml:space="preserve"> </w:t>
      </w:r>
    </w:p>
    <w:p w:rsidR="00FB0B24" w:rsidRPr="005B5CB6" w:rsidP="003255A4">
      <w:pPr>
        <w:spacing w:after="0"/>
        <w:ind w:left="433"/>
        <w:jc w:val="both"/>
        <w:rPr>
          <w:rFonts w:ascii="Verdana" w:hAnsi="Verdana"/>
        </w:rPr>
      </w:pPr>
      <w:r w:rsidRPr="005B5CB6">
        <w:rPr>
          <w:rFonts w:ascii="Verdana" w:eastAsia="Verdana" w:hAnsi="Verdana" w:cs="Verdana"/>
          <w:i/>
          <w:color w:val="44546A"/>
        </w:rPr>
        <w:t>Figure 5, Experiences of online abuse, split by Gender (OxIS 2019 ddata)</w:t>
      </w:r>
      <w:r w:rsidRPr="005B5CB6">
        <w:rPr>
          <w:rFonts w:ascii="Verdana" w:eastAsia="Arial" w:hAnsi="Verdana" w:cs="Arial"/>
          <w:i/>
          <w:color w:val="44546A"/>
        </w:rPr>
        <w:t xml:space="preserve"> </w:t>
      </w:r>
      <w:r w:rsidRPr="005B5CB6">
        <w:rPr>
          <w:rFonts w:ascii="Verdana" w:hAnsi="Verdana"/>
        </w:rPr>
        <w:br w:type="page"/>
      </w:r>
    </w:p>
    <w:p w:rsidR="00FB0B24" w:rsidRPr="005B5CB6" w:rsidP="003255A4">
      <w:pPr>
        <w:spacing w:after="109" w:line="250" w:lineRule="auto"/>
        <w:ind w:left="11" w:hanging="10"/>
        <w:jc w:val="both"/>
        <w:rPr>
          <w:rFonts w:ascii="Verdana" w:hAnsi="Verdana"/>
        </w:rPr>
      </w:pPr>
      <w:r w:rsidRPr="005B5CB6">
        <w:rPr>
          <w:rFonts w:ascii="Verdana" w:eastAsia="Verdana" w:hAnsi="Verdana" w:cs="Verdana"/>
          <w:b/>
        </w:rPr>
        <w:t xml:space="preserve">Question 11: How could the moderation processes of large technology companies be improved to better tackle abuse and misinformation, as well as helping public debate flourish? </w:t>
      </w:r>
    </w:p>
    <w:p w:rsidR="00FB0B24" w:rsidRPr="005B5CB6" w:rsidP="003255A4">
      <w:pPr>
        <w:spacing w:after="110" w:line="249" w:lineRule="auto"/>
        <w:ind w:left="10" w:right="12" w:hanging="9"/>
        <w:jc w:val="both"/>
        <w:rPr>
          <w:rFonts w:ascii="Verdana" w:hAnsi="Verdana"/>
        </w:rPr>
      </w:pPr>
      <w:r w:rsidRPr="005B5CB6">
        <w:rPr>
          <w:rFonts w:ascii="Verdana" w:eastAsia="Verdana" w:hAnsi="Verdana" w:cs="Verdana"/>
        </w:rPr>
        <w:t xml:space="preserve">Content moderation is crucial for ensuring a safe and fair digital ecosystem in which all users are free to reap the benefits of communication technologies. There is no such thing as a non-moderated online space: all platforms are ‘designed’ and users’ experiences curated. Platform design effects everything that users experience, including what features are available to them, what content they are exposed to, and how they can connect/engage with other people. Thus, the question facing society is not </w:t>
      </w:r>
      <w:r w:rsidRPr="005B5CB6">
        <w:rPr>
          <w:rFonts w:ascii="Verdana" w:eastAsia="Verdana" w:hAnsi="Verdana" w:cs="Verdana"/>
          <w:i/>
        </w:rPr>
        <w:t xml:space="preserve">whether </w:t>
      </w:r>
      <w:r w:rsidRPr="005B5CB6">
        <w:rPr>
          <w:rFonts w:ascii="Verdana" w:eastAsia="Verdana" w:hAnsi="Verdana" w:cs="Verdana"/>
        </w:rPr>
        <w:t xml:space="preserve">we want content to be moderated but </w:t>
      </w:r>
      <w:r w:rsidRPr="005B5CB6">
        <w:rPr>
          <w:rFonts w:ascii="Verdana" w:eastAsia="Verdana" w:hAnsi="Verdana" w:cs="Verdana"/>
          <w:i/>
        </w:rPr>
        <w:t>how</w:t>
      </w:r>
      <w:r w:rsidRPr="005B5CB6">
        <w:rPr>
          <w:rFonts w:ascii="Verdana" w:eastAsia="Verdana" w:hAnsi="Verdana" w:cs="Verdana"/>
        </w:rPr>
        <w:t xml:space="preserve"> we want it to be moderated. </w:t>
      </w:r>
    </w:p>
    <w:p w:rsidR="00FB0B24" w:rsidRPr="005B5CB6" w:rsidP="003255A4">
      <w:pPr>
        <w:spacing w:after="110" w:line="249" w:lineRule="auto"/>
        <w:ind w:left="10" w:right="12" w:hanging="9"/>
        <w:jc w:val="both"/>
        <w:rPr>
          <w:rFonts w:ascii="Verdana" w:hAnsi="Verdana"/>
        </w:rPr>
      </w:pPr>
      <w:r w:rsidRPr="005B5CB6">
        <w:rPr>
          <w:rFonts w:ascii="Verdana" w:eastAsia="Verdana" w:hAnsi="Verdana" w:cs="Verdana"/>
        </w:rPr>
        <w:t xml:space="preserve">In this evidence submission, four key aspects of content moderation are discussed: (1) Scrutiny, transparency and collaboration, (2) Identifying harmful content: the role of technology, (3) How should platforms intervene? and (4) Time sensitive interventions in content moderation.  </w:t>
      </w:r>
    </w:p>
    <w:p w:rsidR="00FB0B24" w:rsidRPr="005B5CB6" w:rsidP="003255A4">
      <w:pPr>
        <w:spacing w:after="96"/>
        <w:ind w:left="1"/>
        <w:jc w:val="both"/>
        <w:rPr>
          <w:rFonts w:ascii="Verdana" w:hAnsi="Verdana"/>
        </w:rPr>
      </w:pPr>
      <w:r w:rsidRPr="005B5CB6">
        <w:rPr>
          <w:rFonts w:ascii="Verdana" w:eastAsia="Verdana" w:hAnsi="Verdana" w:cs="Verdana"/>
        </w:rPr>
        <w:t xml:space="preserve"> </w:t>
      </w:r>
    </w:p>
    <w:p w:rsidR="00FB0B24" w:rsidRPr="005B5CB6" w:rsidP="003255A4">
      <w:pPr>
        <w:pStyle w:val="Heading3"/>
        <w:rPr>
          <w:sz w:val="22"/>
        </w:rPr>
      </w:pPr>
      <w:r w:rsidRPr="005B5CB6">
        <w:rPr>
          <w:b w:val="0"/>
          <w:sz w:val="22"/>
        </w:rPr>
        <w:t>1.</w:t>
      </w:r>
      <w:r w:rsidRPr="005B5CB6">
        <w:rPr>
          <w:rFonts w:eastAsia="Arial" w:cs="Arial"/>
          <w:b w:val="0"/>
          <w:sz w:val="22"/>
        </w:rPr>
        <w:t xml:space="preserve"> </w:t>
      </w:r>
      <w:r w:rsidRPr="005B5CB6">
        <w:rPr>
          <w:b w:val="0"/>
          <w:sz w:val="22"/>
        </w:rPr>
        <w:t xml:space="preserve">Scrutiny, transparency and collaboration </w:t>
      </w:r>
    </w:p>
    <w:p w:rsidR="00FB0B24" w:rsidRPr="005B5CB6" w:rsidP="003255A4">
      <w:pPr>
        <w:spacing w:after="112" w:line="249" w:lineRule="auto"/>
        <w:ind w:left="10" w:right="12" w:hanging="9"/>
        <w:jc w:val="both"/>
        <w:rPr>
          <w:rFonts w:ascii="Verdana" w:hAnsi="Verdana"/>
        </w:rPr>
      </w:pPr>
      <w:r w:rsidRPr="005B5CB6">
        <w:rPr>
          <w:rFonts w:ascii="Verdana" w:eastAsia="Verdana" w:hAnsi="Verdana" w:cs="Verdana"/>
        </w:rPr>
        <w:t>Evaluating the moderation processes of large (and small) tech companies is challenging for one overarching reason: they provide little information and only rarely open up their processes to outside scrutiny. For instance, according to Pew Research, the most popular social media platforms in the USA in 2019 are Facebook, Twitter, YouTube, Snapchat, Instagram, WhatsApp, LinkedIn, Pinterest and Reddit (Pew Research, 2019).</w:t>
      </w:r>
      <w:r>
        <w:rPr>
          <w:rFonts w:ascii="Verdana" w:eastAsia="Verdana" w:hAnsi="Verdana" w:cs="Verdana"/>
          <w:vertAlign w:val="superscript"/>
        </w:rPr>
        <w:footnoteReference w:id="290"/>
      </w:r>
      <w:r w:rsidRPr="005B5CB6">
        <w:rPr>
          <w:rFonts w:ascii="Verdana" w:eastAsia="Verdana" w:hAnsi="Verdana" w:cs="Verdana"/>
        </w:rPr>
        <w:t xml:space="preserve"> Of these 9 platforms, only 4 (Facebook, Twitter, YouTube, Reddit) provide statistics on the amount of hate speech and bullying content they remove globally. At present, transparency reporting is entirely optional and there are no clear frameworks for what should be reported on. Platforms each report different statistics at different levels of granularity and use different categories. This makes it very difficult to compare their processes and to build an evidence base about what works and what needs to be improved.  </w:t>
      </w:r>
    </w:p>
    <w:p w:rsidR="00FB0B24" w:rsidRPr="005B5CB6" w:rsidP="003255A4">
      <w:pPr>
        <w:spacing w:after="112" w:line="249" w:lineRule="auto"/>
        <w:ind w:left="10" w:right="12" w:hanging="9"/>
        <w:jc w:val="both"/>
        <w:rPr>
          <w:rFonts w:ascii="Verdana" w:hAnsi="Verdana"/>
        </w:rPr>
      </w:pPr>
      <w:r w:rsidRPr="005B5CB6">
        <w:rPr>
          <w:rFonts w:ascii="Verdana" w:eastAsia="Verdana" w:hAnsi="Verdana" w:cs="Verdana"/>
        </w:rPr>
        <w:t xml:space="preserve">Part of the reason for the lack of transparency, and inconsistency in how platforms report on content moderation, is that it is a commercially sensitive area. Nonetheless, the impact of ineffective content moderation is felt by all in society, particularly by marginalised and vulnerable groups. As such, whilst respecting their right to protect their commercial interests, platforms should aim to share more information with researchers, civil society and policymakers through crosssector collaborations. We make three proposals for improving collaboration: </w:t>
      </w:r>
    </w:p>
    <w:p w:rsidR="00FB0B24" w:rsidRPr="005B5CB6" w:rsidP="00575F14">
      <w:pPr>
        <w:numPr>
          <w:ilvl w:val="0"/>
          <w:numId w:val="185"/>
        </w:numPr>
        <w:spacing w:after="5" w:line="249" w:lineRule="auto"/>
        <w:ind w:right="12" w:hanging="360"/>
        <w:jc w:val="both"/>
        <w:rPr>
          <w:rFonts w:ascii="Verdana" w:hAnsi="Verdana"/>
        </w:rPr>
      </w:pPr>
      <w:r w:rsidRPr="005B5CB6">
        <w:rPr>
          <w:rFonts w:ascii="Verdana" w:eastAsia="Verdana" w:hAnsi="Verdana" w:cs="Verdana"/>
        </w:rPr>
        <w:t xml:space="preserve">Industry wide standards and frameworks for determining what content is considered harmful should be agreed. Clear definitions, with examples, should be provided. This should address more than just what is prohibited by law (as most platforms’ guidelines do currently). </w:t>
      </w:r>
    </w:p>
    <w:p w:rsidR="00FB0B24" w:rsidRPr="005B5CB6" w:rsidP="00575F14">
      <w:pPr>
        <w:numPr>
          <w:ilvl w:val="0"/>
          <w:numId w:val="185"/>
        </w:numPr>
        <w:spacing w:after="5" w:line="249" w:lineRule="auto"/>
        <w:ind w:right="12" w:hanging="360"/>
        <w:jc w:val="both"/>
        <w:rPr>
          <w:rFonts w:ascii="Verdana" w:hAnsi="Verdana"/>
        </w:rPr>
      </w:pPr>
      <w:r w:rsidRPr="005B5CB6">
        <w:rPr>
          <w:rFonts w:ascii="Verdana" w:eastAsia="Verdana" w:hAnsi="Verdana" w:cs="Verdana"/>
        </w:rPr>
        <w:t xml:space="preserve">Opportunities to share resources, data and frameworks should be supported, publicised and given funding. For example, in the Turing’s </w:t>
      </w:r>
      <w:r w:rsidRPr="005B5CB6">
        <w:rPr>
          <w:rFonts w:ascii="Verdana" w:eastAsia="Verdana" w:hAnsi="Verdana" w:cs="Verdana"/>
          <w:i/>
        </w:rPr>
        <w:t>Hate speech: measures and counter-measures</w:t>
      </w:r>
      <w:r w:rsidRPr="005B5CB6">
        <w:rPr>
          <w:rFonts w:ascii="Verdana" w:eastAsia="Verdana" w:hAnsi="Verdana" w:cs="Verdana"/>
        </w:rPr>
        <w:t xml:space="preserve"> project, we maintain a list of datasets for other researchers to use, available at: </w:t>
      </w:r>
      <w:r>
        <w:fldChar w:fldCharType="begin"/>
      </w:r>
      <w:r>
        <w:instrText xml:space="preserve"> HYPERLINK "http://hatespeechdata.com/" </w:instrText>
      </w:r>
      <w:r>
        <w:fldChar w:fldCharType="separate"/>
      </w:r>
      <w:r w:rsidRPr="005B5CB6">
        <w:rPr>
          <w:rFonts w:ascii="Verdana" w:eastAsia="Verdana" w:hAnsi="Verdana" w:cs="Verdana"/>
          <w:color w:val="0563C1"/>
          <w:u w:val="single" w:color="0563C1"/>
        </w:rPr>
        <w:t>http://hatespeechdata.com</w:t>
      </w:r>
      <w:r>
        <w:fldChar w:fldCharType="end"/>
      </w:r>
      <w:r>
        <w:fldChar w:fldCharType="begin"/>
      </w:r>
      <w:r>
        <w:instrText xml:space="preserve"> HYPERLINK "http://hatespeechdata.com/"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More endeavours like this should be pursued. </w:t>
      </w:r>
    </w:p>
    <w:p w:rsidR="00FB0B24" w:rsidRPr="005B5CB6" w:rsidP="00575F14">
      <w:pPr>
        <w:numPr>
          <w:ilvl w:val="0"/>
          <w:numId w:val="185"/>
        </w:numPr>
        <w:spacing w:after="39" w:line="250" w:lineRule="auto"/>
        <w:ind w:right="12" w:hanging="360"/>
        <w:jc w:val="both"/>
        <w:rPr>
          <w:rFonts w:ascii="Verdana" w:hAnsi="Verdana"/>
        </w:rPr>
      </w:pPr>
      <w:r w:rsidRPr="005B5CB6">
        <w:rPr>
          <w:rFonts w:ascii="Verdana" w:eastAsia="Verdana" w:hAnsi="Verdana" w:cs="Verdana"/>
        </w:rPr>
        <w:t xml:space="preserve">A forum should be established to regularly bring together industry, civil society and academics to discuss how to tackle online harms. This should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73145" name="Group 57314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177" name="Shape 63617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01" style="height:0.6pt;mso-position-horizontal-relative:char;mso-position-vertical-relative:line;width:2in" coordsize="18288,76">
                <v:shape id="_x0000_s1302"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110" w:line="249" w:lineRule="auto"/>
        <w:ind w:left="730" w:right="12" w:hanging="9"/>
        <w:jc w:val="both"/>
        <w:rPr>
          <w:rFonts w:ascii="Verdana" w:hAnsi="Verdana"/>
        </w:rPr>
      </w:pPr>
      <w:r w:rsidRPr="005B5CB6">
        <w:rPr>
          <w:rFonts w:ascii="Verdana" w:eastAsia="Verdana" w:hAnsi="Verdana" w:cs="Verdana"/>
        </w:rPr>
        <w:t xml:space="preserve">be organized as a threat assessment exercise, with participants discussing which challenges in content moderation are growing and receding, any emergent problems, and how issues can be better tackled. </w:t>
      </w:r>
    </w:p>
    <w:p w:rsidR="00FB0B24" w:rsidRPr="005B5CB6" w:rsidP="003255A4">
      <w:pPr>
        <w:spacing w:after="99"/>
        <w:ind w:left="1"/>
        <w:jc w:val="both"/>
        <w:rPr>
          <w:rFonts w:ascii="Verdana" w:hAnsi="Verdana"/>
        </w:rPr>
      </w:pPr>
      <w:r w:rsidRPr="005B5CB6">
        <w:rPr>
          <w:rFonts w:ascii="Verdana" w:eastAsia="Verdana" w:hAnsi="Verdana" w:cs="Verdana"/>
        </w:rPr>
        <w:t xml:space="preserve"> </w:t>
      </w:r>
    </w:p>
    <w:p w:rsidR="00FB0B24" w:rsidRPr="005B5CB6" w:rsidP="003255A4">
      <w:pPr>
        <w:pStyle w:val="Heading3"/>
        <w:rPr>
          <w:sz w:val="22"/>
        </w:rPr>
      </w:pPr>
      <w:r w:rsidRPr="005B5CB6">
        <w:rPr>
          <w:b w:val="0"/>
          <w:sz w:val="22"/>
        </w:rPr>
        <w:t>2.</w:t>
      </w:r>
      <w:r w:rsidRPr="005B5CB6">
        <w:rPr>
          <w:rFonts w:eastAsia="Arial" w:cs="Arial"/>
          <w:b w:val="0"/>
          <w:sz w:val="22"/>
        </w:rPr>
        <w:t xml:space="preserve"> </w:t>
      </w:r>
      <w:r w:rsidRPr="005B5CB6">
        <w:rPr>
          <w:b w:val="0"/>
          <w:sz w:val="22"/>
        </w:rPr>
        <w:t xml:space="preserve">Identifying harmful content: the role of technology </w:t>
      </w:r>
    </w:p>
    <w:p w:rsidR="00FB0B24" w:rsidRPr="005B5CB6" w:rsidP="003255A4">
      <w:pPr>
        <w:spacing w:after="112" w:line="249" w:lineRule="auto"/>
        <w:ind w:left="10" w:right="12" w:hanging="9"/>
        <w:jc w:val="both"/>
        <w:rPr>
          <w:rFonts w:ascii="Verdana" w:hAnsi="Verdana"/>
        </w:rPr>
      </w:pPr>
      <w:r w:rsidRPr="005B5CB6">
        <w:rPr>
          <w:rFonts w:ascii="Verdana" w:eastAsia="Verdana" w:hAnsi="Verdana" w:cs="Verdana"/>
        </w:rPr>
        <w:t>Detecting harmful content at scale in a timely, robust and fair manner is remarkably difficult.</w:t>
      </w:r>
      <w:r>
        <w:rPr>
          <w:rFonts w:ascii="Verdana" w:eastAsia="Verdana" w:hAnsi="Verdana" w:cs="Verdana"/>
          <w:vertAlign w:val="superscript"/>
        </w:rPr>
        <w:footnoteReference w:id="291"/>
      </w:r>
      <w:r w:rsidRPr="005B5CB6">
        <w:rPr>
          <w:rFonts w:ascii="Verdana" w:eastAsia="Verdana" w:hAnsi="Verdana" w:cs="Verdana"/>
        </w:rPr>
        <w:t xml:space="preserve"> Despite the increasing sophistication of available computational tools, most companies still rely on humans to review individual posts – an approach which is both expensive and necessarily reactive (human moderators do not proactively find content, they only review content reported to them). To improve content moderation, industry practitioners need to approach it as not only an </w:t>
      </w:r>
      <w:r w:rsidRPr="005B5CB6">
        <w:rPr>
          <w:rFonts w:ascii="Verdana" w:eastAsia="Verdana" w:hAnsi="Verdana" w:cs="Verdana"/>
          <w:i/>
        </w:rPr>
        <w:t>engineering task</w:t>
      </w:r>
      <w:r w:rsidRPr="005B5CB6">
        <w:rPr>
          <w:rFonts w:ascii="Verdana" w:eastAsia="Verdana" w:hAnsi="Verdana" w:cs="Verdana"/>
        </w:rPr>
        <w:t xml:space="preserve"> (requiring ever more computational power, big datasets and machine learning) but also a </w:t>
      </w:r>
      <w:r w:rsidRPr="005B5CB6">
        <w:rPr>
          <w:rFonts w:ascii="Verdana" w:eastAsia="Verdana" w:hAnsi="Verdana" w:cs="Verdana"/>
          <w:i/>
        </w:rPr>
        <w:t>social challenge</w:t>
      </w:r>
      <w:r w:rsidRPr="005B5CB6">
        <w:rPr>
          <w:rFonts w:ascii="Verdana" w:eastAsia="Verdana" w:hAnsi="Verdana" w:cs="Verdana"/>
        </w:rPr>
        <w:t xml:space="preserve">. This is because content moderation is fundamentally a question of fairness: who is given protection from unsolicited harmful content? Who is allowed/enabled to spread such content? Which groups systematically have their content over-moderated? Which groups are left feeling unsafe and, in some cases, feel they need to withdraw from online spaces? If we keep approaching content moderation as only an engineering problem, or a financial imposition, we will end up with coarse and ineffective moderation strategies which do not challenge discrimination and injustice but perpetuate them.  </w:t>
      </w:r>
    </w:p>
    <w:p w:rsidR="00FB0B24" w:rsidRPr="005B5CB6" w:rsidP="003255A4">
      <w:pPr>
        <w:spacing w:after="111" w:line="249" w:lineRule="auto"/>
        <w:ind w:left="10" w:right="12" w:hanging="9"/>
        <w:jc w:val="both"/>
        <w:rPr>
          <w:rFonts w:ascii="Verdana" w:hAnsi="Verdana"/>
        </w:rPr>
      </w:pPr>
      <w:r w:rsidRPr="005B5CB6">
        <w:rPr>
          <w:rFonts w:ascii="Verdana" w:eastAsia="Verdana" w:hAnsi="Verdana" w:cs="Verdana"/>
        </w:rPr>
        <w:t>Based on our research at The Alan Turing Institute, we identify five challenges that content detection methodologies must address.</w:t>
      </w:r>
      <w:r>
        <w:rPr>
          <w:rFonts w:ascii="Verdana" w:eastAsia="Verdana" w:hAnsi="Verdana" w:cs="Verdana"/>
          <w:vertAlign w:val="superscript"/>
        </w:rPr>
        <w:footnoteReference w:id="292"/>
      </w:r>
      <w:r w:rsidRPr="005B5CB6">
        <w:rPr>
          <w:rFonts w:ascii="Verdana" w:eastAsia="Verdana" w:hAnsi="Verdana" w:cs="Verdana"/>
        </w:rPr>
        <w:t xml:space="preserve"> These are based on our review of hate speech detection technologies but are also relevant for other types of harm. Given existing technologies it is highly unlikely that these challenges would be solved solely with automated computational methods: </w:t>
      </w:r>
    </w:p>
    <w:p w:rsidR="00FB0B24" w:rsidRPr="005B5CB6" w:rsidP="00575F14">
      <w:pPr>
        <w:numPr>
          <w:ilvl w:val="0"/>
          <w:numId w:val="186"/>
        </w:numPr>
        <w:spacing w:after="5" w:line="249" w:lineRule="auto"/>
        <w:ind w:right="12" w:hanging="360"/>
        <w:jc w:val="both"/>
        <w:rPr>
          <w:rFonts w:ascii="Verdana" w:hAnsi="Verdana"/>
        </w:rPr>
      </w:pPr>
      <w:r w:rsidRPr="005B5CB6">
        <w:rPr>
          <w:rFonts w:ascii="Verdana" w:eastAsia="Verdana" w:hAnsi="Verdana" w:cs="Verdana"/>
          <w:i/>
        </w:rPr>
        <w:t>Variations in spelling.</w:t>
      </w:r>
      <w:r w:rsidRPr="005B5CB6">
        <w:rPr>
          <w:rFonts w:ascii="Verdana" w:eastAsia="Verdana" w:hAnsi="Verdana" w:cs="Verdana"/>
        </w:rPr>
        <w:t xml:space="preserve"> Language use online is very varied and spelling varies hugely. There are many reason for this, including: (1) different communities develop their own unique lexicons, (2) users change words for emphasis (e.g. elongating ‘no’ to ‘noooooo’), (3) platforms’ affordances and norms drive changes in spelling (such as with Twitter’s constraint on number of characters) and – most problematically with harmful content – (4) users obfuscate their language to avoid detection by existing technologies (e.g. changing ‘bitch’ to ‘31tch’). </w:t>
      </w:r>
    </w:p>
    <w:p w:rsidR="00FB0B24" w:rsidRPr="005B5CB6" w:rsidP="00575F14">
      <w:pPr>
        <w:numPr>
          <w:ilvl w:val="0"/>
          <w:numId w:val="186"/>
        </w:numPr>
        <w:spacing w:after="123" w:line="249" w:lineRule="auto"/>
        <w:ind w:right="12" w:hanging="360"/>
        <w:jc w:val="both"/>
        <w:rPr>
          <w:rFonts w:ascii="Verdana" w:hAnsi="Verdana"/>
        </w:rPr>
      </w:pPr>
      <w:r w:rsidRPr="005B5CB6">
        <w:rPr>
          <w:rFonts w:ascii="Verdana" w:eastAsia="Verdana" w:hAnsi="Verdana" w:cs="Verdana"/>
          <w:i/>
        </w:rPr>
        <w:t>Humour, irony, sarcasm.</w:t>
      </w:r>
      <w:r w:rsidRPr="005B5CB6">
        <w:rPr>
          <w:rFonts w:ascii="Verdana" w:eastAsia="Verdana" w:hAnsi="Verdana" w:cs="Verdana"/>
        </w:rPr>
        <w:t xml:space="preserve"> Many researchers suggest that content which is ironic, humorous or sarcastic is not intrinsically harmful and as such should not be moderated – even if the content purports to make aggressive or highly prejudiced statements. This remains an open research question as, at the same time, others argue that people who </w:t>
      </w:r>
      <w:r w:rsidRPr="005B5CB6">
        <w:rPr>
          <w:rFonts w:ascii="Verdana" w:eastAsia="Verdana" w:hAnsi="Verdana" w:cs="Verdana"/>
          <w:i/>
        </w:rPr>
        <w:t xml:space="preserve">view </w:t>
      </w:r>
      <w:r w:rsidRPr="005B5CB6">
        <w:rPr>
          <w:rFonts w:ascii="Verdana" w:eastAsia="Verdana" w:hAnsi="Verdana" w:cs="Verdana"/>
        </w:rPr>
        <w:t xml:space="preserve">such content may not know the authors’ intention and could still experience it as harmful. Furthermore, even humorous content can speak a certain truth: ironic hate </w:t>
      </w:r>
      <w:r w:rsidRPr="005B5CB6">
        <w:rPr>
          <w:rFonts w:ascii="Verdana" w:eastAsia="Verdana" w:hAnsi="Verdana" w:cs="Verdana"/>
        </w:rPr>
        <w:t xml:space="preserve">speech may still reproduce negative stereotypes or hurtful ideas, even if it aims to lampoon them. This issue should be tackled head-on and platforms should make clear where, and for what reason, they draw the line on humour, irony and sarcasm.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73630" name="Group 57363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179" name="Shape 63617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03" style="height:0.6pt;mso-position-horizontal-relative:char;mso-position-vertical-relative:line;width:2in" coordsize="18288,76">
                <v:shape id="_x0000_s1304"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575F14">
      <w:pPr>
        <w:numPr>
          <w:ilvl w:val="0"/>
          <w:numId w:val="186"/>
        </w:numPr>
        <w:spacing w:after="5" w:line="249" w:lineRule="auto"/>
        <w:ind w:right="12" w:hanging="360"/>
        <w:jc w:val="both"/>
        <w:rPr>
          <w:rFonts w:ascii="Verdana" w:hAnsi="Verdana"/>
        </w:rPr>
      </w:pPr>
      <w:r w:rsidRPr="005B5CB6">
        <w:rPr>
          <w:rFonts w:ascii="Verdana" w:eastAsia="Verdana" w:hAnsi="Verdana" w:cs="Verdana"/>
          <w:i/>
        </w:rPr>
        <w:t>Polysemy and context.</w:t>
      </w:r>
      <w:r w:rsidRPr="005B5CB6">
        <w:rPr>
          <w:rFonts w:ascii="Verdana" w:eastAsia="Verdana" w:hAnsi="Verdana" w:cs="Verdana"/>
        </w:rPr>
        <w:t xml:space="preserve"> Words with a single spelling can have multiple meanings; which meaning is elicited depends on the context. For instance, some far right activists use seemingly neutral terms, such as ‘Skype’ or ‘Bing’. to derogate particular groups (in these cases, Jewish and Asian people).</w:t>
      </w:r>
      <w:r>
        <w:rPr>
          <w:rFonts w:ascii="Verdana" w:eastAsia="Verdana" w:hAnsi="Verdana" w:cs="Verdana"/>
          <w:vertAlign w:val="superscript"/>
        </w:rPr>
        <w:footnoteReference w:id="293"/>
      </w:r>
      <w:r w:rsidRPr="005B5CB6">
        <w:rPr>
          <w:rFonts w:ascii="Verdana" w:eastAsia="Verdana" w:hAnsi="Verdana" w:cs="Verdana"/>
        </w:rPr>
        <w:t xml:space="preserve"> Whether these words are harmful depends entirely on the context in which they are used. Making these distinctions remains a huge challenge for computational systems. This problem can only be addressed through engagement with victims of harmful content to understand their experiences and what they perceive to be the most hurtful. </w:t>
      </w:r>
    </w:p>
    <w:p w:rsidR="00FB0B24" w:rsidRPr="005B5CB6" w:rsidP="00575F14">
      <w:pPr>
        <w:numPr>
          <w:ilvl w:val="0"/>
          <w:numId w:val="186"/>
        </w:numPr>
        <w:spacing w:after="5" w:line="249" w:lineRule="auto"/>
        <w:ind w:right="12" w:hanging="360"/>
        <w:jc w:val="both"/>
        <w:rPr>
          <w:rFonts w:ascii="Verdana" w:hAnsi="Verdana"/>
        </w:rPr>
      </w:pPr>
      <w:r w:rsidRPr="005B5CB6">
        <w:rPr>
          <w:rFonts w:ascii="Verdana" w:eastAsia="Verdana" w:hAnsi="Verdana" w:cs="Verdana"/>
          <w:i/>
        </w:rPr>
        <w:t>Long range dependencies.</w:t>
      </w:r>
      <w:r w:rsidRPr="005B5CB6">
        <w:rPr>
          <w:rFonts w:ascii="Verdana" w:eastAsia="Verdana" w:hAnsi="Verdana" w:cs="Verdana"/>
        </w:rPr>
        <w:t xml:space="preserve"> Longer pieces of online content are far harder to monitor and detect than short pieces because they are far more complex, introducing uncertainty, different lines of reasoning and, in some cases, conversational dynamics. Platforms need to keep developing ways of capturing long range dependencies and following conversational threads so that harmful content (such as expressing support for violent terrorism) can be identified even if it only emerges over a chain of posts or several pages of text. </w:t>
      </w:r>
    </w:p>
    <w:p w:rsidR="00FB0B24" w:rsidRPr="005B5CB6" w:rsidP="00575F14">
      <w:pPr>
        <w:numPr>
          <w:ilvl w:val="0"/>
          <w:numId w:val="186"/>
        </w:numPr>
        <w:spacing w:after="110" w:line="249" w:lineRule="auto"/>
        <w:ind w:right="12" w:hanging="360"/>
        <w:jc w:val="both"/>
        <w:rPr>
          <w:rFonts w:ascii="Verdana" w:hAnsi="Verdana"/>
        </w:rPr>
      </w:pPr>
      <w:r w:rsidRPr="005B5CB6">
        <w:rPr>
          <w:rFonts w:ascii="Verdana" w:eastAsia="Verdana" w:hAnsi="Verdana" w:cs="Verdana"/>
          <w:i/>
        </w:rPr>
        <w:t>Language change.</w:t>
      </w:r>
      <w:r w:rsidRPr="005B5CB6">
        <w:rPr>
          <w:rFonts w:ascii="Verdana" w:eastAsia="Verdana" w:hAnsi="Verdana" w:cs="Verdana"/>
        </w:rPr>
        <w:t xml:space="preserve"> The syntax, grammar, and lexicons of language change over time, often in unexpected and uneven ways. This is particularly true with informal forms of ‘everyday’ language, which proliferate in most online spaces. Systems need to be constantly updated to account for this, and to understand the evolving nature of online harm. Platforms need to think about how meaning changes and how what was acceptable previously may no longer be acceptable today. They should also consider whether they want to do retrospective ‘clean up’ missions, removing content that was once allowed but now falls foul of moderation guidelines, or only focus on newly uploaded content. </w:t>
      </w:r>
    </w:p>
    <w:p w:rsidR="00FB0B24" w:rsidRPr="005B5CB6" w:rsidP="003255A4">
      <w:pPr>
        <w:spacing w:after="96"/>
        <w:ind w:left="1"/>
        <w:jc w:val="both"/>
        <w:rPr>
          <w:rFonts w:ascii="Verdana" w:hAnsi="Verdana"/>
        </w:rPr>
      </w:pPr>
      <w:r w:rsidRPr="005B5CB6">
        <w:rPr>
          <w:rFonts w:ascii="Verdana" w:eastAsia="Verdana" w:hAnsi="Verdana" w:cs="Verdana"/>
        </w:rPr>
        <w:t xml:space="preserve"> </w:t>
      </w:r>
    </w:p>
    <w:p w:rsidR="00FB0B24" w:rsidRPr="005B5CB6" w:rsidP="003255A4">
      <w:pPr>
        <w:spacing w:after="109" w:line="249" w:lineRule="auto"/>
        <w:ind w:left="371" w:hanging="10"/>
        <w:jc w:val="both"/>
        <w:rPr>
          <w:rFonts w:ascii="Verdana" w:hAnsi="Verdana"/>
        </w:rPr>
      </w:pPr>
      <w:r w:rsidRPr="005B5CB6">
        <w:rPr>
          <w:rFonts w:ascii="Verdana" w:eastAsia="Verdana" w:hAnsi="Verdana" w:cs="Verdana"/>
        </w:rPr>
        <w:t>3.</w:t>
      </w:r>
      <w:r w:rsidRPr="005B5CB6">
        <w:rPr>
          <w:rFonts w:ascii="Verdana" w:eastAsia="Arial" w:hAnsi="Verdana" w:cs="Arial"/>
        </w:rPr>
        <w:t xml:space="preserve"> </w:t>
      </w:r>
      <w:r w:rsidRPr="005B5CB6">
        <w:rPr>
          <w:rFonts w:ascii="Verdana" w:eastAsia="Verdana" w:hAnsi="Verdana" w:cs="Verdana"/>
          <w:u w:val="single" w:color="000000"/>
        </w:rPr>
        <w:t>How should platforms intervene?</w:t>
      </w:r>
      <w:r w:rsidRPr="005B5CB6">
        <w:rPr>
          <w:rFonts w:ascii="Verdana" w:eastAsia="Verdana" w:hAnsi="Verdana" w:cs="Verdana"/>
        </w:rPr>
        <w:t xml:space="preserve"> </w:t>
      </w:r>
    </w:p>
    <w:p w:rsidR="00FB0B24" w:rsidRPr="005B5CB6" w:rsidP="003255A4">
      <w:pPr>
        <w:spacing w:after="112" w:line="249" w:lineRule="auto"/>
        <w:ind w:left="10" w:right="12" w:hanging="9"/>
        <w:jc w:val="both"/>
        <w:rPr>
          <w:rFonts w:ascii="Verdana" w:hAnsi="Verdana"/>
        </w:rPr>
      </w:pPr>
      <w:r w:rsidRPr="005B5CB6">
        <w:rPr>
          <w:rFonts w:ascii="Verdana" w:eastAsia="Verdana" w:hAnsi="Verdana" w:cs="Verdana"/>
        </w:rPr>
        <w:t xml:space="preserve">Once harmful content has been detected, platforms have to decide how it should be handled. This is an area in which platforms could both provide considerably more information about their existing processes and do far more to strength public debate and ensure users’ safety online.  Most public discourse around content moderation focuses on bans, such as suspending and blocking users or removing their content – but this is simply the most overt end of a wide spectrum of interventions, which include: </w:t>
      </w:r>
    </w:p>
    <w:p w:rsidR="00FB0B24" w:rsidRPr="005B5CB6" w:rsidP="00575F14">
      <w:pPr>
        <w:numPr>
          <w:ilvl w:val="0"/>
          <w:numId w:val="187"/>
        </w:numPr>
        <w:spacing w:after="5" w:line="250" w:lineRule="auto"/>
        <w:ind w:left="721" w:right="11" w:hanging="360"/>
        <w:jc w:val="both"/>
        <w:rPr>
          <w:rFonts w:ascii="Verdana" w:hAnsi="Verdana"/>
        </w:rPr>
      </w:pPr>
      <w:r w:rsidRPr="005B5CB6">
        <w:rPr>
          <w:rFonts w:ascii="Verdana" w:eastAsia="Verdana" w:hAnsi="Verdana" w:cs="Verdana"/>
        </w:rPr>
        <w:t xml:space="preserve">De-monetising content (as used by YouTube) </w:t>
      </w:r>
    </w:p>
    <w:p w:rsidR="00FB0B24" w:rsidRPr="005B5CB6" w:rsidP="00575F14">
      <w:pPr>
        <w:numPr>
          <w:ilvl w:val="0"/>
          <w:numId w:val="187"/>
        </w:numPr>
        <w:spacing w:after="5" w:line="250" w:lineRule="auto"/>
        <w:ind w:left="721" w:right="11" w:hanging="360"/>
        <w:jc w:val="both"/>
        <w:rPr>
          <w:rFonts w:ascii="Verdana" w:hAnsi="Verdana"/>
        </w:rPr>
      </w:pPr>
      <w:r w:rsidRPr="005B5CB6">
        <w:rPr>
          <w:rFonts w:ascii="Verdana" w:eastAsia="Verdana" w:hAnsi="Verdana" w:cs="Verdana"/>
        </w:rPr>
        <w:t xml:space="preserve">Stopping content from being promoted (potentially used by Facebook) </w:t>
      </w:r>
    </w:p>
    <w:p w:rsidR="00FB0B24" w:rsidRPr="005B5CB6" w:rsidP="00575F14">
      <w:pPr>
        <w:numPr>
          <w:ilvl w:val="0"/>
          <w:numId w:val="187"/>
        </w:numPr>
        <w:spacing w:after="5" w:line="250" w:lineRule="auto"/>
        <w:ind w:left="721" w:right="11" w:hanging="360"/>
        <w:jc w:val="both"/>
        <w:rPr>
          <w:rFonts w:ascii="Verdana" w:hAnsi="Verdana"/>
        </w:rPr>
      </w:pPr>
      <w:r w:rsidRPr="005B5CB6">
        <w:rPr>
          <w:rFonts w:ascii="Verdana" w:eastAsia="Verdana" w:hAnsi="Verdana" w:cs="Verdana"/>
        </w:rPr>
        <w:t xml:space="preserve">Making content unsearchable (as used by Reddit) </w:t>
      </w:r>
    </w:p>
    <w:p w:rsidR="00FB0B24" w:rsidRPr="005B5CB6" w:rsidP="00575F14">
      <w:pPr>
        <w:numPr>
          <w:ilvl w:val="0"/>
          <w:numId w:val="187"/>
        </w:numPr>
        <w:spacing w:after="5" w:line="250" w:lineRule="auto"/>
        <w:ind w:left="721" w:right="11" w:hanging="360"/>
        <w:jc w:val="both"/>
        <w:rPr>
          <w:rFonts w:ascii="Verdana" w:hAnsi="Verdana"/>
        </w:rPr>
      </w:pPr>
      <w:r w:rsidRPr="005B5CB6">
        <w:rPr>
          <w:rFonts w:ascii="Verdana" w:eastAsia="Verdana" w:hAnsi="Verdana" w:cs="Verdana"/>
        </w:rPr>
        <w:t xml:space="preserve">Making content less visible (as used by Twitter) </w:t>
      </w:r>
    </w:p>
    <w:p w:rsidR="00FB0B24" w:rsidRPr="005B5CB6" w:rsidP="00575F14">
      <w:pPr>
        <w:numPr>
          <w:ilvl w:val="0"/>
          <w:numId w:val="187"/>
        </w:numPr>
        <w:spacing w:after="5" w:line="250" w:lineRule="auto"/>
        <w:ind w:left="721" w:right="11" w:hanging="360"/>
        <w:jc w:val="both"/>
        <w:rPr>
          <w:rFonts w:ascii="Verdana" w:hAnsi="Verdana"/>
        </w:rPr>
      </w:pPr>
      <w:r w:rsidRPr="005B5CB6">
        <w:rPr>
          <w:rFonts w:ascii="Verdana" w:eastAsia="Verdana" w:hAnsi="Verdana" w:cs="Verdana"/>
        </w:rPr>
        <w:t xml:space="preserve">Attaching a ‘warning’ to content (as used by Twitter) </w:t>
      </w:r>
    </w:p>
    <w:p w:rsidR="00FB0B24" w:rsidRPr="005B5CB6" w:rsidP="00575F14">
      <w:pPr>
        <w:numPr>
          <w:ilvl w:val="0"/>
          <w:numId w:val="187"/>
        </w:numPr>
        <w:spacing w:after="5" w:line="250" w:lineRule="auto"/>
        <w:ind w:left="721" w:right="11" w:hanging="360"/>
        <w:jc w:val="both"/>
        <w:rPr>
          <w:rFonts w:ascii="Verdana" w:hAnsi="Verdana"/>
        </w:rPr>
      </w:pPr>
      <w:r w:rsidRPr="005B5CB6">
        <w:rPr>
          <w:rFonts w:ascii="Verdana" w:eastAsia="Verdana" w:hAnsi="Verdana" w:cs="Verdana"/>
        </w:rPr>
        <w:t xml:space="preserve">Constraining how many times content is shared (as used by Whatsapp) </w:t>
      </w:r>
    </w:p>
    <w:p w:rsidR="00FB0B24" w:rsidRPr="005B5CB6" w:rsidP="00575F14">
      <w:pPr>
        <w:numPr>
          <w:ilvl w:val="0"/>
          <w:numId w:val="187"/>
        </w:numPr>
        <w:spacing w:after="112" w:line="250" w:lineRule="auto"/>
        <w:ind w:left="721" w:right="11" w:hanging="360"/>
        <w:jc w:val="both"/>
        <w:rPr>
          <w:rFonts w:ascii="Verdana" w:hAnsi="Verdana"/>
        </w:rPr>
      </w:pPr>
      <w:r w:rsidRPr="005B5CB6">
        <w:rPr>
          <w:rFonts w:ascii="Verdana" w:eastAsia="Verdana" w:hAnsi="Verdana" w:cs="Verdana"/>
        </w:rPr>
        <w:t xml:space="preserve">Showing content with a competing viewpoint (No well-known examples exist but it has been discussed in civil society and by academics). </w:t>
      </w:r>
    </w:p>
    <w:p w:rsidR="00FB0B24" w:rsidRPr="005B5CB6" w:rsidP="003255A4">
      <w:pPr>
        <w:spacing w:after="5" w:line="249" w:lineRule="auto"/>
        <w:ind w:left="10" w:right="12" w:hanging="9"/>
        <w:jc w:val="both"/>
        <w:rPr>
          <w:rFonts w:ascii="Verdana" w:hAnsi="Verdana"/>
        </w:rPr>
      </w:pPr>
      <w:r w:rsidRPr="005B5CB6">
        <w:rPr>
          <w:rFonts w:ascii="Verdana" w:eastAsia="Verdana" w:hAnsi="Verdana" w:cs="Verdana"/>
        </w:rPr>
        <w:t xml:space="preserve">There are clear cases when suspending individual social media accounts may be viewed as entirely appropriate – such as with violent threats, paedophilic content and revenge porn. But, for many other types of content, platforms should consider drawing from the far wider array of options available to them. Unless we open up </w:t>
      </w:r>
    </w:p>
    <w:p w:rsidR="00FB0B24" w:rsidRPr="005B5CB6" w:rsidP="003255A4">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73504" name="Group 57350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181" name="Shape 63618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05" style="height:0.6pt;mso-position-horizontal-relative:char;mso-position-vertical-relative:line;width:2in" coordsize="18288,76">
                <v:shape id="_x0000_s1306"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3255A4">
      <w:pPr>
        <w:spacing w:after="112" w:line="249" w:lineRule="auto"/>
        <w:ind w:left="10" w:right="12" w:hanging="9"/>
        <w:jc w:val="both"/>
        <w:rPr>
          <w:rFonts w:ascii="Verdana" w:hAnsi="Verdana"/>
        </w:rPr>
      </w:pPr>
      <w:r w:rsidRPr="005B5CB6">
        <w:rPr>
          <w:rFonts w:ascii="Verdana" w:eastAsia="Verdana" w:hAnsi="Verdana" w:cs="Verdana"/>
        </w:rPr>
        <w:t xml:space="preserve">this space of debate, the ethical, political and social implications of these different options will not be fully explored and more nuanced and appropriate responses for dealing with harmful content will not be developed. Developing a wide range of moderation interventions will also expand the range and types of harms that can be moderated; if bans are your only option then you can only tackle the most extreme forms of content. If you have a wider range of interventions then you can deal with a wider range of problems.  </w:t>
      </w:r>
    </w:p>
    <w:p w:rsidR="00FB0B24" w:rsidRPr="005B5CB6" w:rsidP="003255A4">
      <w:pPr>
        <w:spacing w:after="108" w:line="249" w:lineRule="auto"/>
        <w:ind w:left="10" w:right="12" w:hanging="9"/>
        <w:jc w:val="both"/>
        <w:rPr>
          <w:rFonts w:ascii="Verdana" w:hAnsi="Verdana"/>
        </w:rPr>
      </w:pPr>
      <w:r w:rsidRPr="005B5CB6">
        <w:rPr>
          <w:rFonts w:ascii="Verdana" w:eastAsia="Verdana" w:hAnsi="Verdana" w:cs="Verdana"/>
        </w:rPr>
        <w:t xml:space="preserve">Different interventions may work better for tackling certain types of online harm: some forms of misinformation are shared in order to drive traffic to certain websites and then let the hosts derive financial benefit from advertising (in which case demonetising could work well). In contrast, political figures might share false, inflammatory or hateful content to gain public attention and increase their notoriety (in which case constraining the number of shares could work) and some porn stars share shocking and sensitive content to drive attention, but are only interested in appealing to certain target markets (in which case a sensitivity warning could be effective). However, it is important to draw attention here to the fact that </w:t>
      </w:r>
      <w:r w:rsidRPr="005B5CB6">
        <w:rPr>
          <w:rFonts w:ascii="Verdana" w:eastAsia="Verdana" w:hAnsi="Verdana" w:cs="Verdana"/>
          <w:i/>
        </w:rPr>
        <w:t>there is little evidence about what interventions work to tackle harmful online content</w:t>
      </w:r>
      <w:r w:rsidRPr="005B5CB6">
        <w:rPr>
          <w:rFonts w:ascii="Verdana" w:eastAsia="Verdana" w:hAnsi="Verdana" w:cs="Verdana"/>
        </w:rPr>
        <w:t>. To remedy this, the Government should utilise its unique position to evaluate different approaches. More broadly, it should adopt a joint-up approach which considers how different types of harmful content intersect and considers the impact of content moderation on the entire digital ecosystem rather than a single platform. It is possible that when mainstream platforms aggressively moderate content they push some users to migrate to niche alternative platforms, which could, in turn, lead to greater radicalization – we need to build an evidence base that addresses these complex issues and not only think about platforms in isolation.</w:t>
      </w:r>
      <w:r>
        <w:rPr>
          <w:rFonts w:ascii="Verdana" w:eastAsia="Verdana" w:hAnsi="Verdana" w:cs="Verdana"/>
          <w:vertAlign w:val="superscript"/>
        </w:rPr>
        <w:footnoteReference w:id="294"/>
      </w:r>
      <w:r w:rsidRPr="005B5CB6">
        <w:rPr>
          <w:rFonts w:ascii="Verdana" w:eastAsia="Verdana" w:hAnsi="Verdana" w:cs="Verdana"/>
        </w:rPr>
        <w:t xml:space="preserve">   </w:t>
      </w:r>
    </w:p>
    <w:p w:rsidR="00FB0B24" w:rsidRPr="005B5CB6" w:rsidP="003255A4">
      <w:pPr>
        <w:pStyle w:val="Heading3"/>
        <w:rPr>
          <w:sz w:val="22"/>
        </w:rPr>
      </w:pPr>
      <w:r w:rsidRPr="005B5CB6">
        <w:rPr>
          <w:b w:val="0"/>
          <w:sz w:val="22"/>
        </w:rPr>
        <w:t>4.</w:t>
      </w:r>
      <w:r w:rsidRPr="005B5CB6">
        <w:rPr>
          <w:rFonts w:eastAsia="Arial" w:cs="Arial"/>
          <w:b w:val="0"/>
          <w:sz w:val="22"/>
        </w:rPr>
        <w:t xml:space="preserve"> </w:t>
      </w:r>
      <w:r w:rsidRPr="005B5CB6">
        <w:rPr>
          <w:b w:val="0"/>
          <w:sz w:val="22"/>
        </w:rPr>
        <w:t xml:space="preserve">Time sensitive interventions in content moderation </w:t>
      </w:r>
    </w:p>
    <w:p w:rsidR="00FB0B24" w:rsidRPr="005B5CB6" w:rsidP="001512F6">
      <w:pPr>
        <w:spacing w:after="141" w:line="249" w:lineRule="auto"/>
        <w:ind w:left="10" w:right="12" w:hanging="9"/>
        <w:jc w:val="both"/>
        <w:rPr>
          <w:rFonts w:ascii="Verdana" w:hAnsi="Verdana"/>
        </w:rPr>
      </w:pPr>
      <w:r w:rsidRPr="005B5CB6">
        <w:rPr>
          <w:rFonts w:ascii="Verdana" w:eastAsia="Verdana" w:hAnsi="Verdana" w:cs="Verdana"/>
        </w:rPr>
        <w:t xml:space="preserve">The 2019 Christchurch terrorist attack showed the need for platforms to develop time sensitive responses to harmful online content: in just a few hours the New Zealand terrorist’s homemade and livestreamed video of the attack had spread across social media. The challenge here is that during these highly volatile, unpredictable periods the amount of harmful online content sharply accelerates: tools, process and systems which are sufficient in normal periods start to break. </w:t>
      </w:r>
      <w:r w:rsidRPr="005B5CB6">
        <w:rPr>
          <w:rFonts w:ascii="Verdana" w:eastAsia="Verdana" w:hAnsi="Verdana" w:cs="Verdana"/>
        </w:rPr>
        <w:t>To address this challenge, we propose four strategies for short intense periods where there is a spike in the amount of harmful content:</w:t>
      </w:r>
      <w:r w:rsidRPr="005B5CB6">
        <w:rPr>
          <w:rFonts w:ascii="Verdana" w:eastAsia="Verdana" w:hAnsi="Verdana" w:cs="Verdana"/>
          <w:vertAlign w:val="superscript"/>
        </w:rPr>
        <w:t>14</w:t>
      </w:r>
      <w:r w:rsidRPr="005B5CB6">
        <w:rPr>
          <w:rFonts w:ascii="Verdana" w:eastAsia="Verdana" w:hAnsi="Verdana" w:cs="Verdana"/>
        </w:rPr>
        <w:t xml:space="preserve"> </w:t>
      </w:r>
    </w:p>
    <w:p w:rsidR="00FB0B24" w:rsidRPr="005B5CB6" w:rsidP="00575F14">
      <w:pPr>
        <w:numPr>
          <w:ilvl w:val="0"/>
          <w:numId w:val="188"/>
        </w:numPr>
        <w:spacing w:after="201" w:line="249" w:lineRule="auto"/>
        <w:ind w:right="12" w:hanging="360"/>
        <w:jc w:val="both"/>
        <w:rPr>
          <w:rFonts w:ascii="Verdana" w:hAnsi="Verdana"/>
        </w:rPr>
      </w:pPr>
      <w:r w:rsidRPr="005B5CB6">
        <w:rPr>
          <w:rFonts w:ascii="Verdana" w:eastAsia="Verdana" w:hAnsi="Verdana" w:cs="Verdana"/>
          <w:i/>
        </w:rPr>
        <w:t>Adjust the sensitivity of content detection tools:</w:t>
      </w:r>
      <w:r w:rsidRPr="005B5CB6">
        <w:rPr>
          <w:rFonts w:ascii="Verdana" w:eastAsia="Verdana" w:hAnsi="Verdana" w:cs="Verdana"/>
        </w:rPr>
        <w:t xml:space="preserve"> All tools for detecting harmful content have a margin of error. The designers have to decide how many false negatives and false positives they are happy with. False negatives are bits of content which are allowed online even though they shouldn’t be and false positives are bits of content which are blocked even though they should be allowed. There is always a trade-off between the two when implementing any content detection system. During times of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74234" name="Group 57423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183" name="Shape 63618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07" style="height:0.6pt;mso-position-horizontal-relative:char;mso-position-vertical-relative:line;width:2in" coordsize="18288,76">
                <v:shape id="_x0000_s1308"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1512F6">
      <w:pPr>
        <w:spacing w:after="5" w:line="249" w:lineRule="auto"/>
        <w:ind w:left="730" w:right="12" w:hanging="9"/>
        <w:jc w:val="both"/>
        <w:rPr>
          <w:rFonts w:ascii="Verdana" w:hAnsi="Verdana"/>
        </w:rPr>
      </w:pPr>
      <w:r w:rsidRPr="005B5CB6">
        <w:rPr>
          <w:rFonts w:ascii="Verdana" w:eastAsia="Verdana" w:hAnsi="Verdana" w:cs="Verdana"/>
        </w:rPr>
        <w:t xml:space="preserve">increased harmful content, tools should be adjusted so that platforms catch more harm (reducing the number of false negatives), even if that means temporarily also having more false positives. </w:t>
      </w:r>
    </w:p>
    <w:p w:rsidR="00FB0B24" w:rsidRPr="005B5CB6" w:rsidP="00575F14">
      <w:pPr>
        <w:numPr>
          <w:ilvl w:val="0"/>
          <w:numId w:val="188"/>
        </w:numPr>
        <w:spacing w:after="5" w:line="249" w:lineRule="auto"/>
        <w:ind w:right="12" w:hanging="360"/>
        <w:jc w:val="both"/>
        <w:rPr>
          <w:rFonts w:ascii="Verdana" w:hAnsi="Verdana"/>
        </w:rPr>
      </w:pPr>
      <w:r w:rsidRPr="005B5CB6">
        <w:rPr>
          <w:rFonts w:ascii="Verdana" w:eastAsia="Verdana" w:hAnsi="Verdana" w:cs="Verdana"/>
          <w:i/>
        </w:rPr>
        <w:t>Enable easier takedowns:</w:t>
      </w:r>
      <w:r w:rsidRPr="005B5CB6">
        <w:rPr>
          <w:rFonts w:ascii="Verdana" w:eastAsia="Verdana" w:hAnsi="Verdana" w:cs="Verdana"/>
        </w:rPr>
        <w:t xml:space="preserve"> At present, moderated content is flagged by users and then sent for manual review by a content moderator, who checks it using predefined guidelines. During times of increased harmful content, platforms could introduce special procedures so that staff can quickly work through content without fear of low performance evaluation. They could also introduce temporary quarantines so that content is temporarily removed but then re-examined at a later date. </w:t>
      </w:r>
    </w:p>
    <w:p w:rsidR="00FB0B24" w:rsidRPr="005B5CB6" w:rsidP="00575F14">
      <w:pPr>
        <w:numPr>
          <w:ilvl w:val="0"/>
          <w:numId w:val="188"/>
        </w:numPr>
        <w:spacing w:after="5" w:line="249" w:lineRule="auto"/>
        <w:ind w:right="12" w:hanging="360"/>
        <w:jc w:val="both"/>
        <w:rPr>
          <w:rFonts w:ascii="Verdana" w:hAnsi="Verdana"/>
        </w:rPr>
      </w:pPr>
      <w:r w:rsidRPr="005B5CB6">
        <w:rPr>
          <w:rFonts w:ascii="Verdana" w:eastAsia="Verdana" w:hAnsi="Verdana" w:cs="Verdana"/>
          <w:i/>
        </w:rPr>
        <w:t>Limit the ability of users to share:</w:t>
      </w:r>
      <w:r w:rsidRPr="005B5CB6">
        <w:rPr>
          <w:rFonts w:ascii="Verdana" w:eastAsia="Verdana" w:hAnsi="Verdana" w:cs="Verdana"/>
        </w:rPr>
        <w:t xml:space="preserve"> In normal times, platforms encourage users to share as much content as possible. However, research shows that extreme and hateful content is imported from niche far-right sites and dumped into the mainstream</w:t>
      </w:r>
      <w:r>
        <w:rPr>
          <w:rFonts w:ascii="Verdana" w:eastAsia="Verdana" w:hAnsi="Verdana" w:cs="Verdana"/>
          <w:vertAlign w:val="superscript"/>
        </w:rPr>
        <w:footnoteReference w:id="295"/>
      </w:r>
      <w:r w:rsidRPr="005B5CB6">
        <w:rPr>
          <w:rFonts w:ascii="Verdana" w:eastAsia="Verdana" w:hAnsi="Verdana" w:cs="Verdana"/>
        </w:rPr>
        <w:t xml:space="preserve"> where it can quickly spread to large audiences. During times of increased harmful content, platforms should limit the number of times that content can be shared within their site and potentially stop sharing across platforms. </w:t>
      </w:r>
    </w:p>
    <w:p w:rsidR="00FB0B24" w:rsidRPr="005B5CB6" w:rsidP="00575F14">
      <w:pPr>
        <w:numPr>
          <w:ilvl w:val="0"/>
          <w:numId w:val="188"/>
        </w:numPr>
        <w:spacing w:after="110" w:line="249" w:lineRule="auto"/>
        <w:ind w:right="12" w:hanging="360"/>
        <w:jc w:val="both"/>
        <w:rPr>
          <w:rFonts w:ascii="Verdana" w:hAnsi="Verdana"/>
        </w:rPr>
      </w:pPr>
      <w:r w:rsidRPr="005B5CB6">
        <w:rPr>
          <w:rFonts w:ascii="Verdana" w:eastAsia="Verdana" w:hAnsi="Verdana" w:cs="Verdana"/>
          <w:i/>
        </w:rPr>
        <w:t>Create shared databases of content:</w:t>
      </w:r>
      <w:r w:rsidRPr="005B5CB6">
        <w:rPr>
          <w:rFonts w:ascii="Verdana" w:eastAsia="Verdana" w:hAnsi="Verdana" w:cs="Verdana"/>
        </w:rPr>
        <w:t xml:space="preserve"> All of the big platforms have very similar guidelines on what constitutes harm and will be trying to take down largely the same content during times of increased harmful content. Creating a shared database of harmful content would ensure that content removed from one site is automatically removed from another. This would not only avoid needless duplication but enable the platforms to quickly devote resources to the most challenging content which is the hardest to detect.  </w:t>
      </w:r>
    </w:p>
    <w:p w:rsidR="00FB0B24" w:rsidRPr="005B5CB6" w:rsidP="001512F6">
      <w:pPr>
        <w:spacing w:after="6362"/>
        <w:ind w:left="1"/>
        <w:jc w:val="both"/>
        <w:rPr>
          <w:rFonts w:ascii="Verdana" w:hAnsi="Verdana"/>
        </w:rPr>
        <w:sectPr w:rsidSect="00D20189">
          <w:headerReference w:type="even" r:id="rId315"/>
          <w:headerReference w:type="default" r:id="rId316"/>
          <w:footerReference w:type="even" r:id="rId317"/>
          <w:footerReference w:type="default" r:id="rId318"/>
          <w:headerReference w:type="first" r:id="rId319"/>
          <w:footerReference w:type="first" r:id="rId320"/>
          <w:pgSz w:w="11899" w:h="16841"/>
          <w:pgMar w:top="1440" w:right="1436" w:bottom="1440" w:left="1439" w:header="720" w:footer="709" w:gutter="0"/>
          <w:cols w:space="720"/>
        </w:sectPr>
      </w:pPr>
    </w:p>
    <w:p w:rsidR="00FB0B24" w:rsidRPr="005B5CB6" w:rsidP="00A1624B">
      <w:pPr>
        <w:pStyle w:val="Heading1"/>
        <w:rPr>
          <w:sz w:val="22"/>
        </w:rPr>
      </w:pPr>
      <w:bookmarkStart w:id="55" w:name="_Toc44517743"/>
      <w:r w:rsidRPr="005B5CB6">
        <w:rPr>
          <w:sz w:val="22"/>
        </w:rPr>
        <w:t>Sparkster Labs Ltd – written evidence (DAD0064)</w:t>
      </w:r>
      <w:bookmarkEnd w:id="55"/>
      <w:r w:rsidRPr="005B5CB6">
        <w:rPr>
          <w:sz w:val="22"/>
        </w:rPr>
        <w:t xml:space="preserve"> </w:t>
      </w:r>
    </w:p>
    <w:p w:rsidR="00FB0B24" w:rsidRPr="005B5CB6" w:rsidP="001512F6">
      <w:pPr>
        <w:spacing w:after="172"/>
        <w:jc w:val="both"/>
        <w:rPr>
          <w:rFonts w:ascii="Verdana" w:hAnsi="Verdana"/>
        </w:rPr>
      </w:pPr>
      <w:r w:rsidRPr="005B5CB6">
        <w:rPr>
          <w:rFonts w:ascii="Verdana" w:hAnsi="Verdana"/>
        </w:rPr>
        <w:t xml:space="preserve"> </w:t>
      </w:r>
    </w:p>
    <w:p w:rsidR="00FB0B24" w:rsidRPr="005B5CB6" w:rsidP="00575F14">
      <w:pPr>
        <w:numPr>
          <w:ilvl w:val="0"/>
          <w:numId w:val="189"/>
        </w:numPr>
        <w:spacing w:after="161" w:line="255" w:lineRule="auto"/>
        <w:ind w:hanging="360"/>
        <w:jc w:val="both"/>
        <w:rPr>
          <w:rFonts w:ascii="Verdana" w:hAnsi="Verdana"/>
        </w:rPr>
      </w:pPr>
      <w:r w:rsidRPr="005B5CB6">
        <w:rPr>
          <w:rFonts w:ascii="Verdana" w:eastAsia="Verdana" w:hAnsi="Verdana" w:cs="Verdana"/>
          <w:color w:val="201F1E"/>
        </w:rPr>
        <w:t xml:space="preserve">I would like to advocate a proposal for moving the UK towards electronic voting.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575F14">
      <w:pPr>
        <w:numPr>
          <w:ilvl w:val="0"/>
          <w:numId w:val="189"/>
        </w:numPr>
        <w:spacing w:after="195" w:line="255" w:lineRule="auto"/>
        <w:ind w:hanging="360"/>
        <w:jc w:val="both"/>
        <w:rPr>
          <w:rFonts w:ascii="Verdana" w:hAnsi="Verdana"/>
        </w:rPr>
      </w:pPr>
      <w:r w:rsidRPr="005B5CB6">
        <w:rPr>
          <w:rFonts w:ascii="Verdana" w:eastAsia="Verdana" w:hAnsi="Verdana" w:cs="Verdana"/>
          <w:color w:val="201F1E"/>
        </w:rPr>
        <w:t>Estonia have implemented electronic voting, and as a result, elections cost half as much to run than a paper-based vote</w:t>
      </w:r>
      <w:r w:rsidRPr="005B5CB6">
        <w:rPr>
          <w:rFonts w:ascii="Verdana" w:eastAsia="Verdana" w:hAnsi="Verdana" w:cs="Verdana"/>
          <w:color w:val="201F1E"/>
          <w:vertAlign w:val="superscript"/>
        </w:rPr>
        <w:t>[1]</w:t>
      </w:r>
      <w:r w:rsidRPr="005B5CB6">
        <w:rPr>
          <w:rFonts w:ascii="Verdana" w:eastAsia="Verdana" w:hAnsi="Verdana" w:cs="Verdana"/>
          <w:color w:val="201F1E"/>
        </w:rPr>
        <w:t xml:space="preserve">.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575F14">
      <w:pPr>
        <w:numPr>
          <w:ilvl w:val="0"/>
          <w:numId w:val="189"/>
        </w:numPr>
        <w:spacing w:after="161" w:line="255" w:lineRule="auto"/>
        <w:ind w:hanging="360"/>
        <w:jc w:val="both"/>
        <w:rPr>
          <w:rFonts w:ascii="Verdana" w:hAnsi="Verdana"/>
        </w:rPr>
      </w:pPr>
      <w:r w:rsidRPr="005B5CB6">
        <w:rPr>
          <w:rFonts w:ascii="Verdana" w:eastAsia="Verdana" w:hAnsi="Verdana" w:cs="Verdana"/>
          <w:color w:val="201F1E"/>
        </w:rPr>
        <w:t>Estonia has identified several benefits to electronic, particularly for the disabled and those who live in remote areas, making elections far more accessible, as well as those traveling or residing outside the country. In addition, Estonia has found that most of those aged 25-45 now vote electronically</w:t>
      </w:r>
      <w:r w:rsidRPr="005B5CB6">
        <w:rPr>
          <w:rFonts w:ascii="Verdana" w:eastAsia="Verdana" w:hAnsi="Verdana" w:cs="Verdana"/>
          <w:color w:val="201F1E"/>
          <w:vertAlign w:val="superscript"/>
        </w:rPr>
        <w:t>[1]</w:t>
      </w:r>
      <w:r w:rsidRPr="005B5CB6">
        <w:rPr>
          <w:rFonts w:ascii="Verdana" w:eastAsia="Verdana" w:hAnsi="Verdana" w:cs="Verdana"/>
          <w:color w:val="201F1E"/>
        </w:rPr>
        <w:t xml:space="preserve">. Hence, I argue that electronic voting increases access to the democratic process and is interest of the citizens of our nation. Electronic voting also makes the process of tallying up results far more efficient, instantaneous and transparent. Eliminating people, and hence the possibility of human error, from the process of collecting results from various parts of the country and collating results increases trust in the democratic process.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575F14">
      <w:pPr>
        <w:numPr>
          <w:ilvl w:val="0"/>
          <w:numId w:val="189"/>
        </w:numPr>
        <w:spacing w:after="194" w:line="255" w:lineRule="auto"/>
        <w:ind w:hanging="360"/>
        <w:jc w:val="both"/>
        <w:rPr>
          <w:rFonts w:ascii="Verdana" w:hAnsi="Verdana"/>
        </w:rPr>
      </w:pPr>
      <w:r w:rsidRPr="005B5CB6">
        <w:rPr>
          <w:rFonts w:ascii="Verdana" w:eastAsia="Verdana" w:hAnsi="Verdana" w:cs="Verdana"/>
          <w:color w:val="201F1E"/>
        </w:rPr>
        <w:t xml:space="preserve">If we’re to move towards an electronic voting system, trust is crucial. Just the perception of election interference can jeopardize the results and undermine the credibility of the entire democratic process </w:t>
      </w:r>
      <w:r w:rsidRPr="005B5CB6">
        <w:rPr>
          <w:rFonts w:ascii="Verdana" w:eastAsia="Verdana" w:hAnsi="Verdana" w:cs="Verdana"/>
          <w:color w:val="201F1E"/>
          <w:vertAlign w:val="superscript"/>
        </w:rPr>
        <w:t>[2]</w:t>
      </w:r>
      <w:r w:rsidRPr="005B5CB6">
        <w:rPr>
          <w:rFonts w:ascii="Verdana" w:eastAsia="Verdana" w:hAnsi="Verdana" w:cs="Verdana"/>
          <w:color w:val="201F1E"/>
        </w:rPr>
        <w:t xml:space="preserve">.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575F14">
      <w:pPr>
        <w:numPr>
          <w:ilvl w:val="0"/>
          <w:numId w:val="189"/>
        </w:numPr>
        <w:spacing w:after="2" w:line="257" w:lineRule="auto"/>
        <w:ind w:hanging="360"/>
        <w:jc w:val="both"/>
        <w:rPr>
          <w:rFonts w:ascii="Verdana" w:hAnsi="Verdana"/>
        </w:rPr>
      </w:pPr>
      <w:r w:rsidRPr="005B5CB6">
        <w:rPr>
          <w:rFonts w:ascii="Verdana" w:eastAsia="Verdana" w:hAnsi="Verdana" w:cs="Verdana"/>
          <w:color w:val="2F2F2F"/>
        </w:rPr>
        <w:t xml:space="preserve">“The systems themselves don’t have to be penetrated to impact the process,” says </w:t>
      </w:r>
    </w:p>
    <w:p w:rsidR="00FB0B24" w:rsidRPr="005B5CB6" w:rsidP="001512F6">
      <w:pPr>
        <w:spacing w:after="161" w:line="257" w:lineRule="auto"/>
        <w:ind w:left="720"/>
        <w:jc w:val="both"/>
        <w:rPr>
          <w:rFonts w:ascii="Verdana" w:hAnsi="Verdana"/>
        </w:rPr>
      </w:pPr>
      <w:r w:rsidRPr="005B5CB6">
        <w:rPr>
          <w:rFonts w:ascii="Verdana" w:eastAsia="Verdana" w:hAnsi="Verdana" w:cs="Verdana"/>
          <w:color w:val="2F2F2F"/>
        </w:rPr>
        <w:t xml:space="preserve">Steven Martin, a senior election adviser with the OSCE’s Office for Democratic Institutions and Human Rights. “Regardless of if there is an actual attack, the perception of an attack can be sufficient for people to cast doubt on the election itself and its integrity.”  </w:t>
      </w:r>
    </w:p>
    <w:p w:rsidR="00FB0B24" w:rsidRPr="005B5CB6" w:rsidP="001512F6">
      <w:pPr>
        <w:spacing w:after="156"/>
        <w:jc w:val="both"/>
        <w:rPr>
          <w:rFonts w:ascii="Verdana" w:hAnsi="Verdana"/>
        </w:rPr>
      </w:pPr>
      <w:r w:rsidRPr="005B5CB6">
        <w:rPr>
          <w:rFonts w:ascii="Verdana" w:eastAsia="Verdana" w:hAnsi="Verdana" w:cs="Verdana"/>
          <w:color w:val="2F2F2F"/>
        </w:rPr>
        <w:t xml:space="preserve"> </w:t>
      </w:r>
    </w:p>
    <w:p w:rsidR="00FB0B24" w:rsidRPr="005B5CB6" w:rsidP="00575F14">
      <w:pPr>
        <w:numPr>
          <w:ilvl w:val="0"/>
          <w:numId w:val="189"/>
        </w:numPr>
        <w:spacing w:after="191" w:line="257" w:lineRule="auto"/>
        <w:ind w:hanging="360"/>
        <w:jc w:val="both"/>
        <w:rPr>
          <w:rFonts w:ascii="Verdana" w:hAnsi="Verdana"/>
        </w:rPr>
      </w:pPr>
      <w:r w:rsidRPr="005B5CB6">
        <w:rPr>
          <w:rFonts w:ascii="Verdana" w:eastAsia="Verdana" w:hAnsi="Verdana" w:cs="Verdana"/>
          <w:color w:val="2F2F2F"/>
        </w:rPr>
        <w:t xml:space="preserve">In 2002, Ireland introduced electronic machines, but these were withdrawn because of concerns of the susceptibility to tampering. Germany withdrew their machines because they proved not to be open and transparent </w:t>
      </w:r>
      <w:r w:rsidRPr="005B5CB6">
        <w:rPr>
          <w:rFonts w:ascii="Verdana" w:eastAsia="Verdana" w:hAnsi="Verdana" w:cs="Verdana"/>
          <w:color w:val="2F2F2F"/>
          <w:vertAlign w:val="superscript"/>
        </w:rPr>
        <w:t>[2]</w:t>
      </w:r>
      <w:r w:rsidRPr="005B5CB6">
        <w:rPr>
          <w:rFonts w:ascii="Verdana" w:eastAsia="Verdana" w:hAnsi="Verdana" w:cs="Verdana"/>
          <w:color w:val="2F2F2F"/>
        </w:rPr>
        <w:t xml:space="preserve">. </w:t>
      </w:r>
    </w:p>
    <w:p w:rsidR="00FB0B24" w:rsidRPr="005B5CB6" w:rsidP="001512F6">
      <w:pPr>
        <w:spacing w:after="156"/>
        <w:jc w:val="both"/>
        <w:rPr>
          <w:rFonts w:ascii="Verdana" w:hAnsi="Verdana"/>
        </w:rPr>
      </w:pPr>
      <w:r w:rsidRPr="005B5CB6">
        <w:rPr>
          <w:rFonts w:ascii="Verdana" w:eastAsia="Verdana" w:hAnsi="Verdana" w:cs="Verdana"/>
          <w:color w:val="2F2F2F"/>
        </w:rPr>
        <w:t xml:space="preserve"> </w:t>
      </w:r>
    </w:p>
    <w:p w:rsidR="00FB0B24" w:rsidRPr="005B5CB6" w:rsidP="00575F14">
      <w:pPr>
        <w:numPr>
          <w:ilvl w:val="0"/>
          <w:numId w:val="189"/>
        </w:numPr>
        <w:spacing w:after="161" w:line="257" w:lineRule="auto"/>
        <w:ind w:hanging="360"/>
        <w:jc w:val="both"/>
        <w:rPr>
          <w:rFonts w:ascii="Verdana" w:hAnsi="Verdana"/>
        </w:rPr>
      </w:pPr>
      <w:r w:rsidRPr="005B5CB6">
        <w:rPr>
          <w:rFonts w:ascii="Verdana" w:eastAsia="Verdana" w:hAnsi="Verdana" w:cs="Verdana"/>
          <w:color w:val="2F2F2F"/>
        </w:rPr>
        <w:t xml:space="preserve">This proposal focuses on how we might implement a safe, secure, and transparent electronic voting system in the United Kingdom.    </w:t>
      </w:r>
    </w:p>
    <w:p w:rsidR="00FB0B24" w:rsidRPr="005B5CB6" w:rsidP="001512F6">
      <w:pPr>
        <w:spacing w:after="156"/>
        <w:jc w:val="both"/>
        <w:rPr>
          <w:rFonts w:ascii="Verdana" w:hAnsi="Verdana"/>
        </w:rPr>
      </w:pPr>
      <w:r w:rsidRPr="005B5CB6">
        <w:rPr>
          <w:rFonts w:ascii="Verdana" w:eastAsia="Verdana" w:hAnsi="Verdana" w:cs="Verdana"/>
          <w:color w:val="2F2F2F"/>
        </w:rPr>
        <w:t xml:space="preserve"> </w:t>
      </w:r>
    </w:p>
    <w:p w:rsidR="00FB0B24" w:rsidRPr="005B5CB6" w:rsidP="00575F14">
      <w:pPr>
        <w:numPr>
          <w:ilvl w:val="0"/>
          <w:numId w:val="189"/>
        </w:numPr>
        <w:spacing w:after="0"/>
        <w:ind w:hanging="360"/>
        <w:jc w:val="both"/>
        <w:rPr>
          <w:rFonts w:ascii="Verdana" w:hAnsi="Verdana"/>
        </w:rPr>
      </w:pPr>
      <w:r w:rsidRPr="005B5CB6">
        <w:rPr>
          <w:rFonts w:ascii="Verdana" w:eastAsia="Verdana" w:hAnsi="Verdana" w:cs="Verdana"/>
          <w:b/>
          <w:color w:val="2F2F2F"/>
        </w:rPr>
        <w:t xml:space="preserve">Current system: </w:t>
      </w:r>
    </w:p>
    <w:p w:rsidR="00FB0B24" w:rsidRPr="005B5CB6" w:rsidP="001512F6">
      <w:pPr>
        <w:spacing w:after="0"/>
        <w:ind w:left="720"/>
        <w:jc w:val="both"/>
        <w:rPr>
          <w:rFonts w:ascii="Verdana" w:hAnsi="Verdana"/>
        </w:rPr>
      </w:pPr>
      <w:r w:rsidRPr="005B5CB6">
        <w:rPr>
          <w:rFonts w:ascii="Verdana" w:eastAsia="Verdana" w:hAnsi="Verdana" w:cs="Verdana"/>
          <w:color w:val="2F2F2F"/>
        </w:rPr>
        <w:t xml:space="preserve"> </w:t>
      </w:r>
    </w:p>
    <w:p w:rsidR="00FB0B24" w:rsidRPr="005B5CB6" w:rsidP="001512F6">
      <w:pPr>
        <w:spacing w:after="161" w:line="257" w:lineRule="auto"/>
        <w:ind w:left="720"/>
        <w:jc w:val="both"/>
        <w:rPr>
          <w:rFonts w:ascii="Verdana" w:hAnsi="Verdana"/>
        </w:rPr>
      </w:pPr>
      <w:r w:rsidRPr="005B5CB6">
        <w:rPr>
          <w:rFonts w:ascii="Verdana" w:eastAsia="Verdana" w:hAnsi="Verdana" w:cs="Verdana"/>
          <w:color w:val="2F2F2F"/>
        </w:rPr>
        <w:t xml:space="preserve">At present, a voter registration letter is sent to my home with a username and password, consisting of random numbers. I am asked to visit a website and verify the accuracy of the data maintained by the election commission for those living at my property and their eligibility to vote. </w:t>
      </w:r>
    </w:p>
    <w:p w:rsidR="00FB0B24" w:rsidRPr="005B5CB6" w:rsidP="001512F6">
      <w:pPr>
        <w:spacing w:after="156"/>
        <w:jc w:val="both"/>
        <w:rPr>
          <w:rFonts w:ascii="Verdana" w:hAnsi="Verdana"/>
        </w:rPr>
      </w:pPr>
      <w:r w:rsidRPr="005B5CB6">
        <w:rPr>
          <w:rFonts w:ascii="Verdana" w:eastAsia="Verdana" w:hAnsi="Verdana" w:cs="Verdana"/>
          <w:color w:val="2F2F2F"/>
        </w:rPr>
        <w:t xml:space="preserve"> </w:t>
      </w:r>
    </w:p>
    <w:p w:rsidR="00FB0B24" w:rsidRPr="005B5CB6" w:rsidP="00575F14">
      <w:pPr>
        <w:numPr>
          <w:ilvl w:val="0"/>
          <w:numId w:val="189"/>
        </w:numPr>
        <w:spacing w:after="161" w:line="257" w:lineRule="auto"/>
        <w:ind w:hanging="360"/>
        <w:jc w:val="both"/>
        <w:rPr>
          <w:rFonts w:ascii="Verdana" w:hAnsi="Verdana"/>
        </w:rPr>
      </w:pPr>
      <w:r w:rsidRPr="005B5CB6">
        <w:rPr>
          <w:rFonts w:ascii="Verdana" w:eastAsia="Verdana" w:hAnsi="Verdana" w:cs="Verdana"/>
          <w:color w:val="2F2F2F"/>
        </w:rPr>
        <w:t xml:space="preserve">On poling day, I arrive at my local poling station, give my name and address. The person behind the desk looks up my name on the list in front of them, and I am given a paper ballot with the list of candidates I can vote for. I mark which candidate I am voting for and insert my ballot into a box.  </w:t>
      </w:r>
    </w:p>
    <w:p w:rsidR="00FB0B24" w:rsidRPr="005B5CB6" w:rsidP="001512F6">
      <w:pPr>
        <w:spacing w:after="156"/>
        <w:jc w:val="both"/>
        <w:rPr>
          <w:rFonts w:ascii="Verdana" w:hAnsi="Verdana"/>
        </w:rPr>
      </w:pPr>
      <w:r w:rsidRPr="005B5CB6">
        <w:rPr>
          <w:rFonts w:ascii="Verdana" w:eastAsia="Verdana" w:hAnsi="Verdana" w:cs="Verdana"/>
          <w:color w:val="2F2F2F"/>
        </w:rPr>
        <w:t xml:space="preserve"> </w:t>
      </w:r>
    </w:p>
    <w:p w:rsidR="00FB0B24" w:rsidRPr="005B5CB6" w:rsidP="001512F6">
      <w:pPr>
        <w:spacing w:after="161" w:line="257" w:lineRule="auto"/>
        <w:ind w:left="715" w:hanging="370"/>
        <w:jc w:val="both"/>
        <w:rPr>
          <w:rFonts w:ascii="Verdana" w:hAnsi="Verdana"/>
        </w:rPr>
      </w:pPr>
      <w:r w:rsidRPr="005B5CB6">
        <w:rPr>
          <w:rFonts w:ascii="Verdana" w:eastAsia="Verdana" w:hAnsi="Verdana" w:cs="Verdana"/>
          <w:color w:val="2F2F2F"/>
        </w:rPr>
        <w:t xml:space="preserve">10.I am not asked to present any form of ID. There are several attendants in the room, each with a copy of the list of constituents, and while I am marked off as having voted on one list, I am not marked off all lists in the room, and hence, it may be possible for someone to impersonate me, and vote again. I go home, trusting that nobody has impersonated me, and trusting the people in that room to accurately count my vote, and submit the tally truthfully. However, this process is not transparent and I am not able to personally verify it. </w:t>
      </w:r>
    </w:p>
    <w:p w:rsidR="00FB0B24" w:rsidRPr="005B5CB6" w:rsidP="001512F6">
      <w:pPr>
        <w:spacing w:after="168"/>
        <w:jc w:val="both"/>
        <w:rPr>
          <w:rFonts w:ascii="Verdana" w:hAnsi="Verdana"/>
        </w:rPr>
      </w:pPr>
      <w:r w:rsidRPr="005B5CB6">
        <w:rPr>
          <w:rFonts w:ascii="Verdana" w:eastAsia="Verdana" w:hAnsi="Verdana" w:cs="Verdana"/>
          <w:color w:val="201F1E"/>
        </w:rPr>
        <w:t xml:space="preserve"> </w:t>
      </w:r>
    </w:p>
    <w:p w:rsidR="00FB0B24" w:rsidRPr="005B5CB6" w:rsidP="001512F6">
      <w:pPr>
        <w:tabs>
          <w:tab w:val="center" w:pos="556"/>
          <w:tab w:val="center" w:pos="2568"/>
        </w:tabs>
        <w:spacing w:after="8"/>
        <w:jc w:val="both"/>
        <w:rPr>
          <w:rFonts w:ascii="Verdana" w:hAnsi="Verdana"/>
        </w:rPr>
      </w:pPr>
      <w:r w:rsidRPr="005B5CB6">
        <w:rPr>
          <w:rFonts w:ascii="Verdana" w:hAnsi="Verdana"/>
        </w:rPr>
        <w:tab/>
      </w:r>
      <w:r w:rsidRPr="005B5CB6">
        <w:rPr>
          <w:rFonts w:ascii="Verdana" w:eastAsia="Verdana" w:hAnsi="Verdana" w:cs="Verdana"/>
          <w:b/>
          <w:color w:val="201F1E"/>
        </w:rPr>
        <w:t>11.</w:t>
      </w:r>
      <w:r w:rsidRPr="005B5CB6">
        <w:rPr>
          <w:rFonts w:ascii="Verdana" w:eastAsia="Arial" w:hAnsi="Verdana" w:cs="Arial"/>
          <w:b/>
          <w:color w:val="201F1E"/>
        </w:rPr>
        <w:t xml:space="preserve"> </w:t>
      </w:r>
      <w:r w:rsidRPr="005B5CB6">
        <w:rPr>
          <w:rFonts w:ascii="Verdana" w:eastAsia="Arial" w:hAnsi="Verdana" w:cs="Arial"/>
          <w:b/>
          <w:color w:val="201F1E"/>
        </w:rPr>
        <w:tab/>
      </w:r>
      <w:r w:rsidRPr="005B5CB6">
        <w:rPr>
          <w:rFonts w:ascii="Verdana" w:eastAsia="Verdana" w:hAnsi="Verdana" w:cs="Verdana"/>
          <w:b/>
          <w:color w:val="201F1E"/>
        </w:rPr>
        <w:t xml:space="preserve">Proposed Solution </w:t>
      </w:r>
    </w:p>
    <w:p w:rsidR="00FB0B24" w:rsidRPr="005B5CB6" w:rsidP="001512F6">
      <w:pPr>
        <w:spacing w:after="4" w:line="255" w:lineRule="auto"/>
        <w:ind w:left="720"/>
        <w:jc w:val="both"/>
        <w:rPr>
          <w:rFonts w:ascii="Verdana" w:hAnsi="Verdana"/>
        </w:rPr>
      </w:pPr>
      <w:r w:rsidRPr="005B5CB6">
        <w:rPr>
          <w:rFonts w:ascii="Verdana" w:eastAsia="Verdana" w:hAnsi="Verdana" w:cs="Verdana"/>
          <w:color w:val="201F1E"/>
        </w:rPr>
        <w:t xml:space="preserve">A poling card is sent to my home, and much like the voter registration letter, it contains a unique username and password consisting of random letters and numbers that have been assigned to me. In addition, it contains a 2D barcode encoding the same username and password, along with the address of the website where the person can cast their vote (i.e. vote.uk).  </w:t>
      </w:r>
    </w:p>
    <w:p w:rsidR="00FB0B24" w:rsidRPr="005B5CB6" w:rsidP="001512F6">
      <w:pPr>
        <w:spacing w:after="0"/>
        <w:ind w:left="720"/>
        <w:jc w:val="both"/>
        <w:rPr>
          <w:rFonts w:ascii="Verdana" w:hAnsi="Verdana"/>
        </w:rPr>
      </w:pPr>
      <w:r w:rsidRPr="005B5CB6">
        <w:rPr>
          <w:rFonts w:ascii="Verdana" w:eastAsia="Verdana" w:hAnsi="Verdana" w:cs="Verdana"/>
          <w:color w:val="201F1E"/>
        </w:rPr>
        <w:t xml:space="preserve"> </w:t>
      </w:r>
    </w:p>
    <w:p w:rsidR="00FB0B24" w:rsidRPr="005B5CB6" w:rsidP="001512F6">
      <w:pPr>
        <w:spacing w:after="2" w:line="255" w:lineRule="auto"/>
        <w:ind w:left="715" w:hanging="370"/>
        <w:jc w:val="both"/>
        <w:rPr>
          <w:rFonts w:ascii="Verdana" w:hAnsi="Verdana"/>
        </w:rPr>
      </w:pPr>
      <w:r w:rsidRPr="005B5CB6">
        <w:rPr>
          <w:rFonts w:ascii="Verdana" w:eastAsia="Verdana" w:hAnsi="Verdana" w:cs="Verdana"/>
          <w:color w:val="201F1E"/>
        </w:rPr>
        <w:t xml:space="preserve">12.If the person wishes to vote at a poling station, or does not have the necessary technology or knowhow to vote at home, they take their poling card to their local poling station. Where computers with 2D barcode scanners awaits them. They scan the 2D barcode on the poling card, select their candidate from a list, and click the submit button. The entire process should take no longer than 20 seconds. </w:t>
      </w:r>
    </w:p>
    <w:p w:rsidR="00FB0B24" w:rsidRPr="005B5CB6" w:rsidP="001512F6">
      <w:pPr>
        <w:spacing w:after="0"/>
        <w:ind w:left="720"/>
        <w:jc w:val="both"/>
        <w:rPr>
          <w:rFonts w:ascii="Verdana" w:hAnsi="Verdana"/>
        </w:rPr>
      </w:pPr>
      <w:r w:rsidRPr="005B5CB6">
        <w:rPr>
          <w:rFonts w:ascii="Verdana" w:eastAsia="Verdana" w:hAnsi="Verdana" w:cs="Verdana"/>
          <w:color w:val="201F1E"/>
        </w:rPr>
        <w:t xml:space="preserve"> </w:t>
      </w:r>
    </w:p>
    <w:p w:rsidR="00FB0B24" w:rsidRPr="005B5CB6" w:rsidP="001512F6">
      <w:pPr>
        <w:spacing w:after="4" w:line="255" w:lineRule="auto"/>
        <w:ind w:left="345"/>
        <w:jc w:val="both"/>
        <w:rPr>
          <w:rFonts w:ascii="Verdana" w:hAnsi="Verdana"/>
        </w:rPr>
      </w:pPr>
      <w:r w:rsidRPr="005B5CB6">
        <w:rPr>
          <w:rFonts w:ascii="Verdana" w:eastAsia="Verdana" w:hAnsi="Verdana" w:cs="Verdana"/>
          <w:color w:val="201F1E"/>
        </w:rPr>
        <w:t xml:space="preserve">13.If the person wishes to cast their vote from home, they have two options:  </w:t>
      </w:r>
    </w:p>
    <w:p w:rsidR="00FB0B24" w:rsidRPr="005B5CB6" w:rsidP="001512F6">
      <w:pPr>
        <w:spacing w:after="0"/>
        <w:ind w:left="720"/>
        <w:jc w:val="both"/>
        <w:rPr>
          <w:rFonts w:ascii="Verdana" w:hAnsi="Verdana"/>
        </w:rPr>
      </w:pPr>
      <w:r w:rsidRPr="005B5CB6">
        <w:rPr>
          <w:rFonts w:ascii="Verdana" w:eastAsia="Verdana" w:hAnsi="Verdana" w:cs="Verdana"/>
          <w:color w:val="201F1E"/>
        </w:rPr>
        <w:t xml:space="preserve"> </w:t>
      </w:r>
    </w:p>
    <w:p w:rsidR="00FB0B24" w:rsidRPr="005B5CB6" w:rsidP="00575F14">
      <w:pPr>
        <w:numPr>
          <w:ilvl w:val="2"/>
          <w:numId w:val="190"/>
        </w:numPr>
        <w:spacing w:after="2" w:line="255" w:lineRule="auto"/>
        <w:ind w:hanging="360"/>
        <w:jc w:val="both"/>
        <w:rPr>
          <w:rFonts w:ascii="Verdana" w:hAnsi="Verdana"/>
        </w:rPr>
      </w:pPr>
      <w:r w:rsidRPr="005B5CB6">
        <w:rPr>
          <w:rFonts w:ascii="Verdana" w:eastAsia="Verdana" w:hAnsi="Verdana" w:cs="Verdana"/>
          <w:color w:val="201F1E"/>
        </w:rPr>
        <w:t xml:space="preserve">Visit the designated website (i.e. vote.uk), type in the username and password that is printed on their polling card, select their candidate, and click submit. </w:t>
      </w:r>
    </w:p>
    <w:p w:rsidR="00FB0B24" w:rsidRPr="005B5CB6" w:rsidP="00575F14">
      <w:pPr>
        <w:numPr>
          <w:ilvl w:val="2"/>
          <w:numId w:val="190"/>
        </w:numPr>
        <w:spacing w:after="3" w:line="255" w:lineRule="auto"/>
        <w:ind w:hanging="360"/>
        <w:jc w:val="both"/>
        <w:rPr>
          <w:rFonts w:ascii="Verdana" w:hAnsi="Verdana"/>
        </w:rPr>
      </w:pPr>
      <w:r w:rsidRPr="005B5CB6">
        <w:rPr>
          <w:rFonts w:ascii="Verdana" w:eastAsia="Verdana" w:hAnsi="Verdana" w:cs="Verdana"/>
          <w:color w:val="201F1E"/>
        </w:rPr>
        <w:t xml:space="preserve">Download the government’s voting mobile app, when opened, it uses the phone’s camera to scan the 2D barcode on the poling card. The user selects the candidate and then clicks the submit button.  </w:t>
      </w:r>
    </w:p>
    <w:p w:rsidR="00FB0B24" w:rsidRPr="005B5CB6" w:rsidP="001512F6">
      <w:pPr>
        <w:spacing w:after="0"/>
        <w:ind w:left="1440"/>
        <w:jc w:val="both"/>
        <w:rPr>
          <w:rFonts w:ascii="Verdana" w:hAnsi="Verdana"/>
        </w:rPr>
      </w:pPr>
      <w:r w:rsidRPr="005B5CB6">
        <w:rPr>
          <w:rFonts w:ascii="Verdana" w:eastAsia="Verdana" w:hAnsi="Verdana" w:cs="Verdana"/>
          <w:color w:val="201F1E"/>
        </w:rPr>
        <w:t xml:space="preserve"> </w:t>
      </w:r>
    </w:p>
    <w:p w:rsidR="00FB0B24" w:rsidRPr="005B5CB6" w:rsidP="001512F6">
      <w:pPr>
        <w:spacing w:after="161" w:line="255" w:lineRule="auto"/>
        <w:ind w:left="715" w:hanging="370"/>
        <w:jc w:val="both"/>
        <w:rPr>
          <w:rFonts w:ascii="Verdana" w:hAnsi="Verdana"/>
        </w:rPr>
      </w:pPr>
      <w:r w:rsidRPr="005B5CB6">
        <w:rPr>
          <w:rFonts w:ascii="Verdana" w:eastAsia="Verdana" w:hAnsi="Verdana" w:cs="Verdana"/>
          <w:color w:val="201F1E"/>
        </w:rPr>
        <w:t xml:space="preserve">14.A constituent can verify how their vote was registered, and how all voters have voted on the government’s public vote ledger (i.e. vote.uk/verify) to independently validate </w:t>
      </w:r>
      <w:r w:rsidRPr="005B5CB6">
        <w:rPr>
          <w:rFonts w:ascii="Verdana" w:eastAsia="Verdana" w:hAnsi="Verdana" w:cs="Verdana"/>
          <w:color w:val="201F1E"/>
        </w:rPr>
        <w:t xml:space="preserve">the accuracy of the voting process. The constituent visits the designated website, where she sees all usernames (random numbers and letters) and how those usernames voted. She can use the search feature to search for her own username, and verify that her vote was indeed recoded accurately and is free of tampering. This website does not require a username or password, and therefore can be accessed anonymously, further enhancing trust in the vote process.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1512F6">
      <w:pPr>
        <w:spacing w:after="161" w:line="255" w:lineRule="auto"/>
        <w:ind w:left="715" w:hanging="370"/>
        <w:jc w:val="both"/>
        <w:rPr>
          <w:rFonts w:ascii="Verdana" w:hAnsi="Verdana"/>
        </w:rPr>
      </w:pPr>
      <w:r w:rsidRPr="005B5CB6">
        <w:rPr>
          <w:rFonts w:ascii="Verdana" w:eastAsia="Verdana" w:hAnsi="Verdana" w:cs="Verdana"/>
          <w:color w:val="201F1E"/>
        </w:rPr>
        <w:t xml:space="preserve">15.The username and password are used to validate eligibility of the individual to participate in the election. The government’s voting system ensures the username is only used once, and hence a vote cast once at the poling station, cannot immediately be cast again on the mobile device by the same individual or for the same poling card. In addition, to maintain anonymity, the constituent does not need to register on either the website or the app with any personally identifiable information.  </w:t>
      </w:r>
    </w:p>
    <w:p w:rsidR="00FB0B24" w:rsidRPr="005B5CB6" w:rsidP="001512F6">
      <w:pPr>
        <w:spacing w:after="165"/>
        <w:jc w:val="both"/>
        <w:rPr>
          <w:rFonts w:ascii="Verdana" w:hAnsi="Verdana"/>
        </w:rPr>
      </w:pPr>
      <w:r w:rsidRPr="005B5CB6">
        <w:rPr>
          <w:rFonts w:ascii="Verdana" w:eastAsia="Verdana" w:hAnsi="Verdana" w:cs="Verdana"/>
          <w:color w:val="201F1E"/>
        </w:rPr>
        <w:t xml:space="preserve"> </w:t>
      </w:r>
    </w:p>
    <w:p w:rsidR="00FB0B24" w:rsidRPr="005B5CB6" w:rsidP="001512F6">
      <w:pPr>
        <w:tabs>
          <w:tab w:val="center" w:pos="556"/>
          <w:tab w:val="center" w:pos="4566"/>
        </w:tabs>
        <w:spacing w:after="8"/>
        <w:jc w:val="both"/>
        <w:rPr>
          <w:rFonts w:ascii="Verdana" w:hAnsi="Verdana"/>
        </w:rPr>
      </w:pPr>
      <w:r w:rsidRPr="005B5CB6">
        <w:rPr>
          <w:rFonts w:ascii="Verdana" w:hAnsi="Verdana"/>
        </w:rPr>
        <w:tab/>
      </w:r>
      <w:r w:rsidRPr="005B5CB6">
        <w:rPr>
          <w:rFonts w:ascii="Verdana" w:eastAsia="Verdana" w:hAnsi="Verdana" w:cs="Verdana"/>
          <w:b/>
          <w:color w:val="201F1E"/>
        </w:rPr>
        <w:t>16.</w:t>
      </w:r>
      <w:r w:rsidRPr="005B5CB6">
        <w:rPr>
          <w:rFonts w:ascii="Verdana" w:eastAsia="Arial" w:hAnsi="Verdana" w:cs="Arial"/>
          <w:b/>
          <w:color w:val="201F1E"/>
        </w:rPr>
        <w:t xml:space="preserve"> </w:t>
      </w:r>
      <w:r w:rsidRPr="005B5CB6">
        <w:rPr>
          <w:rFonts w:ascii="Verdana" w:eastAsia="Arial" w:hAnsi="Verdana" w:cs="Arial"/>
          <w:b/>
          <w:color w:val="201F1E"/>
        </w:rPr>
        <w:tab/>
      </w:r>
      <w:r w:rsidRPr="005B5CB6">
        <w:rPr>
          <w:rFonts w:ascii="Verdana" w:eastAsia="Verdana" w:hAnsi="Verdana" w:cs="Verdana"/>
          <w:b/>
          <w:color w:val="201F1E"/>
        </w:rPr>
        <w:t xml:space="preserve">Proposals to ensuring the voting system is secure: </w:t>
      </w:r>
    </w:p>
    <w:p w:rsidR="00FB0B24" w:rsidRPr="005B5CB6" w:rsidP="001512F6">
      <w:pPr>
        <w:spacing w:after="161" w:line="255" w:lineRule="auto"/>
        <w:ind w:left="720"/>
        <w:jc w:val="both"/>
        <w:rPr>
          <w:rFonts w:ascii="Verdana" w:hAnsi="Verdana"/>
        </w:rPr>
      </w:pPr>
      <w:r w:rsidRPr="005B5CB6">
        <w:rPr>
          <w:rFonts w:ascii="Verdana" w:eastAsia="Verdana" w:hAnsi="Verdana" w:cs="Verdana"/>
          <w:color w:val="201F1E"/>
        </w:rPr>
        <w:t xml:space="preserve">The username and password proposed, form a public-private keypair. The private key (password) is used to generate an electronic cryptographic signature and sign the vote, but the private key (password) is never transmitted over the internet, neither is it stored on the electoral commissions servers. Hence, the private key (password) is only ever used on the local device. Given that the private keys are never stored online, this data is impermeable to a hack.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1512F6">
      <w:pPr>
        <w:spacing w:after="161" w:line="255" w:lineRule="auto"/>
        <w:ind w:left="715" w:hanging="370"/>
        <w:jc w:val="both"/>
        <w:rPr>
          <w:rFonts w:ascii="Verdana" w:hAnsi="Verdana"/>
        </w:rPr>
      </w:pPr>
      <w:r w:rsidRPr="005B5CB6">
        <w:rPr>
          <w:rFonts w:ascii="Verdana" w:eastAsia="Verdana" w:hAnsi="Verdana" w:cs="Verdana"/>
          <w:color w:val="201F1E"/>
        </w:rPr>
        <w:t xml:space="preserve">17.The public key (username), vote and signature are transmitted to the electoral commission’s servers, and are publicly auditable via the registry website (i.e. vote.uk/verify). Here, the public key (username) can be used to validate the authenticity of the signature, which can only have been produced by the private key. Hence, this is a method of validating that the votes listed on the ledger are indeed authentic and have not been tampered with.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1512F6">
      <w:pPr>
        <w:spacing w:after="161" w:line="255" w:lineRule="auto"/>
        <w:ind w:left="715" w:hanging="370"/>
        <w:jc w:val="both"/>
        <w:rPr>
          <w:rFonts w:ascii="Verdana" w:hAnsi="Verdana"/>
        </w:rPr>
      </w:pPr>
      <w:r w:rsidRPr="005B5CB6">
        <w:rPr>
          <w:rFonts w:ascii="Verdana" w:eastAsia="Verdana" w:hAnsi="Verdana" w:cs="Verdana"/>
          <w:color w:val="201F1E"/>
        </w:rPr>
        <w:t xml:space="preserve">18.Transport Layer Security (TLS) is used to transmit the data from the device to the servers, in much the same way as SSL is used to transmit credit card or banking information over the internet today.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1512F6">
      <w:pPr>
        <w:spacing w:after="0" w:line="257" w:lineRule="auto"/>
        <w:ind w:left="21"/>
        <w:jc w:val="both"/>
        <w:rPr>
          <w:rFonts w:ascii="Verdana" w:hAnsi="Verdana"/>
        </w:rPr>
      </w:pPr>
      <w:r w:rsidRPr="005B5CB6">
        <w:rPr>
          <w:rFonts w:ascii="Verdana" w:eastAsia="Verdana" w:hAnsi="Verdana" w:cs="Verdana"/>
          <w:color w:val="201F1E"/>
        </w:rPr>
        <w:t xml:space="preserve">19.Through a series of in memory caching servers distributed around the country, say Redis, we can ensure that the same public key cannot be used more than once. </w:t>
      </w:r>
    </w:p>
    <w:p w:rsidR="00FB0B24" w:rsidRPr="005B5CB6" w:rsidP="001512F6">
      <w:pPr>
        <w:spacing w:after="0"/>
        <w:ind w:right="145"/>
        <w:jc w:val="both"/>
        <w:rPr>
          <w:rFonts w:ascii="Verdana" w:hAnsi="Verdana"/>
        </w:rPr>
      </w:pPr>
      <w:r w:rsidRPr="005B5CB6">
        <w:rPr>
          <w:rFonts w:ascii="Verdana" w:eastAsia="Verdana" w:hAnsi="Verdana" w:cs="Verdana"/>
          <w:color w:val="201F1E"/>
        </w:rPr>
        <w:t xml:space="preserve">Once the login process starts, all caching servers nationwide are notified in parallel </w:t>
      </w:r>
    </w:p>
    <w:p w:rsidR="00FB0B24" w:rsidRPr="005B5CB6" w:rsidP="001512F6">
      <w:pPr>
        <w:spacing w:after="161" w:line="255" w:lineRule="auto"/>
        <w:ind w:left="720"/>
        <w:jc w:val="both"/>
        <w:rPr>
          <w:rFonts w:ascii="Verdana" w:hAnsi="Verdana"/>
        </w:rPr>
      </w:pPr>
      <w:r w:rsidRPr="005B5CB6">
        <w:rPr>
          <w:rFonts w:ascii="Verdana" w:eastAsia="Verdana" w:hAnsi="Verdana" w:cs="Verdana"/>
          <w:color w:val="201F1E"/>
        </w:rPr>
        <w:t xml:space="preserve">of the login. A restriction of say 15 minutes can ensure nobody else can login to the app (or website) simultaneously while the vote is being cast. After the vote is cast, </w:t>
      </w:r>
      <w:r w:rsidRPr="005B5CB6">
        <w:rPr>
          <w:rFonts w:ascii="Verdana" w:eastAsia="Verdana" w:hAnsi="Verdana" w:cs="Verdana"/>
          <w:color w:val="201F1E"/>
        </w:rPr>
        <w:t xml:space="preserve">the fact that the key has been spent can also be broadcast across the national caching servers. </w:t>
      </w:r>
    </w:p>
    <w:p w:rsidR="00FB0B24" w:rsidRPr="005B5CB6" w:rsidP="001512F6">
      <w:pPr>
        <w:spacing w:after="154"/>
        <w:jc w:val="both"/>
        <w:rPr>
          <w:rFonts w:ascii="Verdana" w:hAnsi="Verdana"/>
        </w:rPr>
      </w:pPr>
      <w:r w:rsidRPr="005B5CB6">
        <w:rPr>
          <w:rFonts w:ascii="Verdana" w:eastAsia="Verdana" w:hAnsi="Verdana" w:cs="Verdana"/>
          <w:color w:val="201F1E"/>
        </w:rPr>
        <w:t xml:space="preserve"> </w:t>
      </w:r>
    </w:p>
    <w:p w:rsidR="00FB0B24" w:rsidRPr="005B5CB6" w:rsidP="001512F6">
      <w:pPr>
        <w:spacing w:after="161" w:line="255" w:lineRule="auto"/>
        <w:ind w:left="715" w:hanging="370"/>
        <w:jc w:val="both"/>
        <w:rPr>
          <w:rFonts w:ascii="Verdana" w:hAnsi="Verdana"/>
        </w:rPr>
      </w:pPr>
      <w:r w:rsidRPr="005B5CB6">
        <w:rPr>
          <w:rFonts w:ascii="Verdana" w:eastAsia="Verdana" w:hAnsi="Verdana" w:cs="Verdana"/>
          <w:color w:val="201F1E"/>
        </w:rPr>
        <w:t xml:space="preserve">20.We can ensure that the ledger is protected and tamper proof by borrowing some ideas from blockchain technology. A network of independent servers can be geographically distributed around the country, with each server processing each transaction (vote) independently and in parallel. Each server then communicates the vote (or batch of votes) to one another, whereby the receiving server validates the legitimacy of the vote received. They use the public key to validate the authenticity of the signature and confirm the vote is indeed valid. Each server then builds its own independent ledger and by transmitting a proof that the server did indeed validate each transaction (or batch), the servers can arrive at consensus on the validity of a vote and hence consensus on the state of the ledger.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1512F6">
      <w:pPr>
        <w:spacing w:after="161" w:line="255" w:lineRule="auto"/>
        <w:ind w:left="715" w:hanging="370"/>
        <w:jc w:val="both"/>
        <w:rPr>
          <w:rFonts w:ascii="Verdana" w:hAnsi="Verdana"/>
        </w:rPr>
      </w:pPr>
      <w:r w:rsidRPr="005B5CB6">
        <w:rPr>
          <w:rFonts w:ascii="Verdana" w:eastAsia="Verdana" w:hAnsi="Verdana" w:cs="Verdana"/>
          <w:color w:val="201F1E"/>
        </w:rPr>
        <w:t xml:space="preserve">21.This would be a private blockchain operated by the government, so the nodes themselves would be secured. However, we require sufficient servers to ensure cryptographic security of the ledger to be able to claim the ledger is indeed hackproof.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1512F6">
      <w:pPr>
        <w:spacing w:after="161" w:line="255" w:lineRule="auto"/>
        <w:ind w:left="715" w:hanging="370"/>
        <w:jc w:val="both"/>
        <w:rPr>
          <w:rFonts w:ascii="Verdana" w:hAnsi="Verdana"/>
        </w:rPr>
      </w:pPr>
      <w:r w:rsidRPr="005B5CB6">
        <w:rPr>
          <w:rFonts w:ascii="Verdana" w:eastAsia="Verdana" w:hAnsi="Verdana" w:cs="Verdana"/>
          <w:color w:val="201F1E"/>
        </w:rPr>
        <w:t xml:space="preserve">22.Finally, the list of eligible voters (public key list) would also need to be maintained by each of these servers, and consensus arrived at on this list. This ensures that a hacker cannot inject public keys and attempt to tamper with the results with fake accounts.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1512F6">
      <w:pPr>
        <w:spacing w:after="4" w:line="255" w:lineRule="auto"/>
        <w:ind w:left="715" w:right="94" w:hanging="370"/>
        <w:jc w:val="both"/>
        <w:rPr>
          <w:rFonts w:ascii="Verdana" w:hAnsi="Verdana"/>
        </w:rPr>
      </w:pPr>
      <w:r w:rsidRPr="005B5CB6">
        <w:rPr>
          <w:rFonts w:ascii="Verdana" w:eastAsia="Verdana" w:hAnsi="Verdana" w:cs="Verdana"/>
          <w:color w:val="201F1E"/>
        </w:rPr>
        <w:t xml:space="preserve">23.We not only believe this improves the efficiency of voting, and collating results, but dramatically improves access to voting. We would be more than happy to present our ideas in person, if requested to do so. At Sparkster we have experience in all the areas discussed above, and have implemented blockchain technology in the past. The government has done a wonderful job so far in digitizing many of its services, we would be honoured to assist the government in implementing a digital voting system, should we be asked. </w:t>
      </w:r>
    </w:p>
    <w:p w:rsidR="00FB0B24" w:rsidRPr="005B5CB6" w:rsidP="001512F6">
      <w:pPr>
        <w:spacing w:after="174"/>
        <w:ind w:left="720"/>
        <w:jc w:val="both"/>
        <w:rPr>
          <w:rFonts w:ascii="Verdana" w:hAnsi="Verdana"/>
        </w:rPr>
      </w:pPr>
      <w:r w:rsidRPr="005B5CB6">
        <w:rPr>
          <w:rFonts w:ascii="Verdana" w:eastAsia="Verdana" w:hAnsi="Verdana" w:cs="Verdana"/>
          <w:color w:val="201F1E"/>
        </w:rPr>
        <w:t xml:space="preserve"> </w:t>
      </w:r>
      <w:r w:rsidRPr="005B5CB6">
        <w:rPr>
          <w:rFonts w:ascii="Verdana" w:eastAsia="Arial" w:hAnsi="Verdana" w:cs="Arial"/>
          <w:color w:val="201F1E"/>
        </w:rPr>
        <w:t xml:space="preserve"> </w:t>
      </w:r>
      <w:r w:rsidRPr="005B5CB6">
        <w:rPr>
          <w:rFonts w:ascii="Verdana" w:eastAsia="Arial" w:hAnsi="Verdana" w:cs="Arial"/>
          <w:color w:val="201F1E"/>
        </w:rPr>
        <w:tab/>
      </w:r>
      <w:r w:rsidRPr="005B5CB6">
        <w:rPr>
          <w:rFonts w:ascii="Verdana" w:eastAsia="Verdana" w:hAnsi="Verdana" w:cs="Verdana"/>
          <w:color w:val="201F1E"/>
        </w:rPr>
        <w:t xml:space="preserve"> </w:t>
      </w:r>
    </w:p>
    <w:p w:rsidR="00FB0B24" w:rsidRPr="005B5CB6" w:rsidP="001512F6">
      <w:pPr>
        <w:spacing w:after="12"/>
        <w:ind w:left="720"/>
        <w:jc w:val="both"/>
        <w:rPr>
          <w:rFonts w:ascii="Verdana" w:hAnsi="Verdana"/>
        </w:rPr>
      </w:pPr>
      <w:r w:rsidRPr="005B5CB6">
        <w:rPr>
          <w:rFonts w:ascii="Verdana" w:eastAsia="Verdana" w:hAnsi="Verdana" w:cs="Verdana"/>
          <w:color w:val="201F1E"/>
        </w:rPr>
        <w:t xml:space="preserve"> </w:t>
      </w:r>
    </w:p>
    <w:p w:rsidR="00FB0B24" w:rsidRPr="005B5CB6" w:rsidP="001512F6">
      <w:pPr>
        <w:tabs>
          <w:tab w:val="center" w:pos="556"/>
          <w:tab w:val="center" w:pos="4505"/>
        </w:tabs>
        <w:spacing w:after="166"/>
        <w:jc w:val="both"/>
        <w:rPr>
          <w:rFonts w:ascii="Verdana" w:hAnsi="Verdana"/>
        </w:rPr>
      </w:pPr>
      <w:r w:rsidRPr="005B5CB6">
        <w:rPr>
          <w:rFonts w:ascii="Verdana" w:hAnsi="Verdana"/>
        </w:rPr>
        <w:tab/>
      </w:r>
      <w:r w:rsidRPr="005B5CB6">
        <w:rPr>
          <w:rFonts w:ascii="Verdana" w:eastAsia="Verdana" w:hAnsi="Verdana" w:cs="Verdana"/>
          <w:b/>
          <w:color w:val="201F1E"/>
        </w:rPr>
        <w:t>24.</w:t>
      </w:r>
      <w:r w:rsidRPr="005B5CB6">
        <w:rPr>
          <w:rFonts w:ascii="Verdana" w:eastAsia="Arial" w:hAnsi="Verdana" w:cs="Arial"/>
          <w:b/>
          <w:color w:val="201F1E"/>
        </w:rPr>
        <w:t xml:space="preserve"> </w:t>
      </w:r>
      <w:r w:rsidRPr="005B5CB6">
        <w:rPr>
          <w:rFonts w:ascii="Verdana" w:eastAsia="Arial" w:hAnsi="Verdana" w:cs="Arial"/>
          <w:b/>
          <w:color w:val="201F1E"/>
        </w:rPr>
        <w:tab/>
      </w:r>
      <w:r w:rsidRPr="005B5CB6">
        <w:rPr>
          <w:rFonts w:ascii="Verdana" w:eastAsia="Verdana" w:hAnsi="Verdana" w:cs="Verdana"/>
          <w:b/>
          <w:color w:val="201F1E"/>
          <w:u w:val="single" w:color="201F1E"/>
        </w:rPr>
        <w:t>Electronic voting within the Houses of Parliament</w:t>
      </w:r>
      <w:r w:rsidRPr="005B5CB6">
        <w:rPr>
          <w:rFonts w:ascii="Verdana" w:eastAsia="Verdana" w:hAnsi="Verdana" w:cs="Verdana"/>
          <w:b/>
          <w:color w:val="201F1E"/>
        </w:rPr>
        <w:t xml:space="preserve">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1512F6">
      <w:pPr>
        <w:spacing w:after="161" w:line="255" w:lineRule="auto"/>
        <w:ind w:left="715" w:hanging="370"/>
        <w:jc w:val="both"/>
        <w:rPr>
          <w:rFonts w:ascii="Verdana" w:hAnsi="Verdana"/>
        </w:rPr>
      </w:pPr>
      <w:r w:rsidRPr="005B5CB6">
        <w:rPr>
          <w:rFonts w:ascii="Verdana" w:eastAsia="Verdana" w:hAnsi="Verdana" w:cs="Verdana"/>
          <w:color w:val="201F1E"/>
        </w:rPr>
        <w:t xml:space="preserve">25.We can see many benefits from the government implementing electronic voting within the Houses of Parliament. In particular, it would make the process instant and painless for Peers and MPs as they would not need to leave their seats.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1512F6">
      <w:pPr>
        <w:spacing w:after="161" w:line="255" w:lineRule="auto"/>
        <w:ind w:left="715" w:hanging="370"/>
        <w:jc w:val="both"/>
        <w:rPr>
          <w:rFonts w:ascii="Verdana" w:hAnsi="Verdana"/>
        </w:rPr>
      </w:pPr>
      <w:r w:rsidRPr="005B5CB6">
        <w:rPr>
          <w:rFonts w:ascii="Verdana" w:eastAsia="Verdana" w:hAnsi="Verdana" w:cs="Verdana"/>
          <w:color w:val="201F1E"/>
        </w:rPr>
        <w:t xml:space="preserve">26.A simple solution would be to develop a mobile app for use by Peers and MPs. They would log in with their username and password, and be presented with the items that are on the agenda for voting that day. </w:t>
      </w:r>
    </w:p>
    <w:p w:rsidR="00FB0B24" w:rsidRPr="005B5CB6" w:rsidP="001512F6">
      <w:pPr>
        <w:spacing w:after="154"/>
        <w:jc w:val="both"/>
        <w:rPr>
          <w:rFonts w:ascii="Verdana" w:hAnsi="Verdana"/>
        </w:rPr>
      </w:pPr>
      <w:r w:rsidRPr="005B5CB6">
        <w:rPr>
          <w:rFonts w:ascii="Verdana" w:eastAsia="Verdana" w:hAnsi="Verdana" w:cs="Verdana"/>
          <w:color w:val="201F1E"/>
        </w:rPr>
        <w:t xml:space="preserve"> </w:t>
      </w:r>
    </w:p>
    <w:p w:rsidR="00FB0B24" w:rsidRPr="005B5CB6" w:rsidP="001512F6">
      <w:pPr>
        <w:spacing w:after="161" w:line="255" w:lineRule="auto"/>
        <w:ind w:left="715" w:hanging="370"/>
        <w:jc w:val="both"/>
        <w:rPr>
          <w:rFonts w:ascii="Verdana" w:hAnsi="Verdana"/>
        </w:rPr>
      </w:pPr>
      <w:r w:rsidRPr="005B5CB6">
        <w:rPr>
          <w:rFonts w:ascii="Verdana" w:eastAsia="Verdana" w:hAnsi="Verdana" w:cs="Verdana"/>
          <w:color w:val="201F1E"/>
        </w:rPr>
        <w:t xml:space="preserve">27.Once a vote has been called by the Lord Speaker / Speaker of the House, the item on the list opens for voting within the app. The Peer can select their position, either content or not-content, and use their thumb as biometric verification that they are indeed personally approving the vote.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1512F6">
      <w:pPr>
        <w:spacing w:after="161" w:line="255" w:lineRule="auto"/>
        <w:ind w:left="715" w:hanging="370"/>
        <w:jc w:val="both"/>
        <w:rPr>
          <w:rFonts w:ascii="Verdana" w:hAnsi="Verdana"/>
        </w:rPr>
      </w:pPr>
      <w:r w:rsidRPr="005B5CB6">
        <w:rPr>
          <w:rFonts w:ascii="Verdana" w:eastAsia="Verdana" w:hAnsi="Verdana" w:cs="Verdana"/>
          <w:color w:val="201F1E"/>
        </w:rPr>
        <w:t xml:space="preserve">28.To ensure that the person must be within the House to cast their vote, the system will not be accessible publicly or over the internet, but only accessible over the private wireless network within the Houses of Parliament.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1512F6">
      <w:pPr>
        <w:spacing w:after="161" w:line="255" w:lineRule="auto"/>
        <w:ind w:left="715" w:hanging="370"/>
        <w:jc w:val="both"/>
        <w:rPr>
          <w:rFonts w:ascii="Verdana" w:hAnsi="Verdana"/>
        </w:rPr>
      </w:pPr>
      <w:r w:rsidRPr="005B5CB6">
        <w:rPr>
          <w:rFonts w:ascii="Verdana" w:eastAsia="Verdana" w:hAnsi="Verdana" w:cs="Verdana"/>
          <w:color w:val="201F1E"/>
        </w:rPr>
        <w:t xml:space="preserve">29.Much like our public voting proposal, TLS would be implemented to ensure the data is encrypted while in transport between the device and the servers.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1512F6">
      <w:pPr>
        <w:spacing w:after="161" w:line="255" w:lineRule="auto"/>
        <w:ind w:left="715" w:hanging="370"/>
        <w:jc w:val="both"/>
        <w:rPr>
          <w:rFonts w:ascii="Verdana" w:hAnsi="Verdana"/>
        </w:rPr>
      </w:pPr>
      <w:r w:rsidRPr="005B5CB6">
        <w:rPr>
          <w:rFonts w:ascii="Verdana" w:eastAsia="Verdana" w:hAnsi="Verdana" w:cs="Verdana"/>
          <w:color w:val="201F1E"/>
        </w:rPr>
        <w:t xml:space="preserve">30.If further security were necessary, the mobile device could have a bearer token installed by IT staff, to ensure that only that device is authorized to cast a vote. While this proposal would be considered as secure as a banking application, if further security were necessary, specialized devices could be created, storing this bearer token in secured memory on the processor. There are clear best practises for this with technology such as Intel SGX or ARM TrustZone. </w:t>
      </w:r>
    </w:p>
    <w:p w:rsidR="00FB0B24" w:rsidRPr="005B5CB6" w:rsidP="001512F6">
      <w:pPr>
        <w:spacing w:after="156"/>
        <w:jc w:val="both"/>
        <w:rPr>
          <w:rFonts w:ascii="Verdana" w:hAnsi="Verdana"/>
        </w:rPr>
      </w:pPr>
      <w:r w:rsidRPr="005B5CB6">
        <w:rPr>
          <w:rFonts w:ascii="Verdana" w:eastAsia="Verdana" w:hAnsi="Verdana" w:cs="Verdana"/>
          <w:color w:val="201F1E"/>
        </w:rPr>
        <w:t xml:space="preserve"> </w:t>
      </w:r>
    </w:p>
    <w:p w:rsidR="00FB0B24" w:rsidRPr="005B5CB6" w:rsidP="001512F6">
      <w:pPr>
        <w:spacing w:after="19" w:line="255" w:lineRule="auto"/>
        <w:ind w:left="715" w:hanging="370"/>
        <w:jc w:val="both"/>
        <w:rPr>
          <w:rFonts w:ascii="Verdana" w:hAnsi="Verdana"/>
        </w:rPr>
      </w:pPr>
      <w:r w:rsidRPr="005B5CB6">
        <w:rPr>
          <w:rFonts w:ascii="Verdana" w:eastAsia="Verdana" w:hAnsi="Verdana" w:cs="Verdana"/>
          <w:color w:val="201F1E"/>
        </w:rPr>
        <w:t xml:space="preserve">31.In summary, the process of voting can become much easier for those serving in our government, and would be of particular benefit to elderly peers. </w:t>
      </w:r>
    </w:p>
    <w:p w:rsidR="00FB0B24" w:rsidRPr="005B5CB6" w:rsidP="001512F6">
      <w:pPr>
        <w:spacing w:after="0"/>
        <w:ind w:left="720"/>
        <w:jc w:val="both"/>
        <w:rPr>
          <w:rFonts w:ascii="Verdana" w:hAnsi="Verdana"/>
        </w:rPr>
      </w:pPr>
      <w:r w:rsidRPr="005B5CB6">
        <w:rPr>
          <w:rFonts w:ascii="Verdana" w:eastAsia="Arial" w:hAnsi="Verdana" w:cs="Arial"/>
          <w:color w:val="201F1E"/>
        </w:rPr>
        <w:t xml:space="preserve"> </w:t>
      </w:r>
      <w:r w:rsidRPr="005B5CB6">
        <w:rPr>
          <w:rFonts w:ascii="Verdana" w:eastAsia="Arial" w:hAnsi="Verdana" w:cs="Arial"/>
          <w:color w:val="201F1E"/>
        </w:rPr>
        <w:tab/>
      </w:r>
      <w:r w:rsidRPr="005B5CB6">
        <w:rPr>
          <w:rFonts w:ascii="Verdana" w:eastAsia="Verdana" w:hAnsi="Verdana" w:cs="Verdana"/>
          <w:color w:val="201F1E"/>
        </w:rPr>
        <w:t xml:space="preserve"> </w:t>
      </w:r>
    </w:p>
    <w:p w:rsidR="00FB0B24" w:rsidRPr="005B5CB6" w:rsidP="001512F6">
      <w:pPr>
        <w:spacing w:after="161" w:line="255" w:lineRule="auto"/>
        <w:ind w:left="720"/>
        <w:jc w:val="both"/>
        <w:rPr>
          <w:rFonts w:ascii="Verdana" w:hAnsi="Verdana"/>
        </w:rPr>
      </w:pPr>
      <w:r w:rsidRPr="005B5CB6">
        <w:rPr>
          <w:rFonts w:ascii="Verdana" w:eastAsia="Verdana" w:hAnsi="Verdana" w:cs="Verdana"/>
          <w:color w:val="201F1E"/>
        </w:rPr>
        <w:t xml:space="preserve">Reference: </w:t>
      </w:r>
    </w:p>
    <w:p w:rsidR="00FB0B24" w:rsidRPr="005B5CB6" w:rsidP="001512F6">
      <w:pPr>
        <w:spacing w:after="159"/>
        <w:jc w:val="both"/>
        <w:rPr>
          <w:rFonts w:ascii="Verdana" w:hAnsi="Verdana"/>
        </w:rPr>
      </w:pPr>
      <w:r w:rsidRPr="005B5CB6">
        <w:rPr>
          <w:rFonts w:ascii="Verdana" w:eastAsia="Verdana" w:hAnsi="Verdana" w:cs="Verdana"/>
          <w:color w:val="201F1E"/>
        </w:rPr>
        <w:t xml:space="preserve"> </w:t>
      </w:r>
    </w:p>
    <w:p w:rsidR="00FB0B24" w:rsidRPr="005B5CB6" w:rsidP="00575F14">
      <w:pPr>
        <w:numPr>
          <w:ilvl w:val="0"/>
          <w:numId w:val="191"/>
        </w:numPr>
        <w:spacing w:after="163" w:line="476" w:lineRule="auto"/>
        <w:ind w:right="6" w:hanging="10"/>
        <w:jc w:val="both"/>
        <w:rPr>
          <w:rFonts w:ascii="Verdana" w:hAnsi="Verdana"/>
        </w:rPr>
      </w:pPr>
      <w:r w:rsidRPr="005B5CB6">
        <w:rPr>
          <w:rFonts w:ascii="Verdana" w:eastAsia="Verdana" w:hAnsi="Verdana" w:cs="Verdana"/>
        </w:rPr>
        <w:t xml:space="preserve">I-Voting in Estonia </w:t>
      </w:r>
      <w:r>
        <w:fldChar w:fldCharType="begin"/>
      </w:r>
      <w:r>
        <w:instrText xml:space="preserve"> HYPERLINK "https://blogs.microsoft.com/eupolicy/2019/05/10/electronic-voting-estonia/" </w:instrText>
      </w:r>
      <w:r>
        <w:fldChar w:fldCharType="separate"/>
      </w:r>
      <w:r w:rsidRPr="005B5CB6">
        <w:rPr>
          <w:rFonts w:ascii="Verdana" w:eastAsia="Verdana" w:hAnsi="Verdana" w:cs="Verdana"/>
          <w:color w:val="0000FF"/>
          <w:u w:val="single" w:color="0000FF"/>
        </w:rPr>
        <w:t>https://blogs.microsoft.com/eupolicy/2019/05/10/electronic</w:t>
      </w:r>
      <w:r>
        <w:fldChar w:fldCharType="end"/>
      </w:r>
      <w:r>
        <w:fldChar w:fldCharType="begin"/>
      </w:r>
      <w:r>
        <w:instrText xml:space="preserve"> HYPERLINK "https://blogs.microsoft.com/eupolicy/2019/05/10/electronic-voting-estonia/" </w:instrText>
      </w:r>
      <w:r>
        <w:fldChar w:fldCharType="separate"/>
      </w:r>
      <w:r w:rsidRPr="005B5CB6">
        <w:rPr>
          <w:rFonts w:ascii="Verdana" w:eastAsia="Verdana" w:hAnsi="Verdana" w:cs="Verdana"/>
          <w:color w:val="0000FF"/>
          <w:u w:val="single" w:color="0000FF"/>
        </w:rPr>
        <w:t>voting-estonia/</w:t>
      </w:r>
      <w:r>
        <w:fldChar w:fldCharType="end"/>
      </w:r>
      <w:r>
        <w:fldChar w:fldCharType="begin"/>
      </w:r>
      <w:r>
        <w:instrText xml:space="preserve"> HYPERLINK "https://blogs.microsoft.com/eupolicy/2019/05/10/electronic-voting-estonia/" </w:instrText>
      </w:r>
      <w:r>
        <w:fldChar w:fldCharType="separate"/>
      </w:r>
      <w:r w:rsidRPr="005B5CB6">
        <w:rPr>
          <w:rFonts w:ascii="Verdana" w:eastAsia="Verdana" w:hAnsi="Verdana" w:cs="Verdana"/>
        </w:rPr>
        <w:t xml:space="preserve"> </w:t>
      </w:r>
      <w:r>
        <w:fldChar w:fldCharType="end"/>
      </w:r>
    </w:p>
    <w:p w:rsidR="00FB0B24" w:rsidRPr="005B5CB6" w:rsidP="00575F14">
      <w:pPr>
        <w:numPr>
          <w:ilvl w:val="0"/>
          <w:numId w:val="191"/>
        </w:numPr>
        <w:spacing w:after="5" w:line="476" w:lineRule="auto"/>
        <w:ind w:right="6" w:hanging="10"/>
        <w:jc w:val="both"/>
        <w:rPr>
          <w:rFonts w:ascii="Verdana" w:hAnsi="Verdana"/>
        </w:rPr>
      </w:pPr>
      <w:r w:rsidRPr="005B5CB6">
        <w:rPr>
          <w:rFonts w:ascii="Verdana" w:eastAsia="Verdana" w:hAnsi="Verdana" w:cs="Verdana"/>
        </w:rPr>
        <w:t xml:space="preserve">Elections under threat: Europe’s electronic voting landscape </w:t>
      </w:r>
      <w:r>
        <w:fldChar w:fldCharType="begin"/>
      </w:r>
      <w:r>
        <w:instrText xml:space="preserve"> HYPERLINK "https://blogs.microsoft.com/eupolicy/2018/11/22/europes-voting-landscape/" </w:instrText>
      </w:r>
      <w:r>
        <w:fldChar w:fldCharType="separate"/>
      </w:r>
      <w:r w:rsidRPr="005B5CB6">
        <w:rPr>
          <w:rFonts w:ascii="Verdana" w:eastAsia="Verdana" w:hAnsi="Verdana" w:cs="Verdana"/>
          <w:color w:val="0000FF"/>
          <w:u w:val="single" w:color="0000FF"/>
        </w:rPr>
        <w:t>https://blogs.microsoft.com/eupolicy/2018/11/22/europes-voting-landscape/</w:t>
      </w:r>
      <w:r>
        <w:fldChar w:fldCharType="end"/>
      </w:r>
      <w:r>
        <w:fldChar w:fldCharType="begin"/>
      </w:r>
      <w:r>
        <w:instrText xml:space="preserve"> HYPERLINK "https://blogs.microsoft.com/eupolicy/2018/11/22/europes-voting-landscape/" </w:instrText>
      </w:r>
      <w:r>
        <w:fldChar w:fldCharType="separate"/>
      </w:r>
      <w:r w:rsidRPr="005B5CB6">
        <w:rPr>
          <w:rFonts w:ascii="Verdana" w:eastAsia="Verdana" w:hAnsi="Verdana" w:cs="Verdana"/>
          <w:color w:val="201F1E"/>
        </w:rPr>
        <w:t xml:space="preserve"> </w:t>
      </w:r>
      <w:r>
        <w:fldChar w:fldCharType="end"/>
      </w:r>
    </w:p>
    <w:p w:rsidR="00FB0B24" w:rsidRPr="005B5CB6" w:rsidP="001512F6">
      <w:pPr>
        <w:jc w:val="both"/>
        <w:rPr>
          <w:rFonts w:ascii="Verdana" w:hAnsi="Verdana"/>
        </w:rPr>
        <w:sectPr w:rsidSect="00D20189">
          <w:headerReference w:type="even" r:id="rId321"/>
          <w:headerReference w:type="default" r:id="rId322"/>
          <w:footerReference w:type="even" r:id="rId323"/>
          <w:footerReference w:type="default" r:id="rId324"/>
          <w:headerReference w:type="first" r:id="rId325"/>
          <w:footerReference w:type="first" r:id="rId326"/>
          <w:pgSz w:w="12240" w:h="15840"/>
          <w:pgMar w:top="1492" w:right="1083" w:bottom="1569" w:left="1080" w:header="720" w:footer="721" w:gutter="0"/>
          <w:cols w:space="720"/>
        </w:sectPr>
      </w:pPr>
    </w:p>
    <w:p w:rsidR="00FB0B24" w:rsidRPr="005B5CB6" w:rsidP="00A1624B">
      <w:pPr>
        <w:pStyle w:val="Heading1"/>
        <w:rPr>
          <w:sz w:val="22"/>
        </w:rPr>
      </w:pPr>
      <w:bookmarkStart w:id="56" w:name="_Toc44517744"/>
      <w:r w:rsidRPr="005B5CB6">
        <w:rPr>
          <w:sz w:val="22"/>
        </w:rPr>
        <w:t>National Literacy Trust – written evidence (DAD0065)</w:t>
      </w:r>
      <w:bookmarkEnd w:id="56"/>
      <w:r w:rsidRPr="005B5CB6">
        <w:rPr>
          <w:sz w:val="22"/>
        </w:rPr>
        <w:t xml:space="preserve"> </w:t>
      </w:r>
    </w:p>
    <w:p w:rsidR="00FB0B24" w:rsidRPr="005B5CB6" w:rsidP="001512F6">
      <w:pPr>
        <w:spacing w:after="0"/>
        <w:ind w:left="1"/>
        <w:jc w:val="both"/>
        <w:rPr>
          <w:rFonts w:ascii="Verdana" w:hAnsi="Verdana"/>
        </w:rPr>
      </w:pPr>
      <w:r w:rsidRPr="005B5CB6">
        <w:rPr>
          <w:rFonts w:ascii="Verdana" w:eastAsia="Verdana" w:hAnsi="Verdana" w:cs="Verdana"/>
          <w:b/>
        </w:rPr>
        <w:t xml:space="preserve"> </w:t>
      </w:r>
    </w:p>
    <w:p w:rsidR="00FB0B24" w:rsidRPr="005B5CB6" w:rsidP="00575F14">
      <w:pPr>
        <w:numPr>
          <w:ilvl w:val="0"/>
          <w:numId w:val="192"/>
        </w:numPr>
        <w:spacing w:after="5" w:line="250" w:lineRule="auto"/>
        <w:ind w:hanging="360"/>
        <w:jc w:val="both"/>
        <w:rPr>
          <w:rFonts w:ascii="Verdana" w:hAnsi="Verdana"/>
        </w:rPr>
      </w:pPr>
      <w:r w:rsidRPr="005B5CB6">
        <w:rPr>
          <w:rFonts w:ascii="Verdana" w:eastAsia="Verdana" w:hAnsi="Verdana" w:cs="Verdana"/>
          <w:b/>
        </w:rPr>
        <w:t xml:space="preserve">(Question 3) What role should every stage of education play in helping to create a healthy, active, digitally literate democracy?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192"/>
        </w:numPr>
        <w:spacing w:after="5" w:line="249" w:lineRule="auto"/>
        <w:ind w:right="12" w:hanging="360"/>
        <w:jc w:val="both"/>
        <w:rPr>
          <w:rFonts w:ascii="Verdana" w:hAnsi="Verdana"/>
        </w:rPr>
      </w:pPr>
      <w:r w:rsidRPr="005B5CB6">
        <w:rPr>
          <w:rFonts w:ascii="Verdana" w:eastAsia="Verdana" w:hAnsi="Verdana" w:cs="Verdana"/>
        </w:rPr>
        <w:t>We believe that education should play a large role in helping to create a healthy, active and digitally literate democracy, particularly through the teaching of critical literacy skills. We refer here to critical literacy as the approach of teaching literacy that encourages readers to be active participants in the reading process</w:t>
      </w:r>
      <w:r>
        <w:rPr>
          <w:rFonts w:ascii="Verdana" w:eastAsia="Verdana" w:hAnsi="Verdana" w:cs="Verdana"/>
          <w:vertAlign w:val="superscript"/>
        </w:rPr>
        <w:footnoteReference w:id="296"/>
      </w:r>
      <w:r w:rsidRPr="005B5CB6">
        <w:rPr>
          <w:rFonts w:ascii="Verdana" w:eastAsia="Verdana" w:hAnsi="Verdana" w:cs="Verdana"/>
        </w:rPr>
        <w:t xml:space="preserve">. We believe that it is increasingly important that children develop effective critical literacy skills in school to enable them to navigate the digital age.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192"/>
        </w:numPr>
        <w:spacing w:after="5" w:line="249" w:lineRule="auto"/>
        <w:ind w:right="12" w:hanging="360"/>
        <w:jc w:val="both"/>
        <w:rPr>
          <w:rFonts w:ascii="Verdana" w:hAnsi="Verdana"/>
        </w:rPr>
      </w:pPr>
      <w:r w:rsidRPr="005B5CB6">
        <w:rPr>
          <w:rFonts w:ascii="Verdana" w:eastAsia="Verdana" w:hAnsi="Verdana" w:cs="Verdana"/>
        </w:rPr>
        <w:t xml:space="preserve">In 2018 we ran the </w:t>
      </w:r>
      <w:r>
        <w:fldChar w:fldCharType="begin"/>
      </w:r>
      <w:r>
        <w:instrText xml:space="preserve"> HYPERLINK "https://literacytrust.org.uk/policy-and-campaigns/all-party-parliamentary-group-literacy/fakenews/" </w:instrText>
      </w:r>
      <w:r>
        <w:fldChar w:fldCharType="separate"/>
      </w:r>
      <w:r w:rsidRPr="005B5CB6">
        <w:rPr>
          <w:rFonts w:ascii="Verdana" w:eastAsia="Verdana" w:hAnsi="Verdana" w:cs="Verdana"/>
          <w:color w:val="0563C1"/>
          <w:u w:val="single" w:color="0563C1"/>
        </w:rPr>
        <w:t>Fake News and the Teaching of Critical Literacy</w:t>
      </w:r>
      <w:r>
        <w:fldChar w:fldCharType="end"/>
      </w:r>
      <w:r>
        <w:fldChar w:fldCharType="begin"/>
      </w:r>
      <w:r>
        <w:instrText xml:space="preserve"> HYPERLINK "https://literacytrust.org.uk/policy-and-campaigns/all-party-parliamentary-group-literacy/fakenews/" </w:instrText>
      </w:r>
      <w:r>
        <w:fldChar w:fldCharType="separate"/>
      </w:r>
      <w:r w:rsidRPr="005B5CB6">
        <w:rPr>
          <w:rFonts w:ascii="Verdana" w:eastAsia="Verdana" w:hAnsi="Verdana" w:cs="Verdana"/>
          <w:color w:val="0563C1"/>
        </w:rPr>
        <w:t xml:space="preserve"> </w:t>
      </w:r>
      <w:r>
        <w:fldChar w:fldCharType="end"/>
      </w:r>
      <w:r>
        <w:fldChar w:fldCharType="begin"/>
      </w:r>
      <w:r>
        <w:instrText xml:space="preserve"> HYPERLINK "https://literacytrust.org.uk/policy-and-campaigns/all-party-parliamentary-group-literacy/fakenews/" </w:instrText>
      </w:r>
      <w:r>
        <w:fldChar w:fldCharType="separate"/>
      </w:r>
      <w:r w:rsidRPr="005B5CB6">
        <w:rPr>
          <w:rFonts w:ascii="Verdana" w:eastAsia="Verdana" w:hAnsi="Verdana" w:cs="Verdana"/>
          <w:color w:val="0563C1"/>
          <w:u w:val="single" w:color="0563C1"/>
        </w:rPr>
        <w:t>Skills in Schools</w:t>
      </w:r>
      <w:r>
        <w:fldChar w:fldCharType="end"/>
      </w:r>
      <w:r>
        <w:fldChar w:fldCharType="begin"/>
      </w:r>
      <w:r>
        <w:instrText xml:space="preserve"> HYPERLINK "https://literacytrust.org.uk/policy-and-campaigns/all-party-parliamentary-group-literacy/fakenews/"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Commission through the All-Party Parliamentary Group on Literacy. This report identified close links between an individual’s literacy skills and their ability to engage with democracy as an active and informed citizen. As Anna Bassi, Editor of the Week Junior said ‘</w:t>
      </w:r>
      <w:r w:rsidRPr="005B5CB6">
        <w:rPr>
          <w:rFonts w:ascii="Verdana" w:eastAsia="Verdana" w:hAnsi="Verdana" w:cs="Verdana"/>
          <w:i/>
        </w:rPr>
        <w:t>it’s obvious that one of the most powerful weapons in the battle against fake news is literacy: children need to read widely</w:t>
      </w:r>
      <w:r w:rsidRPr="005B5CB6">
        <w:rPr>
          <w:rFonts w:ascii="Verdana" w:eastAsia="Verdana" w:hAnsi="Verdana" w:cs="Verdana"/>
        </w:rPr>
        <w:t xml:space="preserve">.’ Literacy skills are important in helping to create a healthy, active, digitally literate democracy, but the development of critical literacy skills is needed to enable pupils to further challenge what they read.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192"/>
        </w:numPr>
        <w:spacing w:after="5" w:line="249" w:lineRule="auto"/>
        <w:ind w:right="12" w:hanging="360"/>
        <w:jc w:val="both"/>
        <w:rPr>
          <w:rFonts w:ascii="Verdana" w:hAnsi="Verdana"/>
        </w:rPr>
      </w:pPr>
      <w:r w:rsidRPr="005B5CB6">
        <w:rPr>
          <w:rFonts w:ascii="Verdana" w:eastAsia="Verdana" w:hAnsi="Verdana" w:cs="Verdana"/>
        </w:rPr>
        <w:t>Research suggests that critical literacy is taught most effectively through a whole-school, cross-curricular approach</w:t>
      </w:r>
      <w:r>
        <w:rPr>
          <w:rFonts w:ascii="Verdana" w:eastAsia="Verdana" w:hAnsi="Verdana" w:cs="Verdana"/>
          <w:vertAlign w:val="superscript"/>
        </w:rPr>
        <w:footnoteReference w:id="297"/>
      </w:r>
      <w:r w:rsidRPr="005B5CB6">
        <w:rPr>
          <w:rFonts w:ascii="Verdana" w:eastAsia="Verdana" w:hAnsi="Verdana" w:cs="Verdana"/>
        </w:rPr>
        <w:t xml:space="preserve"> that encourages readers to be active participants in the reading process, rather than passive absorbers of information and enabling them to make informed choices as a creators, curators and communicators of content. We are confident that many of the skills required to navigate online texts are already included within several programmes of study and we are therefore not advocating for a curriculum change. However, more could be done to ensure that teachers make explicit links between these skills and their application in a digital context. For example: in maths looking at ways that statistics can be used to present the same information in different ways; in history assessing the reliability of source material in contemporary situations; in English considering authorial intention in relation to fake news; in PSHE (personal, social, health and economic) education exploring the impact of social media posts on wellbeing and mental health (linking to the new statutory health and relationships education guidance).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192"/>
        </w:numPr>
        <w:spacing w:after="123" w:line="249" w:lineRule="auto"/>
        <w:ind w:right="12" w:hanging="360"/>
        <w:jc w:val="both"/>
        <w:rPr>
          <w:rFonts w:ascii="Verdana" w:hAnsi="Verdana"/>
        </w:rPr>
      </w:pPr>
      <w:r w:rsidRPr="005B5CB6">
        <w:rPr>
          <w:rFonts w:ascii="Verdana" w:eastAsia="Verdana" w:hAnsi="Verdana" w:cs="Verdana"/>
        </w:rPr>
        <w:t xml:space="preserve">The 2018 commission on Fake News and the Teaching of Critical Literacy Skills in Schools also recommended that the teaching of critical literacy relevant for the digital age should be included within Initial Teacher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74865" name="Group 57486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191" name="Shape 63619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09" style="height:0.72pt;mso-position-horizontal-relative:char;mso-position-vertical-relative:line;width:2in" coordsize="18288,91">
                <v:shape id="_x0000_s1310"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5" w:line="249" w:lineRule="auto"/>
        <w:ind w:left="730" w:right="12" w:hanging="9"/>
        <w:jc w:val="both"/>
        <w:rPr>
          <w:rFonts w:ascii="Verdana" w:hAnsi="Verdana"/>
        </w:rPr>
      </w:pPr>
      <w:r w:rsidRPr="005B5CB6">
        <w:rPr>
          <w:rFonts w:ascii="Verdana" w:eastAsia="Verdana" w:hAnsi="Verdana" w:cs="Verdana"/>
        </w:rPr>
        <w:t xml:space="preserve">Training (ITT) and Continuous Professional Development (CPD), equipping teachers with the relevant subject knowledge and enabling them to be confident to embed it across the curriculum. It noted that the assessment framework should be updated to position critical literacy skills more explicitly, reflecting the changing digital landscape and the threats posed by fake news, especially within the Key Stage 2 and Key Stage 4 frameworks. We strongly supported the former Education Minister’s announcement around including media literacy in the English, Citizenship and Computing curriculum and would welcome clarification on this point.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192"/>
        </w:numPr>
        <w:spacing w:after="5" w:line="249" w:lineRule="auto"/>
        <w:ind w:right="12" w:hanging="360"/>
        <w:jc w:val="both"/>
        <w:rPr>
          <w:rFonts w:ascii="Verdana" w:hAnsi="Verdana"/>
        </w:rPr>
      </w:pPr>
      <w:r w:rsidRPr="005B5CB6">
        <w:rPr>
          <w:rFonts w:ascii="Verdana" w:eastAsia="Verdana" w:hAnsi="Verdana" w:cs="Verdana"/>
        </w:rPr>
        <w:t>NewsWise is a cross-curricular news literacy project for 9-11 year olds in the UK, run by the Guardian Foundation, National Literacy Trust and the PSHE Association, and funded by Google. The project aims to strengthen children’s critical thinking skills before they start using social media, and aims to deepen children and young people’s understanding of why and how the news is produced, with sessions on selecting facts, checking sources and news analysis to develop children’s skills of informed questioning and verification. To date, 540 teachers have received face to face training from the NewsWise team and 2,476 children have participated in workshops. Children who completed the NewsWise programme were 35% more likely to say they would check if news came from a source they trusted (48% pre, 70% post)</w:t>
      </w:r>
      <w:r>
        <w:rPr>
          <w:rFonts w:ascii="Verdana" w:eastAsia="Verdana" w:hAnsi="Verdana" w:cs="Verdana"/>
          <w:vertAlign w:val="superscript"/>
        </w:rPr>
        <w:footnoteReference w:id="298"/>
      </w:r>
      <w:r w:rsidRPr="005B5CB6">
        <w:rPr>
          <w:rFonts w:ascii="Verdana" w:eastAsia="Verdana" w:hAnsi="Verdana" w:cs="Verdana"/>
        </w:rPr>
        <w:t xml:space="preserve">. It is therefore clear that it is possible to equip children with the critical literacy skills they need before they are active on social media. For more information on the project please see the submission to this inquiry from NewsWise.  </w:t>
      </w:r>
    </w:p>
    <w:p w:rsidR="00FB0B24" w:rsidRPr="005B5CB6" w:rsidP="001512F6">
      <w:pPr>
        <w:spacing w:after="0"/>
        <w:ind w:left="721"/>
        <w:jc w:val="both"/>
        <w:rPr>
          <w:rFonts w:ascii="Verdana" w:hAnsi="Verdana"/>
        </w:rPr>
      </w:pPr>
      <w:r w:rsidRPr="005B5CB6">
        <w:rPr>
          <w:rFonts w:ascii="Verdana" w:eastAsia="Verdana" w:hAnsi="Verdana" w:cs="Verdana"/>
        </w:rPr>
        <w:t xml:space="preserve"> </w:t>
      </w:r>
    </w:p>
    <w:p w:rsidR="00FB0B24" w:rsidRPr="005B5CB6" w:rsidP="00575F14">
      <w:pPr>
        <w:numPr>
          <w:ilvl w:val="0"/>
          <w:numId w:val="192"/>
        </w:numPr>
        <w:spacing w:after="5" w:line="249" w:lineRule="auto"/>
        <w:ind w:hanging="360"/>
        <w:jc w:val="both"/>
        <w:rPr>
          <w:rFonts w:ascii="Verdana" w:hAnsi="Verdana"/>
        </w:rPr>
      </w:pPr>
      <w:r w:rsidRPr="005B5CB6">
        <w:rPr>
          <w:rFonts w:ascii="Verdana" w:eastAsia="Verdana" w:hAnsi="Verdana" w:cs="Verdana"/>
          <w:b/>
        </w:rPr>
        <w:t xml:space="preserve">(Question 9) 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192"/>
        </w:numPr>
        <w:spacing w:after="5" w:line="249" w:lineRule="auto"/>
        <w:ind w:right="12" w:hanging="360"/>
        <w:jc w:val="both"/>
        <w:rPr>
          <w:rFonts w:ascii="Verdana" w:hAnsi="Verdana"/>
        </w:rPr>
      </w:pPr>
      <w:r w:rsidRPr="005B5CB6">
        <w:rPr>
          <w:rFonts w:ascii="Verdana" w:eastAsia="Verdana" w:hAnsi="Verdana" w:cs="Verdana"/>
        </w:rPr>
        <w:t>As part of the Fake News and Teaching of Critical Literacy in Schools Commission 2018, we established that fake news is a serious problem for children and young people, threatening their wellbeing, trust in journalism and democracy itself. Further to this, in our Family News Literacy Survey we found that most adults agree ‘</w:t>
      </w:r>
      <w:r w:rsidRPr="005B5CB6">
        <w:rPr>
          <w:rFonts w:ascii="Verdana" w:eastAsia="Verdana" w:hAnsi="Verdana" w:cs="Verdana"/>
          <w:i/>
        </w:rPr>
        <w:t>fake news is a problem when you have to decide who to vote for’</w:t>
      </w:r>
      <w:r w:rsidRPr="005B5CB6">
        <w:rPr>
          <w:rFonts w:ascii="Verdana" w:eastAsia="Verdana" w:hAnsi="Verdana" w:cs="Verdana"/>
        </w:rPr>
        <w:t xml:space="preserve">. It also showed that adults with lower levels of education and lower socio-economic status stand to benefit most from increased support and confidence in news literacy.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192"/>
        </w:numPr>
        <w:spacing w:after="78" w:line="249" w:lineRule="auto"/>
        <w:ind w:right="12" w:hanging="360"/>
        <w:jc w:val="both"/>
        <w:rPr>
          <w:rFonts w:ascii="Verdana" w:hAnsi="Verdana"/>
        </w:rPr>
      </w:pPr>
      <w:r w:rsidRPr="005B5CB6">
        <w:rPr>
          <w:rFonts w:ascii="Verdana" w:eastAsia="Verdana" w:hAnsi="Verdana" w:cs="Verdana"/>
        </w:rPr>
        <w:t xml:space="preserve">There are a number of ways to combat this. The National Literacy Trust convenes and chairs the News Literacy Network, a group of organisations delivering activities which aim to improve news literacy. Through collaborative working the Network seeks to empower and equip news consumers of all ages with the confidence, knowledge and skills to engage critically with news and current affairs. One of the aims of the network is to establish best practice principles for delivering news literacy interventions based on evidence of what works.  </w:t>
      </w:r>
    </w:p>
    <w:p w:rsidR="00FB0B24" w:rsidRPr="005B5CB6" w:rsidP="001512F6">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75839" name="Group 57583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195" name="Shape 63619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11" style="height:0.72pt;mso-position-horizontal-relative:char;mso-position-vertical-relative:line;width:2in" coordsize="18288,91">
                <v:shape id="_x0000_s1312"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192"/>
        </w:numPr>
        <w:spacing w:after="5" w:line="249" w:lineRule="auto"/>
        <w:ind w:right="12" w:hanging="360"/>
        <w:jc w:val="both"/>
        <w:rPr>
          <w:rFonts w:ascii="Verdana" w:hAnsi="Verdana"/>
        </w:rPr>
      </w:pPr>
      <w:r w:rsidRPr="005B5CB6">
        <w:rPr>
          <w:rFonts w:ascii="Verdana" w:eastAsia="Verdana" w:hAnsi="Verdana" w:cs="Verdana"/>
        </w:rPr>
        <w:t xml:space="preserve">We would strongly advise that adults and children should be empowered to navigate the media. By developing critical literacy skills, people are empowered to navigate online texts and share information responsibly and this also improves their trust in mainstream media. It is important that children develop effective critical literacy skills to enable them to navigate the digital age. The NewsWise project aims to create a generation of news literate children within five years. This includes a broad range of attitudes, behaviours and skills.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192"/>
        </w:numPr>
        <w:spacing w:after="5" w:line="249" w:lineRule="auto"/>
        <w:ind w:right="12" w:hanging="360"/>
        <w:jc w:val="both"/>
        <w:rPr>
          <w:rFonts w:ascii="Verdana" w:hAnsi="Verdana"/>
        </w:rPr>
      </w:pPr>
      <w:r w:rsidRPr="005B5CB6">
        <w:rPr>
          <w:rFonts w:ascii="Verdana" w:eastAsia="Verdana" w:hAnsi="Verdana" w:cs="Verdana"/>
        </w:rPr>
        <w:t xml:space="preserve">Having taken part in the workshops, there was a significant increase in the percentage of children who showed increased skills and confidence in questioning the news stories they came across. Children were more likely to say they would make a range of checks to determine if a news story was trustworthy having taken part in a NewsWise workshop. The team have developed and piloted ‘family workshops’ for parents and their children which we are now delivering in some of the most financially disadvantaged areas in the country. Adults also need support to navigate online texts, yet they are unlikely to self-select for initiatives of interventions aimed at developing their skills of identifying disinformation. In our family workshops, adults and children work together as a team to solve clues and identify fake news, untrustworthy sources, sort fakes from rumours, and understand how fake photos and clickbait headlines are created.  We would like to see the government amplifying what is already happening in this area through increased prioritisation of the issue and recognition of what works.  </w:t>
      </w:r>
    </w:p>
    <w:p w:rsidR="00FB0B24" w:rsidRPr="005B5CB6" w:rsidP="001512F6">
      <w:pPr>
        <w:spacing w:after="0"/>
        <w:ind w:left="1"/>
        <w:jc w:val="both"/>
        <w:rPr>
          <w:rFonts w:ascii="Verdana" w:hAnsi="Verdana"/>
        </w:rPr>
      </w:pPr>
      <w:r w:rsidRPr="005B5CB6">
        <w:rPr>
          <w:rFonts w:ascii="Verdana" w:eastAsia="Verdana" w:hAnsi="Verdana" w:cs="Verdana"/>
          <w:b/>
        </w:rPr>
        <w:t xml:space="preserve"> </w:t>
      </w:r>
    </w:p>
    <w:p w:rsidR="00FB0B24" w:rsidRPr="005B5CB6" w:rsidP="001512F6">
      <w:pPr>
        <w:spacing w:after="0"/>
        <w:ind w:left="1"/>
        <w:jc w:val="both"/>
        <w:rPr>
          <w:rFonts w:ascii="Verdana" w:hAnsi="Verdana"/>
        </w:rPr>
      </w:pPr>
      <w:r w:rsidRPr="005B5CB6">
        <w:rPr>
          <w:rFonts w:ascii="Verdana" w:eastAsia="Verdana" w:hAnsi="Verdana" w:cs="Verdana"/>
          <w:b/>
        </w:rPr>
        <w:t xml:space="preserve"> </w:t>
      </w:r>
    </w:p>
    <w:p w:rsidR="00FB0B24" w:rsidRPr="005B5CB6" w:rsidP="00575F14">
      <w:pPr>
        <w:numPr>
          <w:ilvl w:val="0"/>
          <w:numId w:val="192"/>
        </w:numPr>
        <w:spacing w:after="5" w:line="250" w:lineRule="auto"/>
        <w:ind w:hanging="360"/>
        <w:jc w:val="both"/>
        <w:rPr>
          <w:rFonts w:ascii="Verdana" w:hAnsi="Verdana"/>
        </w:rPr>
      </w:pPr>
      <w:r w:rsidRPr="005B5CB6">
        <w:rPr>
          <w:rFonts w:ascii="Verdana" w:eastAsia="Verdana" w:hAnsi="Verdana" w:cs="Verdana"/>
          <w:b/>
        </w:rPr>
        <w:t xml:space="preserve">(Question 10) What might be the best ways of reducing the effects of misinformation on social media platforms?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192"/>
        </w:numPr>
        <w:spacing w:after="5" w:line="249" w:lineRule="auto"/>
        <w:ind w:right="12" w:hanging="360"/>
        <w:jc w:val="both"/>
        <w:rPr>
          <w:rFonts w:ascii="Verdana" w:hAnsi="Verdana"/>
        </w:rPr>
      </w:pPr>
      <w:r w:rsidRPr="005B5CB6">
        <w:rPr>
          <w:rFonts w:ascii="Verdana" w:eastAsia="Verdana" w:hAnsi="Verdana" w:cs="Verdana"/>
        </w:rPr>
        <w:t xml:space="preserve">Literacy skills, and critical literacy skills in particular, have an increasingly important role to play in helping to reduce the effects of misinformation on social media platforms. It is also in the interests of social media organisations to ensure that their users have a positive experience of using their product, including better awareness </w:t>
      </w:r>
      <w:r w:rsidRPr="005B5CB6">
        <w:rPr>
          <w:rFonts w:ascii="Verdana" w:eastAsia="Verdana" w:hAnsi="Verdana" w:cs="Verdana"/>
        </w:rPr>
        <w:t>of fake news. Karim Palant, UK Public Policy Manager at Facebook, stated “</w:t>
      </w:r>
      <w:r w:rsidRPr="005B5CB6">
        <w:rPr>
          <w:rFonts w:ascii="Verdana" w:eastAsia="Verdana" w:hAnsi="Verdana" w:cs="Verdana"/>
          <w:i/>
        </w:rPr>
        <w:t>Getting this right is potentially one of the most empowering things about getting platforms like ours to have a sustainable, safe and…positive impact on young people</w:t>
      </w: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192"/>
        </w:numPr>
        <w:spacing w:after="5" w:line="249" w:lineRule="auto"/>
        <w:ind w:right="12" w:hanging="360"/>
        <w:jc w:val="both"/>
        <w:rPr>
          <w:rFonts w:ascii="Verdana" w:hAnsi="Verdana"/>
        </w:rPr>
      </w:pPr>
      <w:r w:rsidRPr="005B5CB6">
        <w:rPr>
          <w:rFonts w:ascii="Verdana" w:eastAsia="Verdana" w:hAnsi="Verdana" w:cs="Verdana"/>
        </w:rPr>
        <w:t>Children and young people today are growing up in a globalised world and are processing information from a wider variety of sources than ever before. It is every child’s right to be able to acquire the critical literacy skills they need to navigate the potential pitfalls when consuming news, particularly when using online sources and social media. The Fake News and Teaching of Critical Literacy in Schools Commission 2018 brought to light the significant role social media is playing in defining and driving the way young people experience the news. This is why critical literacy skills are so important, as they have the potential to provide a strong foundation for identifying misinformation by supporting a deeper consideration of text and by teaching readers to consider not only what a text says (or doesn’t), but who said it, why, and indeed how and where. Pennycook and Rand (2019b) suggest that the promotion of initiatives that encourage analytic thinking and critical analysis of online news content may be most effective in mitigating the impact of misinformation</w:t>
      </w:r>
      <w:r>
        <w:rPr>
          <w:rFonts w:ascii="Verdana" w:eastAsia="Verdana" w:hAnsi="Verdana" w:cs="Verdana"/>
          <w:vertAlign w:val="superscript"/>
        </w:rPr>
        <w:footnoteReference w:id="299"/>
      </w:r>
      <w:r w:rsidRPr="005B5CB6">
        <w:rPr>
          <w:rFonts w:ascii="Verdana" w:eastAsia="Verdana" w:hAnsi="Verdana" w:cs="Verdana"/>
        </w:rPr>
        <w:t xml:space="preserve">. The NewsWise programme was created as a response to calls for children’s news literacy to be better supported in a digital age and supports children’s critical literacy skills through engagement with the news. After the programme children showed a deeper understanding of how news stories are created, with the percentage aware of the need for fact-checking increasing from 61.5% to 75.6%, an increase of 22.9%. This helps them to question what they see on social media, and therefore reduce the sharing of misinformation.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1"/>
          <w:numId w:val="192"/>
        </w:numPr>
        <w:spacing w:after="5" w:line="249" w:lineRule="auto"/>
        <w:ind w:right="12" w:hanging="360"/>
        <w:jc w:val="both"/>
        <w:rPr>
          <w:rFonts w:ascii="Verdana" w:hAnsi="Verdana"/>
        </w:rPr>
      </w:pPr>
      <w:r w:rsidRPr="005B5CB6">
        <w:rPr>
          <w:rFonts w:ascii="Verdana" w:eastAsia="Verdana" w:hAnsi="Verdana" w:cs="Verdana"/>
        </w:rPr>
        <w:t>However, the strengthening of the teaching of critical literacy in schools should take place within the context of appropriate action by the digital industry</w:t>
      </w:r>
      <w:r>
        <w:rPr>
          <w:rFonts w:ascii="Verdana" w:eastAsia="Verdana" w:hAnsi="Verdana" w:cs="Verdana"/>
          <w:vertAlign w:val="superscript"/>
        </w:rPr>
        <w:footnoteReference w:id="300"/>
      </w:r>
      <w:r w:rsidRPr="005B5CB6">
        <w:rPr>
          <w:rFonts w:ascii="Verdana" w:eastAsia="Verdana" w:hAnsi="Verdana" w:cs="Verdana"/>
        </w:rPr>
        <w:t xml:space="preserve">. Teachers who responded to the Fake News and Critical Literacy Commission, indicated that the media should play its part in supporting the development of children’s critical literacy skills and pupils who submitted written evidence also felt that they could benefit from workshops run by specialist educators such as people with digital or journalistic background. Facebook submitted some written evidence to the Commission where they highlighted some of the ways they are working to limit the spread of fake news. There is also a role for the regulator in reducing misinformation on social media. We welcome the development of a media literacy strategy and we are well placed to support Ofcom and/or the new </w:t>
      </w:r>
      <w:r w:rsidRPr="005B5CB6">
        <w:rPr>
          <w:rFonts w:ascii="Verdana" w:eastAsia="Verdana" w:hAnsi="Verdana" w:cs="Verdana"/>
        </w:rPr>
        <w:t xml:space="preserve">regulator in this process. We would also encourage the regulator to support the existing education and awareness activities.  </w:t>
      </w:r>
    </w:p>
    <w:p w:rsidR="00FB0B24" w:rsidRPr="005B5CB6" w:rsidP="001512F6">
      <w:pPr>
        <w:spacing w:after="5216" w:line="238" w:lineRule="auto"/>
        <w:ind w:left="1" w:right="8949"/>
        <w:jc w:val="both"/>
        <w:rPr>
          <w:rFonts w:ascii="Verdana" w:hAnsi="Verdana"/>
        </w:rPr>
      </w:pPr>
      <w:r w:rsidRPr="005B5CB6">
        <w:rPr>
          <w:rFonts w:ascii="Verdana" w:eastAsia="Verdana" w:hAnsi="Verdana" w:cs="Verdana"/>
        </w:rPr>
        <w:t xml:space="preserve">  </w:t>
      </w:r>
    </w:p>
    <w:p w:rsidR="00FB0B24" w:rsidRPr="005B5CB6" w:rsidP="001512F6">
      <w:pPr>
        <w:spacing w:after="0"/>
        <w:ind w:left="1"/>
        <w:jc w:val="both"/>
        <w:rPr>
          <w:rFonts w:ascii="Verdana" w:hAnsi="Verdana"/>
        </w:rPr>
      </w:pPr>
      <w:r w:rsidRPr="005B5CB6">
        <w:rPr>
          <w:rFonts w:ascii="Verdana" w:hAnsi="Verdana"/>
        </w:rPr>
        <w:t xml:space="preserve"> </w:t>
      </w:r>
    </w:p>
    <w:p w:rsidR="00FB0B24" w:rsidRPr="005B5CB6" w:rsidP="001512F6">
      <w:pPr>
        <w:jc w:val="both"/>
        <w:rPr>
          <w:rFonts w:ascii="Verdana" w:hAnsi="Verdana"/>
        </w:rPr>
        <w:sectPr w:rsidSect="00D20189">
          <w:headerReference w:type="even" r:id="rId327"/>
          <w:headerReference w:type="default" r:id="rId328"/>
          <w:footerReference w:type="even" r:id="rId329"/>
          <w:footerReference w:type="default" r:id="rId330"/>
          <w:headerReference w:type="first" r:id="rId331"/>
          <w:footerReference w:type="first" r:id="rId332"/>
          <w:pgSz w:w="11906" w:h="16838"/>
          <w:pgMar w:top="1492" w:right="1436" w:bottom="1439" w:left="1439" w:header="720" w:footer="709" w:gutter="0"/>
          <w:cols w:space="720"/>
        </w:sectPr>
      </w:pPr>
    </w:p>
    <w:p w:rsidR="00FB0B24" w:rsidRPr="005B5CB6" w:rsidP="00A1624B">
      <w:pPr>
        <w:pStyle w:val="Heading1"/>
        <w:rPr>
          <w:sz w:val="22"/>
        </w:rPr>
      </w:pPr>
      <w:bookmarkStart w:id="57" w:name="_Toc44517745"/>
      <w:r w:rsidRPr="005B5CB6">
        <w:rPr>
          <w:sz w:val="22"/>
        </w:rPr>
        <w:t>The Politics Project – written evidence (DAD0066)</w:t>
      </w:r>
      <w:bookmarkEnd w:id="57"/>
      <w:r w:rsidRPr="005B5CB6">
        <w:rPr>
          <w:sz w:val="22"/>
        </w:rPr>
        <w:t xml:space="preserve"> </w:t>
      </w:r>
    </w:p>
    <w:p w:rsidR="00FB0B24" w:rsidRPr="005B5CB6" w:rsidP="005659F4">
      <w:pPr>
        <w:spacing w:after="0"/>
        <w:ind w:left="1"/>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Response to Q13/Q14. </w:t>
      </w:r>
    </w:p>
    <w:p w:rsidR="00FB0B24" w:rsidRPr="005B5CB6" w:rsidP="005659F4">
      <w:pPr>
        <w:spacing w:after="0"/>
        <w:ind w:left="1"/>
        <w:jc w:val="both"/>
        <w:rPr>
          <w:rFonts w:ascii="Verdana" w:hAnsi="Verdana"/>
        </w:rPr>
      </w:pPr>
      <w:r w:rsidRPr="005B5CB6">
        <w:rPr>
          <w:rFonts w:ascii="Verdana" w:eastAsia="Verdana" w:hAnsi="Verdana" w:cs="Verdana"/>
        </w:rPr>
        <w:t xml:space="preserve"> </w:t>
      </w:r>
    </w:p>
    <w:p w:rsidR="00FB0B24" w:rsidRPr="005B5CB6" w:rsidP="005659F4">
      <w:pPr>
        <w:pStyle w:val="Heading2"/>
        <w:rPr>
          <w:sz w:val="22"/>
        </w:rPr>
      </w:pPr>
      <w:r w:rsidRPr="005B5CB6">
        <w:rPr>
          <w:b w:val="0"/>
          <w:sz w:val="22"/>
        </w:rPr>
        <w:t xml:space="preserve">Digital Surgeries  </w:t>
      </w:r>
    </w:p>
    <w:p w:rsidR="00FB0B24" w:rsidRPr="005B5CB6" w:rsidP="005659F4">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93"/>
        </w:numPr>
        <w:spacing w:after="5" w:line="250" w:lineRule="auto"/>
        <w:ind w:right="11" w:hanging="360"/>
        <w:jc w:val="both"/>
        <w:rPr>
          <w:rFonts w:ascii="Verdana" w:hAnsi="Verdana"/>
        </w:rPr>
      </w:pPr>
      <w:r w:rsidRPr="005B5CB6">
        <w:rPr>
          <w:rFonts w:ascii="Verdana" w:eastAsia="Verdana" w:hAnsi="Verdana" w:cs="Verdana"/>
        </w:rPr>
        <w:t xml:space="preserve">Digital Surgeries was created by The Politics Project to provide new ways for young people and politicians to engage more frequently and equitably. In our pilot programme we found that only 7% of young people we worked with were leaving school having engaged with a politician. This limited engagement contributes to young people having low levels of trust in politicians and little understanding of the political process. The programme aims to significantly increase the quantity and quality of interactions between young people and politicians, helping young people contribute to policymaking and develop the knowledge and skills that will support future democratic engagement.  </w:t>
      </w:r>
    </w:p>
    <w:p w:rsidR="00FB0B24" w:rsidRPr="005B5CB6" w:rsidP="005659F4">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93"/>
        </w:numPr>
        <w:spacing w:after="5" w:line="250" w:lineRule="auto"/>
        <w:ind w:right="11" w:hanging="360"/>
        <w:jc w:val="both"/>
        <w:rPr>
          <w:rFonts w:ascii="Verdana" w:hAnsi="Verdana"/>
        </w:rPr>
      </w:pPr>
      <w:r w:rsidRPr="005B5CB6">
        <w:rPr>
          <w:rFonts w:ascii="Verdana" w:eastAsia="Verdana" w:hAnsi="Verdana" w:cs="Verdana"/>
        </w:rPr>
        <w:t xml:space="preserve">The programme is growing rapidly, and currently  involves over 70 schools across the country with students aged 10-18 years old and over 120 politicians from across political parties. </w:t>
      </w:r>
    </w:p>
    <w:p w:rsidR="00FB0B24" w:rsidRPr="005B5CB6" w:rsidP="005659F4">
      <w:pPr>
        <w:spacing w:after="0"/>
        <w:ind w:left="1"/>
        <w:jc w:val="both"/>
        <w:rPr>
          <w:rFonts w:ascii="Verdana" w:hAnsi="Verdana"/>
        </w:rPr>
      </w:pPr>
      <w:r w:rsidRPr="005B5CB6">
        <w:rPr>
          <w:rFonts w:ascii="Verdana" w:eastAsia="Verdana" w:hAnsi="Verdana" w:cs="Verdana"/>
        </w:rPr>
        <w:t xml:space="preserve"> </w:t>
      </w:r>
    </w:p>
    <w:p w:rsidR="00FB0B24" w:rsidRPr="005B5CB6" w:rsidP="005659F4">
      <w:pPr>
        <w:pStyle w:val="Heading2"/>
        <w:rPr>
          <w:sz w:val="22"/>
        </w:rPr>
      </w:pPr>
      <w:r w:rsidRPr="005B5CB6">
        <w:rPr>
          <w:b w:val="0"/>
          <w:sz w:val="22"/>
        </w:rPr>
        <w:t xml:space="preserve">The Programme </w:t>
      </w:r>
    </w:p>
    <w:p w:rsidR="00FB0B24" w:rsidRPr="005B5CB6" w:rsidP="005659F4">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94"/>
        </w:numPr>
        <w:spacing w:after="5" w:line="250" w:lineRule="auto"/>
        <w:ind w:right="11" w:hanging="360"/>
        <w:jc w:val="both"/>
        <w:rPr>
          <w:rFonts w:ascii="Verdana" w:hAnsi="Verdana"/>
        </w:rPr>
      </w:pPr>
      <w:r w:rsidRPr="005B5CB6">
        <w:rPr>
          <w:rFonts w:ascii="Verdana" w:eastAsia="Verdana" w:hAnsi="Verdana" w:cs="Verdana"/>
        </w:rPr>
        <w:t xml:space="preserve">The key feature of the programme are “digital surgeries” in which a class of around 20/30 students take part in a video call with a politician that represents them at a local, regional, national or European level. These interactions normally last around 45 minutes and are fully integrated into classroom teaching.  </w:t>
      </w:r>
    </w:p>
    <w:p w:rsidR="00FB0B24" w:rsidRPr="005B5CB6" w:rsidP="005659F4">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94"/>
        </w:numPr>
        <w:spacing w:after="5" w:line="250" w:lineRule="auto"/>
        <w:ind w:right="11" w:hanging="360"/>
        <w:jc w:val="both"/>
        <w:rPr>
          <w:rFonts w:ascii="Verdana" w:hAnsi="Verdana"/>
        </w:rPr>
      </w:pPr>
      <w:r w:rsidRPr="005B5CB6">
        <w:rPr>
          <w:rFonts w:ascii="Verdana" w:eastAsia="Verdana" w:hAnsi="Verdana" w:cs="Verdana"/>
        </w:rPr>
        <w:t xml:space="preserve">Prior to the surgery, students complete three hours of workshops in their schools to ensure they have the knowledge, skills and confidence to get the most out of each conversation. The programme is delivered by teachers that are trained by The Politics Project. </w:t>
      </w:r>
    </w:p>
    <w:p w:rsidR="00FB0B24" w:rsidRPr="005B5CB6" w:rsidP="005659F4">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94"/>
        </w:numPr>
        <w:spacing w:after="5" w:line="250" w:lineRule="auto"/>
        <w:ind w:right="11" w:hanging="360"/>
        <w:jc w:val="both"/>
        <w:rPr>
          <w:rFonts w:ascii="Verdana" w:hAnsi="Verdana"/>
        </w:rPr>
      </w:pPr>
      <w:r w:rsidRPr="005B5CB6">
        <w:rPr>
          <w:rFonts w:ascii="Verdana" w:eastAsia="Verdana" w:hAnsi="Verdana" w:cs="Verdana"/>
        </w:rPr>
        <w:t xml:space="preserve">After teachers have completed their training they are able to deliver the programme largely independently, which makes the model highly scalable. In many schools the programme is now delivered to all students during their time at school, preventing political engagement being the preserve of students who study politics or engage in the school council.  </w:t>
      </w:r>
    </w:p>
    <w:p w:rsidR="00FB0B24" w:rsidRPr="005B5CB6" w:rsidP="005659F4">
      <w:pPr>
        <w:spacing w:after="0"/>
        <w:ind w:left="1"/>
        <w:jc w:val="both"/>
        <w:rPr>
          <w:rFonts w:ascii="Verdana" w:hAnsi="Verdana"/>
        </w:rPr>
      </w:pPr>
      <w:r w:rsidRPr="005B5CB6">
        <w:rPr>
          <w:rFonts w:ascii="Verdana" w:eastAsia="Verdana" w:hAnsi="Verdana" w:cs="Verdana"/>
        </w:rPr>
        <w:t xml:space="preserve"> </w:t>
      </w:r>
    </w:p>
    <w:p w:rsidR="00FB0B24" w:rsidRPr="005B5CB6" w:rsidP="005659F4">
      <w:pPr>
        <w:pStyle w:val="Heading2"/>
        <w:rPr>
          <w:sz w:val="22"/>
        </w:rPr>
      </w:pPr>
      <w:r w:rsidRPr="005B5CB6">
        <w:rPr>
          <w:b w:val="0"/>
          <w:sz w:val="22"/>
        </w:rPr>
        <w:t xml:space="preserve">Key Findings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The Impact of Digital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95"/>
        </w:numPr>
        <w:spacing w:after="5" w:line="250" w:lineRule="auto"/>
        <w:ind w:right="11" w:hanging="360"/>
        <w:jc w:val="both"/>
        <w:rPr>
          <w:rFonts w:ascii="Verdana" w:hAnsi="Verdana"/>
        </w:rPr>
      </w:pPr>
      <w:r w:rsidRPr="005B5CB6">
        <w:rPr>
          <w:rFonts w:ascii="Verdana" w:eastAsia="Verdana" w:hAnsi="Verdana" w:cs="Verdana"/>
          <w:b/>
        </w:rPr>
        <w:t>Logistical advantages</w:t>
      </w:r>
      <w:r w:rsidRPr="005B5CB6">
        <w:rPr>
          <w:rFonts w:ascii="Verdana" w:eastAsia="Verdana" w:hAnsi="Verdana" w:cs="Verdana"/>
        </w:rPr>
        <w:t xml:space="preserve">: The programme’s digital nature makes it far easier for politicians and schools to engage by removing travel and the avoiding the associated costs and time. Crucially, it enables MPs with constituencies far from Westminster to engage with their schools Monday – Thursday and those in rural communities to engage across large geographical areas.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95"/>
        </w:numPr>
        <w:spacing w:after="5" w:line="250" w:lineRule="auto"/>
        <w:ind w:right="11" w:hanging="360"/>
        <w:jc w:val="both"/>
        <w:rPr>
          <w:rFonts w:ascii="Verdana" w:hAnsi="Verdana"/>
        </w:rPr>
      </w:pPr>
      <w:r w:rsidRPr="005B5CB6">
        <w:rPr>
          <w:rFonts w:ascii="Verdana" w:eastAsia="Verdana" w:hAnsi="Verdana" w:cs="Verdana"/>
        </w:rPr>
        <w:t xml:space="preserve">Many schools find the digital nature of the programme more practical as it avoids the need for school trips and visits. Several teachers have spoken about the disruption MPs visits can cause to schools where they feel the need to “roll out the red carpet”.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95"/>
        </w:numPr>
        <w:spacing w:after="5" w:line="250" w:lineRule="auto"/>
        <w:ind w:right="11" w:hanging="360"/>
        <w:jc w:val="both"/>
        <w:rPr>
          <w:rFonts w:ascii="Verdana" w:hAnsi="Verdana"/>
        </w:rPr>
      </w:pPr>
      <w:r w:rsidRPr="005B5CB6">
        <w:rPr>
          <w:rFonts w:ascii="Verdana" w:eastAsia="Verdana" w:hAnsi="Verdana" w:cs="Verdana"/>
          <w:b/>
        </w:rPr>
        <w:t>Improved Engagements</w:t>
      </w:r>
      <w:r w:rsidRPr="005B5CB6">
        <w:rPr>
          <w:rFonts w:ascii="Verdana" w:eastAsia="Verdana" w:hAnsi="Verdana" w:cs="Verdana"/>
        </w:rPr>
        <w:t xml:space="preserve">: Our feedback from students shows that digital engagements are often preferred by students who are less confident and have no previous experience of engaging with politicians, with one student saying that  “everyone is honest, no one is nervous and it is less awkward.”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195"/>
        </w:numPr>
        <w:spacing w:after="5" w:line="250" w:lineRule="auto"/>
        <w:ind w:right="11" w:hanging="360"/>
        <w:jc w:val="both"/>
        <w:rPr>
          <w:rFonts w:ascii="Verdana" w:hAnsi="Verdana"/>
        </w:rPr>
      </w:pPr>
      <w:r w:rsidRPr="005B5CB6">
        <w:rPr>
          <w:rFonts w:ascii="Verdana" w:eastAsia="Verdana" w:hAnsi="Verdana" w:cs="Verdana"/>
        </w:rPr>
        <w:t xml:space="preserve">Young people can interact with politicians in a familiar classroom environment supported by their teachers. In our post-programme evaluation surveys, 84% of young people described using a video call to communicate as “good” or “excellent” as did 95% of politicians.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 xml:space="preserve">10.Interactions are also more focused on the students than school visits. While school visits can sometimes include only short interactions with students in school assemblies and can be dominated by conversations with senior teachers, Digital Surgeries involve direct, in-depth discussions between young people and their politicians.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Better policy and representation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 xml:space="preserve">11.1 in 3 surgeries led to a follow-up action from a politician, demonstrating that these  meaningful interactions can impact policy-making and communities. Some of these include: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2"/>
          <w:numId w:val="196"/>
        </w:numPr>
        <w:spacing w:after="5" w:line="250" w:lineRule="auto"/>
        <w:ind w:right="11" w:hanging="360"/>
        <w:jc w:val="both"/>
        <w:rPr>
          <w:rFonts w:ascii="Verdana" w:hAnsi="Verdana"/>
        </w:rPr>
      </w:pPr>
      <w:r w:rsidRPr="005B5CB6">
        <w:rPr>
          <w:rFonts w:ascii="Verdana" w:eastAsia="Verdana" w:hAnsi="Verdana" w:cs="Verdana"/>
        </w:rPr>
        <w:t xml:space="preserve">Stephanie Peacock MP raised her young constituents’ concerns over the European copyright directive in the House of Commons during oral questions to the Secretary of State for Digital, Culture, Media and Sport.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2"/>
          <w:numId w:val="196"/>
        </w:numPr>
        <w:spacing w:after="5" w:line="250" w:lineRule="auto"/>
        <w:ind w:right="11" w:hanging="360"/>
        <w:jc w:val="both"/>
        <w:rPr>
          <w:rFonts w:ascii="Verdana" w:hAnsi="Verdana"/>
        </w:rPr>
      </w:pPr>
      <w:r w:rsidRPr="005B5CB6">
        <w:rPr>
          <w:rFonts w:ascii="Verdana" w:eastAsia="Verdana" w:hAnsi="Verdana" w:cs="Verdana"/>
        </w:rPr>
        <w:t xml:space="preserve">Kate Green MP raised concerns expressed by students at Lostock College over the impact of the Shamima Begum case on Muslims in the local area to Home Secretary Sajid Javid MP during a Home Affairs Select Committee hearing.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2"/>
          <w:numId w:val="196"/>
        </w:numPr>
        <w:spacing w:after="5" w:line="250" w:lineRule="auto"/>
        <w:ind w:right="11" w:hanging="360"/>
        <w:jc w:val="both"/>
        <w:rPr>
          <w:rFonts w:ascii="Verdana" w:hAnsi="Verdana"/>
        </w:rPr>
      </w:pPr>
      <w:r w:rsidRPr="005B5CB6">
        <w:rPr>
          <w:rFonts w:ascii="Verdana" w:eastAsia="Verdana" w:hAnsi="Verdana" w:cs="Verdana"/>
        </w:rPr>
        <w:t xml:space="preserve">Councillor Susan Hinchcliffe, leader of Bradford Council, helped to facilitate legal work experience for students who expressed frustration with the difficulties of accessing the legal profession without parental contacts.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2"/>
          <w:numId w:val="196"/>
        </w:numPr>
        <w:spacing w:after="5" w:line="250" w:lineRule="auto"/>
        <w:ind w:right="11" w:hanging="360"/>
        <w:jc w:val="both"/>
        <w:rPr>
          <w:rFonts w:ascii="Verdana" w:hAnsi="Verdana"/>
        </w:rPr>
      </w:pPr>
      <w:r w:rsidRPr="005B5CB6">
        <w:rPr>
          <w:rFonts w:ascii="Verdana" w:eastAsia="Verdana" w:hAnsi="Verdana" w:cs="Verdana"/>
        </w:rPr>
        <w:t xml:space="preserve">Hove Park High School held a thematic Digital Surgeries with Lord Clement-Jones to share their thoughts on artificial intelligence and discuss his work chairing the AI House of Lords Select Committee.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Other findings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12.</w:t>
      </w:r>
      <w:r w:rsidRPr="005B5CB6">
        <w:rPr>
          <w:rFonts w:ascii="Verdana" w:eastAsia="Verdana" w:hAnsi="Verdana" w:cs="Verdana"/>
          <w:b/>
        </w:rPr>
        <w:t>Trust and relationships</w:t>
      </w:r>
      <w:r w:rsidRPr="005B5CB6">
        <w:rPr>
          <w:rFonts w:ascii="Verdana" w:eastAsia="Verdana" w:hAnsi="Verdana" w:cs="Verdana"/>
        </w:rPr>
        <w:t xml:space="preserve">: The programme is effective at building political trust and relationships. Prior to their surgery only 42% of young people felt </w:t>
      </w:r>
      <w:r w:rsidRPr="005B5CB6">
        <w:rPr>
          <w:rFonts w:ascii="Verdana" w:eastAsia="Verdana" w:hAnsi="Verdana" w:cs="Verdana"/>
        </w:rPr>
        <w:t xml:space="preserve">they could trust the politician they would be talking to. This rose to 73% after the surgery. Moreover, the proportion of young people that “strongly agreed” they could trust the politician rose from 6% prior to starting the programme to 30% afterwards.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 xml:space="preserve">13.95% of the politicians that took part felt that Digital Surgeries were good at building relationships, with 75% finding them “very good”.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14.</w:t>
      </w:r>
      <w:r w:rsidRPr="005B5CB6">
        <w:rPr>
          <w:rFonts w:ascii="Verdana" w:eastAsia="Verdana" w:hAnsi="Verdana" w:cs="Verdana"/>
          <w:b/>
        </w:rPr>
        <w:t xml:space="preserve">Political knowledge and oracy: </w:t>
      </w:r>
      <w:r w:rsidRPr="005B5CB6">
        <w:rPr>
          <w:rFonts w:ascii="Verdana" w:eastAsia="Verdana" w:hAnsi="Verdana" w:cs="Verdana"/>
        </w:rPr>
        <w:t xml:space="preserve">The programme increases political knowledge and oracy. Feedback shows that 94% of young people felt that the programme increased their understanding of the UK political system (66% “significantly” or “quite a lot”).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 xml:space="preserve">15.87% of students said they felt they improved their speaking and listening skills as a result of the programme. 100% of teachers feel the programme improves oracy, with 84% thinking it does so “quite a lot” or “significantly”.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16.</w:t>
      </w:r>
      <w:r w:rsidRPr="005B5CB6">
        <w:rPr>
          <w:rFonts w:ascii="Verdana" w:eastAsia="Verdana" w:hAnsi="Verdana" w:cs="Verdana"/>
          <w:b/>
        </w:rPr>
        <w:t xml:space="preserve">Politician engagement: </w:t>
      </w:r>
      <w:r w:rsidRPr="005B5CB6">
        <w:rPr>
          <w:rFonts w:ascii="Verdana" w:eastAsia="Verdana" w:hAnsi="Verdana" w:cs="Verdana"/>
        </w:rPr>
        <w:t xml:space="preserve">Politicians enjoy engaging digitally with 95% saying they would recommend the programme to a colleague. After their initial surgeries most have requested to do more and we are working with many politicians to engage more schools in their local area. After often being initially sceptical about using a digital platform, many came to enjoy engaging through video call and found it an effective tool to build relationships. –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 xml:space="preserve">17.“This was an extremely efficient way to fit a meeting into a very busy day - without conducting the meeting digitally it would have taken at least half a day (travel time, meet and greet, meeting etc) whereas using this method took less than an hour.”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D20189">
          <w:headerReference w:type="even" r:id="rId333"/>
          <w:headerReference w:type="default" r:id="rId334"/>
          <w:footerReference w:type="even" r:id="rId335"/>
          <w:footerReference w:type="default" r:id="rId336"/>
          <w:headerReference w:type="first" r:id="rId337"/>
          <w:footerReference w:type="first" r:id="rId338"/>
          <w:pgSz w:w="11899" w:h="16841"/>
          <w:pgMar w:top="1492" w:right="1440" w:bottom="1495" w:left="1439" w:header="720" w:footer="720" w:gutter="0"/>
          <w:cols w:space="720"/>
        </w:sectPr>
      </w:pPr>
    </w:p>
    <w:p w:rsidR="00FB0B24" w:rsidRPr="005B5CB6" w:rsidP="00A1624B">
      <w:pPr>
        <w:pStyle w:val="Heading1"/>
        <w:rPr>
          <w:sz w:val="22"/>
        </w:rPr>
      </w:pPr>
      <w:bookmarkStart w:id="58" w:name="_Toc44517746"/>
      <w:r w:rsidRPr="005B5CB6">
        <w:rPr>
          <w:sz w:val="22"/>
        </w:rPr>
        <w:t>Dr Lone Sorensen – written evidence (DAD0067)</w:t>
      </w:r>
      <w:bookmarkEnd w:id="58"/>
      <w:r w:rsidRPr="005B5CB6">
        <w:rPr>
          <w:sz w:val="22"/>
        </w:rPr>
        <w:t xml:space="preserve"> </w:t>
      </w:r>
    </w:p>
    <w:p w:rsidR="00FB0B24" w:rsidRPr="005B5CB6" w:rsidP="001512F6">
      <w:pPr>
        <w:spacing w:after="318" w:line="250" w:lineRule="auto"/>
        <w:ind w:left="294" w:hanging="10"/>
        <w:jc w:val="both"/>
        <w:rPr>
          <w:rFonts w:ascii="Verdana" w:hAnsi="Verdana"/>
        </w:rPr>
      </w:pPr>
      <w:r w:rsidRPr="005B5CB6">
        <w:rPr>
          <w:rFonts w:ascii="Verdana" w:eastAsia="Verdana" w:hAnsi="Verdana" w:cs="Verdana"/>
          <w:b/>
        </w:rPr>
        <w:t xml:space="preserve">Key points and recommendations: </w:t>
      </w:r>
    </w:p>
    <w:p w:rsidR="00FB0B24" w:rsidRPr="005B5CB6" w:rsidP="00575F14">
      <w:pPr>
        <w:numPr>
          <w:ilvl w:val="0"/>
          <w:numId w:val="197"/>
        </w:numPr>
        <w:spacing w:after="5" w:line="359" w:lineRule="auto"/>
        <w:ind w:right="12" w:hanging="283"/>
        <w:jc w:val="both"/>
        <w:rPr>
          <w:rFonts w:ascii="Verdana" w:hAnsi="Verdana"/>
        </w:rPr>
      </w:pPr>
      <w:r w:rsidRPr="005B5CB6">
        <w:rPr>
          <w:rFonts w:ascii="Verdana" w:eastAsia="Verdana" w:hAnsi="Verdana" w:cs="Verdana"/>
        </w:rPr>
        <w:t xml:space="preserve">Digital media are often used symbolically by political actors, populists in particular. Governments need to pay attention to this as symbolic uses of digital media are often surreptitious and respond directly to the ways in which most people engage with politics. </w:t>
      </w:r>
    </w:p>
    <w:p w:rsidR="00FB0B24" w:rsidRPr="005B5CB6" w:rsidP="00575F14">
      <w:pPr>
        <w:numPr>
          <w:ilvl w:val="0"/>
          <w:numId w:val="197"/>
        </w:numPr>
        <w:spacing w:after="5" w:line="358" w:lineRule="auto"/>
        <w:ind w:right="12" w:hanging="283"/>
        <w:jc w:val="both"/>
        <w:rPr>
          <w:rFonts w:ascii="Verdana" w:hAnsi="Verdana"/>
        </w:rPr>
      </w:pPr>
      <w:r w:rsidRPr="005B5CB6">
        <w:rPr>
          <w:rFonts w:ascii="Verdana" w:eastAsia="Verdana" w:hAnsi="Verdana" w:cs="Verdana"/>
        </w:rPr>
        <w:t xml:space="preserve">In its populist form, digital symbolic action enhances the status of authenticity in democratic politics at the expense of factual truth. Political representatives need to invest in a rebalancing of factual and authentic forms of truth. </w:t>
      </w:r>
    </w:p>
    <w:p w:rsidR="00FB0B24" w:rsidRPr="005B5CB6" w:rsidP="00575F14">
      <w:pPr>
        <w:numPr>
          <w:ilvl w:val="0"/>
          <w:numId w:val="197"/>
        </w:numPr>
        <w:spacing w:after="201" w:line="358" w:lineRule="auto"/>
        <w:ind w:right="12" w:hanging="283"/>
        <w:jc w:val="both"/>
        <w:rPr>
          <w:rFonts w:ascii="Verdana" w:hAnsi="Verdana"/>
        </w:rPr>
      </w:pPr>
      <w:r w:rsidRPr="005B5CB6">
        <w:rPr>
          <w:rFonts w:ascii="Verdana" w:eastAsia="Verdana" w:hAnsi="Verdana" w:cs="Verdana"/>
        </w:rPr>
        <w:t xml:space="preserve">Digital media communications are not stand-alone messages but form part of broader assemblages that together convey meaning to an audience. Governments should therefore not consider or respond to uses of digital media in isolation from political actors’ other modes of expression. </w:t>
      </w:r>
    </w:p>
    <w:p w:rsidR="00FB0B24" w:rsidRPr="005B5CB6" w:rsidP="001512F6">
      <w:pPr>
        <w:spacing w:after="318" w:line="250" w:lineRule="auto"/>
        <w:ind w:left="294" w:hanging="10"/>
        <w:jc w:val="both"/>
        <w:rPr>
          <w:rFonts w:ascii="Verdana" w:hAnsi="Verdana"/>
        </w:rPr>
      </w:pPr>
      <w:r w:rsidRPr="005B5CB6">
        <w:rPr>
          <w:rFonts w:ascii="Verdana" w:eastAsia="Verdana" w:hAnsi="Verdana" w:cs="Verdana"/>
          <w:b/>
        </w:rPr>
        <w:t xml:space="preserve">Introduction </w:t>
      </w:r>
    </w:p>
    <w:p w:rsidR="00FB0B24" w:rsidRPr="005B5CB6" w:rsidP="001512F6">
      <w:pPr>
        <w:spacing w:after="198" w:line="359" w:lineRule="auto"/>
        <w:ind w:left="293" w:right="12" w:hanging="9"/>
        <w:jc w:val="both"/>
        <w:rPr>
          <w:rFonts w:ascii="Verdana" w:hAnsi="Verdana"/>
        </w:rPr>
      </w:pPr>
      <w:r w:rsidRPr="005B5CB6">
        <w:rPr>
          <w:rFonts w:ascii="Verdana" w:eastAsia="Verdana" w:hAnsi="Verdana" w:cs="Verdana"/>
        </w:rPr>
        <w:t xml:space="preserve">This submission presents evidence and conclusions from several academic studies conducted into British and South African populist parties’ use of social media and the use of social media for purposes of democratic listening. It chiefly responds to the following question raised by the Committee: </w:t>
      </w:r>
    </w:p>
    <w:p w:rsidR="00FB0B24" w:rsidRPr="005B5CB6" w:rsidP="001512F6">
      <w:pPr>
        <w:spacing w:after="202" w:line="358" w:lineRule="auto"/>
        <w:ind w:left="721" w:hanging="10"/>
        <w:jc w:val="both"/>
        <w:rPr>
          <w:rFonts w:ascii="Verdana" w:hAnsi="Verdana"/>
        </w:rPr>
      </w:pPr>
      <w:r w:rsidRPr="005B5CB6">
        <w:rPr>
          <w:rFonts w:ascii="Verdana" w:eastAsia="Verdana" w:hAnsi="Verdana" w:cs="Verdana"/>
          <w:b/>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1512F6">
      <w:pPr>
        <w:spacing w:after="202" w:line="358" w:lineRule="auto"/>
        <w:ind w:left="293" w:right="12" w:hanging="9"/>
        <w:jc w:val="both"/>
        <w:rPr>
          <w:rFonts w:ascii="Verdana" w:hAnsi="Verdana"/>
        </w:rPr>
      </w:pPr>
      <w:r w:rsidRPr="005B5CB6">
        <w:rPr>
          <w:rFonts w:ascii="Verdana" w:eastAsia="Verdana" w:hAnsi="Verdana" w:cs="Verdana"/>
        </w:rPr>
        <w:t xml:space="preserve">The studies that this submission relies on are largely (but not exclusively) qualitative and theory-building. Their evidence is therefore not easily presented in tables or figures and mainly summarised, relying on a few brief examples. The data and full analyses of the original studies are available upon request. </w:t>
      </w:r>
    </w:p>
    <w:p w:rsidR="00FB0B24" w:rsidRPr="005B5CB6" w:rsidP="001512F6">
      <w:pPr>
        <w:spacing w:after="120" w:line="250" w:lineRule="auto"/>
        <w:ind w:left="11" w:hanging="10"/>
        <w:jc w:val="both"/>
        <w:rPr>
          <w:rFonts w:ascii="Verdana" w:hAnsi="Verdana"/>
        </w:rPr>
      </w:pPr>
      <w:r w:rsidRPr="005B5CB6">
        <w:rPr>
          <w:rFonts w:ascii="Verdana" w:eastAsia="Verdana" w:hAnsi="Verdana" w:cs="Verdana"/>
          <w:b/>
        </w:rPr>
        <w:t>A.</w:t>
      </w:r>
      <w:r w:rsidRPr="005B5CB6">
        <w:rPr>
          <w:rFonts w:ascii="Verdana" w:eastAsia="Arial" w:hAnsi="Verdana" w:cs="Arial"/>
          <w:b/>
        </w:rPr>
        <w:t xml:space="preserve"> </w:t>
      </w:r>
      <w:r w:rsidRPr="005B5CB6">
        <w:rPr>
          <w:rFonts w:ascii="Verdana" w:eastAsia="Verdana" w:hAnsi="Verdana" w:cs="Verdana"/>
          <w:b/>
        </w:rPr>
        <w:t xml:space="preserve">Paying attention to symbolic uses of digital media </w:t>
      </w:r>
    </w:p>
    <w:p w:rsidR="00FB0B24" w:rsidRPr="005B5CB6" w:rsidP="00575F14">
      <w:pPr>
        <w:numPr>
          <w:ilvl w:val="0"/>
          <w:numId w:val="198"/>
        </w:numPr>
        <w:spacing w:after="5" w:line="358" w:lineRule="auto"/>
        <w:ind w:right="12" w:hanging="283"/>
        <w:jc w:val="both"/>
        <w:rPr>
          <w:rFonts w:ascii="Verdana" w:hAnsi="Verdana"/>
        </w:rPr>
      </w:pPr>
      <w:r w:rsidRPr="005B5CB6">
        <w:rPr>
          <w:rFonts w:ascii="Verdana" w:eastAsia="Verdana" w:hAnsi="Verdana" w:cs="Verdana"/>
        </w:rPr>
        <w:t xml:space="preserve">Citizens increasingly engage with politics through the symbolic rather than concrete and manifest struggles over resources between opposing interest groups. This also applies to digital politics. Political organizations, such as Spanish Podemos, The Brexit Party and the Momentum movement, borrow digital communication strategies from social movements. They mobilize on social media by performing symbolic acts aimed </w:t>
      </w:r>
    </w:p>
    <w:p w:rsidR="00FB0B24" w:rsidRPr="005B5CB6" w:rsidP="001512F6">
      <w:pPr>
        <w:spacing w:after="5" w:line="359" w:lineRule="auto"/>
        <w:ind w:left="293" w:right="12" w:hanging="9"/>
        <w:jc w:val="both"/>
        <w:rPr>
          <w:rFonts w:ascii="Verdana" w:hAnsi="Verdana"/>
        </w:rPr>
      </w:pPr>
      <w:r w:rsidRPr="005B5CB6">
        <w:rPr>
          <w:rFonts w:ascii="Verdana" w:eastAsia="Verdana" w:hAnsi="Verdana" w:cs="Verdana"/>
        </w:rPr>
        <w:t xml:space="preserve">at generating emotion and constructing community. They ascribe the technical infrastructure of digital media and the actions it affords – multi-way communications, mass publishing, and so on – with meaning by tapping into the ways in which these technologies are imagined as, for example, democratic, non-hierarchical and antielitist. These imagined capabilities of technology in turn shape political practice. </w:t>
      </w:r>
    </w:p>
    <w:p w:rsidR="00FB0B24" w:rsidRPr="005B5CB6" w:rsidP="00575F14">
      <w:pPr>
        <w:numPr>
          <w:ilvl w:val="0"/>
          <w:numId w:val="198"/>
        </w:numPr>
        <w:spacing w:after="5" w:line="358" w:lineRule="auto"/>
        <w:ind w:right="12" w:hanging="283"/>
        <w:jc w:val="both"/>
        <w:rPr>
          <w:rFonts w:ascii="Verdana" w:hAnsi="Verdana"/>
        </w:rPr>
      </w:pPr>
      <w:r w:rsidRPr="005B5CB6">
        <w:rPr>
          <w:rFonts w:ascii="Verdana" w:eastAsia="Verdana" w:hAnsi="Verdana" w:cs="Verdana"/>
        </w:rPr>
        <w:t xml:space="preserve">The symbolic use of digital media in politics is not a concern in itself. But we need to pay attention to it when it is used surreptitiously. This is the case with populist parties that use social media platforms to deliver an anti-elitist message as a means to power. Such a message is consistent with the imaginaries of social media and thereby enhances the sender’s authenticity. For instance, when UKIP used the hashtag #PeoplesArmy on social media in the lead-up to Brexit, they associated their goal of leaving the EU with notions of democracy, revolution and people power. These ideas have become inherent in the very platforms of communication through their perceived role in political events such as the Arab Spring. </w:t>
      </w:r>
    </w:p>
    <w:p w:rsidR="00FB0B24" w:rsidRPr="005B5CB6" w:rsidP="00575F14">
      <w:pPr>
        <w:numPr>
          <w:ilvl w:val="0"/>
          <w:numId w:val="198"/>
        </w:numPr>
        <w:spacing w:after="5" w:line="358" w:lineRule="auto"/>
        <w:ind w:right="12" w:hanging="283"/>
        <w:jc w:val="both"/>
        <w:rPr>
          <w:rFonts w:ascii="Verdana" w:hAnsi="Verdana"/>
        </w:rPr>
      </w:pPr>
      <w:r w:rsidRPr="005B5CB6">
        <w:rPr>
          <w:rFonts w:ascii="Verdana" w:eastAsia="Verdana" w:hAnsi="Verdana" w:cs="Verdana"/>
        </w:rPr>
        <w:t xml:space="preserve">Surreptitious uses of digital imaginaries can be highly emotionally engaging but often manifest themselves in polarising discourse that undermines public efficacy and trust in democratic processes and institutions. When used by populist actors, such digital symbolic action constructs a new and essentialist cleavage in the political spectrum that cuts across left and right and on a moral basis establishes populists as the only true political representatives. </w:t>
      </w:r>
    </w:p>
    <w:p w:rsidR="00FB0B24" w:rsidRPr="005B5CB6" w:rsidP="00575F14">
      <w:pPr>
        <w:numPr>
          <w:ilvl w:val="0"/>
          <w:numId w:val="198"/>
        </w:numPr>
        <w:spacing w:after="5" w:line="358" w:lineRule="auto"/>
        <w:ind w:right="12" w:hanging="283"/>
        <w:jc w:val="both"/>
        <w:rPr>
          <w:rFonts w:ascii="Verdana" w:hAnsi="Verdana"/>
        </w:rPr>
      </w:pPr>
      <w:r w:rsidRPr="005B5CB6">
        <w:rPr>
          <w:rFonts w:ascii="Verdana" w:eastAsia="Verdana" w:hAnsi="Verdana" w:cs="Verdana"/>
        </w:rPr>
        <w:t xml:space="preserve">Most academic research and government policy address digital media as material tools used to achieve a specific goal. However, evidence from in-depth study in both the UK and South Africa, along with many anecdotal examples ranging from Trump to Zelenskiy in Ukraine, suggests that the symbolic uses of digital media are by far the more concerning (see Sorensen, forthcoming). Awareness of the polarising and essentialist functions of populist digital communication should inform responses to attempts to undermine efficacy and trust in democratic institutions. Such awareness should also inform modes of democratic listening that serve to enhance efficacy rather than undermine it. Political representatives may need to beat populists at their own game by engaging in symbolic digital action that is founded upon honest intent and followed up by substantial action. Examples include engaged, broad and in-depth listening via social media (see detailed suggestions and evidence relating to South Africa in Sorensen et al., 2019) and educational campaigns that themselves tap into the expository imaginaries of social media by revealing the instrumental usage of these by populists. </w:t>
      </w:r>
    </w:p>
    <w:p w:rsidR="00FB0B24" w:rsidRPr="005B5CB6" w:rsidP="001512F6">
      <w:pPr>
        <w:tabs>
          <w:tab w:val="center" w:pos="3569"/>
        </w:tabs>
        <w:spacing w:after="326" w:line="250" w:lineRule="auto"/>
        <w:jc w:val="both"/>
        <w:rPr>
          <w:rFonts w:ascii="Verdana" w:hAnsi="Verdana"/>
        </w:rPr>
      </w:pPr>
      <w:r w:rsidRPr="005B5CB6">
        <w:rPr>
          <w:rFonts w:ascii="Verdana" w:eastAsia="Verdana" w:hAnsi="Verdana" w:cs="Verdana"/>
          <w:b/>
        </w:rPr>
        <w:t xml:space="preserve">B. </w:t>
      </w:r>
      <w:r w:rsidRPr="005B5CB6">
        <w:rPr>
          <w:rFonts w:ascii="Verdana" w:eastAsia="Verdana" w:hAnsi="Verdana" w:cs="Verdana"/>
          <w:b/>
        </w:rPr>
        <w:tab/>
        <w:t>Rebalancing authentic and factual forms of truth</w:t>
      </w:r>
      <w:r w:rsidRPr="005B5CB6">
        <w:rPr>
          <w:rFonts w:ascii="Verdana" w:eastAsia="Verdana" w:hAnsi="Verdana" w:cs="Verdana"/>
        </w:rPr>
        <w:t xml:space="preserve"> </w:t>
      </w:r>
    </w:p>
    <w:p w:rsidR="00FB0B24" w:rsidRPr="005B5CB6" w:rsidP="00575F14">
      <w:pPr>
        <w:numPr>
          <w:ilvl w:val="0"/>
          <w:numId w:val="199"/>
        </w:numPr>
        <w:spacing w:after="5" w:line="358" w:lineRule="auto"/>
        <w:ind w:right="12" w:hanging="283"/>
        <w:jc w:val="both"/>
        <w:rPr>
          <w:rFonts w:ascii="Verdana" w:hAnsi="Verdana"/>
        </w:rPr>
      </w:pPr>
      <w:r w:rsidRPr="005B5CB6">
        <w:rPr>
          <w:rFonts w:ascii="Verdana" w:eastAsia="Verdana" w:hAnsi="Verdana" w:cs="Verdana"/>
        </w:rPr>
        <w:t xml:space="preserve">There is a relationship between digital technologies and new and emerging forms of truth. An increasingly popular form of truth values sincerity and authenticity above factual correctness. It is founded on claims to personal honesty and integrity, a consistency between communication and belief rather than between communication and external reality. This authenticity, certainly when harboured by right-wing and populist hosts, naturally grates with liberalism’s insistence on holding certain aspects of human nature in check – such as othering, disregarding or dismissing the needs and rights of minority groups, fairness in the rule of law.  </w:t>
      </w:r>
    </w:p>
    <w:p w:rsidR="00FB0B24" w:rsidRPr="005B5CB6" w:rsidP="00575F14">
      <w:pPr>
        <w:numPr>
          <w:ilvl w:val="0"/>
          <w:numId w:val="199"/>
        </w:numPr>
        <w:spacing w:after="5" w:line="358" w:lineRule="auto"/>
        <w:ind w:right="12" w:hanging="283"/>
        <w:jc w:val="both"/>
        <w:rPr>
          <w:rFonts w:ascii="Verdana" w:hAnsi="Verdana"/>
        </w:rPr>
      </w:pPr>
      <w:r w:rsidRPr="005B5CB6">
        <w:rPr>
          <w:rFonts w:ascii="Verdana" w:eastAsia="Verdana" w:hAnsi="Verdana" w:cs="Verdana"/>
        </w:rPr>
        <w:t xml:space="preserve">Authentic truth is communicated by illiberal and populist actors through a disruptive form of communication that breaches the established norms of political speech and behaviour. Social media imaginaries lend themselves to disruptive performances that seek to shock the liberal establishment. Populists’ digital symbolic actions accuse establishment media and politicians of misrepresenting reality and thereby undermining the foundation of democratic representation. As we see it with Donald Trump’s use of Twitter, so did UKIP’s use of social media symbolically undermine legacy media and political institutions while delivering the same message in their content: “The British political class and our media are guilty of double standards” (@Nigel_Farage, 30 Jan 2017); “When it comes to political bias it’s obvious to most that metropolitan and establishment backgrounds of so many BBC journalists is a problem” (@UKIP, 3 May 2015); “Politics in Britain has become a cartel…We need fundamental change to reconnect politics with the public #VoteUKIP #peoplesarmy”  (@UKIP, 3 May 2015). </w:t>
      </w:r>
      <w:r w:rsidRPr="005B5CB6">
        <w:rPr>
          <w:rFonts w:ascii="Verdana" w:eastAsia="Verdana" w:hAnsi="Verdana" w:cs="Verdana"/>
          <w:b/>
        </w:rPr>
        <w:t xml:space="preserve"> </w:t>
      </w:r>
    </w:p>
    <w:p w:rsidR="00FB0B24" w:rsidRPr="005B5CB6" w:rsidP="00575F14">
      <w:pPr>
        <w:numPr>
          <w:ilvl w:val="0"/>
          <w:numId w:val="199"/>
        </w:numPr>
        <w:spacing w:after="5" w:line="358" w:lineRule="auto"/>
        <w:ind w:right="12" w:hanging="283"/>
        <w:jc w:val="both"/>
        <w:rPr>
          <w:rFonts w:ascii="Verdana" w:hAnsi="Verdana"/>
        </w:rPr>
      </w:pPr>
      <w:r w:rsidRPr="005B5CB6">
        <w:rPr>
          <w:rFonts w:ascii="Verdana" w:eastAsia="Verdana" w:hAnsi="Verdana" w:cs="Verdana"/>
        </w:rPr>
        <w:t>Through digital symbolic action, UKIP in one sweep undermined public feelings of efficacy and positioned themselves as authentic truth-tellers. The Brexit Party and Leave.eu are now following up with smoother performances. As Farage claimed in a tweet after a provocative speech in the European Parliament in support of Trump’s new “democratic” immigration measures, “Just gave both barrels to the unelected EU commission. These guys have a problem with the truth.” (@Nigel_Farage, 1 Feb 2017). The type of truth that Farage was talking about is not evidence-based fact. It is concerned with being true to oneself. Claiming legitimacy on the basis of sincerity and authenticity is core to Farage’s and other populists’ self-representation and has been a frequent message by Farage since the beginnings of his UKIP leadership: “the people's army has not been carefully engineered by an imaginative press office” (Farage in the Daily Express, 4 Jul 2014).</w:t>
      </w:r>
      <w:r w:rsidRPr="005B5CB6">
        <w:rPr>
          <w:rFonts w:ascii="Verdana" w:eastAsia="Verdana" w:hAnsi="Verdana" w:cs="Verdana"/>
          <w:b/>
        </w:rPr>
        <w:t xml:space="preserve"> </w:t>
      </w:r>
    </w:p>
    <w:p w:rsidR="00FB0B24" w:rsidRPr="005B5CB6" w:rsidP="00575F14">
      <w:pPr>
        <w:numPr>
          <w:ilvl w:val="0"/>
          <w:numId w:val="199"/>
        </w:numPr>
        <w:spacing w:after="5" w:line="358" w:lineRule="auto"/>
        <w:ind w:right="12" w:hanging="283"/>
        <w:jc w:val="both"/>
        <w:rPr>
          <w:rFonts w:ascii="Verdana" w:hAnsi="Verdana"/>
        </w:rPr>
      </w:pPr>
      <w:r w:rsidRPr="005B5CB6">
        <w:rPr>
          <w:rFonts w:ascii="Verdana" w:eastAsia="Verdana" w:hAnsi="Verdana" w:cs="Verdana"/>
        </w:rPr>
        <w:t xml:space="preserve">Authenticity is what modern elites, with their supposed acts of deception and hollow rhetoric, lack, and is given as the reason why they are on the wrong side of the dividing </w:t>
      </w:r>
      <w:r w:rsidRPr="005B5CB6">
        <w:rPr>
          <w:rFonts w:ascii="Verdana" w:eastAsia="Verdana" w:hAnsi="Verdana" w:cs="Verdana"/>
        </w:rPr>
        <w:t xml:space="preserve">line between Us and Them in populist claims. When populists denounce the elite as strategic orators, they engage in an act of exposure that undermines the elite’s performance of authenticity. Authentic performances require apparent consistency between frontstage and backstage behaviour for if a politician’s private persona is revealed to contradict his or her public performance, authenticity is undermined.  For their own part, populist actors have the perfect solution to the demand for authentic performance under the limelight of ever-watching cameras. Rather than seeking to hide their backstage behaviour, they proudly showcase their dirty linen in public by disrupting institutional norms. Populists’ famous bad manners, political incorrectness and ability to talk like ordinary people are weapons in the fight against demands for constant visibility and the consequent fragility of authentic representation. </w:t>
      </w:r>
      <w:r w:rsidRPr="005B5CB6">
        <w:rPr>
          <w:rFonts w:ascii="Verdana" w:eastAsia="Verdana" w:hAnsi="Verdana" w:cs="Verdana"/>
          <w:b/>
        </w:rPr>
        <w:t xml:space="preserve"> </w:t>
      </w:r>
    </w:p>
    <w:p w:rsidR="00FB0B24" w:rsidRPr="005B5CB6" w:rsidP="00575F14">
      <w:pPr>
        <w:numPr>
          <w:ilvl w:val="0"/>
          <w:numId w:val="199"/>
        </w:numPr>
        <w:spacing w:after="5" w:line="358" w:lineRule="auto"/>
        <w:ind w:right="12" w:hanging="283"/>
        <w:jc w:val="both"/>
        <w:rPr>
          <w:rFonts w:ascii="Verdana" w:hAnsi="Verdana"/>
        </w:rPr>
      </w:pPr>
      <w:r w:rsidRPr="005B5CB6">
        <w:rPr>
          <w:rFonts w:ascii="Verdana" w:eastAsia="Verdana" w:hAnsi="Verdana" w:cs="Verdana"/>
        </w:rPr>
        <w:t>Social media are well suited tools for this purpose. They allow populists to naturally comply with platforms’ norms of intimacy, informality and pithy humour while performing their backstage behaviour. Complying with social media norms naturally grates with and disrupts institutional norms. Social media thereby enable populists’ consistent self-representation as authentic disrupters in a media environment that makes consistency an increasingly challenging demand. Unlike establishment politicians, populists can present an authentic front that appears at once intimate, spontaneous and honest to the populist’s own disruptive persona.</w:t>
      </w:r>
      <w:r w:rsidRPr="005B5CB6">
        <w:rPr>
          <w:rFonts w:ascii="Verdana" w:eastAsia="Verdana" w:hAnsi="Verdana" w:cs="Verdana"/>
          <w:b/>
        </w:rPr>
        <w:t xml:space="preserve"> </w:t>
      </w:r>
    </w:p>
    <w:p w:rsidR="00FB0B24" w:rsidRPr="005B5CB6" w:rsidP="00575F14">
      <w:pPr>
        <w:numPr>
          <w:ilvl w:val="0"/>
          <w:numId w:val="199"/>
        </w:numPr>
        <w:spacing w:after="208" w:line="358" w:lineRule="auto"/>
        <w:ind w:right="12" w:hanging="283"/>
        <w:jc w:val="both"/>
        <w:rPr>
          <w:rFonts w:ascii="Verdana" w:hAnsi="Verdana"/>
        </w:rPr>
      </w:pPr>
      <w:r w:rsidRPr="005B5CB6">
        <w:rPr>
          <w:rFonts w:ascii="Verdana" w:eastAsia="Verdana" w:hAnsi="Verdana" w:cs="Verdana"/>
        </w:rPr>
        <w:t>Honesty, character and trust are no doubt lacking in the representative relationship between elites and people in the UK. These qualities are increasingly also lacking in our relationship to media that pursue commercial objectives rather than the public interest. Populists have a point. Yet one of these two types of truth – authentic and scientific – at the expense of the other poses a danger to liberal democracy. We need evidence-based information as well as honest politicians to make representative democracy work. Anti-populism is therefore also a reactionary and not a progressive response to populism. It neglects to address the social and political fault lines that give rise to populism in the first place and to acknowledge in a substantive way citizens’ very valid reasons for voting for populists. One of these reasons indeed appears to reside in feelings of inefficacy based on the lack of authentic representation by elite representatives and of reliable information by the media. The appropriate response would therefore be to look for common ground, to acknowledge the need for the coexistence of both authentic and scientific truth in the democratic representative relationship. This in turn has deep implications for politicians’ professional practice of political communication, which currently iron out any traces of authenticity before their on-stage performances.</w:t>
      </w:r>
      <w:r w:rsidRPr="005B5CB6">
        <w:rPr>
          <w:rFonts w:ascii="Verdana" w:eastAsia="Verdana" w:hAnsi="Verdana" w:cs="Verdana"/>
          <w:b/>
        </w:rPr>
        <w:t xml:space="preserve"> </w:t>
      </w:r>
    </w:p>
    <w:p w:rsidR="00FB0B24" w:rsidRPr="005B5CB6" w:rsidP="001512F6">
      <w:pPr>
        <w:tabs>
          <w:tab w:val="center" w:pos="3138"/>
        </w:tabs>
        <w:spacing w:after="326" w:line="250" w:lineRule="auto"/>
        <w:jc w:val="both"/>
        <w:rPr>
          <w:rFonts w:ascii="Verdana" w:hAnsi="Verdana"/>
        </w:rPr>
      </w:pPr>
      <w:r w:rsidRPr="005B5CB6">
        <w:rPr>
          <w:rFonts w:ascii="Verdana" w:eastAsia="Verdana" w:hAnsi="Verdana" w:cs="Verdana"/>
          <w:b/>
        </w:rPr>
        <w:t xml:space="preserve">C. </w:t>
      </w:r>
      <w:r w:rsidRPr="005B5CB6">
        <w:rPr>
          <w:rFonts w:ascii="Verdana" w:eastAsia="Verdana" w:hAnsi="Verdana" w:cs="Verdana"/>
          <w:b/>
        </w:rPr>
        <w:tab/>
        <w:t xml:space="preserve">Attending to communicative assemblages </w:t>
      </w:r>
    </w:p>
    <w:p w:rsidR="00FB0B24" w:rsidRPr="005B5CB6" w:rsidP="00575F14">
      <w:pPr>
        <w:numPr>
          <w:ilvl w:val="0"/>
          <w:numId w:val="200"/>
        </w:numPr>
        <w:spacing w:after="5" w:line="359" w:lineRule="auto"/>
        <w:ind w:right="12" w:hanging="283"/>
        <w:jc w:val="both"/>
        <w:rPr>
          <w:rFonts w:ascii="Verdana" w:hAnsi="Verdana"/>
        </w:rPr>
      </w:pPr>
      <w:r w:rsidRPr="005B5CB6">
        <w:rPr>
          <w:rFonts w:ascii="Verdana" w:eastAsia="Verdana" w:hAnsi="Verdana" w:cs="Verdana"/>
        </w:rPr>
        <w:t>Digital media are often researched and addressed through policy as if they existed independently of other types of media and public engagement. To address populist and other political actors’ undermining of trust in the democratic process and in democratic institutions, it would be important to be aware of the role that digital media play in broader communication repertoires.</w:t>
      </w:r>
      <w:r w:rsidRPr="005B5CB6">
        <w:rPr>
          <w:rFonts w:ascii="Verdana" w:eastAsia="Verdana" w:hAnsi="Verdana" w:cs="Verdana"/>
          <w:b/>
        </w:rPr>
        <w:t xml:space="preserve"> </w:t>
      </w:r>
    </w:p>
    <w:p w:rsidR="00FB0B24" w:rsidRPr="005B5CB6" w:rsidP="00575F14">
      <w:pPr>
        <w:numPr>
          <w:ilvl w:val="0"/>
          <w:numId w:val="200"/>
        </w:numPr>
        <w:spacing w:after="5" w:line="358" w:lineRule="auto"/>
        <w:ind w:right="12" w:hanging="283"/>
        <w:jc w:val="both"/>
        <w:rPr>
          <w:rFonts w:ascii="Verdana" w:hAnsi="Verdana"/>
        </w:rPr>
      </w:pPr>
      <w:r w:rsidRPr="005B5CB6">
        <w:rPr>
          <w:rFonts w:ascii="Verdana" w:eastAsia="Verdana" w:hAnsi="Verdana" w:cs="Verdana"/>
        </w:rPr>
        <w:t>Evidence from my comparative study of the UK and South Africa shows that the interplay between digital media, live disruptive action (such as provocations and breaches of protocol in democratic institutions) and legacy media engagement is key to populists’ construction of an essentialist and polarising cleavage in the political spectrum. However, the specific role played by social media depends on the nature of the event that it is used to promote.</w:t>
      </w:r>
      <w:r w:rsidRPr="005B5CB6">
        <w:rPr>
          <w:rFonts w:ascii="Verdana" w:eastAsia="Verdana" w:hAnsi="Verdana" w:cs="Verdana"/>
          <w:b/>
        </w:rPr>
        <w:t xml:space="preserve"> </w:t>
      </w:r>
    </w:p>
    <w:p w:rsidR="00FB0B24" w:rsidRPr="005B5CB6" w:rsidP="00575F14">
      <w:pPr>
        <w:numPr>
          <w:ilvl w:val="0"/>
          <w:numId w:val="200"/>
        </w:numPr>
        <w:spacing w:after="5" w:line="358" w:lineRule="auto"/>
        <w:ind w:right="12" w:hanging="283"/>
        <w:jc w:val="both"/>
        <w:rPr>
          <w:rFonts w:ascii="Verdana" w:hAnsi="Verdana"/>
        </w:rPr>
      </w:pPr>
      <w:r w:rsidRPr="005B5CB6">
        <w:rPr>
          <w:rFonts w:ascii="Verdana" w:eastAsia="Verdana" w:hAnsi="Verdana" w:cs="Verdana"/>
        </w:rPr>
        <w:t>In the lead-up to and immediate aftermath of the EU referendum in 2016, UKIP made entrepreneurial use of the new media environment in ways that built up and complemented live disruptions aimed at broadcast audiences. Farage took to Twitter to warn that “Sparks will fly” (@Nigel_Farage, 4 Apr 2017) in a build-up of tension before a provocative EP speech on the UK’s triggering of Article 50 that commenced her exit from the EU. UKIP’s mediated build-up to individual speeches, however, was much less elaborate than in other cases, such as the Economic Freedom Fighters’ (EFF) disruption of the State of the Nation Address in South Africa in 2015, 2016 and 2017. The reason for this is the low-key status of European Parliamentary sessions as live media events. In the EFF’s case, there is evidence of a clear synergy between digital and live symbolic action: Figure 1 shows public engagement with the EFF’s tweets during disruptive moments of their live performance in parliament, which was broadcast live on public TV.</w:t>
      </w:r>
      <w:r w:rsidRPr="005B5CB6">
        <w:rPr>
          <w:rFonts w:ascii="Verdana" w:eastAsia="Verdana" w:hAnsi="Verdana" w:cs="Verdana"/>
          <w:b/>
        </w:rPr>
        <w:t xml:space="preserve"> </w:t>
      </w:r>
    </w:p>
    <w:p w:rsidR="00FB0B24" w:rsidRPr="005B5CB6" w:rsidP="00575F14">
      <w:pPr>
        <w:numPr>
          <w:ilvl w:val="0"/>
          <w:numId w:val="200"/>
        </w:numPr>
        <w:spacing w:after="5" w:line="358" w:lineRule="auto"/>
        <w:ind w:right="12" w:hanging="283"/>
        <w:jc w:val="both"/>
        <w:rPr>
          <w:rFonts w:ascii="Verdana" w:hAnsi="Verdana"/>
        </w:rPr>
      </w:pPr>
      <w:r w:rsidRPr="005B5CB6">
        <w:rPr>
          <w:rFonts w:ascii="Verdana" w:eastAsia="Verdana" w:hAnsi="Verdana" w:cs="Verdana"/>
        </w:rPr>
        <w:t xml:space="preserve">Unlike the EFF, UKIP chiefly tweeted after, not during, their live performances. Most of their tweets directed attention to other communications, such as YouTube videos of Farage’s speeches, Facebook posts, press releases and columns in the press, rather than to live moments. Their audience was legacy media, not a live broadcast audience. Yet their tweets still formed an integral part of UKIP’s overall message as they supplemented, commented on and interpreted UKIP’s live symbolic action after the event. In fact, the tweets often spelled out and enhanced the symbolism of UKIP’s disruptive performances, such as when UKIP explicitly pointed out their character of protest – “@Nigel_Farage leads UKIP MEPs in a protest against the European Parliament at the opening of its new session” (@UKIP, 1 Jul 2014) – laboured the </w:t>
      </w:r>
      <w:r w:rsidRPr="005B5CB6">
        <w:rPr>
          <w:rFonts w:ascii="Verdana" w:eastAsia="Verdana" w:hAnsi="Verdana" w:cs="Verdana"/>
        </w:rPr>
        <w:t>metaphor of their turned backs – “UKIP MEPs turn their backs on the EU flag as the EU anthem played” (@UKIP, 1 Jul 2014) – or insisted that such symbolic action was indeed rather disruptive (@UKIP, 1 Jul 2014). Such tweets fed a particular interpretation of UKIP’s live performances to the media, who often picked it up (Sorensen, 2018).</w:t>
      </w:r>
      <w:r w:rsidRPr="005B5CB6">
        <w:rPr>
          <w:rFonts w:ascii="Verdana" w:eastAsia="Verdana" w:hAnsi="Verdana" w:cs="Verdana"/>
          <w:b/>
        </w:rPr>
        <w:t xml:space="preserve"> </w:t>
      </w:r>
    </w:p>
    <w:p w:rsidR="00FB0B24" w:rsidRPr="005B5CB6" w:rsidP="00575F14">
      <w:pPr>
        <w:numPr>
          <w:ilvl w:val="0"/>
          <w:numId w:val="200"/>
        </w:numPr>
        <w:spacing w:after="5" w:line="358" w:lineRule="auto"/>
        <w:ind w:right="12" w:hanging="283"/>
        <w:jc w:val="both"/>
        <w:rPr>
          <w:rFonts w:ascii="Verdana" w:hAnsi="Verdana"/>
        </w:rPr>
      </w:pPr>
      <w:r w:rsidRPr="005B5CB6">
        <w:rPr>
          <w:rFonts w:ascii="Verdana" w:eastAsia="Verdana" w:hAnsi="Verdana" w:cs="Verdana"/>
        </w:rPr>
        <w:t>For UKIP, Twitter was not a means of usurping the role of mainstream media but rather of addressing it. The usual political struggle over who gets their message across then became a battle of who could walk the tightrope of legitimacy and norm-breaking in the most creative way to attract the attention of legacy media. UKIP used social media to enhance the impression of spectacle by making their norm-breaking more explicit in a mediation setting where such behaviour was more acceptable: speaking in informal, polarising and often shocking language is the norm on social media but is reprimanded in the European Parliament. And conforming to the everyday norms of social media platforms simultaneously enhances the authenticity of the populist communicator.</w:t>
      </w:r>
      <w:r w:rsidRPr="005B5CB6">
        <w:rPr>
          <w:rFonts w:ascii="Verdana" w:eastAsia="Verdana" w:hAnsi="Verdana" w:cs="Verdana"/>
          <w:b/>
        </w:rPr>
        <w:t xml:space="preserve"> </w:t>
      </w:r>
    </w:p>
    <w:p w:rsidR="00FB0B24" w:rsidRPr="005B5CB6" w:rsidP="00575F14">
      <w:pPr>
        <w:numPr>
          <w:ilvl w:val="0"/>
          <w:numId w:val="200"/>
        </w:numPr>
        <w:spacing w:after="5" w:line="358" w:lineRule="auto"/>
        <w:ind w:right="12" w:hanging="283"/>
        <w:jc w:val="both"/>
        <w:rPr>
          <w:rFonts w:ascii="Verdana" w:hAnsi="Verdana"/>
        </w:rPr>
      </w:pPr>
      <w:r w:rsidRPr="005B5CB6">
        <w:rPr>
          <w:rFonts w:ascii="Verdana" w:eastAsia="Verdana" w:hAnsi="Verdana" w:cs="Verdana"/>
        </w:rPr>
        <w:t>Looking at digital media messages by populist actors in isolation would miss their function of enhancing, distilling and framing other symbolic actions. Social media form part of a broader repertoire that as a whole has far more concerning effects upon a polarised society, public feelings of efficacy and citizens’ relationships to their political representatives.  I therefore recommend that the Committee not observe or respond to uses of digital media in isolation from political actors’ other modes of expression, and that they take account of the types of events of which social media communications form part.</w:t>
      </w:r>
      <w:r w:rsidRPr="005B5CB6">
        <w:rPr>
          <w:rFonts w:ascii="Verdana" w:eastAsia="Verdana" w:hAnsi="Verdana" w:cs="Verdana"/>
          <w:b/>
        </w:rPr>
        <w:t xml:space="preserve"> </w:t>
      </w:r>
    </w:p>
    <w:p w:rsidR="00FB0B24" w:rsidRPr="005B5CB6" w:rsidP="001512F6">
      <w:pPr>
        <w:spacing w:after="321" w:line="250" w:lineRule="auto"/>
        <w:ind w:left="294" w:hanging="10"/>
        <w:jc w:val="both"/>
        <w:rPr>
          <w:rFonts w:ascii="Verdana" w:hAnsi="Verdana"/>
        </w:rPr>
      </w:pPr>
      <w:r w:rsidRPr="005B5CB6">
        <w:rPr>
          <w:rFonts w:ascii="Verdana" w:eastAsia="Verdana" w:hAnsi="Verdana" w:cs="Verdana"/>
          <w:b/>
        </w:rPr>
        <w:t xml:space="preserve">Sources of detailed evidence: </w:t>
      </w:r>
    </w:p>
    <w:p w:rsidR="00FB0B24" w:rsidRPr="005B5CB6" w:rsidP="001512F6">
      <w:pPr>
        <w:spacing w:after="5" w:line="250" w:lineRule="auto"/>
        <w:ind w:left="723" w:right="11" w:hanging="439"/>
        <w:jc w:val="both"/>
        <w:rPr>
          <w:rFonts w:ascii="Verdana" w:hAnsi="Verdana"/>
        </w:rPr>
      </w:pPr>
      <w:r w:rsidRPr="005B5CB6">
        <w:rPr>
          <w:rFonts w:ascii="Verdana" w:eastAsia="Verdana" w:hAnsi="Verdana" w:cs="Verdana"/>
        </w:rPr>
        <w:t xml:space="preserve">Sorensen, L., 2018. Populist Communication in Comparative Perspective: Ideology, Performance, Mediation (PhD thesis). University of Leeds, Leeds, UK. </w:t>
      </w:r>
    </w:p>
    <w:p w:rsidR="00FB0B24" w:rsidRPr="005B5CB6" w:rsidP="001512F6">
      <w:pPr>
        <w:spacing w:after="5" w:line="250" w:lineRule="auto"/>
        <w:ind w:left="723" w:right="11" w:hanging="439"/>
        <w:jc w:val="both"/>
        <w:rPr>
          <w:rFonts w:ascii="Verdana" w:hAnsi="Verdana"/>
        </w:rPr>
      </w:pPr>
      <w:r w:rsidRPr="005B5CB6">
        <w:rPr>
          <w:rFonts w:ascii="Verdana" w:eastAsia="Verdana" w:hAnsi="Verdana" w:cs="Verdana"/>
        </w:rPr>
        <w:t xml:space="preserve">Sorensen, L., forthcoming. Performing Populist Representation: A Communication Approach for Established and Transitional Democracies. Palgrave. </w:t>
      </w:r>
    </w:p>
    <w:p w:rsidR="00FB0B24" w:rsidRPr="005B5CB6" w:rsidP="001512F6">
      <w:pPr>
        <w:spacing w:after="5" w:line="249" w:lineRule="auto"/>
        <w:ind w:left="723" w:right="12" w:hanging="439"/>
        <w:jc w:val="both"/>
        <w:rPr>
          <w:rFonts w:ascii="Verdana" w:hAnsi="Verdana"/>
        </w:rPr>
      </w:pPr>
      <w:r w:rsidRPr="005B5CB6">
        <w:rPr>
          <w:rFonts w:ascii="Verdana" w:eastAsia="Verdana" w:hAnsi="Verdana" w:cs="Verdana"/>
        </w:rPr>
        <w:t>Sorensen, L., Ford, H., Al-Saqaf, W., Bosch, T., Voltmer, K., 2019. Dialogue of the Deaf: Listening on Twitter and Democratic Responsiveness during the 2015 South African State of the Nation Address, in: Voltmer, K. et al (Eds.), Contested Transitions: Media, Communication and the Struggle for Democratic Change. Palgrave, Basingstoke.</w:t>
      </w:r>
      <w:r w:rsidRPr="005B5CB6">
        <w:rPr>
          <w:rFonts w:ascii="Verdana" w:eastAsia="Verdana" w:hAnsi="Verdana" w:cs="Verdana"/>
          <w:b/>
        </w:rPr>
        <w:t xml:space="preserve"> </w:t>
      </w:r>
    </w:p>
    <w:p w:rsidR="00FB0B24" w:rsidRPr="005B5CB6" w:rsidP="001512F6">
      <w:pPr>
        <w:spacing w:after="0"/>
        <w:ind w:left="1277"/>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D20189">
          <w:headerReference w:type="even" r:id="rId339"/>
          <w:headerReference w:type="default" r:id="rId340"/>
          <w:footerReference w:type="even" r:id="rId341"/>
          <w:footerReference w:type="default" r:id="rId342"/>
          <w:headerReference w:type="first" r:id="rId343"/>
          <w:footerReference w:type="first" r:id="rId344"/>
          <w:pgSz w:w="11906" w:h="16838"/>
          <w:pgMar w:top="1185" w:right="1129" w:bottom="1357" w:left="991" w:header="720" w:footer="711" w:gutter="0"/>
          <w:cols w:space="720"/>
        </w:sectPr>
      </w:pPr>
    </w:p>
    <w:p w:rsidR="00FB0B24" w:rsidRPr="005B5CB6" w:rsidP="001512F6">
      <w:pPr>
        <w:spacing w:after="80"/>
        <w:ind w:left="-13" w:right="-78"/>
        <w:jc w:val="both"/>
        <w:rPr>
          <w:rFonts w:ascii="Verdana" w:hAnsi="Verdana"/>
        </w:rPr>
      </w:pPr>
      <w:r w:rsidRPr="005B5CB6">
        <w:rPr>
          <w:rFonts w:ascii="Verdana" w:hAnsi="Verdana"/>
          <w:noProof/>
        </w:rPr>
        <w:drawing>
          <wp:inline distT="0" distB="0" distL="0" distR="0">
            <wp:extent cx="8921497" cy="4901184"/>
            <wp:effectExtent l="0" t="0" r="0" b="0"/>
            <wp:docPr id="622145" name="Picture 622145"/>
            <wp:cNvGraphicFramePr/>
            <a:graphic xmlns:a="http://schemas.openxmlformats.org/drawingml/2006/main">
              <a:graphicData uri="http://schemas.openxmlformats.org/drawingml/2006/picture">
                <pic:pic xmlns:pic="http://schemas.openxmlformats.org/drawingml/2006/picture">
                  <pic:nvPicPr>
                    <pic:cNvPr id="622145" name="Picture 622145"/>
                    <pic:cNvPicPr/>
                  </pic:nvPicPr>
                  <pic:blipFill>
                    <a:blip xmlns:r="http://schemas.openxmlformats.org/officeDocument/2006/relationships" r:embed="rId345"/>
                    <a:stretch>
                      <a:fillRect/>
                    </a:stretch>
                  </pic:blipFill>
                  <pic:spPr>
                    <a:xfrm>
                      <a:off x="0" y="0"/>
                      <a:ext cx="8921497" cy="4901184"/>
                    </a:xfrm>
                    <a:prstGeom prst="rect">
                      <a:avLst/>
                    </a:prstGeom>
                  </pic:spPr>
                </pic:pic>
              </a:graphicData>
            </a:graphic>
          </wp:inline>
        </w:drawing>
      </w:r>
    </w:p>
    <w:p w:rsidR="00FB0B24" w:rsidRPr="005B5CB6" w:rsidP="001512F6">
      <w:pPr>
        <w:spacing w:after="894" w:line="250" w:lineRule="auto"/>
        <w:ind w:left="23" w:right="11" w:hanging="8"/>
        <w:jc w:val="both"/>
        <w:rPr>
          <w:rFonts w:ascii="Verdana" w:hAnsi="Verdana"/>
        </w:rPr>
      </w:pPr>
      <w:r w:rsidRPr="005B5CB6">
        <w:rPr>
          <w:rFonts w:ascii="Verdana" w:eastAsia="Verdana" w:hAnsi="Verdana" w:cs="Verdana"/>
        </w:rPr>
        <w:t>FIGURE 1: Tweets per minute during the SONA, 12 February 2015 (local time) (only journalists and public figures have been identified by their Twitter account names for ethical reasons) (Source: Sorensen, forthcoming)</w:t>
      </w:r>
      <w:r w:rsidRPr="005B5CB6">
        <w:rPr>
          <w:rFonts w:ascii="Verdana" w:eastAsia="Verdana" w:hAnsi="Verdana" w:cs="Verdana"/>
          <w:b/>
        </w:rPr>
        <w:t xml:space="preserve"> </w:t>
      </w:r>
    </w:p>
    <w:p w:rsidR="00FB0B24" w:rsidRPr="005B5CB6" w:rsidP="001512F6">
      <w:pPr>
        <w:spacing w:after="0"/>
        <w:ind w:right="3"/>
        <w:jc w:val="both"/>
        <w:rPr>
          <w:rFonts w:ascii="Verdana" w:hAnsi="Verdana"/>
        </w:rPr>
      </w:pPr>
      <w:r w:rsidRPr="005B5CB6">
        <w:rPr>
          <w:rFonts w:ascii="Verdana" w:hAnsi="Verdana"/>
        </w:rPr>
        <w:t xml:space="preserve">7 </w:t>
      </w:r>
    </w:p>
    <w:p w:rsidR="00FB0B24" w:rsidRPr="005B5CB6" w:rsidP="001512F6">
      <w:pPr>
        <w:spacing w:after="0"/>
        <w:jc w:val="both"/>
        <w:rPr>
          <w:rFonts w:ascii="Verdana" w:hAnsi="Verdana"/>
        </w:rPr>
      </w:pPr>
      <w:r w:rsidRPr="005B5CB6">
        <w:rPr>
          <w:rFonts w:ascii="Verdana" w:hAnsi="Verdana"/>
        </w:rPr>
        <w:t xml:space="preserve"> </w:t>
      </w:r>
    </w:p>
    <w:p w:rsidR="00FB0B24" w:rsidRPr="005B5CB6" w:rsidP="001512F6">
      <w:pPr>
        <w:jc w:val="both"/>
        <w:rPr>
          <w:rFonts w:ascii="Verdana" w:hAnsi="Verdana"/>
        </w:rPr>
        <w:sectPr w:rsidSect="006562C6">
          <w:headerReference w:type="even" r:id="rId346"/>
          <w:headerReference w:type="default" r:id="rId347"/>
          <w:footerReference w:type="even" r:id="rId348"/>
          <w:footerReference w:type="default" r:id="rId349"/>
          <w:headerReference w:type="first" r:id="rId350"/>
          <w:footerReference w:type="first" r:id="rId351"/>
          <w:pgSz w:w="16838" w:h="11906" w:orient="landscape"/>
          <w:pgMar w:top="1434" w:right="1440" w:bottom="1440" w:left="1440" w:header="720" w:footer="720" w:gutter="0"/>
          <w:cols w:space="720"/>
        </w:sectPr>
      </w:pPr>
    </w:p>
    <w:p w:rsidR="00FB0B24" w:rsidRPr="005B5CB6" w:rsidP="00A1624B">
      <w:pPr>
        <w:pStyle w:val="Heading1"/>
        <w:rPr>
          <w:sz w:val="22"/>
        </w:rPr>
      </w:pPr>
      <w:bookmarkStart w:id="59" w:name="_Toc44517747"/>
      <w:r w:rsidRPr="005B5CB6">
        <w:rPr>
          <w:sz w:val="22"/>
        </w:rPr>
        <w:t>Frances Cairncross – written evidence (DAD0068)</w:t>
      </w:r>
      <w:bookmarkEnd w:id="59"/>
      <w:r w:rsidRPr="005B5CB6">
        <w:rPr>
          <w:sz w:val="22"/>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I am replying to the questions below on the basis of the contents and evidence to the Cairncross Review. I have generally not gone beyond the evidence received by the Review. I would urge the committee to read Chapter 5 of the Review, which tackles some of the issues below.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General </w:t>
      </w:r>
    </w:p>
    <w:p w:rsidR="00FB0B24" w:rsidRPr="005B5CB6" w:rsidP="00575F14">
      <w:pPr>
        <w:numPr>
          <w:ilvl w:val="0"/>
          <w:numId w:val="201"/>
        </w:numPr>
        <w:spacing w:after="5" w:line="249" w:lineRule="auto"/>
        <w:ind w:hanging="10"/>
        <w:jc w:val="both"/>
        <w:rPr>
          <w:rFonts w:ascii="Verdana" w:hAnsi="Verdana"/>
        </w:rPr>
      </w:pPr>
      <w:r w:rsidRPr="005B5CB6">
        <w:rPr>
          <w:rFonts w:ascii="Verdana" w:eastAsia="Verdana" w:hAnsi="Verdana" w:cs="Verdana"/>
          <w:b/>
        </w:rPr>
        <w:t xml:space="preserve">How has digital technology changed the way that democracy works in the UK and has this been a net positive or negative effect?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There is relatively little firm evidence. Work by Dr Martin Moore and Gordon Ramsay has drawn attention to the speed with which local and regional publishers are closing or consolidating geographically. The only serious attempt to measure the impact of this trend on democratic debate that the Review saw was a thesis by Dr Rachel Howells on the impact of retreating news coverage in Port Talbot. See http://orca.cf.ac.uk/87313/. There is also some research by American academics which is quoted in the Review.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01"/>
        </w:numPr>
        <w:spacing w:after="5" w:line="249" w:lineRule="auto"/>
        <w:ind w:hanging="10"/>
        <w:jc w:val="both"/>
        <w:rPr>
          <w:rFonts w:ascii="Verdana" w:hAnsi="Verdana"/>
        </w:rPr>
      </w:pPr>
      <w:r w:rsidRPr="005B5CB6">
        <w:rPr>
          <w:rFonts w:ascii="Verdana" w:eastAsia="Verdana" w:hAnsi="Verdana" w:cs="Verdana"/>
          <w:b/>
        </w:rPr>
        <w:t xml:space="preserve">How have the design of algorithms used by social media platforms shaped democratic debate? To what extent should there be greater accountability for the design of these algorithms?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Review argued (Recommendation 3) for a "news quality obligation" which would put the online platforms' efforts to improve their readers' news experience under regulatory supervision. In particular, a regulator would gather information on the steps online platforms are taking to improve people's awareness of the origins and quality of the news they read.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Education </w:t>
      </w:r>
    </w:p>
    <w:p w:rsidR="00FB0B24" w:rsidRPr="005B5CB6" w:rsidP="00575F14">
      <w:pPr>
        <w:numPr>
          <w:ilvl w:val="0"/>
          <w:numId w:val="201"/>
        </w:numPr>
        <w:spacing w:after="5" w:line="250" w:lineRule="auto"/>
        <w:ind w:hanging="10"/>
        <w:jc w:val="both"/>
        <w:rPr>
          <w:rFonts w:ascii="Verdana" w:hAnsi="Verdana"/>
        </w:rPr>
      </w:pPr>
      <w:r w:rsidRPr="005B5CB6">
        <w:rPr>
          <w:rFonts w:ascii="Verdana" w:eastAsia="Verdana" w:hAnsi="Verdana" w:cs="Verdana"/>
          <w:b/>
        </w:rPr>
        <w:t xml:space="preserve">What role should every stage of education play in helping to create a healthy, active, digitally literate democracy?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Review recommended that government should develop a media literacy strategy, working with Ofcom (which has a statutory duty to promote media literacy). It argued that it was particularly important to give adults, as well as children, media literacy skills. It pointed to evidence that many adults struggle to assess the reliability of the news they see online.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Online campaigning </w:t>
      </w:r>
    </w:p>
    <w:p w:rsidR="00FB0B24" w:rsidRPr="005B5CB6" w:rsidP="00575F14">
      <w:pPr>
        <w:numPr>
          <w:ilvl w:val="0"/>
          <w:numId w:val="201"/>
        </w:numPr>
        <w:spacing w:after="5" w:line="249" w:lineRule="auto"/>
        <w:ind w:hanging="10"/>
        <w:jc w:val="both"/>
        <w:rPr>
          <w:rFonts w:ascii="Verdana" w:hAnsi="Verdana"/>
        </w:rPr>
      </w:pPr>
      <w:r w:rsidRPr="005B5CB6">
        <w:rPr>
          <w:rFonts w:ascii="Verdana" w:eastAsia="Verdana" w:hAnsi="Verdana" w:cs="Verdana"/>
          <w:b/>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Review did not examine this issue, or the issues raised in questions 511 or 13-14.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 w:hanging="10"/>
        <w:jc w:val="both"/>
        <w:rPr>
          <w:rFonts w:ascii="Verdana" w:hAnsi="Verdana"/>
        </w:rPr>
      </w:pPr>
      <w:r w:rsidRPr="005B5CB6">
        <w:rPr>
          <w:rFonts w:ascii="Verdana" w:eastAsia="Verdana" w:hAnsi="Verdana" w:cs="Verdana"/>
          <w:b/>
        </w:rPr>
        <w:t xml:space="preserve">Technology and democratic engagement </w:t>
      </w:r>
    </w:p>
    <w:p w:rsidR="00FB0B24" w:rsidRPr="005B5CB6" w:rsidP="001512F6">
      <w:pPr>
        <w:spacing w:after="5" w:line="249" w:lineRule="auto"/>
        <w:ind w:left="-2" w:hanging="10"/>
        <w:jc w:val="both"/>
        <w:rPr>
          <w:rFonts w:ascii="Verdana" w:hAnsi="Verdana"/>
        </w:rPr>
      </w:pPr>
      <w:r w:rsidRPr="005B5CB6">
        <w:rPr>
          <w:rFonts w:ascii="Verdana" w:eastAsia="Verdana" w:hAnsi="Verdana" w:cs="Verdana"/>
          <w:b/>
        </w:rPr>
        <w:t xml:space="preserve">12. How could the Government better support the positive work of civil society organisations using technology to facilitate engagement with democratic processes?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The Review advocated the creation of an Institute for Public Interest News, which would work to ensure the future sustainability of publicinterest news. A grant of £2m has recently been awarded to Nesta (https://www.nesta.org.uk/blog/announcing-future-news-pilot-fund/) to explore ways to ensure that communities have access to "reliable and accurate news about the issues that matter most to them".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6562C6">
          <w:headerReference w:type="even" r:id="rId352"/>
          <w:headerReference w:type="default" r:id="rId353"/>
          <w:footerReference w:type="even" r:id="rId354"/>
          <w:footerReference w:type="default" r:id="rId355"/>
          <w:headerReference w:type="first" r:id="rId356"/>
          <w:footerReference w:type="first" r:id="rId357"/>
          <w:pgSz w:w="11906" w:h="16838"/>
          <w:pgMar w:top="1492" w:right="1805" w:bottom="1923" w:left="1800" w:header="720" w:footer="998" w:gutter="0"/>
          <w:cols w:space="720"/>
        </w:sectPr>
      </w:pPr>
    </w:p>
    <w:p w:rsidR="00FB0B24" w:rsidRPr="005B5CB6" w:rsidP="001512F6">
      <w:pPr>
        <w:spacing w:after="0"/>
        <w:ind w:left="50"/>
        <w:jc w:val="both"/>
        <w:rPr>
          <w:rFonts w:ascii="Verdana" w:hAnsi="Verdana"/>
        </w:rPr>
      </w:pPr>
      <w:r w:rsidRPr="005B5CB6">
        <w:rPr>
          <w:rFonts w:ascii="Verdana" w:hAnsi="Verdana"/>
          <w:color w:val="5B6770"/>
        </w:rPr>
        <w:t xml:space="preserve"> </w:t>
      </w:r>
    </w:p>
    <w:p w:rsidR="00FB0B24" w:rsidRPr="005B5CB6" w:rsidP="001512F6">
      <w:pPr>
        <w:spacing w:after="104"/>
        <w:jc w:val="both"/>
        <w:rPr>
          <w:rFonts w:ascii="Verdana" w:hAnsi="Verdana"/>
        </w:rPr>
      </w:pPr>
      <w:r w:rsidRPr="005B5CB6">
        <w:rPr>
          <w:rFonts w:ascii="Verdana" w:hAnsi="Verdana"/>
          <w:color w:val="5B6770"/>
        </w:rPr>
        <w:t xml:space="preserve"> </w:t>
      </w:r>
    </w:p>
    <w:p w:rsidR="00FB0B24" w:rsidRPr="005B5CB6" w:rsidP="00A1624B">
      <w:pPr>
        <w:pStyle w:val="Heading1"/>
        <w:rPr>
          <w:sz w:val="22"/>
        </w:rPr>
      </w:pPr>
      <w:bookmarkStart w:id="60" w:name="_Toc44517748"/>
      <w:r w:rsidRPr="005B5CB6">
        <w:rPr>
          <w:sz w:val="22"/>
        </w:rPr>
        <w:t>Institute for Strategic Dialogue – written evidence (DAD0069)</w:t>
      </w:r>
      <w:bookmarkEnd w:id="60"/>
      <w:r w:rsidRPr="005B5CB6">
        <w:rPr>
          <w:sz w:val="22"/>
        </w:rPr>
        <w:t xml:space="preserve"> </w:t>
      </w:r>
    </w:p>
    <w:p w:rsidR="00FB0B24" w:rsidRPr="005B5CB6" w:rsidP="001512F6">
      <w:pPr>
        <w:spacing w:after="259"/>
        <w:ind w:left="71"/>
        <w:jc w:val="both"/>
        <w:rPr>
          <w:rFonts w:ascii="Verdana" w:hAnsi="Verdana"/>
        </w:rPr>
      </w:pPr>
      <w:r w:rsidRPr="005B5CB6">
        <w:rPr>
          <w:rFonts w:ascii="Verdana" w:eastAsia="Verdana" w:hAnsi="Verdana" w:cs="Verdana"/>
          <w:b/>
          <w:color w:val="5B6770"/>
        </w:rPr>
        <w:t xml:space="preserve"> </w:t>
      </w:r>
    </w:p>
    <w:p w:rsidR="00FB0B24" w:rsidRPr="005B5CB6" w:rsidP="001512F6">
      <w:pPr>
        <w:spacing w:after="270" w:line="250" w:lineRule="auto"/>
        <w:ind w:left="11" w:hanging="10"/>
        <w:jc w:val="both"/>
        <w:rPr>
          <w:rFonts w:ascii="Verdana" w:hAnsi="Verdana"/>
        </w:rPr>
      </w:pPr>
      <w:r w:rsidRPr="005B5CB6">
        <w:rPr>
          <w:rFonts w:ascii="Verdana" w:eastAsia="Verdana" w:hAnsi="Verdana" w:cs="Verdana"/>
          <w:b/>
        </w:rPr>
        <w:t xml:space="preserve">2) How has the design of algorithms used by social media platforms shaped democratic debate? To what extent should there be more accountability for the design of these algorithms?  </w:t>
      </w:r>
    </w:p>
    <w:p w:rsidR="00FB0B24" w:rsidRPr="005B5CB6" w:rsidP="00575F14">
      <w:pPr>
        <w:numPr>
          <w:ilvl w:val="0"/>
          <w:numId w:val="202"/>
        </w:numPr>
        <w:spacing w:after="5" w:line="249" w:lineRule="auto"/>
        <w:ind w:left="361" w:right="12" w:hanging="360"/>
        <w:jc w:val="both"/>
        <w:rPr>
          <w:rFonts w:ascii="Verdana" w:hAnsi="Verdana"/>
        </w:rPr>
      </w:pPr>
      <w:r w:rsidRPr="005B5CB6">
        <w:rPr>
          <w:rFonts w:ascii="Verdana" w:eastAsia="Verdana" w:hAnsi="Verdana" w:cs="Verdana"/>
        </w:rPr>
        <w:t>There remains significant concern that platform architectures contribute to negative outcomes. Central to this concern is that the algorithms dictating a users’ experience and journey have led to unintended consequences, and have been challenging to effectively scrutinise or evaluate. Researchers are only starting to develop an understanding of those unintended negative effects, such as the promotion of hate speech or polarizing an already divisive political culture, thanks to the contributions of former platform insiders in charge of developing platform AI. For example, Guillaume Chaslot helped shed light on how it was possible for the YouTube recommendation algorithm to steer users towards “terrorist content, foreign state-sponsored propaganda, extreme hatred, softcore zoophilia, inappropriate kids content, and innumerable conspiracy theories”.</w:t>
      </w:r>
      <w:r>
        <w:rPr>
          <w:rFonts w:ascii="Verdana" w:eastAsia="Verdana" w:hAnsi="Verdana" w:cs="Verdana"/>
          <w:vertAlign w:val="superscript"/>
        </w:rPr>
        <w:footnoteReference w:id="301"/>
      </w:r>
      <w:r w:rsidRPr="005B5CB6">
        <w:rPr>
          <w:rFonts w:ascii="Verdana" w:eastAsia="Verdana" w:hAnsi="Verdana" w:cs="Verdana"/>
        </w:rPr>
        <w:t xml:space="preserve"> </w:t>
      </w:r>
    </w:p>
    <w:p w:rsidR="00FB0B24" w:rsidRPr="005B5CB6" w:rsidP="00575F14">
      <w:pPr>
        <w:numPr>
          <w:ilvl w:val="0"/>
          <w:numId w:val="202"/>
        </w:numPr>
        <w:spacing w:after="5" w:line="249" w:lineRule="auto"/>
        <w:ind w:left="361" w:right="12" w:hanging="360"/>
        <w:jc w:val="both"/>
        <w:rPr>
          <w:rFonts w:ascii="Verdana" w:hAnsi="Verdana"/>
        </w:rPr>
      </w:pPr>
      <w:r w:rsidRPr="005B5CB6">
        <w:rPr>
          <w:rFonts w:ascii="Verdana" w:eastAsia="Verdana" w:hAnsi="Verdana" w:cs="Verdana"/>
        </w:rPr>
        <w:t>As a result, there is a need to establish new systems for oversight and/or auditing of algorithmic decision-making. Existing efforts in this area are already underway, such as those between academia and the private sector to allow external researchers to analyse information amassed by companies to address societal issues are of course important. These efforts have been challenging to set up, have yet to prove themselves, and are limited in scope.</w:t>
      </w:r>
      <w:r w:rsidRPr="005B5CB6">
        <w:rPr>
          <w:rFonts w:ascii="Verdana" w:eastAsia="Verdana" w:hAnsi="Verdana" w:cs="Verdana"/>
          <w:vertAlign w:val="superscript"/>
        </w:rPr>
        <w:t>2</w:t>
      </w:r>
      <w:r w:rsidRPr="005B5CB6">
        <w:rPr>
          <w:rFonts w:ascii="Verdana" w:eastAsia="Verdana" w:hAnsi="Verdana" w:cs="Verdana"/>
        </w:rPr>
        <w:t xml:space="preserve">  </w:t>
      </w:r>
    </w:p>
    <w:p w:rsidR="00FB0B24" w:rsidRPr="005B5CB6" w:rsidP="00575F14">
      <w:pPr>
        <w:numPr>
          <w:ilvl w:val="0"/>
          <w:numId w:val="202"/>
        </w:numPr>
        <w:spacing w:after="5" w:line="250" w:lineRule="auto"/>
        <w:ind w:left="361" w:right="12" w:hanging="360"/>
        <w:jc w:val="both"/>
        <w:rPr>
          <w:rFonts w:ascii="Verdana" w:hAnsi="Verdana"/>
        </w:rPr>
      </w:pPr>
      <w:r w:rsidRPr="005B5CB6">
        <w:rPr>
          <w:rFonts w:ascii="Verdana" w:eastAsia="Verdana" w:hAnsi="Verdana" w:cs="Verdana"/>
        </w:rPr>
        <w:t xml:space="preserve">We proposed the following method for auditing algorithmic systems: </w:t>
      </w:r>
    </w:p>
    <w:p w:rsidR="00FB0B24" w:rsidRPr="005B5CB6" w:rsidP="00575F14">
      <w:pPr>
        <w:numPr>
          <w:ilvl w:val="1"/>
          <w:numId w:val="202"/>
        </w:numPr>
        <w:spacing w:after="5" w:line="249" w:lineRule="auto"/>
        <w:ind w:right="12" w:hanging="360"/>
        <w:jc w:val="both"/>
        <w:rPr>
          <w:rFonts w:ascii="Verdana" w:hAnsi="Verdana"/>
        </w:rPr>
      </w:pPr>
      <w:r w:rsidRPr="005B5CB6">
        <w:rPr>
          <w:rFonts w:ascii="Verdana" w:eastAsia="Verdana" w:hAnsi="Verdana" w:cs="Verdana"/>
        </w:rPr>
        <w:t xml:space="preserve">Examine the purpose, constitution, and policies of the systems, and interview those who build and interact with different parts of that system, and observe how people use the system. </w:t>
      </w:r>
    </w:p>
    <w:p w:rsidR="00FB0B24" w:rsidRPr="005B5CB6" w:rsidP="00575F14">
      <w:pPr>
        <w:numPr>
          <w:ilvl w:val="1"/>
          <w:numId w:val="202"/>
        </w:numPr>
        <w:spacing w:after="5" w:line="249" w:lineRule="auto"/>
        <w:ind w:right="12" w:hanging="360"/>
        <w:jc w:val="both"/>
        <w:rPr>
          <w:rFonts w:ascii="Verdana" w:hAnsi="Verdana"/>
        </w:rPr>
      </w:pPr>
      <w:r w:rsidRPr="005B5CB6">
        <w:rPr>
          <w:rFonts w:ascii="Verdana" w:eastAsia="Verdana" w:hAnsi="Verdana" w:cs="Verdana"/>
        </w:rPr>
        <w:t xml:space="preserve">Identify and assess what data was used to train the algorithm, how it was collected, and whether it is enriched with other data sources, and whether that data changed over time. </w:t>
      </w:r>
    </w:p>
    <w:p w:rsidR="00FB0B24" w:rsidRPr="005B5CB6" w:rsidP="00575F14">
      <w:pPr>
        <w:numPr>
          <w:ilvl w:val="1"/>
          <w:numId w:val="202"/>
        </w:numPr>
        <w:spacing w:after="5" w:line="250" w:lineRule="auto"/>
        <w:ind w:right="12" w:hanging="360"/>
        <w:jc w:val="both"/>
        <w:rPr>
          <w:rFonts w:ascii="Verdana" w:hAnsi="Verdana"/>
        </w:rPr>
      </w:pPr>
      <w:r w:rsidRPr="005B5CB6">
        <w:rPr>
          <w:rFonts w:ascii="Verdana" w:eastAsia="Verdana" w:hAnsi="Verdana" w:cs="Verdana"/>
        </w:rPr>
        <w:t xml:space="preserve">Examine the model itself including considering the processing flow and the type of supervisory or monitoring mechanism used.  </w:t>
      </w:r>
    </w:p>
    <w:p w:rsidR="00FB0B24" w:rsidRPr="005B5CB6" w:rsidP="00575F14">
      <w:pPr>
        <w:numPr>
          <w:ilvl w:val="1"/>
          <w:numId w:val="202"/>
        </w:numPr>
        <w:spacing w:after="5" w:line="249" w:lineRule="auto"/>
        <w:ind w:right="12" w:hanging="360"/>
        <w:jc w:val="both"/>
        <w:rPr>
          <w:rFonts w:ascii="Verdana" w:hAnsi="Verdana"/>
        </w:rPr>
      </w:pPr>
      <w:r w:rsidRPr="005B5CB6">
        <w:rPr>
          <w:rFonts w:ascii="Verdana" w:eastAsia="Verdana" w:hAnsi="Verdana" w:cs="Verdana"/>
        </w:rPr>
        <w:t xml:space="preserve">Undertake a code review or “white-box testing” to analyse the source code, or the statistical models in use, including how different inputs are weighted. </w:t>
      </w:r>
    </w:p>
    <w:p w:rsidR="00FB0B24" w:rsidRPr="005B5CB6" w:rsidP="00575F14">
      <w:pPr>
        <w:numPr>
          <w:ilvl w:val="1"/>
          <w:numId w:val="202"/>
        </w:numPr>
        <w:spacing w:after="5" w:line="249" w:lineRule="auto"/>
        <w:ind w:right="12" w:hanging="360"/>
        <w:jc w:val="both"/>
        <w:rPr>
          <w:rFonts w:ascii="Verdana" w:hAnsi="Verdana"/>
        </w:rPr>
      </w:pPr>
      <w:r w:rsidRPr="005B5CB6">
        <w:rPr>
          <w:rFonts w:ascii="Verdana" w:eastAsia="Verdana" w:hAnsi="Verdana" w:cs="Verdana"/>
        </w:rPr>
        <w:t xml:space="preserve">Run controlled experiments over time to determine if the algorithms subject to their review are producing unintended consequences that harm the public interest.  </w:t>
      </w:r>
    </w:p>
    <w:p w:rsidR="00FB0B24" w:rsidRPr="005B5CB6" w:rsidP="00575F14">
      <w:pPr>
        <w:numPr>
          <w:ilvl w:val="1"/>
          <w:numId w:val="202"/>
        </w:numPr>
        <w:spacing w:after="299" w:line="249" w:lineRule="auto"/>
        <w:ind w:right="12" w:hanging="360"/>
        <w:jc w:val="both"/>
        <w:rPr>
          <w:rFonts w:ascii="Verdana" w:hAnsi="Verdana"/>
        </w:rPr>
      </w:pPr>
      <w:r w:rsidRPr="005B5CB6">
        <w:rPr>
          <w:rFonts w:ascii="Verdana" w:eastAsia="Verdana" w:hAnsi="Verdana" w:cs="Verdana"/>
        </w:rPr>
        <w:t xml:space="preserve">Include technologists who are able to advise to develop policies and procedures on how such an audit should take place as well as </w:t>
      </w:r>
      <w:r w:rsidRPr="005B5CB6">
        <w:rPr>
          <w:rFonts w:ascii="Verdana" w:eastAsia="Verdana" w:hAnsi="Verdana" w:cs="Verdana"/>
        </w:rPr>
        <w:t xml:space="preserve">undertaking the audit, and include external experts as consultants or fellows to assist with particularly complex or novel issues.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10668"/>
                <wp:effectExtent l="0" t="0" r="0" b="0"/>
                <wp:docPr id="577997" name="Group 57799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68"/>
                          <a:chOff x="0" y="0"/>
                          <a:chExt cx="1828800" cy="10668"/>
                        </a:xfrm>
                      </wpg:grpSpPr>
                      <wps:wsp xmlns:wps="http://schemas.microsoft.com/office/word/2010/wordprocessingShape">
                        <wps:cNvPr id="636207" name="Shape 636207"/>
                        <wps:cNvSpPr/>
                        <wps:spPr>
                          <a:xfrm>
                            <a:off x="0" y="0"/>
                            <a:ext cx="1828800" cy="10668"/>
                          </a:xfrm>
                          <a:custGeom>
                            <a:avLst/>
                            <a:gdLst/>
                            <a:ahLst/>
                            <a:cxnLst/>
                            <a:rect l="0" t="0" r="0" b="0"/>
                            <a:pathLst>
                              <a:path w="1828800" h="10668">
                                <a:moveTo>
                                  <a:pt x="0" y="0"/>
                                </a:moveTo>
                                <a:lnTo>
                                  <a:pt x="1828800" y="0"/>
                                </a:lnTo>
                                <a:lnTo>
                                  <a:pt x="1828800" y="10668"/>
                                </a:lnTo>
                                <a:lnTo>
                                  <a:pt x="0" y="10668"/>
                                </a:lnTo>
                                <a:lnTo>
                                  <a:pt x="0" y="0"/>
                                </a:lnTo>
                              </a:path>
                            </a:pathLst>
                          </a:custGeom>
                          <a:ln w="0" cap="flat">
                            <a:miter lim="127000"/>
                          </a:ln>
                        </wps:spPr>
                        <wps:style>
                          <a:lnRef idx="0">
                            <a:srgbClr val="000000">
                              <a:alpha val="0"/>
                            </a:srgbClr>
                          </a:lnRef>
                          <a:fillRef idx="1">
                            <a:srgbClr val="5B6770"/>
                          </a:fillRef>
                          <a:effectRef idx="0">
                            <a:scrgbClr r="0" g="0" b="0"/>
                          </a:effectRef>
                          <a:fontRef idx="none"/>
                        </wps:style>
                        <wps:bodyPr/>
                      </wps:wsp>
                    </wpg:wgp>
                  </a:graphicData>
                </a:graphic>
              </wp:inline>
            </w:drawing>
          </mc:Choice>
          <mc:Fallback>
            <w:pict>
              <v:group id="_x0000_i1313" style="height:0.84pt;mso-position-horizontal-relative:char;mso-position-vertical-relative:line;width:2in" coordsize="18288,106">
                <v:shape id="_x0000_s1314" style="height:106;position:absolute;width:18288" coordsize="1828800,10668" path="m,l1828800,l1828800,10668l,10668l,e">
                  <v:stroke joinstyle="miter" endcap="flat" opacity="0"/>
                </v:shape>
                <w10:wrap type="none"/>
              </v:group>
            </w:pict>
          </mc:Fallback>
        </mc:AlternateContent>
      </w:r>
      <w:r w:rsidRPr="005B5CB6">
        <w:rPr>
          <w:rFonts w:ascii="Verdana" w:hAnsi="Verdana"/>
          <w:color w:val="5B6770"/>
        </w:rPr>
        <w:t xml:space="preserve"> </w:t>
      </w:r>
    </w:p>
    <w:p w:rsidR="00FB0B24" w:rsidRPr="005B5CB6" w:rsidP="00575F14">
      <w:pPr>
        <w:numPr>
          <w:ilvl w:val="1"/>
          <w:numId w:val="202"/>
        </w:numPr>
        <w:spacing w:after="5" w:line="250" w:lineRule="auto"/>
        <w:ind w:right="12" w:hanging="360"/>
        <w:jc w:val="both"/>
        <w:rPr>
          <w:rFonts w:ascii="Verdana" w:hAnsi="Verdana"/>
        </w:rPr>
      </w:pPr>
      <w:r w:rsidRPr="005B5CB6">
        <w:rPr>
          <w:rFonts w:ascii="Verdana" w:eastAsia="Verdana" w:hAnsi="Verdana" w:cs="Verdana"/>
        </w:rPr>
        <w:t xml:space="preserve">Draw on efforts already underway by the Information Commissioner’s Office to create an AI auditing framework for data protection. </w:t>
      </w:r>
    </w:p>
    <w:p w:rsidR="00FB0B24" w:rsidRPr="005B5CB6" w:rsidP="00575F14">
      <w:pPr>
        <w:numPr>
          <w:ilvl w:val="1"/>
          <w:numId w:val="202"/>
        </w:numPr>
        <w:spacing w:after="270" w:line="249" w:lineRule="auto"/>
        <w:ind w:right="12" w:hanging="360"/>
        <w:jc w:val="both"/>
        <w:rPr>
          <w:rFonts w:ascii="Verdana" w:hAnsi="Verdana"/>
        </w:rPr>
      </w:pPr>
      <w:r w:rsidRPr="005B5CB6">
        <w:rPr>
          <w:rFonts w:ascii="Verdana" w:eastAsia="Verdana" w:hAnsi="Verdana" w:cs="Verdana"/>
        </w:rPr>
        <w:t xml:space="preserve">Conduct open and transparent research, with continuing consultation with civil society, industry and academia to jointly pool expertise to establish best practice in this new area. It is envisaged that processes could be co-constructed with external stakeholders and that this approach would be continuously developing, and responsive to the changing technological landscape.   </w:t>
      </w:r>
    </w:p>
    <w:p w:rsidR="00FB0B24" w:rsidRPr="005B5CB6" w:rsidP="001512F6">
      <w:pPr>
        <w:spacing w:after="270" w:line="250" w:lineRule="auto"/>
        <w:ind w:left="11" w:hanging="10"/>
        <w:jc w:val="both"/>
        <w:rPr>
          <w:rFonts w:ascii="Verdana" w:hAnsi="Verdana"/>
        </w:rPr>
      </w:pPr>
      <w:r w:rsidRPr="005B5CB6">
        <w:rPr>
          <w:rFonts w:ascii="Verdana" w:eastAsia="Verdana" w:hAnsi="Verdana" w:cs="Verdana"/>
          <w:b/>
        </w:rPr>
        <w:t xml:space="preserve">3) What role should education play in helping create a healthy, active and digitally literate democracy?  </w:t>
      </w:r>
    </w:p>
    <w:p w:rsidR="00FB0B24" w:rsidRPr="005B5CB6" w:rsidP="00575F14">
      <w:pPr>
        <w:numPr>
          <w:ilvl w:val="0"/>
          <w:numId w:val="203"/>
        </w:numPr>
        <w:spacing w:after="5" w:line="249" w:lineRule="auto"/>
        <w:ind w:left="361" w:right="12" w:hanging="360"/>
        <w:jc w:val="both"/>
        <w:rPr>
          <w:rFonts w:ascii="Verdana" w:hAnsi="Verdana"/>
        </w:rPr>
      </w:pPr>
      <w:r w:rsidRPr="005B5CB6">
        <w:rPr>
          <w:rFonts w:ascii="Verdana" w:eastAsia="Verdana" w:hAnsi="Verdana" w:cs="Verdana"/>
        </w:rPr>
        <w:t xml:space="preserve">The government should play a key role in education and public awareness activities, supported through revenues raised via a new digital tax on online services. Overall, the public requires simple, common and consistent language and indicators across the online environment to help inform their choices and improve their understanding of the products they use, the spaces in which they participate, and their rights, responsibilities, and options for redress. This could include the development of a ‘highway code’ type system for the online environment, including commonly understood symbols designating the types of spaces found online, and the relevant rules and regulations that apply, supported by public awareness campaigns and clear guidance, and potentially online training modules.  </w:t>
      </w:r>
    </w:p>
    <w:p w:rsidR="00FB0B24" w:rsidRPr="005B5CB6" w:rsidP="00575F14">
      <w:pPr>
        <w:numPr>
          <w:ilvl w:val="0"/>
          <w:numId w:val="203"/>
        </w:numPr>
        <w:spacing w:after="5" w:line="249" w:lineRule="auto"/>
        <w:ind w:left="361" w:right="12" w:hanging="360"/>
        <w:jc w:val="both"/>
        <w:rPr>
          <w:rFonts w:ascii="Verdana" w:hAnsi="Verdana"/>
        </w:rPr>
      </w:pPr>
      <w:r w:rsidRPr="005B5CB6">
        <w:rPr>
          <w:rFonts w:ascii="Verdana" w:eastAsia="Verdana" w:hAnsi="Verdana" w:cs="Verdana"/>
        </w:rPr>
        <w:t xml:space="preserve">Additionally, those with the influence to support users in becoming empowered digital citizens have a responsibility to do so. Technology companies, governments, educators, parents and civil society actors need to work together in order to keep pace with the changes to the digital world and update the education system accordingly. While there is broad recognition of the need to build digital literacy skills and knowledge, stakeholders must go beyond developing digital literacy and focus on the norms and behaviour that comprise digital citizenship.  </w:t>
      </w:r>
    </w:p>
    <w:p w:rsidR="00FB0B24" w:rsidRPr="005B5CB6" w:rsidP="00575F14">
      <w:pPr>
        <w:numPr>
          <w:ilvl w:val="0"/>
          <w:numId w:val="203"/>
        </w:numPr>
        <w:spacing w:after="5" w:line="249" w:lineRule="auto"/>
        <w:ind w:left="361" w:right="12" w:hanging="360"/>
        <w:jc w:val="both"/>
        <w:rPr>
          <w:rFonts w:ascii="Verdana" w:hAnsi="Verdana"/>
        </w:rPr>
      </w:pPr>
      <w:r w:rsidRPr="005B5CB6">
        <w:rPr>
          <w:rFonts w:ascii="Verdana" w:eastAsia="Verdana" w:hAnsi="Verdana" w:cs="Verdana"/>
        </w:rPr>
        <w:t xml:space="preserve">The following recommendations focus on how further collaboration between stakeholders can empower young people to improve their online communities as good digital citizens:  </w:t>
      </w:r>
    </w:p>
    <w:p w:rsidR="00FB0B24" w:rsidRPr="005B5CB6" w:rsidP="00575F14">
      <w:pPr>
        <w:numPr>
          <w:ilvl w:val="1"/>
          <w:numId w:val="203"/>
        </w:numPr>
        <w:spacing w:after="5" w:line="250" w:lineRule="auto"/>
        <w:ind w:right="12" w:hanging="360"/>
        <w:jc w:val="both"/>
        <w:rPr>
          <w:rFonts w:ascii="Verdana" w:hAnsi="Verdana"/>
        </w:rPr>
      </w:pPr>
      <w:r w:rsidRPr="005B5CB6">
        <w:rPr>
          <w:rFonts w:ascii="Verdana" w:eastAsia="Verdana" w:hAnsi="Verdana" w:cs="Verdana"/>
        </w:rPr>
        <w:t xml:space="preserve">The UK Government should define and standardise digital citizenship to enable educators to understand what it is and recognise its importance. The Government’s recent proposals for a media literacy strategy should sit at the heart of a wider drive to increase digital citizenship learning. </w:t>
      </w:r>
    </w:p>
    <w:p w:rsidR="00FB0B24" w:rsidRPr="005B5CB6" w:rsidP="00575F14">
      <w:pPr>
        <w:numPr>
          <w:ilvl w:val="1"/>
          <w:numId w:val="203"/>
        </w:numPr>
        <w:spacing w:after="5" w:line="249" w:lineRule="auto"/>
        <w:ind w:right="12" w:hanging="360"/>
        <w:jc w:val="both"/>
        <w:rPr>
          <w:rFonts w:ascii="Verdana" w:hAnsi="Verdana"/>
        </w:rPr>
      </w:pPr>
      <w:r w:rsidRPr="005B5CB6">
        <w:rPr>
          <w:rFonts w:ascii="Verdana" w:eastAsia="Verdana" w:hAnsi="Verdana" w:cs="Verdana"/>
        </w:rPr>
        <w:t xml:space="preserve">Digital citizenship should be embedded into the national curriculum, with more specific guidance and training for practitioners on how best to teach it, and through which programme of study it would most effectively be taught. Government should encourage and support school and youth centre leaders to train their staff to deliver digital citizenship learning effectively, combining this training within initial teacher </w:t>
      </w:r>
      <w:r w:rsidRPr="005B5CB6">
        <w:rPr>
          <w:rFonts w:ascii="Verdana" w:eastAsia="Verdana" w:hAnsi="Verdana" w:cs="Verdana"/>
        </w:rPr>
        <w:t xml:space="preserve">training, continuous professional development and youth worker training.  </w:t>
      </w:r>
    </w:p>
    <w:p w:rsidR="00FB0B24" w:rsidRPr="005B5CB6" w:rsidP="00575F14">
      <w:pPr>
        <w:numPr>
          <w:ilvl w:val="1"/>
          <w:numId w:val="203"/>
        </w:numPr>
        <w:spacing w:after="5" w:line="250" w:lineRule="auto"/>
        <w:ind w:right="12" w:hanging="360"/>
        <w:jc w:val="both"/>
        <w:rPr>
          <w:rFonts w:ascii="Verdana" w:hAnsi="Verdana"/>
        </w:rPr>
      </w:pPr>
      <w:r w:rsidRPr="005B5CB6">
        <w:rPr>
          <w:rFonts w:ascii="Verdana" w:eastAsia="Verdana" w:hAnsi="Verdana" w:cs="Verdana"/>
        </w:rPr>
        <w:t xml:space="preserve">All stakeholders in digital education should co-ordinate more effectively to ensure teaching and learning keeps pace with changes in technology and reflects the nature of contemporary online harms.  </w:t>
      </w:r>
    </w:p>
    <w:p w:rsidR="00FB0B24" w:rsidRPr="005B5CB6" w:rsidP="00575F14">
      <w:pPr>
        <w:numPr>
          <w:ilvl w:val="1"/>
          <w:numId w:val="203"/>
        </w:numPr>
        <w:spacing w:after="5" w:line="249" w:lineRule="auto"/>
        <w:ind w:right="12" w:hanging="360"/>
        <w:jc w:val="both"/>
        <w:rPr>
          <w:rFonts w:ascii="Verdana" w:hAnsi="Verdana"/>
        </w:rPr>
      </w:pPr>
      <w:r w:rsidRPr="005B5CB6">
        <w:rPr>
          <w:rFonts w:ascii="Verdana" w:eastAsia="Verdana" w:hAnsi="Verdana" w:cs="Verdana"/>
        </w:rPr>
        <w:t xml:space="preserve">Digital citizenship education models should be tailored for delivery in informal education contexts, where in-depth conversations and inspiring practitioners can effect positive behavioural change online.  </w:t>
      </w:r>
    </w:p>
    <w:p w:rsidR="00FB0B24" w:rsidRPr="005B5CB6" w:rsidP="00575F14">
      <w:pPr>
        <w:numPr>
          <w:ilvl w:val="1"/>
          <w:numId w:val="203"/>
        </w:numPr>
        <w:spacing w:after="270" w:line="249" w:lineRule="auto"/>
        <w:ind w:right="12" w:hanging="360"/>
        <w:jc w:val="both"/>
        <w:rPr>
          <w:rFonts w:ascii="Verdana" w:hAnsi="Verdana"/>
        </w:rPr>
      </w:pPr>
      <w:r w:rsidRPr="005B5CB6">
        <w:rPr>
          <w:rFonts w:ascii="Verdana" w:eastAsia="Verdana" w:hAnsi="Verdana" w:cs="Verdana"/>
        </w:rPr>
        <w:t xml:space="preserve">The UK Government should give schools adequate guidance on how to embed digital citizenship across the key stages, to ensure that gaps do not emerge in students’ learning and that key knowledge and skills are developed each year.  </w:t>
      </w:r>
    </w:p>
    <w:p w:rsidR="00FB0B24" w:rsidRPr="005B5CB6" w:rsidP="00575F14">
      <w:pPr>
        <w:numPr>
          <w:ilvl w:val="0"/>
          <w:numId w:val="204"/>
        </w:numPr>
        <w:spacing w:after="273" w:line="249" w:lineRule="auto"/>
        <w:ind w:hanging="10"/>
        <w:jc w:val="both"/>
        <w:rPr>
          <w:rFonts w:ascii="Verdana" w:hAnsi="Verdana"/>
        </w:rPr>
      </w:pPr>
      <w:r w:rsidRPr="005B5CB6">
        <w:rPr>
          <w:rFonts w:ascii="Verdana" w:eastAsia="Verdana" w:hAnsi="Verdana" w:cs="Verdana"/>
          <w:b/>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575F14">
      <w:pPr>
        <w:numPr>
          <w:ilvl w:val="0"/>
          <w:numId w:val="204"/>
        </w:numPr>
        <w:spacing w:after="270" w:line="250" w:lineRule="auto"/>
        <w:ind w:hanging="10"/>
        <w:jc w:val="both"/>
        <w:rPr>
          <w:rFonts w:ascii="Verdana" w:hAnsi="Verdana"/>
        </w:rPr>
      </w:pPr>
      <w:r w:rsidRPr="005B5CB6">
        <w:rPr>
          <w:rFonts w:ascii="Verdana" w:eastAsia="Verdana" w:hAnsi="Verdana" w:cs="Verdana"/>
          <w:b/>
        </w:rPr>
        <w:t xml:space="preserve">What effect does online targeted advertising have on the political process, and what effects could it have in the future? Should there be additional regulation of political advertising? </w:t>
      </w:r>
    </w:p>
    <w:p w:rsidR="00FB0B24" w:rsidRPr="005B5CB6" w:rsidP="00575F14">
      <w:pPr>
        <w:numPr>
          <w:ilvl w:val="0"/>
          <w:numId w:val="205"/>
        </w:numPr>
        <w:spacing w:after="5" w:line="249" w:lineRule="auto"/>
        <w:ind w:left="361" w:right="12" w:hanging="360"/>
        <w:jc w:val="both"/>
        <w:rPr>
          <w:rFonts w:ascii="Verdana" w:hAnsi="Verdana"/>
        </w:rPr>
      </w:pPr>
      <w:r w:rsidRPr="005B5CB6">
        <w:rPr>
          <w:rFonts w:ascii="Verdana" w:eastAsia="Verdana" w:hAnsi="Verdana" w:cs="Verdana"/>
        </w:rPr>
        <w:t xml:space="preserve">Recent years have seen an explosion in data which can be used to target advertising, including location, IP, browsing data, and information collected from devices and wearables. The next few years are likely to see a move to increasingly automated marketing, where valuable individuals or groups are tracked, measured and targeted by machines, potentially using machinegenerated content. There are major risks associated with the use of this kind of data for advertising.   </w:t>
      </w:r>
    </w:p>
    <w:p w:rsidR="00FB0B24" w:rsidRPr="005B5CB6" w:rsidP="00575F14">
      <w:pPr>
        <w:numPr>
          <w:ilvl w:val="0"/>
          <w:numId w:val="205"/>
        </w:numPr>
        <w:spacing w:after="5" w:line="249" w:lineRule="auto"/>
        <w:ind w:left="361" w:right="12" w:hanging="360"/>
        <w:jc w:val="both"/>
        <w:rPr>
          <w:rFonts w:ascii="Verdana" w:hAnsi="Verdana"/>
        </w:rPr>
      </w:pPr>
      <w:r w:rsidRPr="005B5CB6">
        <w:rPr>
          <w:rFonts w:ascii="Verdana" w:eastAsia="Verdana" w:hAnsi="Verdana" w:cs="Verdana"/>
        </w:rPr>
        <w:t>This risk is most prominent in political advertising. Elections are becoming increasingly ‘datafied’, with advertising and marketing techniques being offered by a network of private contractors and data analysts, offering cuttingedge methods for audience segmentation and targeting to political parties all over the world.</w:t>
      </w:r>
      <w:r>
        <w:rPr>
          <w:rFonts w:ascii="Verdana" w:eastAsia="Verdana" w:hAnsi="Verdana" w:cs="Verdana"/>
          <w:vertAlign w:val="superscript"/>
        </w:rPr>
        <w:footnoteReference w:id="302"/>
      </w:r>
      <w:r w:rsidRPr="005B5CB6">
        <w:rPr>
          <w:rFonts w:ascii="Verdana" w:eastAsia="Verdana" w:hAnsi="Verdana" w:cs="Verdana"/>
        </w:rPr>
        <w:t xml:space="preserve"> Questions of user consent, knowledge and privacy have not been answered, and accountability and visibility of this kind of advertising is not adequate.  </w:t>
      </w:r>
    </w:p>
    <w:p w:rsidR="00FB0B24" w:rsidRPr="005B5CB6" w:rsidP="00575F14">
      <w:pPr>
        <w:numPr>
          <w:ilvl w:val="0"/>
          <w:numId w:val="205"/>
        </w:numPr>
        <w:spacing w:after="5" w:line="249" w:lineRule="auto"/>
        <w:ind w:left="361" w:right="12" w:hanging="360"/>
        <w:jc w:val="both"/>
        <w:rPr>
          <w:rFonts w:ascii="Verdana" w:hAnsi="Verdana"/>
        </w:rPr>
      </w:pPr>
      <w:r w:rsidRPr="005B5CB6">
        <w:rPr>
          <w:rFonts w:ascii="Verdana" w:eastAsia="Verdana" w:hAnsi="Verdana" w:cs="Verdana"/>
        </w:rPr>
        <w:t xml:space="preserve">It is of central importance that governments, civil society and the public are able to better understand the ways in which the internet is impacting society and democracy in order to better to encourage its positive effects and to curb negative externalities. These kinds of decisions require evidence: transparency is the tool through which this evidence can be gathered. Recent efforts by platforms to increase transparency around advertising have been inadequate. Statements by the European Commission earlier this year have underlined the need for further effort by platforms to make advertising data available to scrutiny.  </w:t>
      </w:r>
    </w:p>
    <w:p w:rsidR="00FB0B24" w:rsidRPr="005B5CB6" w:rsidP="001512F6">
      <w:pPr>
        <w:spacing w:after="5" w:line="249" w:lineRule="auto"/>
        <w:ind w:left="361" w:right="12" w:hanging="360"/>
        <w:jc w:val="both"/>
        <w:rPr>
          <w:rFonts w:ascii="Verdana" w:hAnsi="Verdana"/>
        </w:rPr>
      </w:pPr>
      <w:r w:rsidRPr="005B5CB6">
        <w:rPr>
          <w:rFonts w:ascii="Verdana" w:eastAsia="Verdana" w:hAnsi="Verdana" w:cs="Verdana"/>
        </w:rPr>
        <w:t xml:space="preserve">10.Good models for transparency exist, and should be used by the government as best practice when thinking about the wider online ecosystem and the future of expectations for transparency online.  </w:t>
      </w:r>
    </w:p>
    <w:p w:rsidR="00FB0B24" w:rsidRPr="005B5CB6" w:rsidP="00575F14">
      <w:pPr>
        <w:numPr>
          <w:ilvl w:val="1"/>
          <w:numId w:val="205"/>
        </w:numPr>
        <w:spacing w:after="5" w:line="249" w:lineRule="auto"/>
        <w:ind w:left="1080" w:right="12" w:hanging="360"/>
        <w:jc w:val="both"/>
        <w:rPr>
          <w:rFonts w:ascii="Verdana" w:hAnsi="Verdana"/>
        </w:rPr>
      </w:pPr>
      <w:r w:rsidRPr="005B5CB6">
        <w:rPr>
          <w:rFonts w:ascii="Verdana" w:eastAsia="Verdana" w:hAnsi="Verdana" w:cs="Verdana"/>
        </w:rPr>
        <w:t xml:space="preserve">Transparency must be computational. For an online space to be transparent, it must be possible to observe it computationally. For instance, Twitter’s API allows for a holistic view of what takes place on that platform. Were that API not to exist, an otherwise nominally ‘public’ platform would not be transparent as a direct result of its scale - it overwhelms human capacity.   </w:t>
      </w:r>
    </w:p>
    <w:p w:rsidR="00FB0B24" w:rsidRPr="005B5CB6" w:rsidP="00575F14">
      <w:pPr>
        <w:numPr>
          <w:ilvl w:val="1"/>
          <w:numId w:val="205"/>
        </w:numPr>
        <w:spacing w:after="63" w:line="249" w:lineRule="auto"/>
        <w:ind w:left="1080" w:right="12" w:hanging="360"/>
        <w:jc w:val="both"/>
        <w:rPr>
          <w:rFonts w:ascii="Verdana" w:hAnsi="Verdana"/>
        </w:rPr>
      </w:pPr>
      <w:r w:rsidRPr="005B5CB6">
        <w:rPr>
          <w:rFonts w:ascii="Verdana" w:eastAsia="Verdana" w:hAnsi="Verdana" w:cs="Verdana"/>
        </w:rPr>
        <w:t xml:space="preserve">Transparency must complement rights to data privacy, not erode them. A good model for transparency will protect individuals’ data privacy while enabling a macro understanding of the nature and scale of technology platforms’ processes, and any potential infringement of rights that stems from the use of the platform.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10668"/>
                <wp:effectExtent l="0" t="0" r="0" b="0"/>
                <wp:docPr id="577425" name="Group 57742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68"/>
                          <a:chOff x="0" y="0"/>
                          <a:chExt cx="1828800" cy="10668"/>
                        </a:xfrm>
                      </wpg:grpSpPr>
                      <wps:wsp xmlns:wps="http://schemas.microsoft.com/office/word/2010/wordprocessingShape">
                        <wps:cNvPr id="636213" name="Shape 636213"/>
                        <wps:cNvSpPr/>
                        <wps:spPr>
                          <a:xfrm>
                            <a:off x="0" y="0"/>
                            <a:ext cx="1828800" cy="10668"/>
                          </a:xfrm>
                          <a:custGeom>
                            <a:avLst/>
                            <a:gdLst/>
                            <a:ahLst/>
                            <a:cxnLst/>
                            <a:rect l="0" t="0" r="0" b="0"/>
                            <a:pathLst>
                              <a:path w="1828800" h="10668">
                                <a:moveTo>
                                  <a:pt x="0" y="0"/>
                                </a:moveTo>
                                <a:lnTo>
                                  <a:pt x="1828800" y="0"/>
                                </a:lnTo>
                                <a:lnTo>
                                  <a:pt x="1828800" y="10668"/>
                                </a:lnTo>
                                <a:lnTo>
                                  <a:pt x="0" y="10668"/>
                                </a:lnTo>
                                <a:lnTo>
                                  <a:pt x="0" y="0"/>
                                </a:lnTo>
                              </a:path>
                            </a:pathLst>
                          </a:custGeom>
                          <a:ln w="0" cap="flat">
                            <a:miter lim="127000"/>
                          </a:ln>
                        </wps:spPr>
                        <wps:style>
                          <a:lnRef idx="0">
                            <a:srgbClr val="000000">
                              <a:alpha val="0"/>
                            </a:srgbClr>
                          </a:lnRef>
                          <a:fillRef idx="1">
                            <a:srgbClr val="5B6770"/>
                          </a:fillRef>
                          <a:effectRef idx="0">
                            <a:scrgbClr r="0" g="0" b="0"/>
                          </a:effectRef>
                          <a:fontRef idx="none"/>
                        </wps:style>
                        <wps:bodyPr/>
                      </wps:wsp>
                    </wpg:wgp>
                  </a:graphicData>
                </a:graphic>
              </wp:inline>
            </w:drawing>
          </mc:Choice>
          <mc:Fallback>
            <w:pict>
              <v:group id="_x0000_i1315" style="height:0.84pt;mso-position-horizontal-relative:char;mso-position-vertical-relative:line;width:2in" coordsize="18288,106">
                <v:shape id="_x0000_s1316" style="height:106;position:absolute;width:18288" coordsize="1828800,10668" path="m,l1828800,l1828800,10668l,10668l,e">
                  <v:stroke joinstyle="miter" endcap="flat" opacity="0"/>
                </v:shape>
                <w10:wrap type="none"/>
              </v:group>
            </w:pict>
          </mc:Fallback>
        </mc:AlternateContent>
      </w:r>
      <w:r w:rsidRPr="005B5CB6">
        <w:rPr>
          <w:rFonts w:ascii="Verdana" w:hAnsi="Verdana"/>
          <w:color w:val="5B6770"/>
        </w:rPr>
        <w:t xml:space="preserve"> </w:t>
      </w:r>
    </w:p>
    <w:p w:rsidR="00FB0B24" w:rsidRPr="005B5CB6" w:rsidP="001512F6">
      <w:pPr>
        <w:spacing w:after="5" w:line="249" w:lineRule="auto"/>
        <w:ind w:left="361" w:right="12" w:hanging="360"/>
        <w:jc w:val="both"/>
        <w:rPr>
          <w:rFonts w:ascii="Verdana" w:hAnsi="Verdana"/>
        </w:rPr>
      </w:pPr>
      <w:r w:rsidRPr="005B5CB6">
        <w:rPr>
          <w:rFonts w:ascii="Verdana" w:eastAsia="Verdana" w:hAnsi="Verdana" w:cs="Verdana"/>
        </w:rPr>
        <w:t>11.Technical Recommendations: We recommend online platforms are expected to provide functional, computational transparency for advertising. Mozilla’s recent letter to social media platforms outlining the requirements of a functional advertising API in light of suspected exploitation and abuse of digital advertising provides a highly useful blueprint for advertising APIs.</w:t>
      </w:r>
      <w:r>
        <w:rPr>
          <w:rFonts w:ascii="Verdana" w:eastAsia="Verdana" w:hAnsi="Verdana" w:cs="Verdana"/>
          <w:vertAlign w:val="superscript"/>
        </w:rPr>
        <w:footnoteReference w:id="303"/>
      </w:r>
      <w:r w:rsidRPr="005B5CB6">
        <w:rPr>
          <w:rFonts w:ascii="Verdana" w:eastAsia="Verdana" w:hAnsi="Verdana" w:cs="Verdana"/>
          <w:color w:val="5B6770"/>
        </w:rPr>
        <w:t xml:space="preserve"> </w:t>
      </w:r>
      <w:r w:rsidRPr="005B5CB6">
        <w:rPr>
          <w:rFonts w:ascii="Verdana" w:eastAsia="Verdana" w:hAnsi="Verdana" w:cs="Verdana"/>
        </w:rPr>
        <w:t xml:space="preserve">A functional, open API should have the following:    </w:t>
      </w:r>
    </w:p>
    <w:p w:rsidR="00FB0B24" w:rsidRPr="005B5CB6" w:rsidP="00575F14">
      <w:pPr>
        <w:numPr>
          <w:ilvl w:val="1"/>
          <w:numId w:val="206"/>
        </w:numPr>
        <w:spacing w:after="5" w:line="250" w:lineRule="auto"/>
        <w:ind w:right="11" w:hanging="360"/>
        <w:jc w:val="both"/>
        <w:rPr>
          <w:rFonts w:ascii="Verdana" w:hAnsi="Verdana"/>
        </w:rPr>
      </w:pPr>
      <w:r w:rsidRPr="005B5CB6">
        <w:rPr>
          <w:rFonts w:ascii="Verdana" w:eastAsia="Verdana" w:hAnsi="Verdana" w:cs="Verdana"/>
        </w:rPr>
        <w:t xml:space="preserve">Comprehensive political advertising content.   </w:t>
      </w:r>
    </w:p>
    <w:p w:rsidR="00FB0B24" w:rsidRPr="005B5CB6" w:rsidP="00575F14">
      <w:pPr>
        <w:numPr>
          <w:ilvl w:val="1"/>
          <w:numId w:val="206"/>
        </w:numPr>
        <w:spacing w:after="5" w:line="250" w:lineRule="auto"/>
        <w:ind w:right="11" w:hanging="360"/>
        <w:jc w:val="both"/>
        <w:rPr>
          <w:rFonts w:ascii="Verdana" w:hAnsi="Verdana"/>
        </w:rPr>
      </w:pPr>
      <w:r w:rsidRPr="005B5CB6">
        <w:rPr>
          <w:rFonts w:ascii="Verdana" w:eastAsia="Verdana" w:hAnsi="Verdana" w:cs="Verdana"/>
        </w:rPr>
        <w:t xml:space="preserve">The content of the advertisement and information about targeting criteria. </w:t>
      </w:r>
    </w:p>
    <w:p w:rsidR="00FB0B24" w:rsidRPr="005B5CB6" w:rsidP="00575F14">
      <w:pPr>
        <w:numPr>
          <w:ilvl w:val="1"/>
          <w:numId w:val="206"/>
        </w:numPr>
        <w:spacing w:after="5" w:line="250" w:lineRule="auto"/>
        <w:ind w:right="11" w:hanging="360"/>
        <w:jc w:val="both"/>
        <w:rPr>
          <w:rFonts w:ascii="Verdana" w:hAnsi="Verdana"/>
        </w:rPr>
      </w:pPr>
      <w:r w:rsidRPr="005B5CB6">
        <w:rPr>
          <w:rFonts w:ascii="Verdana" w:eastAsia="Verdana" w:hAnsi="Verdana" w:cs="Verdana"/>
        </w:rPr>
        <w:t xml:space="preserve">Functionality to empower, not limit, research and analysis. </w:t>
      </w:r>
    </w:p>
    <w:p w:rsidR="00FB0B24" w:rsidRPr="005B5CB6" w:rsidP="00575F14">
      <w:pPr>
        <w:numPr>
          <w:ilvl w:val="1"/>
          <w:numId w:val="206"/>
        </w:numPr>
        <w:spacing w:after="5" w:line="250" w:lineRule="auto"/>
        <w:ind w:right="11" w:hanging="360"/>
        <w:jc w:val="both"/>
        <w:rPr>
          <w:rFonts w:ascii="Verdana" w:hAnsi="Verdana"/>
        </w:rPr>
      </w:pPr>
      <w:r w:rsidRPr="005B5CB6">
        <w:rPr>
          <w:rFonts w:ascii="Verdana" w:eastAsia="Verdana" w:hAnsi="Verdana" w:cs="Verdana"/>
        </w:rPr>
        <w:t xml:space="preserve">Up-to-date and historical data access. </w:t>
      </w:r>
    </w:p>
    <w:p w:rsidR="00FB0B24" w:rsidRPr="005B5CB6" w:rsidP="00575F14">
      <w:pPr>
        <w:numPr>
          <w:ilvl w:val="1"/>
          <w:numId w:val="206"/>
        </w:numPr>
        <w:spacing w:after="5" w:line="250" w:lineRule="auto"/>
        <w:ind w:right="11" w:hanging="360"/>
        <w:jc w:val="both"/>
        <w:rPr>
          <w:rFonts w:ascii="Verdana" w:hAnsi="Verdana"/>
        </w:rPr>
      </w:pPr>
      <w:r w:rsidRPr="005B5CB6">
        <w:rPr>
          <w:rFonts w:ascii="Verdana" w:eastAsia="Verdana" w:hAnsi="Verdana" w:cs="Verdana"/>
        </w:rPr>
        <w:t xml:space="preserve">Public access. </w:t>
      </w:r>
    </w:p>
    <w:p w:rsidR="00FB0B24" w:rsidRPr="005B5CB6" w:rsidP="001512F6">
      <w:pPr>
        <w:spacing w:after="270" w:line="249" w:lineRule="auto"/>
        <w:ind w:left="361" w:right="12" w:hanging="360"/>
        <w:jc w:val="both"/>
        <w:rPr>
          <w:rFonts w:ascii="Verdana" w:hAnsi="Verdana"/>
        </w:rPr>
      </w:pPr>
      <w:r w:rsidRPr="005B5CB6">
        <w:rPr>
          <w:rFonts w:ascii="Verdana" w:eastAsia="Verdana" w:hAnsi="Verdana" w:cs="Verdana"/>
        </w:rPr>
        <w:t xml:space="preserve">12.Data Protection and Risks: Access to transparency data may be contentious. Although we believe that it is in the public interest to have oversight over all areas outlined above, it is possible that there ought to be exceptions to the types of data and types of access available to the general public. A ‘tiered’ access structure may be advisable in light of data protection and privacy expectations. However, we believe the starting point ought to be public access. The government could use the model of data trusts, currently being piloted by the Office for AI and the Open Data Institute, to provide an independent body who would determine access to company’s data.   </w:t>
      </w:r>
    </w:p>
    <w:p w:rsidR="00FB0B24" w:rsidRPr="005B5CB6" w:rsidP="00575F14">
      <w:pPr>
        <w:numPr>
          <w:ilvl w:val="0"/>
          <w:numId w:val="207"/>
        </w:numPr>
        <w:spacing w:after="5" w:line="250" w:lineRule="auto"/>
        <w:ind w:hanging="10"/>
        <w:jc w:val="both"/>
        <w:rPr>
          <w:rFonts w:ascii="Verdana" w:hAnsi="Verdana"/>
        </w:rPr>
      </w:pPr>
      <w:r w:rsidRPr="005B5CB6">
        <w:rPr>
          <w:rFonts w:ascii="Verdana" w:eastAsia="Verdana" w:hAnsi="Verdana" w:cs="Verdana"/>
          <w:b/>
        </w:rPr>
        <w:t xml:space="preserve">To what extent does social media negatively shape public debate, either through encouraging polarisation or through abuse deterring individuals from engaging in public life?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207"/>
        </w:numPr>
        <w:spacing w:after="270" w:line="250" w:lineRule="auto"/>
        <w:ind w:hanging="10"/>
        <w:jc w:val="both"/>
        <w:rPr>
          <w:rFonts w:ascii="Verdana" w:hAnsi="Verdana"/>
        </w:rPr>
      </w:pPr>
      <w:r w:rsidRPr="005B5CB6">
        <w:rPr>
          <w:rFonts w:ascii="Verdana" w:eastAsia="Verdana" w:hAnsi="Verdana" w:cs="Verdana"/>
          <w:b/>
        </w:rPr>
        <w:t>To what extent do you think that there are those who are using social media to attempt to undermine trust in the democratic process and in democratic institutions; and what might be the best ways to combat this and strengthen faith in democracy?</w:t>
      </w:r>
      <w:r w:rsidRPr="005B5CB6">
        <w:rPr>
          <w:rFonts w:ascii="Verdana" w:eastAsia="Verdana" w:hAnsi="Verdana" w:cs="Verdana"/>
        </w:rPr>
        <w:t xml:space="preserve"> </w:t>
      </w:r>
    </w:p>
    <w:p w:rsidR="00FB0B24" w:rsidRPr="005B5CB6" w:rsidP="001512F6">
      <w:pPr>
        <w:spacing w:after="5" w:line="249" w:lineRule="auto"/>
        <w:ind w:left="361" w:right="12" w:hanging="360"/>
        <w:jc w:val="both"/>
        <w:rPr>
          <w:rFonts w:ascii="Verdana" w:hAnsi="Verdana"/>
        </w:rPr>
      </w:pPr>
      <w:r w:rsidRPr="005B5CB6">
        <w:rPr>
          <w:rFonts w:ascii="Verdana" w:eastAsia="Verdana" w:hAnsi="Verdana" w:cs="Verdana"/>
        </w:rPr>
        <w:t xml:space="preserve">13.Over more than a decade, extremist groups have successfully exploited and amplified social anxieties, working to ‘mainstream’ their fringe narratives, with </w:t>
      </w:r>
      <w:r w:rsidRPr="005B5CB6">
        <w:rPr>
          <w:rFonts w:ascii="Verdana" w:eastAsia="Verdana" w:hAnsi="Verdana" w:cs="Verdana"/>
        </w:rPr>
        <w:t xml:space="preserve">hateful and divisive ideologies becoming more pronounced in the online ecosystems of social media. Using increasingly refined and adept strategies to radicalise, manipulate, and intimidate, these actors have learnt how to organise themselves and mobilise across borders. The rapidly evolving online ecosystem provides these committed bad actors with the means to spread their noxious ideologies further and faster than ever before.  </w:t>
      </w:r>
    </w:p>
    <w:p w:rsidR="00FB0B24" w:rsidRPr="005B5CB6" w:rsidP="001512F6">
      <w:pPr>
        <w:spacing w:after="27" w:line="249" w:lineRule="auto"/>
        <w:ind w:left="361" w:right="12" w:hanging="360"/>
        <w:jc w:val="both"/>
        <w:rPr>
          <w:rFonts w:ascii="Verdana" w:hAnsi="Verdana"/>
        </w:rPr>
      </w:pPr>
      <w:r w:rsidRPr="005B5CB6">
        <w:rPr>
          <w:rFonts w:ascii="Verdana" w:eastAsia="Verdana" w:hAnsi="Verdana" w:cs="Verdana"/>
        </w:rPr>
        <w:t xml:space="preserve">14.The most visible manifestations of this ‘mainstreaming’ process are the successes of populist and far-right parties at the ballot box, historic spikes in hate crime, and virulent anti-immigration sentiment and activism. The distortive information campaigns of malign actors – including the ever more sophisticated propaganda machines of state actors – have had a significant impact on democratic processes and civic culture, successfully swaying electorates across the continent. If left unchecked, this ‘mainstreaming’ of extreme ideologies could undermine the progress made in key policy sectors, chiefly migration, climate change and human rights.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10668"/>
                <wp:effectExtent l="0" t="0" r="0" b="0"/>
                <wp:docPr id="578530" name="Group 57853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68"/>
                          <a:chOff x="0" y="0"/>
                          <a:chExt cx="1828800" cy="10668"/>
                        </a:xfrm>
                      </wpg:grpSpPr>
                      <wps:wsp xmlns:wps="http://schemas.microsoft.com/office/word/2010/wordprocessingShape">
                        <wps:cNvPr id="636219" name="Shape 636219"/>
                        <wps:cNvSpPr/>
                        <wps:spPr>
                          <a:xfrm>
                            <a:off x="0" y="0"/>
                            <a:ext cx="1828800" cy="10668"/>
                          </a:xfrm>
                          <a:custGeom>
                            <a:avLst/>
                            <a:gdLst/>
                            <a:ahLst/>
                            <a:cxnLst/>
                            <a:rect l="0" t="0" r="0" b="0"/>
                            <a:pathLst>
                              <a:path w="1828800" h="10668">
                                <a:moveTo>
                                  <a:pt x="0" y="0"/>
                                </a:moveTo>
                                <a:lnTo>
                                  <a:pt x="1828800" y="0"/>
                                </a:lnTo>
                                <a:lnTo>
                                  <a:pt x="1828800" y="10668"/>
                                </a:lnTo>
                                <a:lnTo>
                                  <a:pt x="0" y="10668"/>
                                </a:lnTo>
                                <a:lnTo>
                                  <a:pt x="0" y="0"/>
                                </a:lnTo>
                              </a:path>
                            </a:pathLst>
                          </a:custGeom>
                          <a:ln w="0" cap="flat">
                            <a:miter lim="127000"/>
                          </a:ln>
                        </wps:spPr>
                        <wps:style>
                          <a:lnRef idx="0">
                            <a:srgbClr val="000000">
                              <a:alpha val="0"/>
                            </a:srgbClr>
                          </a:lnRef>
                          <a:fillRef idx="1">
                            <a:srgbClr val="5B6770"/>
                          </a:fillRef>
                          <a:effectRef idx="0">
                            <a:scrgbClr r="0" g="0" b="0"/>
                          </a:effectRef>
                          <a:fontRef idx="none"/>
                        </wps:style>
                        <wps:bodyPr/>
                      </wps:wsp>
                    </wpg:wgp>
                  </a:graphicData>
                </a:graphic>
              </wp:inline>
            </w:drawing>
          </mc:Choice>
          <mc:Fallback>
            <w:pict>
              <v:group id="_x0000_i1317" style="height:0.84pt;mso-position-horizontal-relative:char;mso-position-vertical-relative:line;width:2in" coordsize="18288,106">
                <v:shape id="_x0000_s1318" style="height:106;position:absolute;width:18288" coordsize="1828800,10668" path="m,l1828800,l1828800,10668l,10668l,e">
                  <v:stroke joinstyle="miter" endcap="flat" opacity="0"/>
                </v:shape>
                <w10:wrap type="none"/>
              </v:group>
            </w:pict>
          </mc:Fallback>
        </mc:AlternateContent>
      </w:r>
      <w:r w:rsidRPr="005B5CB6">
        <w:rPr>
          <w:rFonts w:ascii="Verdana" w:hAnsi="Verdana"/>
          <w:color w:val="5B6770"/>
        </w:rPr>
        <w:t xml:space="preserve"> </w:t>
      </w:r>
    </w:p>
    <w:p w:rsidR="00FB0B24" w:rsidRPr="005B5CB6" w:rsidP="001512F6">
      <w:pPr>
        <w:spacing w:after="270" w:line="249" w:lineRule="auto"/>
        <w:ind w:left="361" w:right="12" w:hanging="360"/>
        <w:jc w:val="both"/>
        <w:rPr>
          <w:rFonts w:ascii="Verdana" w:hAnsi="Verdana"/>
        </w:rPr>
      </w:pPr>
      <w:r w:rsidRPr="005B5CB6">
        <w:rPr>
          <w:rFonts w:ascii="Verdana" w:eastAsia="Verdana" w:hAnsi="Verdana" w:cs="Verdana"/>
        </w:rPr>
        <w:t xml:space="preserve">15.Decisions by platforms to reduce the ability of civil society organisations and the public to observe, analyse and report on what is taking place online are troubling. Web platforms, and social media platforms in particular, are essential sources of insight on the ways in which the web is changing politics, society and culture, including the impact potential online harms. We believe that civil society research organisations, academia, open source intelligence groups and investigative journalists have a vital role to play, both in using online sources to report on changes in the online world and in evaluating the roles and decisions made by online platforms. </w:t>
      </w:r>
    </w:p>
    <w:p w:rsidR="00FB0B24" w:rsidRPr="005B5CB6" w:rsidP="00575F14">
      <w:pPr>
        <w:numPr>
          <w:ilvl w:val="0"/>
          <w:numId w:val="207"/>
        </w:numPr>
        <w:spacing w:after="269" w:line="250" w:lineRule="auto"/>
        <w:ind w:hanging="10"/>
        <w:jc w:val="both"/>
        <w:rPr>
          <w:rFonts w:ascii="Verdana" w:hAnsi="Verdana"/>
        </w:rPr>
      </w:pPr>
      <w:r w:rsidRPr="005B5CB6">
        <w:rPr>
          <w:rFonts w:ascii="Verdana" w:eastAsia="Verdana" w:hAnsi="Verdana" w:cs="Verdana"/>
          <w:b/>
        </w:rPr>
        <w:t xml:space="preserve">What might be the best ways of reducing the effects of misinformation on social media platforms? </w:t>
      </w:r>
    </w:p>
    <w:p w:rsidR="00FB0B24" w:rsidRPr="005B5CB6" w:rsidP="001512F6">
      <w:pPr>
        <w:spacing w:after="5" w:line="249" w:lineRule="auto"/>
        <w:ind w:left="361" w:right="12" w:hanging="360"/>
        <w:jc w:val="both"/>
        <w:rPr>
          <w:rFonts w:ascii="Verdana" w:hAnsi="Verdana"/>
        </w:rPr>
      </w:pPr>
      <w:r w:rsidRPr="005B5CB6">
        <w:rPr>
          <w:rFonts w:ascii="Verdana" w:eastAsia="Verdana" w:hAnsi="Verdana" w:cs="Verdana"/>
        </w:rPr>
        <w:t xml:space="preserve">16.It is now well-evidenced that some ‘legal harms’, such as disinformation and extremism (that does not meet the threshold of hate speech), pose threats to public safety, public health and the integrity of democratic processes. However, in seeking to deal with these ‘legal harms’, ISD urges the strong application of transparency and safety by design regulation over the systems and processes of technology platforms, rather than a focus on content moderation regulation, which would endanger rights to free speech if applied to this set of ‘legal harms’. Thus, in matters of disinformation and large-scale exploitation or manipulation of online spaces, computational transparency over the content and communications should act as a system to alert authorities to potential breaches. </w:t>
      </w:r>
    </w:p>
    <w:p w:rsidR="00FB0B24" w:rsidRPr="005B5CB6" w:rsidP="001512F6">
      <w:pPr>
        <w:spacing w:after="270" w:line="249" w:lineRule="auto"/>
        <w:ind w:left="361" w:right="12" w:hanging="360"/>
        <w:jc w:val="both"/>
        <w:rPr>
          <w:rFonts w:ascii="Verdana" w:hAnsi="Verdana"/>
        </w:rPr>
      </w:pPr>
      <w:r w:rsidRPr="005B5CB6">
        <w:rPr>
          <w:rFonts w:ascii="Verdana" w:eastAsia="Verdana" w:hAnsi="Verdana" w:cs="Verdana"/>
        </w:rPr>
        <w:t xml:space="preserve">17.Guidance should be developed in a range of areas to ensure effective safety by design, including: AI and algorithmic decision-making; user journeys and uses of positive “nudges” that encourage user choice and clear understandings of settings (e.g. privacy); recommendation filters and algorithms; and livestreaming. In order to achieve safety by design in these areas, and others, organisations should be encouraged to employ scenario or risk forecasting and stress-testing approaches to ensure products are future proofed against online harms. Practical guidance should also be provided on the key principles of ethical design, as well as practical tools to help assess and predict possible safety concerns during the early stages of design. Overall, there needs to be a </w:t>
      </w:r>
      <w:r w:rsidRPr="005B5CB6">
        <w:rPr>
          <w:rFonts w:ascii="Verdana" w:eastAsia="Verdana" w:hAnsi="Verdana" w:cs="Verdana"/>
        </w:rPr>
        <w:t xml:space="preserve">cultural shift in the online technology sector to ensure that safety by design becomes embedded as a foundational principle throughout technology companies.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D8765A" w:rsidRPr="005B5CB6" w:rsidP="001512F6">
      <w:pPr>
        <w:rPr>
          <w:rFonts w:ascii="Verdana" w:eastAsia="Verdana" w:hAnsi="Verdana" w:cs="Verdana"/>
          <w:b/>
        </w:rPr>
      </w:pPr>
      <w:r w:rsidRPr="005B5CB6">
        <w:rPr>
          <w:rFonts w:ascii="Verdana" w:eastAsia="Verdana" w:hAnsi="Verdana" w:cs="Verdana"/>
          <w:b/>
        </w:rPr>
        <w:br w:type="page"/>
      </w:r>
    </w:p>
    <w:p w:rsidR="00FB0B24" w:rsidRPr="005B5CB6" w:rsidP="00A1624B">
      <w:pPr>
        <w:pStyle w:val="Heading1"/>
        <w:rPr>
          <w:sz w:val="22"/>
        </w:rPr>
      </w:pPr>
      <w:bookmarkStart w:id="61" w:name="_Toc44517749"/>
      <w:r w:rsidRPr="005B5CB6">
        <w:rPr>
          <w:sz w:val="22"/>
        </w:rPr>
        <w:t>Association for Citizenship Teaching – written evidence (DAD0070)</w:t>
      </w:r>
      <w:bookmarkEnd w:id="61"/>
      <w:r w:rsidRPr="005B5CB6">
        <w:rPr>
          <w:sz w:val="22"/>
        </w:rPr>
        <w:t xml:space="preserve"> </w:t>
      </w:r>
    </w:p>
    <w:p w:rsidR="00FB0B24" w:rsidRPr="005B5CB6" w:rsidP="001512F6">
      <w:pPr>
        <w:spacing w:after="96"/>
        <w:jc w:val="both"/>
        <w:rPr>
          <w:rFonts w:ascii="Verdana" w:hAnsi="Verdana"/>
        </w:rPr>
      </w:pPr>
      <w:r w:rsidRPr="005B5CB6">
        <w:rPr>
          <w:rFonts w:ascii="Verdana" w:eastAsia="Verdana" w:hAnsi="Verdana" w:cs="Verdana"/>
          <w:b/>
        </w:rPr>
        <w:t xml:space="preserve"> </w:t>
      </w:r>
    </w:p>
    <w:p w:rsidR="00FB0B24" w:rsidRPr="005B5CB6" w:rsidP="00575F14">
      <w:pPr>
        <w:numPr>
          <w:ilvl w:val="0"/>
          <w:numId w:val="208"/>
        </w:numPr>
        <w:spacing w:after="107" w:line="250" w:lineRule="auto"/>
        <w:ind w:hanging="310"/>
        <w:jc w:val="both"/>
        <w:rPr>
          <w:rFonts w:ascii="Verdana" w:hAnsi="Verdana"/>
        </w:rPr>
      </w:pPr>
      <w:r w:rsidRPr="005B5CB6">
        <w:rPr>
          <w:rFonts w:ascii="Verdana" w:eastAsia="Verdana" w:hAnsi="Verdana" w:cs="Verdana"/>
          <w:b/>
        </w:rPr>
        <w:t xml:space="preserve">Introduction </w:t>
      </w:r>
    </w:p>
    <w:p w:rsidR="00FB0B24" w:rsidRPr="005B5CB6" w:rsidP="00575F14">
      <w:pPr>
        <w:numPr>
          <w:ilvl w:val="1"/>
          <w:numId w:val="208"/>
        </w:numPr>
        <w:spacing w:after="109" w:line="250" w:lineRule="auto"/>
        <w:ind w:right="11" w:hanging="439"/>
        <w:jc w:val="both"/>
        <w:rPr>
          <w:rFonts w:ascii="Verdana" w:hAnsi="Verdana"/>
        </w:rPr>
      </w:pPr>
      <w:r w:rsidRPr="005B5CB6">
        <w:rPr>
          <w:rFonts w:ascii="Verdana" w:eastAsia="Verdana" w:hAnsi="Verdana" w:cs="Verdana"/>
        </w:rPr>
        <w:t xml:space="preserve">The Association for Citizenship Teaching (ACT) is the professional subject association for all teachers and educators engaged in Citizenship education. ACT was founded by Professor Sir Bernard Crick in 2001, following the Government’s decision to make Citizenship a statutory subject within the National Curriculum for schools in England. It is a membership organisation and registered education charity.  </w:t>
      </w:r>
    </w:p>
    <w:p w:rsidR="00FB0B24" w:rsidRPr="005B5CB6" w:rsidP="00575F14">
      <w:pPr>
        <w:numPr>
          <w:ilvl w:val="1"/>
          <w:numId w:val="208"/>
        </w:numPr>
        <w:spacing w:after="5" w:line="250" w:lineRule="auto"/>
        <w:ind w:right="11" w:hanging="439"/>
        <w:jc w:val="both"/>
        <w:rPr>
          <w:rFonts w:ascii="Verdana" w:hAnsi="Verdana"/>
        </w:rPr>
      </w:pPr>
      <w:r w:rsidRPr="005B5CB6">
        <w:rPr>
          <w:rFonts w:ascii="Verdana" w:eastAsia="Verdana" w:hAnsi="Verdana" w:cs="Verdana"/>
        </w:rPr>
        <w:t xml:space="preserve">ACT’s vision is for a strong and vibrant democracy enhanced by young people who are educated with the Citizenship knowledge, understanding, skills and experience they need to play an effective role as active citizens; and who, together, can take action to create a more equal, fair and just society for all. Our focus is on systematically supporting teachers and the teaching of Citizenship which we believe is the best way to ensure every child benefits from high quality Citizenship education. We do this through provision of professional networks, training and CPD, national teaching conferences, a journal ‘Teaching Citizenship’, teaching resources and information on the association’s website </w:t>
      </w:r>
    </w:p>
    <w:p w:rsidR="00FB0B24" w:rsidRPr="005B5CB6" w:rsidP="001512F6">
      <w:pPr>
        <w:spacing w:after="112" w:line="250" w:lineRule="auto"/>
        <w:ind w:left="23" w:right="11" w:hanging="8"/>
        <w:jc w:val="both"/>
        <w:rPr>
          <w:rFonts w:ascii="Verdana" w:hAnsi="Verdana"/>
        </w:rPr>
      </w:pPr>
      <w:r>
        <w:fldChar w:fldCharType="begin"/>
      </w:r>
      <w:r>
        <w:instrText xml:space="preserve"> HYPERLINK "http://www.teachingcitizenship.org.uk/" </w:instrText>
      </w:r>
      <w:r>
        <w:fldChar w:fldCharType="separate"/>
      </w:r>
      <w:r w:rsidRPr="005B5CB6" w:rsidR="00A72806">
        <w:rPr>
          <w:rFonts w:ascii="Verdana" w:eastAsia="Verdana" w:hAnsi="Verdana" w:cs="Verdana"/>
        </w:rPr>
        <w:t>(</w:t>
      </w:r>
      <w:r>
        <w:fldChar w:fldCharType="end"/>
      </w:r>
      <w:r>
        <w:fldChar w:fldCharType="begin"/>
      </w:r>
      <w:r>
        <w:instrText xml:space="preserve"> HYPERLINK "http://www.teachingcitizenship.org.uk/" </w:instrText>
      </w:r>
      <w:r>
        <w:fldChar w:fldCharType="separate"/>
      </w:r>
      <w:r w:rsidRPr="005B5CB6" w:rsidR="00A72806">
        <w:rPr>
          <w:rFonts w:ascii="Verdana" w:eastAsia="Verdana" w:hAnsi="Verdana" w:cs="Verdana"/>
          <w:color w:val="0000FF"/>
          <w:u w:val="single" w:color="0000FF"/>
        </w:rPr>
        <w:t>www.teachingcitizenship.org.uk</w:t>
      </w:r>
      <w:r>
        <w:fldChar w:fldCharType="end"/>
      </w:r>
      <w:r>
        <w:fldChar w:fldCharType="begin"/>
      </w:r>
      <w:r>
        <w:instrText xml:space="preserve"> HYPERLINK "http://www.teachingcitizenship.org.uk/"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Funded project work and consultancy also contribute to meeting ACT’s core objectives. ACT’s work is shaped by a committed Council of Teachers and Teaching Ambassadors in 8 regions who are all unpaid volunteers. ACT is governed by a Board of Trustees. </w:t>
      </w:r>
    </w:p>
    <w:p w:rsidR="00FB0B24" w:rsidRPr="005B5CB6" w:rsidP="00575F14">
      <w:pPr>
        <w:numPr>
          <w:ilvl w:val="1"/>
          <w:numId w:val="208"/>
        </w:numPr>
        <w:spacing w:after="5" w:line="250" w:lineRule="auto"/>
        <w:ind w:right="11" w:hanging="439"/>
        <w:jc w:val="both"/>
        <w:rPr>
          <w:rFonts w:ascii="Verdana" w:hAnsi="Verdana"/>
        </w:rPr>
      </w:pPr>
      <w:r w:rsidRPr="005B5CB6">
        <w:rPr>
          <w:rFonts w:ascii="Verdana" w:eastAsia="Verdana" w:hAnsi="Verdana" w:cs="Verdana"/>
        </w:rPr>
        <w:t xml:space="preserve">We welcome the committees work at this time and the opportunity to submit evidence. Our submission is made in response to the Committees request for evidence on question 3 of their enquiry: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What role should every stage of education play in helping to create a healthy, active, digitally literate democracy? </w:t>
      </w:r>
    </w:p>
    <w:p w:rsidR="00FB0B24" w:rsidRPr="005B5CB6" w:rsidP="001512F6">
      <w:pPr>
        <w:spacing w:after="231"/>
        <w:jc w:val="both"/>
        <w:rPr>
          <w:rFonts w:ascii="Verdana" w:hAnsi="Verdana"/>
        </w:rPr>
      </w:pPr>
      <w:r w:rsidRPr="005B5CB6">
        <w:rPr>
          <w:rFonts w:ascii="Verdana" w:eastAsia="Verdana" w:hAnsi="Verdana" w:cs="Verdana"/>
        </w:rPr>
        <w:t xml:space="preserve"> </w:t>
      </w:r>
    </w:p>
    <w:p w:rsidR="00FB0B24" w:rsidRPr="005B5CB6" w:rsidP="00575F14">
      <w:pPr>
        <w:numPr>
          <w:ilvl w:val="0"/>
          <w:numId w:val="208"/>
        </w:numPr>
        <w:spacing w:after="105" w:line="250" w:lineRule="auto"/>
        <w:ind w:hanging="310"/>
        <w:jc w:val="both"/>
        <w:rPr>
          <w:rFonts w:ascii="Verdana" w:hAnsi="Verdana"/>
        </w:rPr>
      </w:pPr>
      <w:r w:rsidRPr="005B5CB6">
        <w:rPr>
          <w:rFonts w:ascii="Verdana" w:eastAsia="Verdana" w:hAnsi="Verdana" w:cs="Verdana"/>
          <w:b/>
        </w:rPr>
        <w:t xml:space="preserve">Curriculum - the role and aims of Citizenship education </w:t>
      </w:r>
    </w:p>
    <w:p w:rsidR="00FB0B24" w:rsidRPr="005B5CB6" w:rsidP="00575F14">
      <w:pPr>
        <w:numPr>
          <w:ilvl w:val="1"/>
          <w:numId w:val="208"/>
        </w:numPr>
        <w:spacing w:after="111" w:line="250" w:lineRule="auto"/>
        <w:ind w:right="11" w:hanging="439"/>
        <w:jc w:val="both"/>
        <w:rPr>
          <w:rFonts w:ascii="Verdana" w:hAnsi="Verdana"/>
        </w:rPr>
      </w:pPr>
      <w:r w:rsidRPr="005B5CB6">
        <w:rPr>
          <w:rFonts w:ascii="Verdana" w:eastAsia="Verdana" w:hAnsi="Verdana" w:cs="Verdana"/>
        </w:rPr>
        <w:t>A vibrant and healthy democracy in which every citizen feels their voice matters and they can play an active part in decision-making and public life needs young people who have had the benefit of effective Citizenship education. Democracy is precious and Citizenship education is vital in helping people to understand and participate within it: education in Citizenship is simply too important to be left to chance. General education through the school and National Curriculum must prepare children for life and work in the 21</w:t>
      </w:r>
      <w:r w:rsidRPr="005B5CB6">
        <w:rPr>
          <w:rFonts w:ascii="Verdana" w:eastAsia="Verdana" w:hAnsi="Verdana" w:cs="Verdana"/>
          <w:vertAlign w:val="superscript"/>
        </w:rPr>
        <w:t>st</w:t>
      </w:r>
      <w:r w:rsidRPr="005B5CB6">
        <w:rPr>
          <w:rFonts w:ascii="Verdana" w:eastAsia="Verdana" w:hAnsi="Verdana" w:cs="Verdana"/>
        </w:rPr>
        <w:t xml:space="preserve"> Century and this cannot be achieved without an entitlement for every child to Citizenship education. Today this must include educating children about the digital and online world so that citizens can take informed decisions and participate in democratic society actively.  </w:t>
      </w:r>
    </w:p>
    <w:p w:rsidR="00FB0B24" w:rsidRPr="005B5CB6" w:rsidP="00575F14">
      <w:pPr>
        <w:numPr>
          <w:ilvl w:val="1"/>
          <w:numId w:val="208"/>
        </w:numPr>
        <w:spacing w:after="5" w:line="250" w:lineRule="auto"/>
        <w:ind w:right="11" w:hanging="439"/>
        <w:jc w:val="both"/>
        <w:rPr>
          <w:rFonts w:ascii="Verdana" w:hAnsi="Verdana"/>
        </w:rPr>
      </w:pPr>
      <w:r w:rsidRPr="005B5CB6">
        <w:rPr>
          <w:rFonts w:ascii="Verdana" w:eastAsia="Verdana" w:hAnsi="Verdana" w:cs="Verdana"/>
        </w:rPr>
        <w:t xml:space="preserve">In the last ten years, policy makers have held to a broad consensus that </w:t>
      </w:r>
    </w:p>
    <w:p w:rsidR="00FB0B24" w:rsidRPr="005B5CB6" w:rsidP="001512F6">
      <w:pPr>
        <w:spacing w:after="112" w:line="250" w:lineRule="auto"/>
        <w:ind w:left="23" w:right="11" w:hanging="8"/>
        <w:jc w:val="both"/>
        <w:rPr>
          <w:rFonts w:ascii="Verdana" w:hAnsi="Verdana"/>
        </w:rPr>
      </w:pPr>
      <w:r w:rsidRPr="005B5CB6">
        <w:rPr>
          <w:rFonts w:ascii="Verdana" w:eastAsia="Verdana" w:hAnsi="Verdana" w:cs="Verdana"/>
        </w:rPr>
        <w:t xml:space="preserve">Citizenship is an important aim of education in England whether that be in the context of the knowledge-led, subject focused curriculum of 2014 or the aims led, concept and skills focused curriculum of 2008.  </w:t>
      </w:r>
    </w:p>
    <w:p w:rsidR="00FB0B24" w:rsidRPr="005B5CB6" w:rsidP="001512F6">
      <w:pPr>
        <w:spacing w:after="109" w:line="250" w:lineRule="auto"/>
        <w:ind w:left="728" w:right="11" w:hanging="8"/>
        <w:jc w:val="both"/>
        <w:rPr>
          <w:rFonts w:ascii="Verdana" w:hAnsi="Verdana"/>
        </w:rPr>
      </w:pPr>
      <w:r w:rsidRPr="005B5CB6">
        <w:rPr>
          <w:rFonts w:ascii="Verdana" w:eastAsia="Verdana" w:hAnsi="Verdana" w:cs="Verdana"/>
        </w:rPr>
        <w:t xml:space="preserve">‘The National Curriculum has three statutory aims. It should enable all young people to become successful learners, confident individual and responsible citizens.’ (National Curriculum, 2008)  </w:t>
      </w:r>
    </w:p>
    <w:p w:rsidR="00FB0B24" w:rsidRPr="005B5CB6" w:rsidP="001512F6">
      <w:pPr>
        <w:spacing w:after="109" w:line="250" w:lineRule="auto"/>
        <w:ind w:left="728" w:right="11" w:hanging="8"/>
        <w:jc w:val="both"/>
        <w:rPr>
          <w:rFonts w:ascii="Verdana" w:hAnsi="Verdana"/>
        </w:rPr>
      </w:pPr>
      <w:r w:rsidRPr="005B5CB6">
        <w:rPr>
          <w:rFonts w:ascii="Verdana" w:eastAsia="Verdana" w:hAnsi="Verdana" w:cs="Verdana"/>
        </w:rPr>
        <w:t xml:space="preserve"> ‘The national curriculum provides pupils with an introduction to the essential knowledge that they need to be educated citizens.’ (National Curriculum, Department for Education, 2014) </w:t>
      </w:r>
    </w:p>
    <w:p w:rsidR="00FB0B24" w:rsidRPr="005B5CB6" w:rsidP="00575F14">
      <w:pPr>
        <w:numPr>
          <w:ilvl w:val="1"/>
          <w:numId w:val="208"/>
        </w:numPr>
        <w:spacing w:after="5" w:line="250" w:lineRule="auto"/>
        <w:ind w:right="11" w:hanging="439"/>
        <w:jc w:val="both"/>
        <w:rPr>
          <w:rFonts w:ascii="Verdana" w:hAnsi="Verdana"/>
        </w:rPr>
      </w:pPr>
      <w:r w:rsidRPr="005B5CB6">
        <w:rPr>
          <w:rFonts w:ascii="Verdana" w:eastAsia="Verdana" w:hAnsi="Verdana" w:cs="Verdana"/>
        </w:rPr>
        <w:t>However, this broad consensus has been undermined by a lack of real and obvious support for the subject from government since 2010 and the introduction of national policies which has had the effect of undermining the subject. Consequently, the extent to which the curriculum aims are realised through the school curriculum as a whole and specifically through the teaching of Citizenship is questionable. (Jerome, L, 2017</w:t>
      </w:r>
      <w:r>
        <w:rPr>
          <w:rFonts w:ascii="Verdana" w:eastAsia="Verdana" w:hAnsi="Verdana" w:cs="Verdana"/>
          <w:vertAlign w:val="superscript"/>
        </w:rPr>
        <w:footnoteReference w:id="304"/>
      </w:r>
      <w:r w:rsidRPr="005B5CB6">
        <w:rPr>
          <w:rFonts w:ascii="Verdana" w:eastAsia="Verdana" w:hAnsi="Verdana" w:cs="Verdana"/>
        </w:rPr>
        <w:t>).  In particular, the shift away from a broad and balanced curriculum to focus on a narrow ‘core academic curriculum’</w:t>
      </w:r>
      <w:r>
        <w:rPr>
          <w:rFonts w:ascii="Verdana" w:eastAsia="Verdana" w:hAnsi="Verdana" w:cs="Verdana"/>
          <w:vertAlign w:val="superscript"/>
        </w:rPr>
        <w:footnoteReference w:id="305"/>
      </w:r>
      <w:r w:rsidRPr="005B5CB6">
        <w:rPr>
          <w:rFonts w:ascii="Verdana" w:eastAsia="Verdana" w:hAnsi="Verdana" w:cs="Verdana"/>
        </w:rPr>
        <w:t xml:space="preserve"> where the Ebacc subjects take priority</w:t>
      </w:r>
      <w:r w:rsidRPr="005B5CB6">
        <w:rPr>
          <w:rFonts w:ascii="Verdana" w:eastAsia="Verdana" w:hAnsi="Verdana" w:cs="Verdana"/>
          <w:vertAlign w:val="superscript"/>
        </w:rPr>
        <w:t xml:space="preserve"> </w:t>
      </w:r>
      <w:r w:rsidRPr="005B5CB6">
        <w:rPr>
          <w:rFonts w:ascii="Verdana" w:eastAsia="Verdana" w:hAnsi="Verdana" w:cs="Verdana"/>
        </w:rPr>
        <w:t xml:space="preserve"> has had a negative impact. Further, there has been no investment in teacher training which is essential for any subject to survive and thrive. Citizenship is one of the only subjects which does not attract a teacher training bursary to support those wishing to become trained Citizenship teachers despite there be a very real shortage of subject specialists in schools; and no investment in support for existing teachers to develop Citizenship subject specialist knowledge in that Citizenship is not currently included in any of the DFE subject knowledge enhancement programmes that invest in building subject expertise.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208"/>
        </w:numPr>
        <w:spacing w:after="5" w:line="250" w:lineRule="auto"/>
        <w:ind w:right="11" w:hanging="439"/>
        <w:jc w:val="both"/>
        <w:rPr>
          <w:rFonts w:ascii="Verdana" w:hAnsi="Verdana"/>
        </w:rPr>
      </w:pPr>
      <w:r w:rsidRPr="005B5CB6">
        <w:rPr>
          <w:rFonts w:ascii="Verdana" w:eastAsia="Verdana" w:hAnsi="Verdana" w:cs="Verdana"/>
        </w:rPr>
        <w:t xml:space="preserve">Whilst policy may not have changed at the broad, national level, there have been very real changes to the policy detail. In particular, the 2014 changes to the National Curriculum led to an unfortunate narrowing of the subject curriculum for Citizenship and less detail in the teaching requirements. This raises a challenge for the many non-specialists who are involved in teaching the subject who need more guidance when teaching the subject. Key aspects of subject content were removed or made less explicit leaving an emphasis on national institutions at the expense of learning about: local democracy; public services and NGOs; freedom of speech; media literacy and the role and responsibilities of the media in a democracy; the economy; human rights and equalities; diversity and change in society; and practical experiences of active citizenship and democratic participation. All these topics are central to the subject and must be included in teaching if we are to properly prepare pupils as informed, active, democratic citizens. </w:t>
      </w:r>
    </w:p>
    <w:p w:rsidR="00FB0B24" w:rsidRPr="005B5CB6" w:rsidP="001512F6">
      <w:pPr>
        <w:spacing w:after="96"/>
        <w:jc w:val="both"/>
        <w:rPr>
          <w:rFonts w:ascii="Verdana" w:hAnsi="Verdana"/>
        </w:rPr>
      </w:pPr>
      <w:r w:rsidRPr="005B5CB6">
        <w:rPr>
          <w:rFonts w:ascii="Verdana" w:eastAsia="Verdana" w:hAnsi="Verdana" w:cs="Verdana"/>
        </w:rPr>
        <w:t xml:space="preserve"> </w:t>
      </w:r>
    </w:p>
    <w:p w:rsidR="00FB0B24" w:rsidRPr="005B5CB6" w:rsidP="001512F6">
      <w:pPr>
        <w:spacing w:after="108" w:line="249" w:lineRule="auto"/>
        <w:ind w:left="10" w:hanging="10"/>
        <w:jc w:val="both"/>
        <w:rPr>
          <w:rFonts w:ascii="Verdana" w:hAnsi="Verdana"/>
        </w:rPr>
      </w:pPr>
      <w:r w:rsidRPr="005B5CB6">
        <w:rPr>
          <w:rFonts w:ascii="Verdana" w:eastAsia="Verdana" w:hAnsi="Verdana" w:cs="Verdana"/>
          <w:i/>
        </w:rPr>
        <w:t xml:space="preserve">Citizenship plays a key role in digital and media literacy education </w:t>
      </w:r>
    </w:p>
    <w:p w:rsidR="00FB0B24" w:rsidRPr="005B5CB6" w:rsidP="00575F14">
      <w:pPr>
        <w:numPr>
          <w:ilvl w:val="1"/>
          <w:numId w:val="210"/>
        </w:numPr>
        <w:spacing w:after="104" w:line="250" w:lineRule="auto"/>
        <w:ind w:left="23" w:right="11" w:hanging="8"/>
        <w:jc w:val="both"/>
        <w:rPr>
          <w:rFonts w:ascii="Verdana" w:hAnsi="Verdana"/>
        </w:rPr>
      </w:pPr>
      <w:r w:rsidRPr="005B5CB6">
        <w:rPr>
          <w:rFonts w:ascii="Verdana" w:eastAsia="Verdana" w:hAnsi="Verdana" w:cs="Verdana"/>
        </w:rPr>
        <w:t xml:space="preserve">Digital technologies and the internet can and do provide citizens with ever more ways to access information and news, share ideas, build communities, collaborate, communicate, mobilize other forms of citizen action and contribute to democracy as active and informed citizens. Children in today’s society are growing </w:t>
      </w:r>
      <w:r w:rsidRPr="005B5CB6">
        <w:rPr>
          <w:rFonts w:ascii="Verdana" w:eastAsia="Verdana" w:hAnsi="Verdana" w:cs="Verdana"/>
        </w:rPr>
        <w:t xml:space="preserve">up in a time where their online/offline worlds are often one and the same. Education needs to prepare citizens well to navigate these spaces, build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10681"/>
                <wp:effectExtent l="0" t="0" r="0" b="0"/>
                <wp:docPr id="578613" name="Group 57861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1"/>
                          <a:chOff x="0" y="0"/>
                          <a:chExt cx="1828800" cy="10681"/>
                        </a:xfrm>
                      </wpg:grpSpPr>
                      <wps:wsp xmlns:wps="http://schemas.microsoft.com/office/word/2010/wordprocessingShape">
                        <wps:cNvPr id="636243" name="Shape 636243"/>
                        <wps:cNvSpPr/>
                        <wps:spPr>
                          <a:xfrm>
                            <a:off x="0" y="0"/>
                            <a:ext cx="1828800" cy="10681"/>
                          </a:xfrm>
                          <a:custGeom>
                            <a:avLst/>
                            <a:gdLst/>
                            <a:ahLst/>
                            <a:cxnLst/>
                            <a:rect l="0" t="0" r="0" b="0"/>
                            <a:pathLst>
                              <a:path w="1828800" h="10681">
                                <a:moveTo>
                                  <a:pt x="0" y="0"/>
                                </a:moveTo>
                                <a:lnTo>
                                  <a:pt x="1828800" y="0"/>
                                </a:lnTo>
                                <a:lnTo>
                                  <a:pt x="1828800" y="10681"/>
                                </a:lnTo>
                                <a:lnTo>
                                  <a:pt x="0" y="10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19" style="height:0.84pt;mso-position-horizontal-relative:char;mso-position-vertical-relative:line;width:2in" coordsize="18288,106">
                <v:shape id="_x0000_s1320" style="height:106;position:absolute;width:18288" coordsize="1828800,10681" path="m,l1828800,l1828800,10681l,10681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109" w:line="250" w:lineRule="auto"/>
        <w:ind w:left="23" w:right="11" w:hanging="8"/>
        <w:jc w:val="both"/>
        <w:rPr>
          <w:rFonts w:ascii="Verdana" w:hAnsi="Verdana"/>
        </w:rPr>
      </w:pPr>
      <w:r w:rsidRPr="005B5CB6">
        <w:rPr>
          <w:rFonts w:ascii="Verdana" w:eastAsia="Verdana" w:hAnsi="Verdana" w:cs="Verdana"/>
        </w:rPr>
        <w:t xml:space="preserve">positive relationships and be able operate safely in the digital world every bit as much as it does in the physical world. Citizenship is the subject where teaching and learning about democracy comes together with teaching about information, news and the role of the media in society and learning about communities and relationships.  </w:t>
      </w:r>
    </w:p>
    <w:p w:rsidR="00FB0B24" w:rsidRPr="005B5CB6" w:rsidP="00575F14">
      <w:pPr>
        <w:numPr>
          <w:ilvl w:val="1"/>
          <w:numId w:val="210"/>
        </w:numPr>
        <w:spacing w:after="5" w:line="250" w:lineRule="auto"/>
        <w:ind w:left="23" w:right="11" w:hanging="8"/>
        <w:jc w:val="both"/>
        <w:rPr>
          <w:rFonts w:ascii="Verdana" w:hAnsi="Verdana"/>
        </w:rPr>
      </w:pPr>
      <w:r w:rsidRPr="005B5CB6">
        <w:rPr>
          <w:rFonts w:ascii="Verdana" w:eastAsia="Verdana" w:hAnsi="Verdana" w:cs="Verdana"/>
        </w:rPr>
        <w:t xml:space="preserve">We know that when Citizenship is planned and taught well the impact and benefit to students becomes clear. A Year 12 student who participated in a recent focus group commented, ‘Citizenship is important as it increases understanding of the world around us....We need to become critical thinkers and find good sources of information. Citizenship helps us do this. Topics like democracy, voting and educating us on real news, not myths, around refugees etc. is really important.’ At another school, a Year 10 student commented, ‘It is equally important as Maths, English and Science’ and another said that Citizenship ‘expands your knowledge of what is happening in society and helps us to understand how the government works’.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210"/>
        </w:numPr>
        <w:spacing w:after="112" w:line="250" w:lineRule="auto"/>
        <w:ind w:left="23" w:right="11" w:hanging="8"/>
        <w:jc w:val="both"/>
        <w:rPr>
          <w:rFonts w:ascii="Verdana" w:hAnsi="Verdana"/>
        </w:rPr>
      </w:pPr>
      <w:r w:rsidRPr="005B5CB6">
        <w:rPr>
          <w:rFonts w:ascii="Verdana" w:eastAsia="Verdana" w:hAnsi="Verdana" w:cs="Verdana"/>
        </w:rPr>
        <w:t xml:space="preserve">Since the 2014 national curriculum, the world has moved on rapidly. Many from all sides of the political spectrum believe our democracy is facing a crisis and that Citizenship Education has a critical role to play both in safeguarding our democracy and democratic institutions and ensuring we equip citizens with the tools they need in society today. Children and young people need to learn about how the internet and digital world works, how to get beyond the headlines or images presented to them,  how to evaluate, sort and find reliable information to make informed decisions about the what they see, hear, read and how to become active with others on issues that matter to them so that democratic society remains vibrant and healthy. </w:t>
      </w:r>
    </w:p>
    <w:p w:rsidR="00FB0B24" w:rsidRPr="005B5CB6" w:rsidP="001512F6">
      <w:pPr>
        <w:spacing w:after="105" w:line="250" w:lineRule="auto"/>
        <w:ind w:left="23" w:right="11" w:hanging="8"/>
        <w:jc w:val="both"/>
        <w:rPr>
          <w:rFonts w:ascii="Verdana" w:hAnsi="Verdana"/>
        </w:rPr>
      </w:pPr>
      <w:r w:rsidRPr="005B5CB6">
        <w:rPr>
          <w:rFonts w:ascii="Verdana" w:eastAsia="Verdana" w:hAnsi="Verdana" w:cs="Verdana"/>
        </w:rPr>
        <w:t xml:space="preserve">For example pupils should be taught about:  </w:t>
      </w:r>
    </w:p>
    <w:p w:rsidR="00FB0B24" w:rsidRPr="005B5CB6" w:rsidP="00575F14">
      <w:pPr>
        <w:numPr>
          <w:ilvl w:val="2"/>
          <w:numId w:val="208"/>
        </w:numPr>
        <w:spacing w:after="112" w:line="250" w:lineRule="auto"/>
        <w:ind w:right="11" w:hanging="360"/>
        <w:jc w:val="both"/>
        <w:rPr>
          <w:rFonts w:ascii="Verdana" w:hAnsi="Verdana"/>
        </w:rPr>
      </w:pPr>
      <w:r w:rsidRPr="005B5CB6">
        <w:rPr>
          <w:rFonts w:ascii="Verdana" w:eastAsia="Verdana" w:hAnsi="Verdana" w:cs="Verdana"/>
        </w:rPr>
        <w:t xml:space="preserve">The role of the internet and social media in protecting freedom of opinion and expression a key principle of a functioning democracy </w:t>
      </w:r>
    </w:p>
    <w:p w:rsidR="00FB0B24" w:rsidRPr="005B5CB6" w:rsidP="00575F14">
      <w:pPr>
        <w:numPr>
          <w:ilvl w:val="2"/>
          <w:numId w:val="208"/>
        </w:numPr>
        <w:spacing w:after="109" w:line="250" w:lineRule="auto"/>
        <w:ind w:right="11" w:hanging="360"/>
        <w:jc w:val="both"/>
        <w:rPr>
          <w:rFonts w:ascii="Verdana" w:hAnsi="Verdana"/>
        </w:rPr>
      </w:pPr>
      <w:r w:rsidRPr="005B5CB6">
        <w:rPr>
          <w:rFonts w:ascii="Verdana" w:eastAsia="Verdana" w:hAnsi="Verdana" w:cs="Verdana"/>
        </w:rPr>
        <w:t xml:space="preserve">The role and responsibility of the media in informing public opinion and enabling citizens to access and engage with a range of viewpoints from reliable sources  </w:t>
      </w:r>
    </w:p>
    <w:p w:rsidR="00FB0B24" w:rsidRPr="005B5CB6" w:rsidP="00575F14">
      <w:pPr>
        <w:numPr>
          <w:ilvl w:val="2"/>
          <w:numId w:val="208"/>
        </w:numPr>
        <w:spacing w:after="112" w:line="250" w:lineRule="auto"/>
        <w:ind w:right="11" w:hanging="360"/>
        <w:jc w:val="both"/>
        <w:rPr>
          <w:rFonts w:ascii="Verdana" w:hAnsi="Verdana"/>
        </w:rPr>
      </w:pPr>
      <w:r w:rsidRPr="005B5CB6">
        <w:rPr>
          <w:rFonts w:ascii="Verdana" w:eastAsia="Verdana" w:hAnsi="Verdana" w:cs="Verdana"/>
        </w:rPr>
        <w:t xml:space="preserve">Data rights, the right to privacy and the ways in which citizens can protect themselves and their identities </w:t>
      </w:r>
    </w:p>
    <w:p w:rsidR="00FB0B24" w:rsidRPr="005B5CB6" w:rsidP="00575F14">
      <w:pPr>
        <w:numPr>
          <w:ilvl w:val="2"/>
          <w:numId w:val="208"/>
        </w:numPr>
        <w:spacing w:after="112" w:line="250" w:lineRule="auto"/>
        <w:ind w:right="11" w:hanging="360"/>
        <w:jc w:val="both"/>
        <w:rPr>
          <w:rFonts w:ascii="Verdana" w:hAnsi="Verdana"/>
        </w:rPr>
      </w:pPr>
      <w:r w:rsidRPr="005B5CB6">
        <w:rPr>
          <w:rFonts w:ascii="Verdana" w:eastAsia="Verdana" w:hAnsi="Verdana" w:cs="Verdana"/>
        </w:rPr>
        <w:t xml:space="preserve">The ways the internet and digital media organisations collect citizens data and use this including to present and filter information </w:t>
      </w:r>
    </w:p>
    <w:p w:rsidR="00FB0B24" w:rsidRPr="005B5CB6" w:rsidP="00575F14">
      <w:pPr>
        <w:numPr>
          <w:ilvl w:val="2"/>
          <w:numId w:val="208"/>
        </w:numPr>
        <w:spacing w:after="109" w:line="250" w:lineRule="auto"/>
        <w:ind w:right="11" w:hanging="360"/>
        <w:jc w:val="both"/>
        <w:rPr>
          <w:rFonts w:ascii="Verdana" w:hAnsi="Verdana"/>
        </w:rPr>
      </w:pPr>
      <w:r w:rsidRPr="005B5CB6">
        <w:rPr>
          <w:rFonts w:ascii="Verdana" w:eastAsia="Verdana" w:hAnsi="Verdana" w:cs="Verdana"/>
        </w:rPr>
        <w:t xml:space="preserve">The role of regulation of the media including online media and the need to balance regulation and freedom of the media in a democratic society </w:t>
      </w:r>
    </w:p>
    <w:p w:rsidR="00FB0B24" w:rsidRPr="005B5CB6" w:rsidP="00575F14">
      <w:pPr>
        <w:numPr>
          <w:ilvl w:val="2"/>
          <w:numId w:val="208"/>
        </w:numPr>
        <w:spacing w:after="112" w:line="250" w:lineRule="auto"/>
        <w:ind w:right="11" w:hanging="360"/>
        <w:jc w:val="both"/>
        <w:rPr>
          <w:rFonts w:ascii="Verdana" w:hAnsi="Verdana"/>
        </w:rPr>
      </w:pPr>
      <w:r w:rsidRPr="005B5CB6">
        <w:rPr>
          <w:rFonts w:ascii="Verdana" w:eastAsia="Verdana" w:hAnsi="Verdana" w:cs="Verdana"/>
        </w:rPr>
        <w:t xml:space="preserve">Online tools and spaces for citizens to make positive contributions to public policy debate on national and local issues beyond government consultations </w:t>
      </w:r>
    </w:p>
    <w:p w:rsidR="00FB0B24" w:rsidRPr="005B5CB6" w:rsidP="00575F14">
      <w:pPr>
        <w:numPr>
          <w:ilvl w:val="2"/>
          <w:numId w:val="208"/>
        </w:numPr>
        <w:spacing w:after="112" w:line="250" w:lineRule="auto"/>
        <w:ind w:right="11" w:hanging="360"/>
        <w:jc w:val="both"/>
        <w:rPr>
          <w:rFonts w:ascii="Verdana" w:hAnsi="Verdana"/>
        </w:rPr>
      </w:pPr>
      <w:r w:rsidRPr="005B5CB6">
        <w:rPr>
          <w:rFonts w:ascii="Verdana" w:eastAsia="Verdana" w:hAnsi="Verdana" w:cs="Verdana"/>
        </w:rPr>
        <w:t xml:space="preserve">How citizens can hold those in power to account for their actions such as through deliberative fora, ‘digital surgeries’, and citizens juries as well as other citizen actions </w:t>
      </w:r>
    </w:p>
    <w:p w:rsidR="00FB0B24" w:rsidRPr="005B5CB6" w:rsidP="00575F14">
      <w:pPr>
        <w:numPr>
          <w:ilvl w:val="2"/>
          <w:numId w:val="208"/>
        </w:numPr>
        <w:spacing w:after="5" w:line="250" w:lineRule="auto"/>
        <w:ind w:right="11" w:hanging="360"/>
        <w:jc w:val="both"/>
        <w:rPr>
          <w:rFonts w:ascii="Verdana" w:hAnsi="Verdana"/>
        </w:rPr>
      </w:pPr>
      <w:r w:rsidRPr="005B5CB6">
        <w:rPr>
          <w:rFonts w:ascii="Verdana" w:eastAsia="Verdana" w:hAnsi="Verdana" w:cs="Verdana"/>
        </w:rPr>
        <w:t xml:space="preserve">How technologies can support citizens in joining public debates and demonstrating their support for campaigns and petitions on issues of concern </w:t>
      </w:r>
    </w:p>
    <w:p w:rsidR="00FB0B24" w:rsidRPr="005B5CB6" w:rsidP="00575F14">
      <w:pPr>
        <w:numPr>
          <w:ilvl w:val="2"/>
          <w:numId w:val="208"/>
        </w:numPr>
        <w:spacing w:after="109" w:line="250" w:lineRule="auto"/>
        <w:ind w:right="11" w:hanging="360"/>
        <w:jc w:val="both"/>
        <w:rPr>
          <w:rFonts w:ascii="Verdana" w:hAnsi="Verdana"/>
        </w:rPr>
      </w:pPr>
      <w:r w:rsidRPr="005B5CB6">
        <w:rPr>
          <w:rFonts w:ascii="Verdana" w:eastAsia="Verdana" w:hAnsi="Verdana" w:cs="Verdana"/>
        </w:rPr>
        <w:t xml:space="preserve">The skills to critically evaluate sources of information and tools to counter and challenge misinformation, disinformation and ‘fake news’ using fact checking principles  </w:t>
      </w:r>
    </w:p>
    <w:p w:rsidR="00FB0B24" w:rsidRPr="005B5CB6" w:rsidP="00575F14">
      <w:pPr>
        <w:numPr>
          <w:ilvl w:val="2"/>
          <w:numId w:val="208"/>
        </w:numPr>
        <w:spacing w:after="109" w:line="250" w:lineRule="auto"/>
        <w:ind w:right="11" w:hanging="360"/>
        <w:jc w:val="both"/>
        <w:rPr>
          <w:rFonts w:ascii="Verdana" w:hAnsi="Verdana"/>
        </w:rPr>
      </w:pPr>
      <w:r w:rsidRPr="005B5CB6">
        <w:rPr>
          <w:rFonts w:ascii="Verdana" w:eastAsia="Verdana" w:hAnsi="Verdana" w:cs="Verdana"/>
        </w:rPr>
        <w:t xml:space="preserve">How citizens can be news makers, ‘citizen journalism’ and make positive use of social media and others forms of information sharing </w:t>
      </w:r>
    </w:p>
    <w:p w:rsidR="00FB0B24" w:rsidRPr="005B5CB6" w:rsidP="00575F14">
      <w:pPr>
        <w:numPr>
          <w:ilvl w:val="2"/>
          <w:numId w:val="208"/>
        </w:numPr>
        <w:spacing w:after="111" w:line="250" w:lineRule="auto"/>
        <w:ind w:right="11" w:hanging="360"/>
        <w:jc w:val="both"/>
        <w:rPr>
          <w:rFonts w:ascii="Verdana" w:hAnsi="Verdana"/>
        </w:rPr>
      </w:pPr>
      <w:r w:rsidRPr="005B5CB6">
        <w:rPr>
          <w:rFonts w:ascii="Verdana" w:eastAsia="Verdana" w:hAnsi="Verdana" w:cs="Verdana"/>
        </w:rPr>
        <w:t xml:space="preserve">The need to balance rights, freedoms and protection of all citizens (young and old) in relation to privacy, consent and surveillance.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i/>
        </w:rPr>
        <w:t xml:space="preserve">Active Citizenship and democratic participation should be a rite of passage for every young person </w:t>
      </w:r>
    </w:p>
    <w:p w:rsidR="00FB0B24" w:rsidRPr="005B5CB6" w:rsidP="00575F14">
      <w:pPr>
        <w:numPr>
          <w:ilvl w:val="1"/>
          <w:numId w:val="209"/>
        </w:numPr>
        <w:spacing w:after="130" w:line="250" w:lineRule="auto"/>
        <w:ind w:left="23" w:right="11" w:hanging="8"/>
        <w:jc w:val="both"/>
        <w:rPr>
          <w:rFonts w:ascii="Verdana" w:hAnsi="Verdana"/>
        </w:rPr>
      </w:pPr>
      <w:r w:rsidRPr="005B5CB6">
        <w:rPr>
          <w:rFonts w:ascii="Verdana" w:eastAsia="Verdana" w:hAnsi="Verdana" w:cs="Verdana"/>
        </w:rPr>
        <w:t>One important strand of all good Citizenship Education is active citizenship which is designed to give students a real learning experience of participation in democratic processes and decision-making including voting at school and in the wider community. This should be a rite of passage for every young person as an essential democratic learning experience. Schools can do this in a range of ways for example, active citizenship can involve students in: different forms of campaigning, organising public meetings or exhibitions to raise awareness of issues, running social enterprise activities, participating in local decision-making within and beyond the school or college through student councils or parliaments and other youth forums or through holding ‘para elections’ at the same time as local or national elections. Recent research has demonstrated that the positive impact of active citizenship in school continues into young adulthood, in relation to people’s attitudes towards, and their actual levels of, political participation (Keating &amp; Janmaat, 2016)</w:t>
      </w:r>
      <w:r>
        <w:rPr>
          <w:rFonts w:ascii="Verdana" w:eastAsia="Verdana" w:hAnsi="Verdana" w:cs="Verdana"/>
          <w:vertAlign w:val="superscript"/>
        </w:rPr>
        <w:footnoteReference w:id="306"/>
      </w:r>
      <w:r w:rsidRPr="005B5CB6">
        <w:rPr>
          <w:rFonts w:ascii="Verdana" w:eastAsia="Verdana" w:hAnsi="Verdana" w:cs="Verdana"/>
        </w:rPr>
        <w:t xml:space="preserve">. </w:t>
      </w:r>
    </w:p>
    <w:p w:rsidR="00FB0B24" w:rsidRPr="005B5CB6" w:rsidP="00575F14">
      <w:pPr>
        <w:numPr>
          <w:ilvl w:val="1"/>
          <w:numId w:val="209"/>
        </w:numPr>
        <w:spacing w:after="112" w:line="250" w:lineRule="auto"/>
        <w:ind w:left="23" w:right="11" w:hanging="8"/>
        <w:jc w:val="both"/>
        <w:rPr>
          <w:rFonts w:ascii="Verdana" w:hAnsi="Verdana"/>
        </w:rPr>
      </w:pPr>
      <w:r w:rsidRPr="005B5CB6">
        <w:rPr>
          <w:rFonts w:ascii="Verdana" w:eastAsia="Verdana" w:hAnsi="Verdana" w:cs="Verdana"/>
        </w:rPr>
        <w:t xml:space="preserve">To support this important dimension of the subject, ACT has collaborated with First News – the UK’s biggest newspaper for children to develop a new ACTive Citizenship Award Scheme. We have developed a simple approach which is easy for schools to use and encourages pupils to initiate and take forward a range of positive forms of action. There is no charge to join and schools receive a free teacher guide and pupil toolkit to support their work. The scheme was launched a year ago and has already attracted over 400 schools. It is designed to support the habit of taking action and acknowledge actions that pupils undertake in relation to what they have been learning in the curriculum (a learning award), their active and democratic participation in school live (a school award); and for actions they take to address issues in the wider community (a community award). Pupils are recognised for their actions with certificates and badges. Five of the most creative were nominated and received medals at the British Youth </w:t>
      </w:r>
      <w:r w:rsidRPr="005B5CB6">
        <w:rPr>
          <w:rFonts w:ascii="Verdana" w:eastAsia="Verdana" w:hAnsi="Verdana" w:cs="Verdana"/>
        </w:rPr>
        <w:t xml:space="preserve">Citizenship Awards in Parliament on 16 October awarding by Lord Blunkett of Brightside and Baroness Morris of Yardley. </w:t>
      </w:r>
    </w:p>
    <w:p w:rsidR="00FB0B24" w:rsidRPr="005B5CB6" w:rsidP="001512F6">
      <w:pPr>
        <w:spacing w:after="0"/>
        <w:jc w:val="both"/>
        <w:rPr>
          <w:rFonts w:ascii="Verdana" w:hAnsi="Verdana"/>
        </w:rPr>
      </w:pPr>
      <w:r w:rsidRPr="005B5CB6">
        <w:rPr>
          <w:rFonts w:ascii="Verdana" w:eastAsia="Verdana" w:hAnsi="Verdana" w:cs="Verdana"/>
          <w:i/>
        </w:rPr>
        <w:t xml:space="preserve"> </w:t>
      </w:r>
    </w:p>
    <w:p w:rsidR="00FB0B24" w:rsidRPr="005B5CB6" w:rsidP="001512F6">
      <w:pPr>
        <w:spacing w:after="5" w:line="249" w:lineRule="auto"/>
        <w:ind w:left="10" w:hanging="10"/>
        <w:jc w:val="both"/>
        <w:rPr>
          <w:rFonts w:ascii="Verdana" w:hAnsi="Verdana"/>
        </w:rPr>
      </w:pPr>
      <w:r w:rsidRPr="005B5CB6">
        <w:rPr>
          <w:rFonts w:ascii="Verdana" w:eastAsia="Verdana" w:hAnsi="Verdana" w:cs="Verdana"/>
          <w:i/>
        </w:rPr>
        <w:t xml:space="preserve">Citizenship must be a priority subject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 xml:space="preserve">5.1 High-quality and effective Citizenship education is found in schools that have several key characteristics: </w:t>
      </w:r>
    </w:p>
    <w:p w:rsidR="00FB0B24" w:rsidRPr="005B5CB6" w:rsidP="00575F14">
      <w:pPr>
        <w:numPr>
          <w:ilvl w:val="2"/>
          <w:numId w:val="212"/>
        </w:numPr>
        <w:spacing w:after="5" w:line="250" w:lineRule="auto"/>
        <w:ind w:right="11" w:hanging="360"/>
        <w:jc w:val="both"/>
        <w:rPr>
          <w:rFonts w:ascii="Verdana" w:hAnsi="Verdana"/>
        </w:rPr>
      </w:pPr>
      <w:r w:rsidRPr="005B5CB6">
        <w:rPr>
          <w:rFonts w:ascii="Verdana" w:eastAsia="Verdana" w:hAnsi="Verdana" w:cs="Verdana"/>
        </w:rPr>
        <w:t xml:space="preserve">Citizenship is a priority, strongly embedded in the curriculum with discrete teaching time </w:t>
      </w:r>
    </w:p>
    <w:p w:rsidR="00FB0B24" w:rsidRPr="005B5CB6" w:rsidP="00575F14">
      <w:pPr>
        <w:numPr>
          <w:ilvl w:val="2"/>
          <w:numId w:val="212"/>
        </w:numPr>
        <w:spacing w:after="5" w:line="250" w:lineRule="auto"/>
        <w:ind w:right="11" w:hanging="360"/>
        <w:jc w:val="both"/>
        <w:rPr>
          <w:rFonts w:ascii="Verdana" w:hAnsi="Verdana"/>
        </w:rPr>
      </w:pPr>
      <w:r w:rsidRPr="005B5CB6">
        <w:rPr>
          <w:rFonts w:ascii="Verdana" w:eastAsia="Verdana" w:hAnsi="Verdana" w:cs="Verdana"/>
        </w:rPr>
        <w:t xml:space="preserve">there are Citizenship trained teachers who lead and coordinate teaching </w:t>
      </w:r>
    </w:p>
    <w:p w:rsidR="00FB0B24" w:rsidRPr="005B5CB6" w:rsidP="00575F14">
      <w:pPr>
        <w:numPr>
          <w:ilvl w:val="2"/>
          <w:numId w:val="212"/>
        </w:numPr>
        <w:spacing w:after="100" w:line="250" w:lineRule="auto"/>
        <w:ind w:right="11" w:hanging="360"/>
        <w:jc w:val="both"/>
        <w:rPr>
          <w:rFonts w:ascii="Verdana" w:hAnsi="Verdana"/>
        </w:rPr>
      </w:pPr>
      <w:r w:rsidRPr="005B5CB6">
        <w:rPr>
          <w:rFonts w:ascii="Verdana" w:eastAsia="Verdana" w:hAnsi="Verdana" w:cs="Verdana"/>
        </w:rPr>
        <w:t xml:space="preserve">specialists are supported by the Head and Senior Leadership team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10681"/>
                <wp:effectExtent l="0" t="0" r="0" b="0"/>
                <wp:docPr id="579322" name="Group 57932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1"/>
                          <a:chOff x="0" y="0"/>
                          <a:chExt cx="1828800" cy="10681"/>
                        </a:xfrm>
                      </wpg:grpSpPr>
                      <wps:wsp xmlns:wps="http://schemas.microsoft.com/office/word/2010/wordprocessingShape">
                        <wps:cNvPr id="636253" name="Shape 636253"/>
                        <wps:cNvSpPr/>
                        <wps:spPr>
                          <a:xfrm>
                            <a:off x="0" y="0"/>
                            <a:ext cx="1828800" cy="10681"/>
                          </a:xfrm>
                          <a:custGeom>
                            <a:avLst/>
                            <a:gdLst/>
                            <a:ahLst/>
                            <a:cxnLst/>
                            <a:rect l="0" t="0" r="0" b="0"/>
                            <a:pathLst>
                              <a:path w="1828800" h="10681">
                                <a:moveTo>
                                  <a:pt x="0" y="0"/>
                                </a:moveTo>
                                <a:lnTo>
                                  <a:pt x="1828800" y="0"/>
                                </a:lnTo>
                                <a:lnTo>
                                  <a:pt x="1828800" y="10681"/>
                                </a:lnTo>
                                <a:lnTo>
                                  <a:pt x="0" y="10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21" style="height:0.84pt;mso-position-horizontal-relative:char;mso-position-vertical-relative:line;width:2in" coordsize="18288,106">
                <v:shape id="_x0000_s1322" style="height:106;position:absolute;width:18288" coordsize="1828800,10681" path="m,l1828800,l1828800,10681l,10681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2"/>
          <w:numId w:val="212"/>
        </w:numPr>
        <w:spacing w:after="5" w:line="250" w:lineRule="auto"/>
        <w:ind w:right="11" w:hanging="360"/>
        <w:jc w:val="both"/>
        <w:rPr>
          <w:rFonts w:ascii="Verdana" w:hAnsi="Verdana"/>
        </w:rPr>
      </w:pPr>
      <w:r w:rsidRPr="005B5CB6">
        <w:rPr>
          <w:rFonts w:ascii="Verdana" w:eastAsia="Verdana" w:hAnsi="Verdana" w:cs="Verdana"/>
        </w:rPr>
        <w:t xml:space="preserve">Citizenship as a subject is part of a whole-school approach, manifested in the curriculum, culture and ethos of the school and in the school’s relations with the wider community.  </w:t>
      </w:r>
    </w:p>
    <w:p w:rsidR="00FB0B24" w:rsidRPr="005B5CB6" w:rsidP="001512F6">
      <w:pPr>
        <w:spacing w:after="5" w:line="250" w:lineRule="auto"/>
        <w:ind w:left="23" w:right="11" w:hanging="8"/>
        <w:jc w:val="both"/>
        <w:rPr>
          <w:rFonts w:ascii="Verdana" w:hAnsi="Verdana"/>
        </w:rPr>
      </w:pPr>
      <w:r w:rsidRPr="005B5CB6">
        <w:rPr>
          <w:rFonts w:ascii="Verdana" w:eastAsia="Verdana" w:hAnsi="Verdana" w:cs="Verdana"/>
        </w:rPr>
        <w:t>The DfE-funded Longitudinal Study of Citizenship directed by the NFER from 2001-2010</w:t>
      </w:r>
      <w:r>
        <w:rPr>
          <w:rFonts w:ascii="Verdana" w:eastAsia="Verdana" w:hAnsi="Verdana" w:cs="Verdana"/>
          <w:vertAlign w:val="superscript"/>
        </w:rPr>
        <w:footnoteReference w:id="307"/>
      </w:r>
      <w:r w:rsidRPr="005B5CB6">
        <w:rPr>
          <w:rFonts w:ascii="Verdana" w:eastAsia="Verdana" w:hAnsi="Verdana" w:cs="Verdana"/>
        </w:rPr>
        <w:t xml:space="preserve"> also showed that pupil outcomes in Citizenship improve where there is regular time for Citizenship lessons planned and taught by trained Citizenship teachers to allow for depth of study and progression in learning and attainment.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211"/>
        </w:numPr>
        <w:spacing w:after="5" w:line="250" w:lineRule="auto"/>
        <w:ind w:left="23" w:right="11" w:hanging="8"/>
        <w:jc w:val="both"/>
        <w:rPr>
          <w:rFonts w:ascii="Verdana" w:hAnsi="Verdana"/>
        </w:rPr>
      </w:pPr>
      <w:r w:rsidRPr="005B5CB6">
        <w:rPr>
          <w:rFonts w:ascii="Verdana" w:eastAsia="Verdana" w:hAnsi="Verdana" w:cs="Verdana"/>
        </w:rPr>
        <w:t>There is no doubt of the impact a well-trained, enthusiastic subject teacher can have in any school and Citizenship has traditionally attracted a diverse range of trainees from a wide range of socio-economic backgrounds.  However, unlike other national curriculum subjects, Citizenship has not had a teacher training bursary to help attract trainees to teach the subject or support those from lower socio-economic groups with the cost of training. Since 2010, DfE workforce statistics show that the numbers of Citizenship teachers have halved</w:t>
      </w:r>
      <w:r>
        <w:rPr>
          <w:rFonts w:ascii="Verdana" w:eastAsia="Verdana" w:hAnsi="Verdana" w:cs="Verdana"/>
          <w:vertAlign w:val="superscript"/>
        </w:rPr>
        <w:footnoteReference w:id="308"/>
      </w:r>
      <w:r w:rsidRPr="005B5CB6">
        <w:rPr>
          <w:rFonts w:ascii="Verdana" w:eastAsia="Verdana" w:hAnsi="Verdana" w:cs="Verdana"/>
        </w:rPr>
        <w:t xml:space="preserve"> to 4241 teachers teaching the subject in schools in 2018. The number of those training as specialist Citizenship teachers has fallen from 243 in 2010 to less than 40 in 2018. Doing nothing to address this issue is simply unacceptable. Citizenship is also a subject that requires teachers to be constantly updating their subject knowledge, making use of appropriate teaching approaches to encourage deliberative debate, oracy and active citizenship and with confidence and skills to tackle sensitive and controversial issues in the classroom. Hence why ongoing professional development in Citizenship must also be a priority.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1"/>
          <w:numId w:val="211"/>
        </w:numPr>
        <w:spacing w:after="5" w:line="250" w:lineRule="auto"/>
        <w:ind w:left="23" w:right="11" w:hanging="8"/>
        <w:jc w:val="both"/>
        <w:rPr>
          <w:rFonts w:ascii="Verdana" w:hAnsi="Verdana"/>
        </w:rPr>
      </w:pPr>
      <w:r w:rsidRPr="005B5CB6">
        <w:rPr>
          <w:rFonts w:ascii="Verdana" w:eastAsia="Verdana" w:hAnsi="Verdana" w:cs="Verdana"/>
        </w:rPr>
        <w:t xml:space="preserve">Despite not being an Ebacc subject, the number of pupils taking GCSEs in Citizenship Studies has increased during the past two years and now stands at just under 20,000 - an increase of 10% in the summer of 2019. This is some considerable way off the peak number of students taking GCSE in 2009 of 96,000 but at this point the qualification was also available as a short course GCSE an option that is no longer available. Many students do not even get the option of studying Citizenship at GCSE. Evidence collected through the ACT’s annual teaching survey shows that Citizenship remains high profile in schools that offer the GCSE qualification and there is more likely to be a dedicated subject specialist in schools where the qualification is used.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108" w:line="249" w:lineRule="auto"/>
        <w:ind w:left="9" w:hanging="10"/>
        <w:jc w:val="both"/>
        <w:rPr>
          <w:rFonts w:ascii="Verdana" w:hAnsi="Verdana"/>
        </w:rPr>
      </w:pPr>
      <w:r w:rsidRPr="005B5CB6">
        <w:rPr>
          <w:rFonts w:ascii="Verdana" w:eastAsia="Verdana" w:hAnsi="Verdana" w:cs="Verdana"/>
          <w:b/>
        </w:rPr>
        <w:t xml:space="preserve">6. </w:t>
      </w:r>
      <w:r w:rsidRPr="005B5CB6">
        <w:rPr>
          <w:rFonts w:ascii="Verdana" w:eastAsia="Verdana" w:hAnsi="Verdana" w:cs="Verdana"/>
          <w:b/>
          <w:i/>
        </w:rPr>
        <w:t>Ofsted inspection of Citizenship and making the subject visible again</w:t>
      </w:r>
      <w:r w:rsidRPr="005B5CB6">
        <w:rPr>
          <w:rFonts w:ascii="Verdana" w:eastAsia="Verdana" w:hAnsi="Verdana" w:cs="Verdana"/>
          <w:b/>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6.1When Citizenship was introduced in schools in 2002 Education Ministers were keen to evaluate its effectiveness and build a robust evidence base to improve policy and practice. They commissioned NFER to undertake the Longitudinal Study (CELS) from 2001 to 2010, ensured England’s participation in the two IEA international studies of civic and citizenship education (CIVED in 1999 and ICCS in 2009)</w:t>
      </w:r>
      <w:r>
        <w:rPr>
          <w:rFonts w:ascii="Verdana" w:eastAsia="Verdana" w:hAnsi="Verdana" w:cs="Verdana"/>
          <w:vertAlign w:val="superscript"/>
        </w:rPr>
        <w:footnoteReference w:id="309"/>
      </w:r>
      <w:r w:rsidRPr="005B5CB6">
        <w:rPr>
          <w:rFonts w:ascii="Verdana" w:eastAsia="Verdana" w:hAnsi="Verdana" w:cs="Verdana"/>
        </w:rPr>
        <w:t xml:space="preserve"> so as to compare progress with other countries and encouraged Ofsted to carry out regular subject reviews of Citizenship. However, since 2010 that evidence base for Citizenship has been allowed to all but disappear.  </w:t>
      </w:r>
    </w:p>
    <w:p w:rsidR="00FB0B24" w:rsidRPr="005B5CB6" w:rsidP="001512F6">
      <w:pPr>
        <w:spacing w:after="0"/>
        <w:ind w:left="360"/>
        <w:jc w:val="both"/>
        <w:rPr>
          <w:rFonts w:ascii="Verdana" w:hAnsi="Verdana"/>
        </w:rPr>
      </w:pPr>
      <w:r w:rsidRPr="005B5CB6">
        <w:rPr>
          <w:rFonts w:ascii="Verdana" w:eastAsia="Verdana" w:hAnsi="Verdana" w:cs="Verdana"/>
        </w:rPr>
        <w:t xml:space="preserve"> </w:t>
      </w:r>
    </w:p>
    <w:p w:rsidR="00FB0B24" w:rsidRPr="005B5CB6" w:rsidP="001512F6">
      <w:pPr>
        <w:spacing w:after="123" w:line="250" w:lineRule="auto"/>
        <w:ind w:left="375" w:right="11" w:hanging="360"/>
        <w:jc w:val="both"/>
        <w:rPr>
          <w:rFonts w:ascii="Verdana" w:hAnsi="Verdana"/>
        </w:rPr>
      </w:pPr>
      <w:r w:rsidRPr="005B5CB6">
        <w:rPr>
          <w:rFonts w:ascii="Verdana" w:eastAsia="Verdana" w:hAnsi="Verdana" w:cs="Verdana"/>
        </w:rPr>
        <w:t xml:space="preserve">6.2In the last ten years Ofsted have rarely commented on Citizenship in school inspection reports and fail to report on non-compliance with the statutory </w:t>
      </w:r>
    </w:p>
    <w:p w:rsidR="00FB0B24" w:rsidRPr="005B5CB6" w:rsidP="001512F6">
      <w:pPr>
        <w:spacing w:after="0"/>
        <w:jc w:val="both"/>
        <w:rPr>
          <w:rFonts w:ascii="Verdana" w:hAnsi="Verdana"/>
        </w:rPr>
      </w:pPr>
      <w:r w:rsidRPr="005B5CB6">
        <w:rPr>
          <w:rFonts w:ascii="Verdana" w:hAnsi="Verdana"/>
          <w:noProof/>
        </w:rPr>
        <mc:AlternateContent>
          <mc:Choice Requires="wpg">
            <w:drawing>
              <wp:inline distT="0" distB="0" distL="0" distR="0">
                <wp:extent cx="1828800" cy="10681"/>
                <wp:effectExtent l="0" t="0" r="0" b="0"/>
                <wp:docPr id="578793" name="Group 57879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1"/>
                          <a:chOff x="0" y="0"/>
                          <a:chExt cx="1828800" cy="10681"/>
                        </a:xfrm>
                      </wpg:grpSpPr>
                      <wps:wsp xmlns:wps="http://schemas.microsoft.com/office/word/2010/wordprocessingShape">
                        <wps:cNvPr id="636259" name="Shape 636259"/>
                        <wps:cNvSpPr/>
                        <wps:spPr>
                          <a:xfrm>
                            <a:off x="0" y="0"/>
                            <a:ext cx="1828800" cy="10681"/>
                          </a:xfrm>
                          <a:custGeom>
                            <a:avLst/>
                            <a:gdLst/>
                            <a:ahLst/>
                            <a:cxnLst/>
                            <a:rect l="0" t="0" r="0" b="0"/>
                            <a:pathLst>
                              <a:path w="1828800" h="10681">
                                <a:moveTo>
                                  <a:pt x="0" y="0"/>
                                </a:moveTo>
                                <a:lnTo>
                                  <a:pt x="1828800" y="0"/>
                                </a:lnTo>
                                <a:lnTo>
                                  <a:pt x="1828800" y="10681"/>
                                </a:lnTo>
                                <a:lnTo>
                                  <a:pt x="0" y="10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23" style="height:0.84pt;mso-position-horizontal-relative:char;mso-position-vertical-relative:line;width:2in" coordsize="18288,106">
                <v:shape id="_x0000_s1324" style="height:106;position:absolute;width:18288" coordsize="1828800,10681" path="m,l1828800,l1828800,10681l,10681l,e">
                  <v:stroke joinstyle="miter" endcap="flat" opacity="0"/>
                </v:shape>
                <w10:wrap type="none"/>
              </v:group>
            </w:pict>
          </mc:Fallback>
        </mc:AlternateContent>
      </w:r>
      <w:r w:rsidRPr="005B5CB6">
        <w:rPr>
          <w:rFonts w:ascii="Verdana" w:hAnsi="Verdana"/>
        </w:rPr>
        <w:t xml:space="preserve"> </w:t>
      </w:r>
    </w:p>
    <w:p w:rsidR="00FB0B24" w:rsidRPr="005B5CB6" w:rsidP="001512F6">
      <w:pPr>
        <w:spacing w:after="5" w:line="250" w:lineRule="auto"/>
        <w:ind w:left="368" w:right="11" w:hanging="8"/>
        <w:jc w:val="both"/>
        <w:rPr>
          <w:rFonts w:ascii="Verdana" w:hAnsi="Verdana"/>
        </w:rPr>
      </w:pPr>
      <w:r w:rsidRPr="005B5CB6">
        <w:rPr>
          <w:rFonts w:ascii="Verdana" w:eastAsia="Verdana" w:hAnsi="Verdana" w:cs="Verdana"/>
        </w:rPr>
        <w:t xml:space="preserve">National Curriculum in maintained schools. The new Ofsted inspection framework has rightly placed greater emphasis on schools providing a rigorous curriculum based on the National Curriculum including Citizenship as well as a new measure of Personal Development, also including Citizenship. This is something ACT lobbied for and we feel this means there is much greater potential for the inspection of the quality of a school’s provision to include an inspection of Citizenship. However, we shall not know if this will happen until the new inspection framework has been implemented and to date the focus appears to have been on Ebacc subjects. We urgently need to see public reporting on Citizenship and evidence from what Ofsted has termed ‘deep dives’ – a more detailed look into the intent, implementation and impact of a curriculum subject - alongside any evidence that may be gathered under the personal development measure.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 xml:space="preserve">6.3Currently several government departments seem to be putting efforts and resources into public policy that could support Citizenship education and active citizenship but as yet there are no signs of real investment. The Cabinet Office funds work to educate young people about democracy and voting but appears reluctant to invest in schools; the Department of Digital, Culture Media and Sport funds social action and National Citizen Service but has not connected this with the Citizenship curriculum and the same department has begun new work on media literacy following the ‘online harms’ white paper but appears to be primarily concerned with e-safety and ‘cyber-bullying’ rather than media literacy including news literacy and digital literacy. The Department for Education have not provided any significant support for Citizenship education or Citizenship teacher training and development since 2008. Although last year the DfE funded ACT to develop a small project to promote British values through classroom debate resources for teachers which can support Citizenship, the outcomes of the project are yet to be promoted and disseminated to schools.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375" w:right="11" w:hanging="360"/>
        <w:jc w:val="both"/>
        <w:rPr>
          <w:rFonts w:ascii="Verdana" w:hAnsi="Verdana"/>
        </w:rPr>
      </w:pPr>
      <w:r w:rsidRPr="005B5CB6">
        <w:rPr>
          <w:rFonts w:ascii="Verdana" w:eastAsia="Verdana" w:hAnsi="Verdana" w:cs="Verdana"/>
        </w:rPr>
        <w:t xml:space="preserve">6.4The absence of a clear communication policy to schools by the DFE about the role, purpose and expectations in relation to Citizenship, seem at odds with the increase in public concern about the state of politics and parliamentary democracy, and the need to equip children with knowledge and skills to make sense of the digital and the physical world. The many current and pressing concerns about the threats to democracy surely mean that teaching children and young people about democratic society including media literacy, digital literacy and politically literacy is essential if we want to develop them as informed, active and responsible citizens. In short, there has never been a more important moment to make Citizenship and democracy education a public policy and resource priority.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0"/>
        <w:jc w:val="both"/>
        <w:rPr>
          <w:rFonts w:ascii="Verdana" w:hAnsi="Verdana"/>
        </w:rPr>
      </w:pPr>
      <w:r w:rsidRPr="005B5CB6">
        <w:rPr>
          <w:rFonts w:ascii="Verdana" w:eastAsia="Verdana" w:hAnsi="Verdana" w:cs="Verdana"/>
          <w:b/>
        </w:rPr>
        <w:t xml:space="preserve"> </w:t>
      </w:r>
    </w:p>
    <w:p w:rsidR="00FB0B24" w:rsidRPr="005B5CB6" w:rsidP="001512F6">
      <w:pPr>
        <w:jc w:val="both"/>
        <w:rPr>
          <w:rFonts w:ascii="Verdana" w:hAnsi="Verdana"/>
        </w:rPr>
        <w:sectPr w:rsidSect="00D20189">
          <w:headerReference w:type="even" r:id="rId358"/>
          <w:headerReference w:type="default" r:id="rId359"/>
          <w:footerReference w:type="even" r:id="rId360"/>
          <w:footerReference w:type="default" r:id="rId361"/>
          <w:headerReference w:type="first" r:id="rId362"/>
          <w:footerReference w:type="first" r:id="rId363"/>
          <w:pgSz w:w="11906" w:h="16838"/>
          <w:pgMar w:top="1492" w:right="1440" w:bottom="1440" w:left="1440" w:header="720" w:footer="567" w:gutter="0"/>
          <w:cols w:space="720"/>
        </w:sectPr>
      </w:pPr>
    </w:p>
    <w:p w:rsidR="00FB0B24" w:rsidRPr="005B5CB6" w:rsidP="001512F6">
      <w:pPr>
        <w:spacing w:after="279"/>
        <w:jc w:val="both"/>
        <w:rPr>
          <w:rFonts w:ascii="Verdana" w:hAnsi="Verdana"/>
        </w:rPr>
      </w:pPr>
      <w:r w:rsidRPr="005B5CB6">
        <w:rPr>
          <w:rFonts w:ascii="Verdana" w:eastAsia="Verdana" w:hAnsi="Verdana" w:cs="Verdana"/>
        </w:rPr>
        <w:t xml:space="preserve"> </w:t>
      </w:r>
    </w:p>
    <w:p w:rsidR="00FB0B24" w:rsidRPr="005B5CB6" w:rsidP="00A1624B">
      <w:pPr>
        <w:pStyle w:val="Heading1"/>
        <w:rPr>
          <w:sz w:val="22"/>
        </w:rPr>
      </w:pPr>
      <w:bookmarkStart w:id="62" w:name="_Toc44517750"/>
      <w:r w:rsidRPr="005B5CB6">
        <w:rPr>
          <w:sz w:val="22"/>
        </w:rPr>
        <w:t>The Coalition for Reform in Political Advertising – written evidence (DAD0071)</w:t>
      </w:r>
      <w:bookmarkEnd w:id="62"/>
      <w:r w:rsidRPr="005B5CB6">
        <w:rPr>
          <w:sz w:val="22"/>
        </w:rPr>
        <w:t xml:space="preserve">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395" w:line="250" w:lineRule="auto"/>
        <w:ind w:left="23" w:right="11" w:hanging="8"/>
        <w:jc w:val="both"/>
        <w:rPr>
          <w:rFonts w:ascii="Verdana" w:hAnsi="Verdana"/>
        </w:rPr>
      </w:pPr>
      <w:r w:rsidRPr="005B5CB6">
        <w:rPr>
          <w:rFonts w:ascii="Verdana" w:eastAsia="Verdana" w:hAnsi="Verdana" w:cs="Verdana"/>
        </w:rPr>
        <w:t xml:space="preserve">Our non-partisan coalition is calling on the UK Parliament to implement a fourpoint plan to improve the transparency and accuracy of discourse around British elections by reforming political advertising in the following ways: </w:t>
      </w:r>
    </w:p>
    <w:p w:rsidR="00FB0B24" w:rsidRPr="005B5CB6" w:rsidP="00575F14">
      <w:pPr>
        <w:numPr>
          <w:ilvl w:val="0"/>
          <w:numId w:val="213"/>
        </w:numPr>
        <w:spacing w:after="5" w:line="250" w:lineRule="auto"/>
        <w:ind w:right="11" w:hanging="360"/>
        <w:jc w:val="both"/>
        <w:rPr>
          <w:rFonts w:ascii="Verdana" w:hAnsi="Verdana"/>
        </w:rPr>
      </w:pPr>
      <w:r w:rsidRPr="005B5CB6">
        <w:rPr>
          <w:rFonts w:ascii="Verdana" w:eastAsia="Verdana" w:hAnsi="Verdana" w:cs="Verdana"/>
        </w:rPr>
        <w:t xml:space="preserve">Legislate so that all paid-for political adverts can be viewed by the public; </w:t>
      </w:r>
    </w:p>
    <w:p w:rsidR="00FB0B24" w:rsidRPr="005B5CB6" w:rsidP="00575F14">
      <w:pPr>
        <w:numPr>
          <w:ilvl w:val="0"/>
          <w:numId w:val="213"/>
        </w:numPr>
        <w:spacing w:after="5" w:line="250" w:lineRule="auto"/>
        <w:ind w:right="11" w:hanging="360"/>
        <w:jc w:val="both"/>
        <w:rPr>
          <w:rFonts w:ascii="Verdana" w:hAnsi="Verdana"/>
        </w:rPr>
      </w:pPr>
      <w:r w:rsidRPr="005B5CB6">
        <w:rPr>
          <w:rFonts w:ascii="Verdana" w:eastAsia="Verdana" w:hAnsi="Verdana" w:cs="Verdana"/>
        </w:rPr>
        <w:t xml:space="preserve">Give an existing body the power to regulate political advertising content or create a new body to do so; </w:t>
      </w:r>
    </w:p>
    <w:p w:rsidR="00FB0B24" w:rsidRPr="005B5CB6" w:rsidP="00575F14">
      <w:pPr>
        <w:numPr>
          <w:ilvl w:val="0"/>
          <w:numId w:val="213"/>
        </w:numPr>
        <w:spacing w:after="5" w:line="250" w:lineRule="auto"/>
        <w:ind w:right="11" w:hanging="360"/>
        <w:jc w:val="both"/>
        <w:rPr>
          <w:rFonts w:ascii="Verdana" w:hAnsi="Verdana"/>
        </w:rPr>
      </w:pPr>
      <w:r w:rsidRPr="005B5CB6">
        <w:rPr>
          <w:rFonts w:ascii="Verdana" w:eastAsia="Verdana" w:hAnsi="Verdana" w:cs="Verdana"/>
        </w:rPr>
        <w:t xml:space="preserve">Require all objective factual claims used in political ads to be substantiated; </w:t>
      </w:r>
    </w:p>
    <w:p w:rsidR="00FB0B24" w:rsidRPr="005B5CB6" w:rsidP="00575F14">
      <w:pPr>
        <w:numPr>
          <w:ilvl w:val="0"/>
          <w:numId w:val="213"/>
        </w:numPr>
        <w:spacing w:after="272" w:line="250" w:lineRule="auto"/>
        <w:ind w:right="11" w:hanging="360"/>
        <w:jc w:val="both"/>
        <w:rPr>
          <w:rFonts w:ascii="Verdana" w:hAnsi="Verdana"/>
        </w:rPr>
      </w:pPr>
      <w:r w:rsidRPr="005B5CB6">
        <w:rPr>
          <w:rFonts w:ascii="Verdana" w:eastAsia="Verdana" w:hAnsi="Verdana" w:cs="Verdana"/>
        </w:rPr>
        <w:t xml:space="preserve">Introduce compulsory imprints or watermarks to show the origin of online ads. </w:t>
      </w:r>
    </w:p>
    <w:p w:rsidR="00FB0B24" w:rsidRPr="005B5CB6" w:rsidP="005659F4">
      <w:pPr>
        <w:spacing w:after="270" w:line="250" w:lineRule="auto"/>
        <w:ind w:left="23" w:right="11" w:hanging="8"/>
        <w:jc w:val="both"/>
        <w:rPr>
          <w:rFonts w:ascii="Verdana" w:hAnsi="Verdana"/>
        </w:rPr>
      </w:pPr>
      <w:r w:rsidRPr="005B5CB6">
        <w:rPr>
          <w:rFonts w:ascii="Verdana" w:eastAsia="Verdana" w:hAnsi="Verdana" w:cs="Verdana"/>
        </w:rPr>
        <w:t xml:space="preserve">These are not the only areas which need to be addressed, but we have selected them as we believe they are both hard to argue against and that they are also high-impact areas for restoring the transparency and accuracy of discourse around our elections.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We are seeking the support of all the major parties in the UK and currently have the support of the Green Party and Independent Group for Change. You can read more about the aims and background of our campaign</w:t>
      </w:r>
      <w:r>
        <w:fldChar w:fldCharType="begin"/>
      </w:r>
      <w:r>
        <w:instrText xml:space="preserve"> HYPERLINK "https://reformpoliticaladvertising.org/background/"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"https://reformpoliticaladvertising.org/background/" </w:instrText>
      </w:r>
      <w:r>
        <w:fldChar w:fldCharType="separate"/>
      </w:r>
      <w:r w:rsidRPr="005B5CB6">
        <w:rPr>
          <w:rFonts w:ascii="Verdana" w:eastAsia="Verdana" w:hAnsi="Verdana" w:cs="Verdana"/>
          <w:u w:val="single" w:color="000000"/>
        </w:rPr>
        <w:t>here</w:t>
      </w:r>
      <w:r>
        <w:fldChar w:fldCharType="end"/>
      </w:r>
      <w:r>
        <w:fldChar w:fldCharType="begin"/>
      </w:r>
      <w:r>
        <w:instrText xml:space="preserve"> HYPERLINK "https://reformpoliticaladvertising.org/background/"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270" w:line="250" w:lineRule="auto"/>
        <w:ind w:left="23" w:right="11" w:hanging="8"/>
        <w:jc w:val="both"/>
        <w:rPr>
          <w:rFonts w:ascii="Verdana" w:hAnsi="Verdana"/>
        </w:rPr>
      </w:pPr>
      <w:r w:rsidRPr="005B5CB6">
        <w:rPr>
          <w:rFonts w:ascii="Verdana" w:eastAsia="Verdana" w:hAnsi="Verdana" w:cs="Verdana"/>
        </w:rPr>
        <w:t xml:space="preserve">We have chosen to respond to the select committee questions which directly relate to our key campaign areas below.  </w:t>
      </w:r>
    </w:p>
    <w:p w:rsidR="00FB0B24" w:rsidRPr="005B5CB6" w:rsidP="005659F4">
      <w:pPr>
        <w:spacing w:after="266" w:line="250" w:lineRule="auto"/>
        <w:ind w:left="11" w:hanging="10"/>
        <w:jc w:val="both"/>
        <w:rPr>
          <w:rFonts w:ascii="Verdana" w:hAnsi="Verdana"/>
        </w:rPr>
      </w:pPr>
      <w:r w:rsidRPr="005B5CB6">
        <w:rPr>
          <w:rFonts w:ascii="Verdana" w:eastAsia="Verdana" w:hAnsi="Verdana" w:cs="Verdana"/>
          <w:b/>
        </w:rPr>
        <w:t xml:space="preserve">General </w:t>
      </w:r>
      <w:r w:rsidRPr="005B5CB6">
        <w:rPr>
          <w:rFonts w:ascii="Verdana" w:eastAsia="Verdana" w:hAnsi="Verdana" w:cs="Verdana"/>
        </w:rPr>
        <w:t xml:space="preserve"> </w:t>
      </w:r>
    </w:p>
    <w:p w:rsidR="00FB0B24" w:rsidRPr="005B5CB6" w:rsidP="005659F4">
      <w:pPr>
        <w:spacing w:after="270" w:line="250" w:lineRule="auto"/>
        <w:ind w:left="709" w:right="11" w:hanging="281"/>
        <w:jc w:val="both"/>
        <w:rPr>
          <w:rFonts w:ascii="Verdana" w:hAnsi="Verdana"/>
        </w:rPr>
      </w:pPr>
      <w:r w:rsidRPr="005B5CB6">
        <w:rPr>
          <w:rFonts w:ascii="Verdana" w:eastAsia="Verdana" w:hAnsi="Verdana" w:cs="Verdana"/>
        </w:rPr>
        <w:t>1.</w:t>
      </w:r>
      <w:r w:rsidRPr="005B5CB6">
        <w:rPr>
          <w:rFonts w:ascii="Verdana" w:eastAsia="Arial" w:hAnsi="Verdana" w:cs="Arial"/>
        </w:rPr>
        <w:t xml:space="preserve"> </w:t>
      </w:r>
      <w:r w:rsidRPr="005B5CB6">
        <w:rPr>
          <w:rFonts w:ascii="Verdana" w:eastAsia="Verdana" w:hAnsi="Verdana" w:cs="Verdana"/>
        </w:rPr>
        <w:t xml:space="preserve">How has digital technology changed the way that democracy works in the UK and has this been a net positive or negative effect?  </w:t>
      </w:r>
    </w:p>
    <w:p w:rsidR="00FB0B24" w:rsidRPr="005B5CB6" w:rsidP="005659F4">
      <w:pPr>
        <w:spacing w:after="270" w:line="250" w:lineRule="auto"/>
        <w:ind w:left="23" w:right="11" w:hanging="8"/>
        <w:jc w:val="both"/>
        <w:rPr>
          <w:rFonts w:ascii="Verdana" w:hAnsi="Verdana"/>
        </w:rPr>
      </w:pPr>
      <w:r w:rsidRPr="005B5CB6">
        <w:rPr>
          <w:rFonts w:ascii="Verdana" w:eastAsia="Verdana" w:hAnsi="Verdana" w:cs="Verdana"/>
        </w:rPr>
        <w:t xml:space="preserve">The marketing and advertising industries recognise that the advertising landscape has fundamentally changed over the last few decades. This includes the number of channels which can be advertised on and the volume and type of data that can be used for personalised messaging.  </w:t>
      </w:r>
    </w:p>
    <w:p w:rsidR="00FB0B24" w:rsidRPr="005B5CB6" w:rsidP="005659F4">
      <w:pPr>
        <w:spacing w:after="285" w:line="250" w:lineRule="auto"/>
        <w:ind w:left="23" w:right="11" w:hanging="8"/>
        <w:jc w:val="both"/>
        <w:rPr>
          <w:rFonts w:ascii="Verdana" w:hAnsi="Verdana"/>
        </w:rPr>
      </w:pPr>
      <w:r w:rsidRPr="005B5CB6">
        <w:rPr>
          <w:rFonts w:ascii="Verdana" w:eastAsia="Verdana" w:hAnsi="Verdana" w:cs="Verdana"/>
        </w:rPr>
        <w:t xml:space="preserve">The nature of political advertising has changed in parallel and, while consumer advertising regulation has been updated significantly during this period, the fact that there have been almost no changes in the regulation of political advertising and that, indeed, there are almost no rules in place for it, means that in our view there has definitely been a net negative effect on the functioning of democracy.  </w:t>
      </w:r>
    </w:p>
    <w:p w:rsidR="00FB0B24" w:rsidRPr="005B5CB6" w:rsidP="005659F4">
      <w:pPr>
        <w:spacing w:after="0"/>
        <w:jc w:val="both"/>
        <w:rPr>
          <w:rFonts w:ascii="Verdana" w:hAnsi="Verdana"/>
        </w:rPr>
      </w:pPr>
      <w:r w:rsidRPr="005B5CB6">
        <w:rPr>
          <w:rFonts w:ascii="Verdana" w:eastAsia="Arial" w:hAnsi="Verdana" w:cs="Arial"/>
          <w:b/>
        </w:rPr>
        <w:t xml:space="preserve"> </w:t>
      </w:r>
      <w:r w:rsidRPr="005B5CB6">
        <w:rPr>
          <w:rFonts w:ascii="Verdana" w:eastAsia="Arial" w:hAnsi="Verdana" w:cs="Arial"/>
          <w:b/>
        </w:rPr>
        <w:tab/>
      </w:r>
      <w:r w:rsidRPr="005B5CB6">
        <w:rPr>
          <w:rFonts w:ascii="Verdana" w:eastAsia="Verdana" w:hAnsi="Verdana" w:cs="Verdana"/>
          <w:b/>
        </w:rPr>
        <w:t xml:space="preserve"> </w:t>
      </w:r>
    </w:p>
    <w:p w:rsidR="00FB0B24" w:rsidRPr="005B5CB6" w:rsidP="005659F4">
      <w:pPr>
        <w:spacing w:after="266" w:line="250" w:lineRule="auto"/>
        <w:ind w:left="11" w:hanging="10"/>
        <w:jc w:val="both"/>
        <w:rPr>
          <w:rFonts w:ascii="Verdana" w:hAnsi="Verdana"/>
        </w:rPr>
      </w:pPr>
      <w:r w:rsidRPr="005B5CB6">
        <w:rPr>
          <w:rFonts w:ascii="Verdana" w:eastAsia="Verdana" w:hAnsi="Verdana" w:cs="Verdana"/>
          <w:b/>
        </w:rPr>
        <w:t xml:space="preserve">Online campaigning </w:t>
      </w:r>
      <w:r w:rsidRPr="005B5CB6">
        <w:rPr>
          <w:rFonts w:ascii="Verdana" w:eastAsia="Verdana" w:hAnsi="Verdana" w:cs="Verdana"/>
        </w:rPr>
        <w:t xml:space="preserve"> </w:t>
      </w:r>
    </w:p>
    <w:p w:rsidR="00FB0B24" w:rsidRPr="005B5CB6" w:rsidP="005659F4">
      <w:pPr>
        <w:spacing w:after="270" w:line="250" w:lineRule="auto"/>
        <w:ind w:left="720" w:right="11" w:hanging="360"/>
        <w:jc w:val="both"/>
        <w:rPr>
          <w:rFonts w:ascii="Verdana" w:hAnsi="Verdana"/>
        </w:rPr>
      </w:pPr>
      <w:r w:rsidRPr="005B5CB6">
        <w:rPr>
          <w:rFonts w:ascii="Verdana" w:eastAsia="Verdana" w:hAnsi="Verdana" w:cs="Verdana"/>
        </w:rPr>
        <w:t>4.</w:t>
      </w:r>
      <w:r w:rsidRPr="005B5CB6">
        <w:rPr>
          <w:rFonts w:ascii="Verdana" w:eastAsia="Arial" w:hAnsi="Verdana" w:cs="Arial"/>
        </w:rPr>
        <w:t xml:space="preserve"> </w:t>
      </w:r>
      <w:r w:rsidRPr="005B5CB6">
        <w:rPr>
          <w:rFonts w:ascii="Verdana" w:eastAsia="Verdana" w:hAnsi="Verdana" w:cs="Verdana"/>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5659F4">
      <w:pPr>
        <w:spacing w:after="0" w:line="249" w:lineRule="auto"/>
        <w:ind w:left="-4" w:hanging="10"/>
        <w:jc w:val="both"/>
        <w:rPr>
          <w:rFonts w:ascii="Verdana" w:hAnsi="Verdana"/>
        </w:rPr>
      </w:pPr>
      <w:r w:rsidRPr="005B5CB6">
        <w:rPr>
          <w:rFonts w:ascii="Verdana" w:eastAsia="Verdana" w:hAnsi="Verdana" w:cs="Verdana"/>
          <w:u w:val="single" w:color="000000"/>
        </w:rPr>
        <w:t>Introduce compulsory imprints or watermarks to show the origin of online</w:t>
      </w:r>
      <w:r w:rsidRPr="005B5CB6">
        <w:rPr>
          <w:rFonts w:ascii="Verdana" w:eastAsia="Verdana" w:hAnsi="Verdana" w:cs="Verdana"/>
        </w:rPr>
        <w:t xml:space="preserve"> </w:t>
      </w:r>
      <w:r w:rsidRPr="005B5CB6">
        <w:rPr>
          <w:rFonts w:ascii="Verdana" w:eastAsia="Verdana" w:hAnsi="Verdana" w:cs="Verdana"/>
          <w:u w:val="single" w:color="000000"/>
        </w:rPr>
        <w:t>adverts.</w:t>
      </w:r>
      <w:r w:rsidRPr="005B5CB6">
        <w:rPr>
          <w:rFonts w:ascii="Verdana" w:eastAsia="Verdana" w:hAnsi="Verdana" w:cs="Verdana"/>
        </w:rPr>
        <w:t xml:space="preserve">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Registered political parties and campaign groups are currently required by law to carry an imprint/ watermark on hard copy election materials revealing who is responsible for them. </w:t>
      </w:r>
      <w:r w:rsidRPr="005B5CB6">
        <w:rPr>
          <w:rFonts w:ascii="Verdana" w:eastAsia="Verdana" w:hAnsi="Verdana" w:cs="Verdana"/>
          <w:i/>
        </w:rPr>
        <w:t>There is no such requirement for digital communications</w:t>
      </w:r>
      <w:r w:rsidRPr="005B5CB6">
        <w:rPr>
          <w:rFonts w:ascii="Verdana" w:eastAsia="Verdana" w:hAnsi="Verdana" w:cs="Verdana"/>
        </w:rPr>
        <w:t xml:space="preserve">, although the Government did give a favourable response to the DCMS Disinformation &amp; “Fake News” recommendation in respect of this area.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267" w:line="249" w:lineRule="auto"/>
        <w:ind w:left="-4" w:hanging="10"/>
        <w:jc w:val="both"/>
        <w:rPr>
          <w:rFonts w:ascii="Verdana" w:hAnsi="Verdana"/>
        </w:rPr>
      </w:pPr>
      <w:r w:rsidRPr="005B5CB6">
        <w:rPr>
          <w:rFonts w:ascii="Verdana" w:eastAsia="Verdana" w:hAnsi="Verdana" w:cs="Verdana"/>
          <w:u w:val="single" w:color="000000"/>
        </w:rPr>
        <w:t>Legislate so that all paid-for political adverts can be viewed by the public.</w:t>
      </w: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Our call for a searchable repository for online political advertising was included verbatim in the DCMS Disinformation &amp; Fake News Inquiry recommendations. </w:t>
      </w:r>
    </w:p>
    <w:p w:rsidR="00FB0B24" w:rsidRPr="005B5CB6" w:rsidP="005659F4">
      <w:pPr>
        <w:spacing w:after="273" w:line="250" w:lineRule="auto"/>
        <w:ind w:left="23" w:right="11" w:hanging="8"/>
        <w:jc w:val="both"/>
        <w:rPr>
          <w:rFonts w:ascii="Verdana" w:hAnsi="Verdana"/>
        </w:rPr>
      </w:pPr>
      <w:r w:rsidRPr="005B5CB6">
        <w:rPr>
          <w:rFonts w:ascii="Verdana" w:eastAsia="Verdana" w:hAnsi="Verdana" w:cs="Verdana"/>
        </w:rPr>
        <w:t xml:space="preserve">We believe that, if there is to be transparency for political ads, it is essential that they should be permanently available and that the repository should provide the following information: </w:t>
      </w:r>
    </w:p>
    <w:p w:rsidR="00FB0B24" w:rsidRPr="005B5CB6" w:rsidP="00575F14">
      <w:pPr>
        <w:numPr>
          <w:ilvl w:val="0"/>
          <w:numId w:val="214"/>
        </w:numPr>
        <w:spacing w:after="5" w:line="250" w:lineRule="auto"/>
        <w:ind w:right="11" w:hanging="360"/>
        <w:jc w:val="both"/>
        <w:rPr>
          <w:rFonts w:ascii="Verdana" w:hAnsi="Verdana"/>
        </w:rPr>
      </w:pPr>
      <w:r w:rsidRPr="005B5CB6">
        <w:rPr>
          <w:rFonts w:ascii="Verdana" w:eastAsia="Verdana" w:hAnsi="Verdana" w:cs="Verdana"/>
        </w:rPr>
        <w:t xml:space="preserve">the advert  </w:t>
      </w:r>
    </w:p>
    <w:p w:rsidR="00FB0B24" w:rsidRPr="005B5CB6" w:rsidP="00575F14">
      <w:pPr>
        <w:numPr>
          <w:ilvl w:val="0"/>
          <w:numId w:val="214"/>
        </w:numPr>
        <w:spacing w:after="5" w:line="250" w:lineRule="auto"/>
        <w:ind w:right="11" w:hanging="360"/>
        <w:jc w:val="both"/>
        <w:rPr>
          <w:rFonts w:ascii="Verdana" w:hAnsi="Verdana"/>
        </w:rPr>
      </w:pPr>
      <w:r w:rsidRPr="005B5CB6">
        <w:rPr>
          <w:rFonts w:ascii="Verdana" w:eastAsia="Verdana" w:hAnsi="Verdana" w:cs="Verdana"/>
        </w:rPr>
        <w:t xml:space="preserve">the date it was posted </w:t>
      </w:r>
    </w:p>
    <w:p w:rsidR="00FB0B24" w:rsidRPr="005B5CB6" w:rsidP="00575F14">
      <w:pPr>
        <w:numPr>
          <w:ilvl w:val="0"/>
          <w:numId w:val="214"/>
        </w:numPr>
        <w:spacing w:after="5" w:line="250" w:lineRule="auto"/>
        <w:ind w:right="11" w:hanging="360"/>
        <w:jc w:val="both"/>
        <w:rPr>
          <w:rFonts w:ascii="Verdana" w:hAnsi="Verdana"/>
        </w:rPr>
      </w:pPr>
      <w:r w:rsidRPr="005B5CB6">
        <w:rPr>
          <w:rFonts w:ascii="Verdana" w:eastAsia="Verdana" w:hAnsi="Verdana" w:cs="Verdana"/>
        </w:rPr>
        <w:t xml:space="preserve">targeting </w:t>
      </w:r>
    </w:p>
    <w:p w:rsidR="00FB0B24" w:rsidRPr="005B5CB6" w:rsidP="00575F14">
      <w:pPr>
        <w:numPr>
          <w:ilvl w:val="0"/>
          <w:numId w:val="214"/>
        </w:numPr>
        <w:spacing w:after="271" w:line="250" w:lineRule="auto"/>
        <w:ind w:right="11" w:hanging="360"/>
        <w:jc w:val="both"/>
        <w:rPr>
          <w:rFonts w:ascii="Verdana" w:hAnsi="Verdana"/>
        </w:rPr>
      </w:pPr>
      <w:r w:rsidRPr="005B5CB6">
        <w:rPr>
          <w:rFonts w:ascii="Verdana" w:eastAsia="Verdana" w:hAnsi="Verdana" w:cs="Verdana"/>
        </w:rPr>
        <w:t xml:space="preserve">spend </w:t>
      </w:r>
      <w:r w:rsidRPr="005B5CB6">
        <w:rPr>
          <w:rFonts w:ascii="Verdana" w:eastAsia="Cambria" w:hAnsi="Verdana" w:cs="Cambria"/>
        </w:rPr>
        <w:t>-</w:t>
      </w:r>
      <w:r w:rsidRPr="005B5CB6">
        <w:rPr>
          <w:rFonts w:ascii="Verdana" w:eastAsia="Arial" w:hAnsi="Verdana" w:cs="Arial"/>
        </w:rPr>
        <w:t xml:space="preserve"> </w:t>
      </w:r>
      <w:r w:rsidRPr="005B5CB6">
        <w:rPr>
          <w:rFonts w:ascii="Verdana" w:eastAsia="Verdana" w:hAnsi="Verdana" w:cs="Verdana"/>
        </w:rPr>
        <w:t xml:space="preserve">reach </w:t>
      </w:r>
      <w:r w:rsidRPr="005B5CB6">
        <w:rPr>
          <w:rFonts w:ascii="Verdana" w:eastAsia="Cambria" w:hAnsi="Verdana" w:cs="Cambria"/>
        </w:rPr>
        <w:t>-</w:t>
      </w:r>
      <w:r w:rsidRPr="005B5CB6">
        <w:rPr>
          <w:rFonts w:ascii="Verdana" w:eastAsia="Arial" w:hAnsi="Verdana" w:cs="Arial"/>
        </w:rPr>
        <w:t xml:space="preserve"> </w:t>
      </w:r>
      <w:r w:rsidRPr="005B5CB6">
        <w:rPr>
          <w:rFonts w:ascii="Verdana" w:eastAsia="Verdana" w:hAnsi="Verdana" w:cs="Verdana"/>
        </w:rPr>
        <w:t xml:space="preserve">engagement. </w:t>
      </w:r>
    </w:p>
    <w:p w:rsidR="00FB0B24" w:rsidRPr="005B5CB6" w:rsidP="005659F4">
      <w:pPr>
        <w:spacing w:after="270" w:line="250" w:lineRule="auto"/>
        <w:ind w:left="23" w:right="11" w:hanging="8"/>
        <w:jc w:val="both"/>
        <w:rPr>
          <w:rFonts w:ascii="Verdana" w:hAnsi="Verdana"/>
        </w:rPr>
      </w:pPr>
      <w:r w:rsidRPr="005B5CB6">
        <w:rPr>
          <w:rFonts w:ascii="Verdana" w:eastAsia="Verdana" w:hAnsi="Verdana" w:cs="Verdana"/>
        </w:rPr>
        <w:t xml:space="preserve">There should be a requirement that all political advertising work should be listed for public display so that, even if the work does not require regulatory clearance, it is accountable, clear, and available for all to see. This should be run and managed independently of the advertising industry and political parties.  </w:t>
      </w:r>
    </w:p>
    <w:p w:rsidR="00FB0B24" w:rsidRPr="005B5CB6" w:rsidP="005659F4">
      <w:pPr>
        <w:spacing w:after="270" w:line="250" w:lineRule="auto"/>
        <w:ind w:left="23" w:right="11" w:hanging="8"/>
        <w:jc w:val="both"/>
        <w:rPr>
          <w:rFonts w:ascii="Verdana" w:hAnsi="Verdana"/>
        </w:rPr>
      </w:pPr>
      <w:r w:rsidRPr="005B5CB6">
        <w:rPr>
          <w:rFonts w:ascii="Verdana" w:eastAsia="Verdana" w:hAnsi="Verdana" w:cs="Verdana"/>
        </w:rPr>
        <w:t xml:space="preserve">Various ad libraries exist on the platforms. However, if we want full transparency in political ads we cannot solely rely on these. The ad libraries are of varying quality and Facebook’s, which is largely regarded as the best in class, has been </w:t>
      </w:r>
      <w:r>
        <w:fldChar w:fldCharType="begin"/>
      </w:r>
      <w:r>
        <w:instrText xml:space="preserve"> HYPERLINK "https://blog.mozilla.org/blog/2019/04/29/facebooks-ad-archive-api-is-inadequate/" </w:instrText>
      </w:r>
      <w:r>
        <w:fldChar w:fldCharType="separate"/>
      </w:r>
      <w:r w:rsidRPr="005B5CB6">
        <w:rPr>
          <w:rFonts w:ascii="Verdana" w:eastAsia="Verdana" w:hAnsi="Verdana" w:cs="Verdana"/>
          <w:u w:val="single" w:color="000000"/>
        </w:rPr>
        <w:t>widely criticised.</w:t>
      </w:r>
      <w:r>
        <w:fldChar w:fldCharType="end"/>
      </w:r>
      <w:r w:rsidRPr="005B5CB6">
        <w:rPr>
          <w:rFonts w:ascii="Verdana" w:eastAsia="Verdana" w:hAnsi="Verdana" w:cs="Verdana"/>
        </w:rPr>
        <w:t xml:space="preserve"> The platforms’ own solutions will never be of consistent quality, and hence will not be easy for researchers, journalists, academics and members of the public to use, owing to differing investment levels and approaches. In addition to the objections voiced in the link above, the libraries are open to criticism on the grounds of the availability of ads. Ads in Twitter’s political ad library, for example, are available for only 7 days.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There are, moreover, many gaps is the ads that are available. New platforms will always be emerging, such as the gaming platform Twitch (which has a Bernie Sanders channel for the 2020 US election), which lack ad libraries.  </w:t>
      </w:r>
    </w:p>
    <w:p w:rsidR="00FB0B24" w:rsidRPr="005B5CB6" w:rsidP="005659F4">
      <w:pPr>
        <w:spacing w:after="270" w:line="250" w:lineRule="auto"/>
        <w:ind w:left="23" w:right="11" w:hanging="8"/>
        <w:jc w:val="both"/>
        <w:rPr>
          <w:rFonts w:ascii="Verdana" w:hAnsi="Verdana"/>
        </w:rPr>
      </w:pPr>
      <w:r w:rsidRPr="005B5CB6">
        <w:rPr>
          <w:rFonts w:ascii="Verdana" w:eastAsia="Verdana" w:hAnsi="Verdana" w:cs="Verdana"/>
        </w:rPr>
        <w:t xml:space="preserve">There are other forms of advertising which are either completely invisible or not readily accessible. For example, one of the most used forms of digital advertising is ‘programmatic advertising’, a type of digital advertising which allows the targeting of an audience across multiple media owners. These ads are almost entirely ‘dark’ or invisible. There are also ads which run on more traditional websites, which do not appear in these libraries and are not easily accessible. These include political adverts run everywhere from Guido Fawkes to sites like Yahoo!, either on certain pages or served right across the websites.  </w:t>
      </w:r>
    </w:p>
    <w:p w:rsidR="00FB0B24" w:rsidRPr="005B5CB6" w:rsidP="005659F4">
      <w:pPr>
        <w:spacing w:after="266" w:line="250" w:lineRule="auto"/>
        <w:ind w:left="11" w:hanging="10"/>
        <w:jc w:val="both"/>
        <w:rPr>
          <w:rFonts w:ascii="Verdana" w:hAnsi="Verdana"/>
        </w:rPr>
      </w:pPr>
      <w:r w:rsidRPr="005B5CB6">
        <w:rPr>
          <w:rFonts w:ascii="Verdana" w:eastAsia="Verdana" w:hAnsi="Verdana" w:cs="Verdana"/>
          <w:b/>
        </w:rPr>
        <w:t xml:space="preserve">Democratic debate </w:t>
      </w:r>
      <w:r w:rsidRPr="005B5CB6">
        <w:rPr>
          <w:rFonts w:ascii="Verdana" w:eastAsia="Verdana" w:hAnsi="Verdana" w:cs="Verdana"/>
        </w:rPr>
        <w:t xml:space="preserve"> </w:t>
      </w:r>
    </w:p>
    <w:p w:rsidR="00FB0B24" w:rsidRPr="005B5CB6" w:rsidP="00575F14">
      <w:pPr>
        <w:numPr>
          <w:ilvl w:val="0"/>
          <w:numId w:val="215"/>
        </w:numPr>
        <w:spacing w:after="270" w:line="250" w:lineRule="auto"/>
        <w:ind w:left="23" w:right="11" w:hanging="8"/>
        <w:jc w:val="both"/>
        <w:rPr>
          <w:rFonts w:ascii="Verdana" w:hAnsi="Verdana"/>
        </w:rPr>
      </w:pPr>
      <w:r w:rsidRPr="005B5CB6">
        <w:rPr>
          <w:rFonts w:ascii="Verdana" w:eastAsia="Verdana" w:hAnsi="Verdana" w:cs="Verdana"/>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5659F4">
      <w:pPr>
        <w:spacing w:after="266" w:line="250" w:lineRule="auto"/>
        <w:ind w:left="11" w:hanging="10"/>
        <w:jc w:val="both"/>
        <w:rPr>
          <w:rFonts w:ascii="Verdana" w:hAnsi="Verdana"/>
        </w:rPr>
      </w:pPr>
      <w:r w:rsidRPr="005B5CB6">
        <w:rPr>
          <w:rFonts w:ascii="Verdana" w:eastAsia="Verdana" w:hAnsi="Verdana" w:cs="Verdana"/>
          <w:b/>
        </w:rPr>
        <w:t xml:space="preserve">Misinformation </w:t>
      </w:r>
      <w:r w:rsidRPr="005B5CB6">
        <w:rPr>
          <w:rFonts w:ascii="Verdana" w:eastAsia="Verdana" w:hAnsi="Verdana" w:cs="Verdana"/>
        </w:rPr>
        <w:t xml:space="preserve"> </w:t>
      </w:r>
    </w:p>
    <w:p w:rsidR="00FB0B24" w:rsidRPr="005B5CB6" w:rsidP="00575F14">
      <w:pPr>
        <w:numPr>
          <w:ilvl w:val="0"/>
          <w:numId w:val="215"/>
        </w:numPr>
        <w:spacing w:after="270" w:line="250" w:lineRule="auto"/>
        <w:ind w:left="23" w:right="11" w:hanging="8"/>
        <w:jc w:val="both"/>
        <w:rPr>
          <w:rFonts w:ascii="Verdana" w:hAnsi="Verdana"/>
        </w:rPr>
      </w:pPr>
      <w:r w:rsidRPr="005B5CB6">
        <w:rPr>
          <w:rFonts w:ascii="Verdana" w:eastAsia="Verdana" w:hAnsi="Verdana" w:cs="Verdana"/>
        </w:rPr>
        <w:t xml:space="preserve">What might be the best ways of reducing the effects of misinformation on social media platforms?  </w:t>
      </w:r>
    </w:p>
    <w:p w:rsidR="00FB0B24" w:rsidRPr="005B5CB6" w:rsidP="005659F4">
      <w:pPr>
        <w:spacing w:after="0" w:line="249" w:lineRule="auto"/>
        <w:ind w:left="-4" w:hanging="10"/>
        <w:jc w:val="both"/>
        <w:rPr>
          <w:rFonts w:ascii="Verdana" w:hAnsi="Verdana"/>
        </w:rPr>
      </w:pPr>
      <w:r w:rsidRPr="005B5CB6">
        <w:rPr>
          <w:rFonts w:ascii="Verdana" w:eastAsia="Verdana" w:hAnsi="Verdana" w:cs="Verdana"/>
          <w:u w:val="single" w:color="000000"/>
        </w:rPr>
        <w:t>Give an existing body the power to regulate political advertising content or</w:t>
      </w:r>
      <w:r w:rsidRPr="005B5CB6">
        <w:rPr>
          <w:rFonts w:ascii="Verdana" w:eastAsia="Verdana" w:hAnsi="Verdana" w:cs="Verdana"/>
        </w:rPr>
        <w:t xml:space="preserve"> </w:t>
      </w:r>
      <w:r w:rsidRPr="005B5CB6">
        <w:rPr>
          <w:rFonts w:ascii="Verdana" w:eastAsia="Verdana" w:hAnsi="Verdana" w:cs="Verdana"/>
          <w:u w:val="single" w:color="000000"/>
        </w:rPr>
        <w:t>create a new one to do so.</w:t>
      </w:r>
      <w:r w:rsidRPr="005B5CB6">
        <w:rPr>
          <w:rFonts w:ascii="Verdana" w:eastAsia="Verdana" w:hAnsi="Verdana" w:cs="Verdana"/>
        </w:rPr>
        <w:t xml:space="preserve">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We need a body to oversee the content of political advertising: there is no regulation of this in the UK, which is a principal cause of the recent problems.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Parliament could expand the remit of the Electoral Commission, the Advertising Standards Authority or the Election Committee of Ofcom — or found an alternative body.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We believe the core of a political ad code should address the areas in our 4point plan.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An area new since we launched our plan, and which we think must be addressed, is ‘deepfake’ videos which can, for example, generate a realistic video of a politician apparently making a false statement.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We think the following further principles need to apply: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16"/>
        </w:numPr>
        <w:spacing w:after="5" w:line="250" w:lineRule="auto"/>
        <w:ind w:right="11" w:hanging="427"/>
        <w:jc w:val="both"/>
        <w:rPr>
          <w:rFonts w:ascii="Verdana" w:hAnsi="Verdana"/>
        </w:rPr>
      </w:pPr>
      <w:r w:rsidRPr="005B5CB6">
        <w:rPr>
          <w:rFonts w:ascii="Verdana" w:eastAsia="Verdana" w:hAnsi="Verdana" w:cs="Verdana"/>
        </w:rPr>
        <w:t xml:space="preserve">While the select committee is focusing on digital, regulation needs to apply, for example in respect of factual claims, to all media rather than only to digital.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16"/>
        </w:numPr>
        <w:spacing w:after="5" w:line="250" w:lineRule="auto"/>
        <w:ind w:right="11" w:hanging="427"/>
        <w:jc w:val="both"/>
        <w:rPr>
          <w:rFonts w:ascii="Verdana" w:hAnsi="Verdana"/>
        </w:rPr>
      </w:pPr>
      <w:r w:rsidRPr="005B5CB6">
        <w:rPr>
          <w:rFonts w:ascii="Verdana" w:eastAsia="Verdana" w:hAnsi="Verdana" w:cs="Verdana"/>
        </w:rPr>
        <w:t xml:space="preserve">When tackling digital specifically, it is important to focus not only on the social platforms. While Facebook, for example, is obviously a very important actor, the digital marketing ecosystem is complex, as anyone who works in marketing will testify. Social platforms are important, but the need is for regulation to be updated to cover the entire digital marketing ecosystem if disinformation and fake news are to be countered effectively. </w:t>
      </w:r>
    </w:p>
    <w:p w:rsidR="00FB0B24" w:rsidRPr="005B5CB6" w:rsidP="005659F4">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16"/>
        </w:numPr>
        <w:spacing w:after="270" w:line="250" w:lineRule="auto"/>
        <w:ind w:right="11" w:hanging="427"/>
        <w:jc w:val="both"/>
        <w:rPr>
          <w:rFonts w:ascii="Verdana" w:hAnsi="Verdana"/>
        </w:rPr>
      </w:pPr>
      <w:r w:rsidRPr="005B5CB6">
        <w:rPr>
          <w:rFonts w:ascii="Verdana" w:eastAsia="Verdana" w:hAnsi="Verdana" w:cs="Verdana"/>
        </w:rPr>
        <w:t xml:space="preserve">We would add that advertisers increasingly look at their communications in terms of a ‘customer journey’, taking account of all the touchpoints with consumers in the fragmented media landscape we now inhabit. We agree with the Independent Commission on Referendums that ‘An inquiry should be conducted into the regulation of political advertising across print, broadcast and online media, to consider what form regulation should take for each medium and whether current divergences of approach remain justified.’ For example, account needs to be taken not only of paid adverts but of what marketers call ‘owned media’: all the communication channels under an entity’s control, such as websites, blogs, email — and also ‘earned media’, </w:t>
      </w:r>
      <w:r w:rsidRPr="005B5CB6">
        <w:rPr>
          <w:rFonts w:ascii="Verdana" w:eastAsia="Verdana" w:hAnsi="Verdana" w:cs="Verdana"/>
        </w:rPr>
        <w:t xml:space="preserve">such as publicity resulting from editorial influence of various kinds. It was for this reason that all these areas came into the remit of the ASA for nonpolitical advertising several years ago. </w:t>
      </w:r>
    </w:p>
    <w:p w:rsidR="00FB0B24" w:rsidRPr="005B5CB6" w:rsidP="005659F4">
      <w:pPr>
        <w:spacing w:after="267" w:line="249" w:lineRule="auto"/>
        <w:ind w:left="-4" w:hanging="10"/>
        <w:jc w:val="both"/>
        <w:rPr>
          <w:rFonts w:ascii="Verdana" w:hAnsi="Verdana"/>
        </w:rPr>
      </w:pPr>
      <w:r w:rsidRPr="005B5CB6">
        <w:rPr>
          <w:rFonts w:ascii="Verdana" w:eastAsia="Verdana" w:hAnsi="Verdana" w:cs="Verdana"/>
          <w:u w:val="single" w:color="000000"/>
        </w:rPr>
        <w:t>Require all ‘objective factual claims’ used in political adverts to be substantiated.</w:t>
      </w:r>
      <w:r w:rsidRPr="005B5CB6">
        <w:rPr>
          <w:rFonts w:ascii="Verdana" w:eastAsia="Verdana" w:hAnsi="Verdana" w:cs="Verdana"/>
        </w:rPr>
        <w:t xml:space="preserve"> </w:t>
      </w:r>
    </w:p>
    <w:p w:rsidR="00FB0B24" w:rsidRPr="005B5CB6" w:rsidP="005659F4">
      <w:pPr>
        <w:spacing w:after="270" w:line="250" w:lineRule="auto"/>
        <w:ind w:left="23" w:right="11" w:hanging="8"/>
        <w:jc w:val="both"/>
        <w:rPr>
          <w:rFonts w:ascii="Verdana" w:hAnsi="Verdana"/>
        </w:rPr>
      </w:pPr>
      <w:r w:rsidRPr="005B5CB6">
        <w:rPr>
          <w:rFonts w:ascii="Verdana" w:eastAsia="Verdana" w:hAnsi="Verdana" w:cs="Verdana"/>
        </w:rPr>
        <w:t xml:space="preserve">If a campaign wants to make a seemingly objective and quantifiable claim in its political advertising, we believe the claim should be accurate and stand up to independent scrutiny. </w:t>
      </w:r>
    </w:p>
    <w:p w:rsidR="00FB0B24" w:rsidRPr="005B5CB6" w:rsidP="005659F4">
      <w:pPr>
        <w:spacing w:after="270" w:line="250" w:lineRule="auto"/>
        <w:ind w:left="23" w:right="11" w:hanging="8"/>
        <w:jc w:val="both"/>
        <w:rPr>
          <w:rFonts w:ascii="Verdana" w:hAnsi="Verdana"/>
        </w:rPr>
      </w:pPr>
      <w:r w:rsidRPr="005B5CB6">
        <w:rPr>
          <w:rFonts w:ascii="Verdana" w:eastAsia="Verdana" w:hAnsi="Verdana" w:cs="Verdana"/>
        </w:rPr>
        <w:t xml:space="preserve">We are not calling for an end to optimistic promises or scaremongering about what the other side might do: we are simply saying that if something is being presented as a fact the public have a right to be confident that it is just that.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We believe that political ad regulation can borrow heavily from the way consumer advertising is regulated. We advocate the introduction of rules for objective factual claims in political adverts to counter misinformation. There are examples of the problem this would solve at this Twitter thread </w:t>
      </w:r>
      <w:r>
        <w:fldChar w:fldCharType="begin"/>
      </w:r>
      <w:r>
        <w:instrText xml:space="preserve"> HYPERLINK "https://twitter.com/clearpolitic5/status/1177867282032287744?s=20" </w:instrText>
      </w:r>
      <w:r>
        <w:fldChar w:fldCharType="separate"/>
      </w:r>
      <w:r w:rsidRPr="005B5CB6">
        <w:rPr>
          <w:rFonts w:ascii="Verdana" w:eastAsia="Verdana" w:hAnsi="Verdana" w:cs="Verdana"/>
          <w:u w:val="single" w:color="000000"/>
        </w:rPr>
        <w:t>https://twitter.com/clearpolitic5/status/1177867282032287744?s=20</w:t>
      </w:r>
      <w:r>
        <w:fldChar w:fldCharType="end"/>
      </w:r>
      <w:r>
        <w:fldChar w:fldCharType="begin"/>
      </w:r>
      <w:r>
        <w:instrText xml:space="preserve"> HYPERLINK "https://twitter.com/clearpolitic5/status/1177867282032287744?s=20"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Yougov research commissioned by us and the fact-checking company Full Fact showed that 84% of the UK public support making it a legal requirement for factual claims in political adverts to be accurate. It also showed that most of the UK public are unaware that there are almost no rules for political adverts and this, we would argue, makes inaccurate factual claims all the more effective. The raw data can be accessed here: </w:t>
      </w:r>
    </w:p>
    <w:p w:rsidR="00FB0B24" w:rsidRPr="005B5CB6" w:rsidP="005659F4">
      <w:pPr>
        <w:spacing w:after="0" w:line="249" w:lineRule="auto"/>
        <w:ind w:left="-4" w:hanging="10"/>
        <w:jc w:val="both"/>
        <w:rPr>
          <w:rFonts w:ascii="Verdana" w:hAnsi="Verdana"/>
        </w:rPr>
      </w:pPr>
      <w:r>
        <w:fldChar w:fldCharType="begin"/>
      </w:r>
      <w:r>
        <w:instrText xml:space="preserve"> HYPERLINK "https://reformpoliticaladvertising.org/2018/12/06/yougov-research-commissioned-by-the-coalition-for-reform-in-political-advertising-full-fact-demonstrates-that-uk-voters-would-support-the-regulation-of-factual-claims/" </w:instrText>
      </w:r>
      <w:r>
        <w:fldChar w:fldCharType="separate"/>
      </w:r>
      <w:r w:rsidRPr="005B5CB6" w:rsidR="00A72806">
        <w:rPr>
          <w:rFonts w:ascii="Verdana" w:eastAsia="Verdana" w:hAnsi="Verdana" w:cs="Verdana"/>
          <w:u w:val="single" w:color="000000"/>
        </w:rPr>
        <w:t>https://reformpoliticaladvertising.org/2018/12/06/yougov-research</w:t>
      </w:r>
      <w:r>
        <w:fldChar w:fldCharType="end"/>
      </w:r>
      <w:r>
        <w:fldChar w:fldCharType="begin"/>
      </w:r>
      <w:r>
        <w:instrText xml:space="preserve"> HYPERLINK "https://reformpoliticaladvertising.org/2018/12/06/yougov-research-commissioned-by-the-coalition-for-reform-in-political-advertising-full-fact-demonstrates-that-uk-voters-would-support-the-regulation-of-factual-claims/" </w:instrText>
      </w:r>
      <w:r>
        <w:fldChar w:fldCharType="separate"/>
      </w:r>
      <w:r w:rsidRPr="005B5CB6" w:rsidR="00A72806">
        <w:rPr>
          <w:rFonts w:ascii="Verdana" w:eastAsia="Verdana" w:hAnsi="Verdana" w:cs="Verdana"/>
          <w:u w:val="single" w:color="000000"/>
        </w:rPr>
        <w:t>commissioned-by-the-coalition-for-reform-in-political-advertising-full-fact</w:t>
      </w:r>
      <w:r>
        <w:fldChar w:fldCharType="end"/>
      </w:r>
      <w:r>
        <w:fldChar w:fldCharType="begin"/>
      </w:r>
      <w:r>
        <w:instrText xml:space="preserve"> HYPERLINK "https://reformpoliticaladvertising.org/2018/12/06/yougov-research-commissioned-by-the-coalition-for-reform-in-political-advertising-full-fact-demonstrates-that-uk-voters-would-support-the-regulation-of-factual-claims/" </w:instrText>
      </w:r>
      <w:r>
        <w:fldChar w:fldCharType="separate"/>
      </w:r>
      <w:r w:rsidRPr="005B5CB6" w:rsidR="00A72806">
        <w:rPr>
          <w:rFonts w:ascii="Verdana" w:eastAsia="Verdana" w:hAnsi="Verdana" w:cs="Verdana"/>
          <w:u w:val="single" w:color="000000"/>
        </w:rPr>
        <w:t>demonstrates-that-uk-voters-would-support-the-regulation-of-factual-claims/</w:t>
      </w:r>
      <w:r>
        <w:fldChar w:fldCharType="end"/>
      </w:r>
      <w:r>
        <w:fldChar w:fldCharType="begin"/>
      </w:r>
      <w:r>
        <w:instrText xml:space="preserve"> HYPERLINK "https://reformpoliticaladvertising.org/2018/12/06/yougov-research-commissioned-by-the-coalition-for-reform-in-political-advertising-full-fact-demonstrates-that-uk-voters-would-support-the-regulation-of-factual-claims/" </w:instrText>
      </w:r>
      <w:r>
        <w:fldChar w:fldCharType="separate"/>
      </w:r>
      <w:r w:rsidRPr="005B5CB6" w:rsidR="00A72806">
        <w:rPr>
          <w:rFonts w:ascii="Verdana" w:eastAsia="Verdana" w:hAnsi="Verdana" w:cs="Verdana"/>
        </w:rPr>
        <w:t xml:space="preserve"> </w:t>
      </w:r>
      <w:r>
        <w:fldChar w:fldCharType="end"/>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Misleading claims currently comprise the majority of complaints to the ASA in respect of consumer advertising. We surmise that this would also be the case for political ads. Indeed the ASA received many complains from members of the public during the European referendum, but could take no action as they were outside its jurisdiction.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The majority of complaints to the ASA are now about digital advertising, and we believe this would also be the case for complaints to a political regulator. However, we think that, as with consumer advertising, that regulator’s jurisdiction should extend to all forms of political advertising.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We believe a political regulator should be given similar powers to those currently exercised over advertisers and media owners who breach the broadcast consumer advertising codes. The sanctions the ASA can currently impose are given here: </w:t>
      </w:r>
    </w:p>
    <w:p w:rsidR="00FB0B24" w:rsidRPr="005B5CB6" w:rsidP="005659F4">
      <w:pPr>
        <w:spacing w:after="10" w:line="249" w:lineRule="auto"/>
        <w:ind w:left="-4" w:hanging="10"/>
        <w:jc w:val="both"/>
        <w:rPr>
          <w:rFonts w:ascii="Verdana" w:hAnsi="Verdana"/>
        </w:rPr>
      </w:pPr>
      <w:r>
        <w:fldChar w:fldCharType="begin"/>
      </w:r>
      <w:r>
        <w:instrText xml:space="preserve"> HYPERLINK "https://www.asa.org.uk/codes-and-rulings/sanctions.html" </w:instrText>
      </w:r>
      <w:r>
        <w:fldChar w:fldCharType="separate"/>
      </w:r>
      <w:r w:rsidRPr="005B5CB6" w:rsidR="00A72806">
        <w:rPr>
          <w:rFonts w:ascii="Verdana" w:eastAsia="Verdana" w:hAnsi="Verdana" w:cs="Verdana"/>
          <w:u w:val="single" w:color="000000"/>
        </w:rPr>
        <w:t>https://www.asa.org.uk/codes-and-rulings/sanctions.html</w:t>
      </w:r>
      <w:r>
        <w:fldChar w:fldCharType="end"/>
      </w:r>
      <w:r>
        <w:fldChar w:fldCharType="begin"/>
      </w:r>
      <w:r>
        <w:instrText xml:space="preserve"> HYPERLINK "https://www.asa.org.uk/codes-and-rulings/sanctions.html" </w:instrText>
      </w:r>
      <w:r>
        <w:fldChar w:fldCharType="separate"/>
      </w:r>
      <w:r w:rsidRPr="005B5CB6" w:rsidR="00A72806">
        <w:rPr>
          <w:rFonts w:ascii="Verdana" w:eastAsia="Verdana" w:hAnsi="Verdana" w:cs="Verdana"/>
        </w:rPr>
        <w:t xml:space="preserve"> </w:t>
      </w:r>
      <w:r>
        <w:fldChar w:fldCharType="end"/>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We would propose that the sanctions for actionable political advertising and content should include being referred to Ofcom. For broadcast consumer </w:t>
      </w:r>
      <w:r w:rsidRPr="005B5CB6">
        <w:rPr>
          <w:rFonts w:ascii="Verdana" w:eastAsia="Verdana" w:hAnsi="Verdana" w:cs="Verdana"/>
        </w:rPr>
        <w:t xml:space="preserve">advertising the responsibility to withdraw, change or reschedule a commercial lies with the owner of the media. Broadcasters are required by a condition of their licences to enforce ASA rulings.  If they persistently run ads which fall foul of the Broadcast Advertising Code, they risk being referred by the ASA to Ofcom, which can impose fines and even withdraw their licence to broadcast.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We also believe that, as a deterrent, advertisers should face a significant fine.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pStyle w:val="Heading2"/>
        <w:rPr>
          <w:sz w:val="22"/>
        </w:rPr>
      </w:pPr>
      <w:r w:rsidRPr="005B5CB6">
        <w:rPr>
          <w:sz w:val="22"/>
        </w:rPr>
        <w:t xml:space="preserve">Funding the regulator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We believe a political advertising regulator could be funded in a manner similar to how the ASA is funded. The ASA’s revenues come from two fees: a 0.1% fee on ad space called the Asbof levy, and a 0.2% fee from broadcast advertising called the Basbof levy.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In 2018 the income from these two sources to enable the ASA to monitor all advertising was £9.2m. Source: the ASA 2018 annual report: </w:t>
      </w:r>
    </w:p>
    <w:p w:rsidR="00FB0B24" w:rsidRPr="005B5CB6" w:rsidP="005659F4">
      <w:pPr>
        <w:spacing w:after="10" w:line="249" w:lineRule="auto"/>
        <w:ind w:left="-4" w:hanging="10"/>
        <w:jc w:val="both"/>
        <w:rPr>
          <w:rFonts w:ascii="Verdana" w:hAnsi="Verdana"/>
        </w:rPr>
      </w:pPr>
      <w:r>
        <w:fldChar w:fldCharType="begin"/>
      </w:r>
      <w:r>
        <w:instrText xml:space="preserve"> HYPERLINK "https://www.asa.org.uk/news/asa-and-cap-annual-report-2018.html" </w:instrText>
      </w:r>
      <w:r>
        <w:fldChar w:fldCharType="separate"/>
      </w:r>
      <w:r w:rsidRPr="005B5CB6" w:rsidR="00A72806">
        <w:rPr>
          <w:rFonts w:ascii="Verdana" w:eastAsia="Verdana" w:hAnsi="Verdana" w:cs="Verdana"/>
          <w:u w:val="single" w:color="000000"/>
        </w:rPr>
        <w:t>https://www.asa.org.uk/news/asa-and-cap-annual-report-2018.html</w:t>
      </w:r>
      <w:r>
        <w:fldChar w:fldCharType="end"/>
      </w:r>
      <w:r>
        <w:fldChar w:fldCharType="begin"/>
      </w:r>
      <w:r>
        <w:instrText xml:space="preserve"> HYPERLINK "https://www.asa.org.uk/news/asa-and-cap-annual-report-2018.html" </w:instrText>
      </w:r>
      <w:r>
        <w:fldChar w:fldCharType="separate"/>
      </w:r>
      <w:r w:rsidRPr="005B5CB6" w:rsidR="00A72806">
        <w:rPr>
          <w:rFonts w:ascii="Verdana" w:eastAsia="Verdana" w:hAnsi="Verdana" w:cs="Verdana"/>
        </w:rPr>
        <w:t xml:space="preserve"> </w:t>
      </w:r>
      <w:r>
        <w:fldChar w:fldCharType="end"/>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Although, as shown in the table below, spend data varies year by year, we believe that, modelling data from the Electoral Commission on purely political ad spend, a 5% levy could raise at least £650K. If this was expanded to include what is categorised as ‘unsolicited material to electors’, the same 5% levy could generate a total of over £1m.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We include these figures to demonstrate that it is entirely feasible to adopt a cost neutral approach to political ad regulation.  </w:t>
      </w:r>
    </w:p>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We have further workings, modelled on the current operational costs provided in the ASA’s annual reports, which illustrate that the lower amount (using a levy only on ad spend) should be more than sufficient to cover the administrative costs of political ad regulation. We would welcome the opportunity to work through our workings and assumptions more fully with the ASA and your team.  </w:t>
      </w:r>
    </w:p>
    <w:p w:rsidR="00FB0B24" w:rsidRPr="005B5CB6" w:rsidP="005659F4">
      <w:pPr>
        <w:spacing w:after="0"/>
        <w:jc w:val="both"/>
        <w:rPr>
          <w:rFonts w:ascii="Verdana" w:hAnsi="Verdana"/>
        </w:rPr>
      </w:pPr>
      <w:r w:rsidRPr="005B5CB6">
        <w:rPr>
          <w:rFonts w:ascii="Verdana" w:eastAsia="Verdana" w:hAnsi="Verdana" w:cs="Verdana"/>
        </w:rPr>
        <w:t xml:space="preserve">   </w:t>
      </w:r>
    </w:p>
    <w:tbl>
      <w:tblPr>
        <w:tblStyle w:val="TableGrid1"/>
        <w:tblW w:w="9494" w:type="dxa"/>
        <w:tblInd w:w="5" w:type="dxa"/>
        <w:tblCellMar>
          <w:top w:w="52" w:type="dxa"/>
          <w:left w:w="108" w:type="dxa"/>
          <w:bottom w:w="4" w:type="dxa"/>
          <w:right w:w="30" w:type="dxa"/>
        </w:tblCellMar>
        <w:tblLook w:val="04A0"/>
      </w:tblPr>
      <w:tblGrid>
        <w:gridCol w:w="3230"/>
        <w:gridCol w:w="593"/>
        <w:gridCol w:w="1956"/>
        <w:gridCol w:w="1872"/>
        <w:gridCol w:w="1843"/>
      </w:tblGrid>
      <w:tr>
        <w:tblPrEx>
          <w:tblW w:w="9494" w:type="dxa"/>
          <w:tblInd w:w="5" w:type="dxa"/>
          <w:tblCellMar>
            <w:top w:w="52" w:type="dxa"/>
            <w:left w:w="108" w:type="dxa"/>
            <w:bottom w:w="4" w:type="dxa"/>
            <w:right w:w="30" w:type="dxa"/>
          </w:tblCellMar>
          <w:tblLook w:val="04A0"/>
        </w:tblPrEx>
        <w:trPr>
          <w:trHeight w:val="331"/>
        </w:trPr>
        <w:tc>
          <w:tcPr>
            <w:tcW w:w="3230"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w:t>
            </w:r>
          </w:p>
        </w:tc>
        <w:tc>
          <w:tcPr>
            <w:tcW w:w="593"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w:t>
            </w:r>
          </w:p>
        </w:tc>
        <w:tc>
          <w:tcPr>
            <w:tcW w:w="1956"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ind w:right="76"/>
              <w:jc w:val="both"/>
              <w:rPr>
                <w:rFonts w:ascii="Verdana" w:hAnsi="Verdana"/>
              </w:rPr>
            </w:pPr>
            <w:r w:rsidRPr="005B5CB6">
              <w:rPr>
                <w:rFonts w:ascii="Verdana" w:eastAsia="Verdana" w:hAnsi="Verdana" w:cs="Verdana"/>
              </w:rPr>
              <w:t xml:space="preserve">2015 </w:t>
            </w:r>
          </w:p>
        </w:tc>
        <w:tc>
          <w:tcPr>
            <w:tcW w:w="1872"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ind w:right="79"/>
              <w:jc w:val="both"/>
              <w:rPr>
                <w:rFonts w:ascii="Verdana" w:hAnsi="Verdana"/>
              </w:rPr>
            </w:pPr>
            <w:r w:rsidRPr="005B5CB6">
              <w:rPr>
                <w:rFonts w:ascii="Verdana" w:eastAsia="Verdana" w:hAnsi="Verdana" w:cs="Verdana"/>
              </w:rPr>
              <w:t xml:space="preserve">2016 </w:t>
            </w:r>
          </w:p>
        </w:tc>
        <w:tc>
          <w:tcPr>
            <w:tcW w:w="1843"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ind w:right="76"/>
              <w:jc w:val="both"/>
              <w:rPr>
                <w:rFonts w:ascii="Verdana" w:hAnsi="Verdana"/>
              </w:rPr>
            </w:pPr>
            <w:r w:rsidRPr="005B5CB6">
              <w:rPr>
                <w:rFonts w:ascii="Verdana" w:eastAsia="Verdana" w:hAnsi="Verdana" w:cs="Verdana"/>
              </w:rPr>
              <w:t xml:space="preserve">2017 </w:t>
            </w:r>
          </w:p>
        </w:tc>
      </w:tr>
      <w:tr>
        <w:tblPrEx>
          <w:tblW w:w="9494" w:type="dxa"/>
          <w:tblInd w:w="5" w:type="dxa"/>
          <w:tblCellMar>
            <w:top w:w="52" w:type="dxa"/>
            <w:left w:w="108" w:type="dxa"/>
            <w:bottom w:w="4" w:type="dxa"/>
            <w:right w:w="30" w:type="dxa"/>
          </w:tblCellMar>
          <w:tblLook w:val="04A0"/>
        </w:tblPrEx>
        <w:trPr>
          <w:trHeight w:val="545"/>
        </w:trPr>
        <w:tc>
          <w:tcPr>
            <w:tcW w:w="3230"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Total advertising spend </w:t>
            </w:r>
          </w:p>
        </w:tc>
        <w:tc>
          <w:tcPr>
            <w:tcW w:w="593"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w:t>
            </w:r>
          </w:p>
        </w:tc>
        <w:tc>
          <w:tcPr>
            <w:tcW w:w="1956"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6,937,528  </w:t>
            </w:r>
          </w:p>
        </w:tc>
        <w:tc>
          <w:tcPr>
            <w:tcW w:w="1872"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13,032,011  </w:t>
            </w:r>
          </w:p>
        </w:tc>
        <w:tc>
          <w:tcPr>
            <w:tcW w:w="1843"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13,402,325  </w:t>
            </w:r>
          </w:p>
        </w:tc>
      </w:tr>
      <w:tr>
        <w:tblPrEx>
          <w:tblW w:w="9494" w:type="dxa"/>
          <w:tblInd w:w="5" w:type="dxa"/>
          <w:tblCellMar>
            <w:top w:w="52" w:type="dxa"/>
            <w:left w:w="108" w:type="dxa"/>
            <w:bottom w:w="4" w:type="dxa"/>
            <w:right w:w="30" w:type="dxa"/>
          </w:tblCellMar>
          <w:tblLook w:val="04A0"/>
        </w:tblPrEx>
        <w:trPr>
          <w:trHeight w:val="542"/>
        </w:trPr>
        <w:tc>
          <w:tcPr>
            <w:tcW w:w="3230"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Unsolicited material to electors </w:t>
            </w:r>
          </w:p>
        </w:tc>
        <w:tc>
          <w:tcPr>
            <w:tcW w:w="593"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w:t>
            </w:r>
          </w:p>
        </w:tc>
        <w:tc>
          <w:tcPr>
            <w:tcW w:w="1956"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15,182,585  </w:t>
            </w:r>
          </w:p>
        </w:tc>
        <w:tc>
          <w:tcPr>
            <w:tcW w:w="1872"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8,672,832  </w:t>
            </w:r>
          </w:p>
        </w:tc>
        <w:tc>
          <w:tcPr>
            <w:tcW w:w="1843"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13,402,325  </w:t>
            </w:r>
          </w:p>
        </w:tc>
      </w:tr>
      <w:tr>
        <w:tblPrEx>
          <w:tblW w:w="9494" w:type="dxa"/>
          <w:tblInd w:w="5" w:type="dxa"/>
          <w:tblCellMar>
            <w:top w:w="52" w:type="dxa"/>
            <w:left w:w="108" w:type="dxa"/>
            <w:bottom w:w="4" w:type="dxa"/>
            <w:right w:w="30" w:type="dxa"/>
          </w:tblCellMar>
          <w:tblLook w:val="04A0"/>
        </w:tblPrEx>
        <w:trPr>
          <w:trHeight w:val="691"/>
        </w:trPr>
        <w:tc>
          <w:tcPr>
            <w:tcW w:w="3230"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Contribution to the regulator (ad spend) </w:t>
            </w:r>
          </w:p>
        </w:tc>
        <w:tc>
          <w:tcPr>
            <w:tcW w:w="593"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1% </w:t>
            </w:r>
          </w:p>
        </w:tc>
        <w:tc>
          <w:tcPr>
            <w:tcW w:w="1956"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69,375  </w:t>
            </w:r>
          </w:p>
        </w:tc>
        <w:tc>
          <w:tcPr>
            <w:tcW w:w="1872"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130,320  </w:t>
            </w:r>
          </w:p>
        </w:tc>
        <w:tc>
          <w:tcPr>
            <w:tcW w:w="1843"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134,023  </w:t>
            </w:r>
          </w:p>
        </w:tc>
      </w:tr>
      <w:tr>
        <w:tblPrEx>
          <w:tblW w:w="9494" w:type="dxa"/>
          <w:tblInd w:w="5" w:type="dxa"/>
          <w:tblCellMar>
            <w:top w:w="52" w:type="dxa"/>
            <w:left w:w="108" w:type="dxa"/>
            <w:bottom w:w="4" w:type="dxa"/>
            <w:right w:w="30" w:type="dxa"/>
          </w:tblCellMar>
          <w:tblLook w:val="04A0"/>
        </w:tblPrEx>
        <w:trPr>
          <w:trHeight w:val="545"/>
        </w:trPr>
        <w:tc>
          <w:tcPr>
            <w:tcW w:w="3230"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w:t>
            </w:r>
          </w:p>
        </w:tc>
        <w:tc>
          <w:tcPr>
            <w:tcW w:w="593"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2% </w:t>
            </w:r>
          </w:p>
        </w:tc>
        <w:tc>
          <w:tcPr>
            <w:tcW w:w="1956"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138,751  </w:t>
            </w:r>
          </w:p>
        </w:tc>
        <w:tc>
          <w:tcPr>
            <w:tcW w:w="1872"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260,640  </w:t>
            </w:r>
          </w:p>
        </w:tc>
        <w:tc>
          <w:tcPr>
            <w:tcW w:w="1843"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268,047  </w:t>
            </w:r>
          </w:p>
        </w:tc>
      </w:tr>
      <w:tr>
        <w:tblPrEx>
          <w:tblW w:w="9494" w:type="dxa"/>
          <w:tblInd w:w="5" w:type="dxa"/>
          <w:tblCellMar>
            <w:top w:w="52" w:type="dxa"/>
            <w:left w:w="108" w:type="dxa"/>
            <w:bottom w:w="4" w:type="dxa"/>
            <w:right w:w="30" w:type="dxa"/>
          </w:tblCellMar>
          <w:tblLook w:val="04A0"/>
        </w:tblPrEx>
        <w:trPr>
          <w:trHeight w:val="540"/>
        </w:trPr>
        <w:tc>
          <w:tcPr>
            <w:tcW w:w="3230" w:type="dxa"/>
            <w:tcBorders>
              <w:top w:val="nil"/>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w:t>
            </w:r>
          </w:p>
        </w:tc>
        <w:tc>
          <w:tcPr>
            <w:tcW w:w="593" w:type="dxa"/>
            <w:tcBorders>
              <w:top w:val="nil"/>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5% </w:t>
            </w:r>
          </w:p>
        </w:tc>
        <w:tc>
          <w:tcPr>
            <w:tcW w:w="1956" w:type="dxa"/>
            <w:tcBorders>
              <w:top w:val="nil"/>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346,876  </w:t>
            </w:r>
          </w:p>
        </w:tc>
        <w:tc>
          <w:tcPr>
            <w:tcW w:w="1872" w:type="dxa"/>
            <w:tcBorders>
              <w:top w:val="nil"/>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651,601  </w:t>
            </w:r>
          </w:p>
        </w:tc>
        <w:tc>
          <w:tcPr>
            <w:tcW w:w="1843" w:type="dxa"/>
            <w:tcBorders>
              <w:top w:val="nil"/>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670,116  </w:t>
            </w:r>
          </w:p>
        </w:tc>
      </w:tr>
      <w:tr>
        <w:tblPrEx>
          <w:tblW w:w="9494" w:type="dxa"/>
          <w:tblInd w:w="5" w:type="dxa"/>
          <w:tblCellMar>
            <w:top w:w="52" w:type="dxa"/>
            <w:left w:w="108" w:type="dxa"/>
            <w:bottom w:w="4" w:type="dxa"/>
            <w:right w:w="30" w:type="dxa"/>
          </w:tblCellMar>
          <w:tblLook w:val="04A0"/>
        </w:tblPrEx>
        <w:trPr>
          <w:trHeight w:val="1080"/>
        </w:trPr>
        <w:tc>
          <w:tcPr>
            <w:tcW w:w="3230"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Contribution to the regulator (ad spend &amp; unsolicited material to electors) </w:t>
            </w:r>
          </w:p>
        </w:tc>
        <w:tc>
          <w:tcPr>
            <w:tcW w:w="593"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1% </w:t>
            </w:r>
          </w:p>
        </w:tc>
        <w:tc>
          <w:tcPr>
            <w:tcW w:w="1956"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221,201  </w:t>
            </w:r>
          </w:p>
        </w:tc>
        <w:tc>
          <w:tcPr>
            <w:tcW w:w="1872"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217,048  </w:t>
            </w:r>
          </w:p>
        </w:tc>
        <w:tc>
          <w:tcPr>
            <w:tcW w:w="1843"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268,047  </w:t>
            </w:r>
          </w:p>
        </w:tc>
      </w:tr>
      <w:tr>
        <w:tblPrEx>
          <w:tblW w:w="9494" w:type="dxa"/>
          <w:tblInd w:w="5" w:type="dxa"/>
          <w:tblCellMar>
            <w:top w:w="52" w:type="dxa"/>
            <w:left w:w="108" w:type="dxa"/>
            <w:bottom w:w="4" w:type="dxa"/>
            <w:right w:w="30" w:type="dxa"/>
          </w:tblCellMar>
          <w:tblLook w:val="04A0"/>
        </w:tblPrEx>
        <w:trPr>
          <w:trHeight w:val="545"/>
        </w:trPr>
        <w:tc>
          <w:tcPr>
            <w:tcW w:w="3230"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w:t>
            </w:r>
          </w:p>
        </w:tc>
        <w:tc>
          <w:tcPr>
            <w:tcW w:w="593"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2% </w:t>
            </w:r>
          </w:p>
        </w:tc>
        <w:tc>
          <w:tcPr>
            <w:tcW w:w="1956"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442,402  </w:t>
            </w:r>
          </w:p>
        </w:tc>
        <w:tc>
          <w:tcPr>
            <w:tcW w:w="1872"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434,097  </w:t>
            </w:r>
          </w:p>
        </w:tc>
        <w:tc>
          <w:tcPr>
            <w:tcW w:w="1843"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536,093  </w:t>
            </w:r>
          </w:p>
        </w:tc>
      </w:tr>
      <w:tr>
        <w:tblPrEx>
          <w:tblW w:w="9494" w:type="dxa"/>
          <w:tblInd w:w="5" w:type="dxa"/>
          <w:tblCellMar>
            <w:top w:w="52" w:type="dxa"/>
            <w:left w:w="108" w:type="dxa"/>
            <w:bottom w:w="4" w:type="dxa"/>
            <w:right w:w="30" w:type="dxa"/>
          </w:tblCellMar>
          <w:tblLook w:val="04A0"/>
        </w:tblPrEx>
        <w:trPr>
          <w:trHeight w:val="545"/>
        </w:trPr>
        <w:tc>
          <w:tcPr>
            <w:tcW w:w="3230"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  </w:t>
            </w:r>
          </w:p>
        </w:tc>
        <w:tc>
          <w:tcPr>
            <w:tcW w:w="593" w:type="dxa"/>
            <w:tcBorders>
              <w:top w:val="single" w:sz="4" w:space="0" w:color="000000"/>
              <w:left w:val="single" w:sz="4" w:space="0" w:color="000000"/>
              <w:bottom w:val="single" w:sz="4" w:space="0" w:color="000000"/>
              <w:right w:val="single" w:sz="4" w:space="0" w:color="000000"/>
            </w:tcBorders>
            <w:vAlign w:val="bottom"/>
          </w:tcPr>
          <w:p w:rsidR="00FB0B24" w:rsidRPr="005B5CB6" w:rsidP="005659F4">
            <w:pPr>
              <w:jc w:val="both"/>
              <w:rPr>
                <w:rFonts w:ascii="Verdana" w:hAnsi="Verdana"/>
              </w:rPr>
            </w:pPr>
            <w:r w:rsidRPr="005B5CB6">
              <w:rPr>
                <w:rFonts w:ascii="Verdana" w:eastAsia="Verdana" w:hAnsi="Verdana" w:cs="Verdana"/>
              </w:rPr>
              <w:t xml:space="preserve">5% </w:t>
            </w:r>
          </w:p>
        </w:tc>
        <w:tc>
          <w:tcPr>
            <w:tcW w:w="1956"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1,106,006  </w:t>
            </w:r>
          </w:p>
        </w:tc>
        <w:tc>
          <w:tcPr>
            <w:tcW w:w="1872"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1,085,242  </w:t>
            </w:r>
          </w:p>
        </w:tc>
        <w:tc>
          <w:tcPr>
            <w:tcW w:w="1843" w:type="dxa"/>
            <w:tcBorders>
              <w:top w:val="single" w:sz="4" w:space="0" w:color="000000"/>
              <w:left w:val="single" w:sz="4" w:space="0" w:color="000000"/>
              <w:bottom w:val="single" w:sz="4" w:space="0" w:color="000000"/>
              <w:right w:val="single" w:sz="4" w:space="0" w:color="000000"/>
            </w:tcBorders>
          </w:tcPr>
          <w:p w:rsidR="00FB0B24" w:rsidRPr="005B5CB6" w:rsidP="005659F4">
            <w:pPr>
              <w:jc w:val="both"/>
              <w:rPr>
                <w:rFonts w:ascii="Verdana" w:hAnsi="Verdana"/>
              </w:rPr>
            </w:pPr>
            <w:r w:rsidRPr="005B5CB6">
              <w:rPr>
                <w:rFonts w:ascii="Verdana" w:eastAsia="Verdana" w:hAnsi="Verdana" w:cs="Verdana"/>
              </w:rPr>
              <w:t xml:space="preserve"> £        </w:t>
            </w:r>
          </w:p>
          <w:p w:rsidR="00FB0B24" w:rsidRPr="005B5CB6" w:rsidP="005659F4">
            <w:pPr>
              <w:jc w:val="both"/>
              <w:rPr>
                <w:rFonts w:ascii="Verdana" w:hAnsi="Verdana"/>
              </w:rPr>
            </w:pPr>
            <w:r w:rsidRPr="005B5CB6">
              <w:rPr>
                <w:rFonts w:ascii="Verdana" w:eastAsia="Verdana" w:hAnsi="Verdana" w:cs="Verdana"/>
              </w:rPr>
              <w:t xml:space="preserve">1,340,233  </w:t>
            </w:r>
          </w:p>
        </w:tc>
      </w:tr>
    </w:tbl>
    <w:p w:rsidR="00FB0B24" w:rsidRPr="005B5CB6" w:rsidP="005659F4">
      <w:pPr>
        <w:spacing w:after="0"/>
        <w:jc w:val="both"/>
        <w:rPr>
          <w:rFonts w:ascii="Verdana" w:hAnsi="Verdana"/>
        </w:rPr>
      </w:pPr>
      <w:r w:rsidRPr="005B5CB6">
        <w:rPr>
          <w:rFonts w:ascii="Verdana" w:eastAsia="Verdana" w:hAnsi="Verdana" w:cs="Verdana"/>
        </w:rPr>
        <w:t xml:space="preserve"> </w:t>
      </w:r>
    </w:p>
    <w:p w:rsidR="00FB0B24" w:rsidRPr="005B5CB6" w:rsidP="005659F4">
      <w:pPr>
        <w:spacing w:after="5" w:line="250" w:lineRule="auto"/>
        <w:ind w:left="23" w:right="11" w:hanging="8"/>
        <w:jc w:val="both"/>
        <w:rPr>
          <w:rFonts w:ascii="Verdana" w:hAnsi="Verdana"/>
        </w:rPr>
      </w:pPr>
      <w:r w:rsidRPr="005B5CB6">
        <w:rPr>
          <w:rFonts w:ascii="Verdana" w:eastAsia="Verdana" w:hAnsi="Verdana" w:cs="Verdana"/>
        </w:rPr>
        <w:t xml:space="preserve">Source: Highlighted political campaigning spend data from the Electoral Commission data. </w:t>
      </w:r>
    </w:p>
    <w:p w:rsidR="00FB0B24" w:rsidRPr="005B5CB6" w:rsidP="005659F4">
      <w:pPr>
        <w:spacing w:after="0" w:line="251" w:lineRule="auto"/>
        <w:ind w:right="6058"/>
        <w:jc w:val="both"/>
        <w:rPr>
          <w:rFonts w:ascii="Verdana" w:hAnsi="Verdana"/>
        </w:rPr>
      </w:pPr>
      <w:r w:rsidRPr="005B5CB6">
        <w:rPr>
          <w:rFonts w:ascii="Verdana" w:eastAsia="Verdana" w:hAnsi="Verdana" w:cs="Verdana"/>
        </w:rPr>
        <w:t xml:space="preserve"> </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 </w:t>
      </w:r>
      <w:r w:rsidRPr="005B5CB6">
        <w:rPr>
          <w:rFonts w:ascii="Verdana" w:hAnsi="Verdana"/>
        </w:rPr>
        <w:br w:type="page"/>
      </w:r>
    </w:p>
    <w:p w:rsidR="00FB0B24" w:rsidRPr="005B5CB6" w:rsidP="005659F4">
      <w:pPr>
        <w:pStyle w:val="Heading2"/>
        <w:rPr>
          <w:sz w:val="22"/>
        </w:rPr>
      </w:pPr>
      <w:r w:rsidRPr="005B5CB6">
        <w:rPr>
          <w:sz w:val="22"/>
        </w:rPr>
        <w:t xml:space="preserve">Process </w:t>
      </w:r>
    </w:p>
    <w:p w:rsidR="00FB0B24" w:rsidRPr="005B5CB6" w:rsidP="001512F6">
      <w:pPr>
        <w:spacing w:after="79"/>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09" w:right="11" w:hanging="8"/>
        <w:jc w:val="both"/>
        <w:rPr>
          <w:rFonts w:ascii="Verdana" w:hAnsi="Verdana"/>
        </w:rPr>
      </w:pPr>
      <w:r w:rsidRPr="005B5CB6">
        <w:rPr>
          <w:rFonts w:ascii="Verdana" w:eastAsia="Verdana" w:hAnsi="Verdana" w:cs="Verdana"/>
        </w:rPr>
        <w:t xml:space="preserve">In terms of process we believe that political advertising regulation can borrow heavily from the way consumer advertising is regulated.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469" w:right="11" w:hanging="8"/>
        <w:jc w:val="both"/>
        <w:rPr>
          <w:rFonts w:ascii="Verdana" w:hAnsi="Verdana"/>
        </w:rPr>
      </w:pPr>
      <w:r w:rsidRPr="005B5CB6">
        <w:rPr>
          <w:rFonts w:ascii="Verdana" w:eastAsia="Cambria" w:hAnsi="Verdana" w:cs="Cambria"/>
        </w:rPr>
        <w:t>-</w:t>
      </w:r>
      <w:r w:rsidRPr="005B5CB6">
        <w:rPr>
          <w:rFonts w:ascii="Verdana" w:eastAsia="Arial" w:hAnsi="Verdana" w:cs="Arial"/>
        </w:rPr>
        <w:t xml:space="preserve"> </w:t>
      </w:r>
      <w:r w:rsidRPr="005B5CB6">
        <w:rPr>
          <w:rFonts w:ascii="Verdana" w:eastAsia="Verdana" w:hAnsi="Verdana" w:cs="Verdana"/>
        </w:rPr>
        <w:t xml:space="preserve">How the ASA and CAP system for consumer advertising works </w:t>
      </w:r>
    </w:p>
    <w:p w:rsidR="00FB0B24" w:rsidRPr="005B5CB6" w:rsidP="001512F6">
      <w:pPr>
        <w:spacing w:after="75"/>
        <w:jc w:val="both"/>
        <w:rPr>
          <w:rFonts w:ascii="Verdana" w:hAnsi="Verdana"/>
        </w:rPr>
      </w:pPr>
      <w:r w:rsidRPr="005B5CB6">
        <w:rPr>
          <w:rFonts w:ascii="Verdana" w:eastAsia="Verdana" w:hAnsi="Verdana" w:cs="Verdana"/>
        </w:rPr>
        <w:t xml:space="preserve"> </w:t>
      </w:r>
    </w:p>
    <w:p w:rsidR="00FB0B24" w:rsidRPr="005B5CB6" w:rsidP="001512F6">
      <w:pPr>
        <w:spacing w:after="181" w:line="319" w:lineRule="auto"/>
        <w:ind w:left="109" w:right="98" w:hanging="8"/>
        <w:jc w:val="both"/>
        <w:rPr>
          <w:rFonts w:ascii="Verdana" w:hAnsi="Verdana"/>
        </w:rPr>
      </w:pPr>
      <w:r w:rsidRPr="005B5CB6">
        <w:rPr>
          <w:rFonts w:ascii="Verdana" w:eastAsia="Verdana" w:hAnsi="Verdana" w:cs="Verdana"/>
        </w:rPr>
        <w:t xml:space="preserve">This page from the ASA website will explain fully, to anyone unfamiliar with the system, how it works: </w:t>
      </w:r>
      <w:r>
        <w:fldChar w:fldCharType="begin"/>
      </w:r>
      <w:r>
        <w:instrText xml:space="preserve"> HYPERLINK "https://www.asa.org.uk/about-asa-and-cap/about-regulation/about-the-asa-and-cap.html" </w:instrText>
      </w:r>
      <w:r>
        <w:fldChar w:fldCharType="separate"/>
      </w:r>
      <w:r w:rsidRPr="005B5CB6">
        <w:rPr>
          <w:rFonts w:ascii="Verdana" w:eastAsia="Verdana" w:hAnsi="Verdana" w:cs="Verdana"/>
          <w:u w:val="single" w:color="0462C1"/>
        </w:rPr>
        <w:t>https://www.asa.org.uk/about-asa-and-cap/about-regulation/about-the-asa</w:t>
      </w:r>
      <w:r>
        <w:fldChar w:fldCharType="end"/>
      </w:r>
      <w:r>
        <w:fldChar w:fldCharType="begin"/>
      </w:r>
      <w:r>
        <w:instrText xml:space="preserve"> HYPERLINK "https://www.asa.org.uk/about-asa-and-cap/about-regulation/about-the-asa-and-cap.html" </w:instrText>
      </w:r>
      <w:r>
        <w:fldChar w:fldCharType="separate"/>
      </w:r>
      <w:r w:rsidRPr="005B5CB6">
        <w:rPr>
          <w:rFonts w:ascii="Verdana" w:eastAsia="Verdana" w:hAnsi="Verdana" w:cs="Verdana"/>
          <w:u w:val="single" w:color="0462C1"/>
        </w:rPr>
        <w:t>and-cap.html</w:t>
      </w:r>
      <w:r>
        <w:fldChar w:fldCharType="end"/>
      </w:r>
      <w:r>
        <w:fldChar w:fldCharType="begin"/>
      </w:r>
      <w:r>
        <w:instrText xml:space="preserve"> HYPERLINK "https://www.asa.org.uk/about-asa-and-cap/about-regulation/about-the-asa-and-cap.html" </w:instrText>
      </w:r>
      <w:r>
        <w:fldChar w:fldCharType="separate"/>
      </w:r>
      <w:r w:rsidRPr="005B5CB6">
        <w:rPr>
          <w:rFonts w:ascii="Verdana" w:eastAsia="Verdana" w:hAnsi="Verdana" w:cs="Verdana"/>
        </w:rPr>
        <w:t xml:space="preserve"> </w:t>
      </w:r>
      <w:r>
        <w:fldChar w:fldCharType="end"/>
      </w:r>
    </w:p>
    <w:p w:rsidR="00FB0B24" w:rsidRPr="005B5CB6" w:rsidP="001512F6">
      <w:pPr>
        <w:spacing w:after="251" w:line="250" w:lineRule="auto"/>
        <w:ind w:left="109" w:right="11" w:hanging="8"/>
        <w:jc w:val="both"/>
        <w:rPr>
          <w:rFonts w:ascii="Verdana" w:hAnsi="Verdana"/>
        </w:rPr>
      </w:pPr>
      <w:r w:rsidRPr="005B5CB6">
        <w:rPr>
          <w:rFonts w:ascii="Verdana" w:eastAsia="Verdana" w:hAnsi="Verdana" w:cs="Verdana"/>
        </w:rPr>
        <w:t xml:space="preserve">In summary, the ASA site states: </w:t>
      </w:r>
    </w:p>
    <w:p w:rsidR="00FB0B24" w:rsidRPr="005B5CB6" w:rsidP="001512F6">
      <w:pPr>
        <w:spacing w:after="5" w:line="250" w:lineRule="auto"/>
        <w:ind w:left="109" w:right="108" w:hanging="8"/>
        <w:jc w:val="both"/>
        <w:rPr>
          <w:rFonts w:ascii="Verdana" w:hAnsi="Verdana"/>
        </w:rPr>
      </w:pPr>
      <w:r w:rsidRPr="005B5CB6">
        <w:rPr>
          <w:rFonts w:ascii="Verdana" w:eastAsia="Verdana" w:hAnsi="Verdana" w:cs="Verdana"/>
        </w:rPr>
        <w:t xml:space="preserve">‘The Advertising Standards Authority (ASA) is the UK’s independent advertising regulator. The ASA makes sure ads across UK media stick to the advertising rules (the Advertising Codes). </w:t>
      </w:r>
    </w:p>
    <w:p w:rsidR="00FB0B24" w:rsidRPr="005B5CB6" w:rsidP="001512F6">
      <w:pPr>
        <w:spacing w:after="0"/>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09" w:right="563" w:hanging="8"/>
        <w:jc w:val="both"/>
        <w:rPr>
          <w:rFonts w:ascii="Verdana" w:hAnsi="Verdana"/>
        </w:rPr>
      </w:pPr>
      <w:r w:rsidRPr="005B5CB6">
        <w:rPr>
          <w:rFonts w:ascii="Verdana" w:eastAsia="Verdana" w:hAnsi="Verdana" w:cs="Verdana"/>
        </w:rPr>
        <w:t xml:space="preserve">The Committee of Advertising Practice (CAP) is the sister organisation of the ASA and is responsible for writing the Advertising Codes [which are the BCAP and CAP codes] for broadcast and non-broadcast respectively.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09" w:right="443" w:hanging="8"/>
        <w:jc w:val="both"/>
        <w:rPr>
          <w:rFonts w:ascii="Verdana" w:hAnsi="Verdana"/>
        </w:rPr>
      </w:pPr>
      <w:r w:rsidRPr="005B5CB6">
        <w:rPr>
          <w:rFonts w:ascii="Verdana" w:eastAsia="Verdana" w:hAnsi="Verdana" w:cs="Verdana"/>
        </w:rPr>
        <w:t xml:space="preserve">We’re passionate about what we do because responsible advertisements are good for people, society and advertisers. Our mission is to make every UK ad a responsible ad.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0" w:right="11" w:hanging="8"/>
        <w:jc w:val="both"/>
        <w:rPr>
          <w:rFonts w:ascii="Verdana" w:hAnsi="Verdana"/>
        </w:rPr>
      </w:pPr>
      <w:r w:rsidRPr="005B5CB6">
        <w:rPr>
          <w:rFonts w:ascii="Verdana" w:eastAsia="Verdana" w:hAnsi="Verdana" w:cs="Verdana"/>
        </w:rPr>
        <w:t xml:space="preserve">We respond to concerns and complaints from consumers and businesses and take action to ban ads which are misleading, harmful, offensive or irresponsible. As well as responding to complaints we monitor ads to check they’re following the rules.’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17"/>
        </w:numPr>
        <w:spacing w:after="5" w:line="250" w:lineRule="auto"/>
        <w:ind w:right="11" w:hanging="360"/>
        <w:jc w:val="both"/>
        <w:rPr>
          <w:rFonts w:ascii="Verdana" w:hAnsi="Verdana"/>
        </w:rPr>
      </w:pPr>
      <w:r w:rsidRPr="005B5CB6">
        <w:rPr>
          <w:rFonts w:ascii="Verdana" w:eastAsia="Verdana" w:hAnsi="Verdana" w:cs="Verdana"/>
        </w:rPr>
        <w:t xml:space="preserve">How Clearcast works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0" w:right="11" w:hanging="8"/>
        <w:jc w:val="both"/>
        <w:rPr>
          <w:rFonts w:ascii="Verdana" w:hAnsi="Verdana"/>
        </w:rPr>
      </w:pPr>
      <w:r w:rsidRPr="005B5CB6">
        <w:rPr>
          <w:rFonts w:ascii="Verdana" w:eastAsia="Verdana" w:hAnsi="Verdana" w:cs="Verdana"/>
        </w:rPr>
        <w:t xml:space="preserve">Clearcast is an advisory service for media owners to ensure advertising they carry complies with the advertising code.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0" w:right="293" w:hanging="8"/>
        <w:jc w:val="both"/>
        <w:rPr>
          <w:rFonts w:ascii="Verdana" w:hAnsi="Verdana"/>
        </w:rPr>
      </w:pPr>
      <w:r w:rsidRPr="005B5CB6">
        <w:rPr>
          <w:rFonts w:ascii="Verdana" w:eastAsia="Verdana" w:hAnsi="Verdana" w:cs="Verdana"/>
        </w:rPr>
        <w:t xml:space="preserve">Advertisers work with Clearcast to ‘clear’ their ads, i.e. to ensure that the ads they are developing comply with the codes.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0" w:right="11" w:hanging="8"/>
        <w:jc w:val="both"/>
        <w:rPr>
          <w:rFonts w:ascii="Verdana" w:hAnsi="Verdana"/>
        </w:rPr>
      </w:pPr>
      <w:r w:rsidRPr="005B5CB6">
        <w:rPr>
          <w:rFonts w:ascii="Verdana" w:eastAsia="Verdana" w:hAnsi="Verdana" w:cs="Verdana"/>
        </w:rPr>
        <w:t xml:space="preserve">With regard to our proposed process around factual claims it is worth noting in particular that: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17"/>
        </w:numPr>
        <w:spacing w:after="88" w:line="250" w:lineRule="auto"/>
        <w:ind w:right="11" w:hanging="360"/>
        <w:jc w:val="both"/>
        <w:rPr>
          <w:rFonts w:ascii="Verdana" w:hAnsi="Verdana"/>
        </w:rPr>
      </w:pPr>
      <w:r w:rsidRPr="005B5CB6">
        <w:rPr>
          <w:rFonts w:ascii="Verdana" w:eastAsia="Verdana" w:hAnsi="Verdana" w:cs="Verdana"/>
        </w:rPr>
        <w:t xml:space="preserve">It is a fast service. Pre-production scripts are turned around within 3 working days and post-production films in less than 2 working days </w:t>
      </w:r>
    </w:p>
    <w:p w:rsidR="00FB0B24" w:rsidRPr="005B5CB6" w:rsidP="00575F14">
      <w:pPr>
        <w:numPr>
          <w:ilvl w:val="0"/>
          <w:numId w:val="217"/>
        </w:numPr>
        <w:spacing w:after="91" w:line="250" w:lineRule="auto"/>
        <w:ind w:right="11" w:hanging="360"/>
        <w:jc w:val="both"/>
        <w:rPr>
          <w:rFonts w:ascii="Verdana" w:hAnsi="Verdana"/>
        </w:rPr>
      </w:pPr>
      <w:r w:rsidRPr="005B5CB6">
        <w:rPr>
          <w:rFonts w:ascii="Verdana" w:eastAsia="Verdana" w:hAnsi="Verdana" w:cs="Verdana"/>
          <w:i/>
        </w:rPr>
        <w:t xml:space="preserve">Compliance </w:t>
      </w:r>
      <w:r w:rsidRPr="005B5CB6">
        <w:rPr>
          <w:rFonts w:ascii="Verdana" w:eastAsia="Verdana" w:hAnsi="Verdana" w:cs="Verdana"/>
        </w:rPr>
        <w:t xml:space="preserve">- Ads must reflect the spirit, not merely the letter of the Code; </w:t>
      </w:r>
    </w:p>
    <w:p w:rsidR="00FB0B24" w:rsidRPr="005B5CB6" w:rsidP="00575F14">
      <w:pPr>
        <w:numPr>
          <w:ilvl w:val="0"/>
          <w:numId w:val="217"/>
        </w:numPr>
        <w:spacing w:after="5" w:line="249" w:lineRule="auto"/>
        <w:ind w:right="11" w:hanging="360"/>
        <w:jc w:val="both"/>
        <w:rPr>
          <w:rFonts w:ascii="Verdana" w:hAnsi="Verdana"/>
        </w:rPr>
      </w:pPr>
      <w:r w:rsidRPr="005B5CB6">
        <w:rPr>
          <w:rFonts w:ascii="Verdana" w:eastAsia="Verdana" w:hAnsi="Verdana" w:cs="Verdana"/>
          <w:i/>
        </w:rPr>
        <w:t xml:space="preserve">The ASA Investigation Process </w:t>
      </w:r>
      <w:r w:rsidRPr="005B5CB6">
        <w:rPr>
          <w:rFonts w:ascii="Verdana" w:eastAsia="Verdana" w:hAnsi="Verdana" w:cs="Verdana"/>
        </w:rPr>
        <w:t xml:space="preserve">– For the media they cover, Clearcast provides a defence against complaint, e.g. by confirming it was submitted in the development of the campaign; </w:t>
      </w:r>
    </w:p>
    <w:p w:rsidR="00FB0B24" w:rsidRPr="005B5CB6" w:rsidP="00575F14">
      <w:pPr>
        <w:numPr>
          <w:ilvl w:val="0"/>
          <w:numId w:val="217"/>
        </w:numPr>
        <w:spacing w:after="5" w:line="250" w:lineRule="auto"/>
        <w:ind w:right="11" w:hanging="360"/>
        <w:jc w:val="both"/>
        <w:rPr>
          <w:rFonts w:ascii="Verdana" w:hAnsi="Verdana"/>
        </w:rPr>
      </w:pPr>
      <w:r w:rsidRPr="005B5CB6">
        <w:rPr>
          <w:rFonts w:ascii="Verdana" w:eastAsia="Verdana" w:hAnsi="Verdana" w:cs="Verdana"/>
        </w:rPr>
        <w:t xml:space="preserve">Many problematic ads are picked up pre-production when scripts are submitted along with their substantiation.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09" w:right="11" w:hanging="8"/>
        <w:jc w:val="both"/>
        <w:rPr>
          <w:rFonts w:ascii="Verdana" w:hAnsi="Verdana"/>
        </w:rPr>
      </w:pPr>
      <w:r w:rsidRPr="005B5CB6">
        <w:rPr>
          <w:rFonts w:ascii="Verdana" w:eastAsia="Verdana" w:hAnsi="Verdana" w:cs="Verdana"/>
        </w:rPr>
        <w:t xml:space="preserve">One of the ASA’s roles is to act as a regulatory backstop for handling complaints. Again. from the ASA website: </w:t>
      </w:r>
    </w:p>
    <w:p w:rsidR="00FB0B24" w:rsidRPr="005B5CB6" w:rsidP="001512F6">
      <w:pPr>
        <w:spacing w:after="0"/>
        <w:ind w:left="101"/>
        <w:jc w:val="both"/>
        <w:rPr>
          <w:rFonts w:ascii="Verdana" w:hAnsi="Verdana"/>
        </w:rPr>
      </w:pPr>
      <w:r w:rsidRPr="005B5CB6">
        <w:rPr>
          <w:rFonts w:ascii="Verdana" w:eastAsia="Verdana" w:hAnsi="Verdana" w:cs="Verdana"/>
        </w:rPr>
        <w:t xml:space="preserve"> </w:t>
      </w:r>
    </w:p>
    <w:p w:rsidR="00FB0B24" w:rsidRPr="005B5CB6" w:rsidP="001512F6">
      <w:pPr>
        <w:spacing w:after="5" w:line="249" w:lineRule="auto"/>
        <w:ind w:left="110" w:right="109" w:hanging="9"/>
        <w:jc w:val="both"/>
        <w:rPr>
          <w:rFonts w:ascii="Verdana" w:hAnsi="Verdana"/>
        </w:rPr>
      </w:pPr>
      <w:r w:rsidRPr="005B5CB6">
        <w:rPr>
          <w:rFonts w:ascii="Verdana" w:eastAsia="Verdana" w:hAnsi="Verdana" w:cs="Verdana"/>
        </w:rPr>
        <w:t xml:space="preserve">‘When ads are found that clearly break the rules we seek assurances from advertisers — and the clearance centres in the case of broadcast advertising — that those ads are withdrawn or amended.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0" w:right="11" w:hanging="8"/>
        <w:jc w:val="both"/>
        <w:rPr>
          <w:rFonts w:ascii="Verdana" w:hAnsi="Verdana"/>
        </w:rPr>
      </w:pPr>
      <w:r w:rsidRPr="005B5CB6">
        <w:rPr>
          <w:rFonts w:ascii="Verdana" w:eastAsia="Verdana" w:hAnsi="Verdana" w:cs="Verdana"/>
        </w:rPr>
        <w:t xml:space="preserve">When the ASA publishes an upheld ruling, it asks the advertiser for a written assurance that the claim or image which broke the advertising rules will be removed or amended.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0" w:right="420" w:hanging="8"/>
        <w:jc w:val="both"/>
        <w:rPr>
          <w:rFonts w:ascii="Verdana" w:hAnsi="Verdana"/>
        </w:rPr>
      </w:pPr>
      <w:r w:rsidRPr="005B5CB6">
        <w:rPr>
          <w:rFonts w:ascii="Verdana" w:eastAsia="Verdana" w:hAnsi="Verdana" w:cs="Verdana"/>
        </w:rPr>
        <w:t xml:space="preserve">On the rare occasions when an advertiser is unwilling or unable to follow the rules, the team will consider applying sanctions.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0" w:right="11" w:hanging="8"/>
        <w:jc w:val="both"/>
        <w:rPr>
          <w:rFonts w:ascii="Verdana" w:hAnsi="Verdana"/>
        </w:rPr>
      </w:pPr>
      <w:r w:rsidRPr="005B5CB6">
        <w:rPr>
          <w:rFonts w:ascii="Verdana" w:eastAsia="Verdana" w:hAnsi="Verdana" w:cs="Verdana"/>
        </w:rPr>
        <w:t xml:space="preserve">UK broadcasters (licenced by Ofcom) are required to follow ASA rulings and the UK Code of Broadcast Advertising as part of their licence conditions.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0" w:right="11" w:hanging="8"/>
        <w:jc w:val="both"/>
        <w:rPr>
          <w:rFonts w:ascii="Verdana" w:hAnsi="Verdana"/>
        </w:rPr>
      </w:pPr>
      <w:r w:rsidRPr="005B5CB6">
        <w:rPr>
          <w:rFonts w:ascii="Verdana" w:eastAsia="Verdana" w:hAnsi="Verdana" w:cs="Verdana"/>
        </w:rPr>
        <w:t xml:space="preserve">For broadcast advertisements, the responsibility to withdraw, change or reschedule a commercial lies with the broadcasters.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0" w:right="195" w:hanging="8"/>
        <w:jc w:val="both"/>
        <w:rPr>
          <w:rFonts w:ascii="Verdana" w:hAnsi="Verdana"/>
        </w:rPr>
      </w:pPr>
      <w:r w:rsidRPr="005B5CB6">
        <w:rPr>
          <w:rFonts w:ascii="Verdana" w:eastAsia="Verdana" w:hAnsi="Verdana" w:cs="Verdana"/>
        </w:rPr>
        <w:t xml:space="preserve">Broadcasters [media owners] are required by a condition of their broadcast licences to enforce ASA rulings. If they persistently run ads that fall foul of the Broadcast Advertising Code, broadcasters risk being referred by the ASA to Ofcom, which can impose fines and even withdraw their licence to broadcast.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0" w:right="11" w:hanging="8"/>
        <w:jc w:val="both"/>
        <w:rPr>
          <w:rFonts w:ascii="Verdana" w:hAnsi="Verdana"/>
        </w:rPr>
      </w:pPr>
      <w:r w:rsidRPr="005B5CB6">
        <w:rPr>
          <w:rFonts w:ascii="Verdana" w:eastAsia="Verdana" w:hAnsi="Verdana" w:cs="Verdana"/>
        </w:rPr>
        <w:t xml:space="preserve">Although responsibility for sticking to the Code rests with the broadcaster, advertisers also suffer consequences if their broadcast ads break the rules.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5" w:line="250" w:lineRule="auto"/>
        <w:ind w:left="110" w:right="11" w:hanging="8"/>
        <w:jc w:val="both"/>
        <w:rPr>
          <w:rFonts w:ascii="Verdana" w:hAnsi="Verdana"/>
        </w:rPr>
      </w:pPr>
      <w:r w:rsidRPr="005B5CB6">
        <w:rPr>
          <w:rFonts w:ascii="Verdana" w:eastAsia="Verdana" w:hAnsi="Verdana" w:cs="Verdana"/>
        </w:rPr>
        <w:t xml:space="preserve">They might, for example, face bad publicity generated by an upheld complaint. Advertisers might also waste hundreds of thousands of pounds making an advertisement in the first place, only to lose the revenue it might have generated if it is banned. Because broadcasters cannot show ads that break the rules, advertisers might lose prime advertising slots in which a banned ad had been booked to appear.’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spacing w:after="0"/>
        <w:ind w:left="1"/>
        <w:jc w:val="both"/>
        <w:rPr>
          <w:rFonts w:ascii="Verdana" w:hAnsi="Verdana"/>
        </w:rPr>
      </w:pPr>
      <w:r w:rsidRPr="005B5CB6">
        <w:rPr>
          <w:rFonts w:ascii="Verdana" w:eastAsia="Verdana" w:hAnsi="Verdana" w:cs="Verdana"/>
        </w:rPr>
        <w:t xml:space="preserve"> </w:t>
      </w:r>
    </w:p>
    <w:p w:rsidR="00FB0B24" w:rsidRPr="005B5CB6" w:rsidP="001512F6">
      <w:pPr>
        <w:jc w:val="both"/>
        <w:rPr>
          <w:rFonts w:ascii="Verdana" w:hAnsi="Verdana"/>
        </w:rPr>
        <w:sectPr w:rsidSect="00D20189">
          <w:headerReference w:type="even" r:id="rId364"/>
          <w:headerReference w:type="default" r:id="rId365"/>
          <w:footerReference w:type="even" r:id="rId366"/>
          <w:footerReference w:type="default" r:id="rId367"/>
          <w:headerReference w:type="first" r:id="rId368"/>
          <w:footerReference w:type="first" r:id="rId369"/>
          <w:pgSz w:w="11899" w:h="16841"/>
          <w:pgMar w:top="1440" w:right="1443" w:bottom="1511" w:left="1440" w:header="720" w:footer="721" w:gutter="0"/>
          <w:cols w:space="720"/>
        </w:sectPr>
      </w:pPr>
    </w:p>
    <w:p w:rsidR="00FB0B24" w:rsidRPr="005B5CB6" w:rsidP="00A1624B">
      <w:pPr>
        <w:pStyle w:val="Heading1"/>
        <w:rPr>
          <w:sz w:val="22"/>
        </w:rPr>
      </w:pPr>
      <w:r w:rsidRPr="005B5CB6">
        <w:rPr>
          <w:sz w:val="22"/>
        </w:rPr>
        <w:t xml:space="preserve"> </w:t>
      </w:r>
      <w:bookmarkStart w:id="63" w:name="_Toc44517751"/>
      <w:r w:rsidRPr="005B5CB6">
        <w:rPr>
          <w:sz w:val="22"/>
        </w:rPr>
        <w:t>NewsWise – written evidence (DAD0072)</w:t>
      </w:r>
      <w:bookmarkEnd w:id="63"/>
      <w:r w:rsidRPr="005B5CB6">
        <w:rPr>
          <w:sz w:val="22"/>
        </w:rPr>
        <w:t xml:space="preserve"> </w:t>
      </w:r>
    </w:p>
    <w:p w:rsidR="00FB0B24" w:rsidRPr="005B5CB6" w:rsidP="00A72806">
      <w:pPr>
        <w:spacing w:after="34"/>
        <w:ind w:left="14"/>
        <w:jc w:val="both"/>
        <w:rPr>
          <w:rFonts w:ascii="Verdana" w:hAnsi="Verdana"/>
        </w:rPr>
      </w:pPr>
      <w:r w:rsidRPr="005B5CB6">
        <w:rPr>
          <w:rFonts w:ascii="Verdana" w:eastAsia="Verdana" w:hAnsi="Verdana" w:cs="Verdana"/>
        </w:rPr>
        <w:t xml:space="preserve"> </w:t>
      </w:r>
    </w:p>
    <w:p w:rsidR="00FB0B24" w:rsidRPr="005B5CB6" w:rsidP="00A72806">
      <w:pPr>
        <w:spacing w:after="35" w:line="250" w:lineRule="auto"/>
        <w:ind w:left="23" w:right="11" w:hanging="8"/>
        <w:jc w:val="both"/>
        <w:rPr>
          <w:rFonts w:ascii="Verdana" w:hAnsi="Verdana"/>
        </w:rPr>
      </w:pPr>
      <w:r w:rsidRPr="005B5CB6">
        <w:rPr>
          <w:rFonts w:ascii="Verdana" w:eastAsia="Verdana" w:hAnsi="Verdana" w:cs="Verdana"/>
        </w:rPr>
        <w:t xml:space="preserve">NewsWise is a cross-curricular news literacy project for 9-11 year olds in the UK, run by the Guardian Foundation, National Literacy Trust and the PSHE Association. Together we are working to create a generation of news wise, confident and engaged young people. We work in primary schools offering workshops, free lessons and resources, games, quizzes, and opportunities to hear from real journalists about how they write and fact check news reports.  Alongside resources for schools, we offer workshops as part of Initial Teacher </w:t>
      </w:r>
    </w:p>
    <w:p w:rsidR="00FB0B24" w:rsidRPr="005B5CB6" w:rsidP="00A72806">
      <w:pPr>
        <w:spacing w:after="45" w:line="250" w:lineRule="auto"/>
        <w:ind w:left="23" w:right="11" w:hanging="8"/>
        <w:jc w:val="both"/>
        <w:rPr>
          <w:rFonts w:ascii="Verdana" w:hAnsi="Verdana"/>
        </w:rPr>
      </w:pPr>
      <w:r w:rsidRPr="005B5CB6">
        <w:rPr>
          <w:rFonts w:ascii="Verdana" w:eastAsia="Verdana" w:hAnsi="Verdana" w:cs="Verdana"/>
        </w:rPr>
        <w:t xml:space="preserve">Training and  </w:t>
      </w:r>
    </w:p>
    <w:p w:rsidR="00FB0B24" w:rsidRPr="005B5CB6" w:rsidP="00A72806">
      <w:pPr>
        <w:spacing w:after="42" w:line="250" w:lineRule="auto"/>
        <w:ind w:left="23" w:right="11" w:hanging="8"/>
        <w:jc w:val="both"/>
        <w:rPr>
          <w:rFonts w:ascii="Verdana" w:hAnsi="Verdana"/>
        </w:rPr>
      </w:pPr>
      <w:r w:rsidRPr="005B5CB6">
        <w:rPr>
          <w:rFonts w:ascii="Verdana" w:eastAsia="Verdana" w:hAnsi="Verdana" w:cs="Verdana"/>
        </w:rPr>
        <w:t xml:space="preserve">Continuing Professional Development for teachers. In October we launched our Family Workshop strand, which offers families a chance to learn more about the news together, with a view to encouraging critical discussion about news at home, and sharing news and digital literacy skills with adults as well as their children.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38" w:line="250" w:lineRule="auto"/>
        <w:ind w:left="11" w:hanging="10"/>
        <w:jc w:val="both"/>
        <w:rPr>
          <w:rFonts w:ascii="Verdana" w:hAnsi="Verdana"/>
        </w:rPr>
      </w:pPr>
      <w:r w:rsidRPr="005B5CB6">
        <w:rPr>
          <w:rFonts w:ascii="Verdana" w:eastAsia="Verdana" w:hAnsi="Verdana" w:cs="Verdana"/>
          <w:b/>
        </w:rPr>
        <w:t xml:space="preserve">General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33" w:line="250" w:lineRule="auto"/>
        <w:ind w:left="11" w:hanging="10"/>
        <w:jc w:val="both"/>
        <w:rPr>
          <w:rFonts w:ascii="Verdana" w:hAnsi="Verdana"/>
        </w:rPr>
      </w:pPr>
      <w:r w:rsidRPr="005B5CB6">
        <w:rPr>
          <w:rFonts w:ascii="Verdana" w:eastAsia="Verdana" w:hAnsi="Verdana" w:cs="Verdana"/>
          <w:b/>
        </w:rPr>
        <w:t xml:space="preserve">Question 1: How has digital technology changed the way that democracy works in the UK and has this been a net positive or negative effect? </w:t>
      </w:r>
      <w:r w:rsidRPr="005B5CB6">
        <w:rPr>
          <w:rFonts w:ascii="Verdana" w:eastAsia="Verdana" w:hAnsi="Verdana" w:cs="Verdana"/>
        </w:rPr>
        <w:t xml:space="preserve"> </w:t>
      </w:r>
    </w:p>
    <w:p w:rsidR="00FB0B24" w:rsidRPr="005B5CB6" w:rsidP="00575F14">
      <w:pPr>
        <w:numPr>
          <w:ilvl w:val="0"/>
          <w:numId w:val="218"/>
        </w:numPr>
        <w:spacing w:after="37" w:line="250" w:lineRule="auto"/>
        <w:ind w:right="11" w:hanging="360"/>
        <w:jc w:val="both"/>
        <w:rPr>
          <w:rFonts w:ascii="Verdana" w:hAnsi="Verdana"/>
        </w:rPr>
      </w:pPr>
      <w:r w:rsidRPr="005B5CB6">
        <w:rPr>
          <w:rFonts w:ascii="Verdana" w:eastAsia="Verdana" w:hAnsi="Verdana" w:cs="Verdana"/>
        </w:rPr>
        <w:t xml:space="preserve">Digital technology has given citizens in the UK greater access to information, debate, opinions and free news content than ever before.  </w:t>
      </w:r>
    </w:p>
    <w:p w:rsidR="00FB0B24" w:rsidRPr="005B5CB6" w:rsidP="00575F14">
      <w:pPr>
        <w:numPr>
          <w:ilvl w:val="0"/>
          <w:numId w:val="218"/>
        </w:numPr>
        <w:spacing w:after="37" w:line="250" w:lineRule="auto"/>
        <w:ind w:right="11" w:hanging="360"/>
        <w:jc w:val="both"/>
        <w:rPr>
          <w:rFonts w:ascii="Verdana" w:hAnsi="Verdana"/>
        </w:rPr>
      </w:pPr>
      <w:r w:rsidRPr="005B5CB6">
        <w:rPr>
          <w:rFonts w:ascii="Verdana" w:eastAsia="Verdana" w:hAnsi="Verdana" w:cs="Verdana"/>
        </w:rPr>
        <w:t xml:space="preserve">But education has not kept pace with the development of this digital technology.  We believe that the curriculum does not equip young people with the digital literacy or critical thinking skills to safely navigate this vast and often overwhelming online world, and has not done so for many years. As a result, a generation are struggling to recognise the difference between disinformation and trustworthy, factual journalism, and as a result are unsure how to act when faced with democratic, health and other decisions.  </w:t>
      </w:r>
    </w:p>
    <w:p w:rsidR="00FB0B24" w:rsidRPr="005B5CB6" w:rsidP="00575F14">
      <w:pPr>
        <w:numPr>
          <w:ilvl w:val="0"/>
          <w:numId w:val="218"/>
        </w:numPr>
        <w:spacing w:after="793" w:line="250" w:lineRule="auto"/>
        <w:ind w:right="11" w:hanging="360"/>
        <w:jc w:val="both"/>
        <w:rPr>
          <w:rFonts w:ascii="Verdana" w:hAnsi="Verdana"/>
        </w:rPr>
      </w:pPr>
      <w:r w:rsidRPr="005B5CB6">
        <w:rPr>
          <w:rFonts w:ascii="Verdana" w:eastAsia="Verdana" w:hAnsi="Verdana" w:cs="Verdana"/>
        </w:rPr>
        <w:t xml:space="preserve">In addition to relying on peers and family members as sources of news, many young people are using social media to understand more about the world in which they live, and to begin to form their own values and opinions. When the information they consume online and via social media is not true, or misleading, children’s developing world views are manipulated. In these formative years, children are establishing values which will stay with them into adulthood and will affect the way they act, think, vote and the decisions they make about their wellbeing.   </w:t>
      </w:r>
    </w:p>
    <w:p w:rsidR="00FB0B24" w:rsidRPr="005B5CB6" w:rsidP="00A72806">
      <w:pPr>
        <w:spacing w:after="0"/>
        <w:ind w:left="15"/>
        <w:jc w:val="both"/>
        <w:rPr>
          <w:rFonts w:ascii="Verdana" w:hAnsi="Verdana"/>
        </w:rPr>
      </w:pPr>
      <w:r w:rsidRPr="005B5CB6">
        <w:rPr>
          <w:rFonts w:ascii="Verdana" w:eastAsia="Verdana" w:hAnsi="Verdana" w:cs="Verdana"/>
        </w:rPr>
        <w:t xml:space="preserve">  </w:t>
      </w:r>
    </w:p>
    <w:p w:rsidR="00FB0B24" w:rsidRPr="005B5CB6" w:rsidP="00A72806">
      <w:pPr>
        <w:spacing w:after="93" w:line="250" w:lineRule="auto"/>
        <w:ind w:left="742" w:right="11" w:hanging="8"/>
        <w:jc w:val="both"/>
        <w:rPr>
          <w:rFonts w:ascii="Verdana" w:hAnsi="Verdana"/>
        </w:rPr>
      </w:pPr>
      <w:r w:rsidRPr="005B5CB6">
        <w:rPr>
          <w:rFonts w:ascii="Verdana" w:eastAsia="Verdana" w:hAnsi="Verdana" w:cs="Verdana"/>
        </w:rPr>
        <w:t>The move of news consumption away from communal platforms such as television, to solitary platforms such as those online</w:t>
      </w:r>
      <w:r>
        <w:rPr>
          <w:rFonts w:ascii="Verdana" w:eastAsia="Verdana" w:hAnsi="Verdana" w:cs="Verdana"/>
          <w:vertAlign w:val="superscript"/>
        </w:rPr>
        <w:footnoteReference w:id="310"/>
      </w:r>
      <w:r w:rsidRPr="005B5CB6">
        <w:rPr>
          <w:rFonts w:ascii="Verdana" w:eastAsia="Verdana" w:hAnsi="Verdana" w:cs="Verdana"/>
        </w:rPr>
        <w:t xml:space="preserve">, means that children </w:t>
      </w:r>
      <w:r w:rsidRPr="005B5CB6">
        <w:rPr>
          <w:rFonts w:ascii="Verdana" w:eastAsia="Verdana" w:hAnsi="Verdana" w:cs="Verdana"/>
        </w:rPr>
        <w:t>are not as often given the opportunity to discuss and ask questions about news stories at home. This is supported by research from the National Literacy Trust, recently commissioned by NewsWise, which showed that 2 in 5 parents (39%) said they never watch, listen to or read news with their child at home and 1 in 5 (21%) never talk to their child about news</w:t>
      </w:r>
      <w:r w:rsidRPr="005B5CB6">
        <w:rPr>
          <w:rFonts w:ascii="Verdana" w:eastAsia="Verdana" w:hAnsi="Verdana" w:cs="Verdana"/>
          <w:vertAlign w:val="superscript"/>
        </w:rPr>
        <w:t>2</w:t>
      </w:r>
      <w:r w:rsidRPr="005B5CB6">
        <w:rPr>
          <w:rFonts w:ascii="Verdana" w:eastAsia="Verdana" w:hAnsi="Verdana" w:cs="Verdana"/>
        </w:rPr>
        <w:t xml:space="preserve">.  </w:t>
      </w:r>
    </w:p>
    <w:p w:rsidR="00FB0B24" w:rsidRPr="005B5CB6" w:rsidP="00575F14">
      <w:pPr>
        <w:numPr>
          <w:ilvl w:val="0"/>
          <w:numId w:val="218"/>
        </w:numPr>
        <w:spacing w:after="67" w:line="250" w:lineRule="auto"/>
        <w:ind w:right="11" w:hanging="360"/>
        <w:jc w:val="both"/>
        <w:rPr>
          <w:rFonts w:ascii="Verdana" w:hAnsi="Verdana"/>
        </w:rPr>
      </w:pPr>
      <w:r w:rsidRPr="005B5CB6">
        <w:rPr>
          <w:rFonts w:ascii="Verdana" w:eastAsia="Verdana" w:hAnsi="Verdana" w:cs="Verdana"/>
        </w:rPr>
        <w:t>This challenge is even more acute for children from disadvantaged communities, whose parents are more likely to never watch, listen to or read news with them (45% vs 37%) and to believe they don’t have the skills to spot fake news (52% vs 39%) than parents from more advantaged backgrounds</w:t>
      </w:r>
      <w:r w:rsidRPr="005B5CB6">
        <w:rPr>
          <w:rFonts w:ascii="Verdana" w:eastAsia="Verdana" w:hAnsi="Verdana" w:cs="Verdana"/>
          <w:vertAlign w:val="superscript"/>
        </w:rPr>
        <w:t>3</w:t>
      </w:r>
      <w:r w:rsidRPr="005B5CB6">
        <w:rPr>
          <w:rFonts w:ascii="Verdana" w:eastAsia="Verdana" w:hAnsi="Verdana" w:cs="Verdana"/>
        </w:rPr>
        <w:t xml:space="preserve">.  </w:t>
      </w:r>
    </w:p>
    <w:p w:rsidR="00FB0B24" w:rsidRPr="005B5CB6" w:rsidP="00575F14">
      <w:pPr>
        <w:numPr>
          <w:ilvl w:val="0"/>
          <w:numId w:val="218"/>
        </w:numPr>
        <w:spacing w:after="5" w:line="304" w:lineRule="auto"/>
        <w:ind w:right="11" w:hanging="360"/>
        <w:jc w:val="both"/>
        <w:rPr>
          <w:rFonts w:ascii="Verdana" w:hAnsi="Verdana"/>
        </w:rPr>
      </w:pPr>
      <w:r w:rsidRPr="005B5CB6">
        <w:rPr>
          <w:rFonts w:ascii="Verdana" w:eastAsia="Verdana" w:hAnsi="Verdana" w:cs="Verdana"/>
        </w:rPr>
        <w:t>At NewsWise we focus our work in areas of socio-economic deprivation, geographical diversity and in communities often underrepresented or unfairly represented by mainstream media. In our first year (2018-19) we met children who had until that point never had an opportunity to discuss or question news reports at home. We also saw shocking digital poverty in some primary schools: with one iPad per class or year group, children cannot develop the digital skills needed to read laterally across news sources.  We know that cost is a barrier to schools: both the cost of technology, and the cost of accessing high quality education programmes.  “</w:t>
      </w:r>
      <w:r w:rsidRPr="005B5CB6">
        <w:rPr>
          <w:rFonts w:ascii="Verdana" w:eastAsia="Verdana" w:hAnsi="Verdana" w:cs="Verdana"/>
          <w:i/>
          <w:color w:val="222222"/>
        </w:rPr>
        <w:t>The fact that NewsWise is made available to us as a free resource was a huge factor in our decision to engage with the project. We have a very high number of free school meals pupils and are based in an area of high economic deprivation. School funds are pulled in all directions so being able to implement such a high quality resource which is so carefully aligned to our curriculum has been an amazing opportunity for both pupils and teachers alike.</w:t>
      </w:r>
      <w:r w:rsidRPr="005B5CB6">
        <w:rPr>
          <w:rFonts w:ascii="Verdana" w:eastAsia="Verdana" w:hAnsi="Verdana" w:cs="Verdana"/>
          <w:color w:val="222222"/>
        </w:rPr>
        <w:t xml:space="preserve">” </w:t>
      </w:r>
      <w:r w:rsidRPr="005B5CB6">
        <w:rPr>
          <w:rFonts w:ascii="Verdana" w:eastAsia="Verdana" w:hAnsi="Verdana" w:cs="Verdana"/>
        </w:rPr>
        <w:t>Teacher, Llwynypia</w:t>
      </w:r>
      <w:r w:rsidRPr="005B5CB6">
        <w:rPr>
          <w:rFonts w:ascii="Verdana" w:eastAsia="Verdana" w:hAnsi="Verdana" w:cs="Verdana"/>
          <w:color w:val="222222"/>
        </w:rPr>
        <w:t xml:space="preserve"> </w:t>
      </w:r>
      <w:r w:rsidRPr="005B5CB6">
        <w:rPr>
          <w:rFonts w:ascii="Verdana" w:eastAsia="Verdana" w:hAnsi="Verdana" w:cs="Verdana"/>
          <w:color w:val="222222"/>
        </w:rPr>
        <w:tab/>
      </w:r>
      <w:r w:rsidRPr="005B5CB6">
        <w:rPr>
          <w:rFonts w:ascii="Verdana" w:eastAsia="Verdana" w:hAnsi="Verdana" w:cs="Verdana"/>
        </w:rPr>
        <w:t xml:space="preserve"> Primary School, Tonypandy, Wales   </w:t>
      </w:r>
    </w:p>
    <w:p w:rsidR="00FB0B24" w:rsidRPr="005B5CB6" w:rsidP="00575F14">
      <w:pPr>
        <w:numPr>
          <w:ilvl w:val="0"/>
          <w:numId w:val="218"/>
        </w:numPr>
        <w:spacing w:after="42" w:line="250" w:lineRule="auto"/>
        <w:ind w:right="11" w:hanging="360"/>
        <w:jc w:val="both"/>
        <w:rPr>
          <w:rFonts w:ascii="Verdana" w:hAnsi="Verdana"/>
        </w:rPr>
      </w:pPr>
      <w:r w:rsidRPr="005B5CB6">
        <w:rPr>
          <w:rFonts w:ascii="Verdana" w:eastAsia="Verdana" w:hAnsi="Verdana" w:cs="Verdana"/>
        </w:rPr>
        <w:t xml:space="preserve">With funding from Google.org until August 2020, we have been able to offer all of our resources and school workshops for free. We are exploring options to fund NewsWise beyond this date.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230" w:line="249" w:lineRule="auto"/>
        <w:ind w:left="-2" w:hanging="10"/>
        <w:jc w:val="both"/>
        <w:rPr>
          <w:rFonts w:ascii="Verdana" w:hAnsi="Verdana"/>
        </w:rPr>
      </w:pPr>
      <w:r w:rsidRPr="005B5CB6">
        <w:rPr>
          <w:rFonts w:ascii="Verdana" w:eastAsia="Verdana" w:hAnsi="Verdana" w:cs="Verdana"/>
          <w:b/>
        </w:rPr>
        <w:t xml:space="preserve">Question 2:  How have the design of algorithms used by social media platforms shaped democratic debate? To what extent should there be a greater accountability for the design of these algorithms? </w:t>
      </w:r>
      <w:r w:rsidRPr="005B5CB6">
        <w:rPr>
          <w:rFonts w:ascii="Verdana" w:eastAsia="Verdana" w:hAnsi="Verdana" w:cs="Verdana"/>
        </w:rPr>
        <w:t xml:space="preserve"> </w:t>
      </w:r>
    </w:p>
    <w:p w:rsidR="00FB0B24" w:rsidRPr="005B5CB6" w:rsidP="00A72806">
      <w:pPr>
        <w:spacing w:after="0"/>
        <w:ind w:left="14"/>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2387" name="Group 58238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271" name="Shape 63627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25" style="height:0.6pt;mso-position-horizontal-relative:char;mso-position-vertical-relative:line;width:2in" coordsize="18288,76">
                <v:shape id="_x0000_s1326" style="height:91;position:absolute;width:18288" coordsize="1828800,9144" path="m,l1828800,l1828800,9144l,9144l,e">
                  <v:stroke joinstyle="miter" endcap="flat" opacity="0"/>
                </v:shape>
                <w10:wrap type="none"/>
              </v:group>
            </w:pict>
          </mc:Fallback>
        </mc:AlternateContent>
      </w:r>
      <w:r w:rsidRPr="005B5CB6">
        <w:rPr>
          <w:rFonts w:ascii="Verdana" w:eastAsia="Georgia" w:hAnsi="Verdana" w:cs="Georgia"/>
        </w:rPr>
        <w:t xml:space="preserve"> </w:t>
      </w:r>
    </w:p>
    <w:p w:rsidR="00FB0B24" w:rsidRPr="005B5CB6" w:rsidP="00A72806">
      <w:pPr>
        <w:spacing w:after="24"/>
        <w:ind w:left="14"/>
        <w:jc w:val="both"/>
        <w:rPr>
          <w:rFonts w:ascii="Verdana" w:hAnsi="Verdana"/>
        </w:rPr>
      </w:pPr>
      <w:r w:rsidRPr="005B5CB6">
        <w:rPr>
          <w:rFonts w:ascii="Verdana" w:eastAsia="Verdana" w:hAnsi="Verdana" w:cs="Verdana"/>
        </w:rPr>
        <w:t xml:space="preserve">  </w:t>
      </w:r>
    </w:p>
    <w:p w:rsidR="00FB0B24" w:rsidRPr="005B5CB6" w:rsidP="00575F14">
      <w:pPr>
        <w:numPr>
          <w:ilvl w:val="0"/>
          <w:numId w:val="218"/>
        </w:numPr>
        <w:spacing w:after="39" w:line="250" w:lineRule="auto"/>
        <w:ind w:right="11" w:hanging="360"/>
        <w:jc w:val="both"/>
        <w:rPr>
          <w:rFonts w:ascii="Verdana" w:hAnsi="Verdana"/>
        </w:rPr>
      </w:pPr>
      <w:r w:rsidRPr="005B5CB6">
        <w:rPr>
          <w:rFonts w:ascii="Verdana" w:eastAsia="Verdana" w:hAnsi="Verdana" w:cs="Verdana"/>
        </w:rPr>
        <w:t xml:space="preserve">The development of algorithms has certainly encouraged a prolonged and widespread use of social media platforms, but there is currently little transparency in how these work, and little accountability on the part of social media platforms to present a fair and balanced view of the world.  Anecdotally, we have seen that the majority of children with whom we work are using some form of social media platform, but have not been taught that information is targeted to the user. This can result in a dangerously </w:t>
      </w:r>
      <w:r w:rsidRPr="005B5CB6">
        <w:rPr>
          <w:rFonts w:ascii="Verdana" w:eastAsia="Verdana" w:hAnsi="Verdana" w:cs="Verdana"/>
        </w:rPr>
        <w:t xml:space="preserve">biased view of the world. In an echo chamber it becomes impossible to make an informed, factual and balanced decision.  </w:t>
      </w:r>
    </w:p>
    <w:p w:rsidR="00FB0B24" w:rsidRPr="005B5CB6" w:rsidP="00575F14">
      <w:pPr>
        <w:numPr>
          <w:ilvl w:val="0"/>
          <w:numId w:val="218"/>
        </w:numPr>
        <w:spacing w:after="37" w:line="250" w:lineRule="auto"/>
        <w:ind w:right="11" w:hanging="360"/>
        <w:jc w:val="both"/>
        <w:rPr>
          <w:rFonts w:ascii="Verdana" w:hAnsi="Verdana"/>
        </w:rPr>
      </w:pPr>
      <w:r w:rsidRPr="005B5CB6">
        <w:rPr>
          <w:rFonts w:ascii="Verdana" w:eastAsia="Verdana" w:hAnsi="Verdana" w:cs="Verdana"/>
        </w:rPr>
        <w:t xml:space="preserve">At NewsWise, we encourage young people, teachers and families to consumer news broadly from a range of outlets and platforms, both online and offline, in order to see the bigger picture.  </w:t>
      </w:r>
    </w:p>
    <w:p w:rsidR="00FB0B24" w:rsidRPr="005B5CB6" w:rsidP="00575F14">
      <w:pPr>
        <w:numPr>
          <w:ilvl w:val="0"/>
          <w:numId w:val="218"/>
        </w:numPr>
        <w:spacing w:after="39" w:line="250" w:lineRule="auto"/>
        <w:ind w:right="11" w:hanging="360"/>
        <w:jc w:val="both"/>
        <w:rPr>
          <w:rFonts w:ascii="Verdana" w:hAnsi="Verdana"/>
        </w:rPr>
      </w:pPr>
      <w:r w:rsidRPr="005B5CB6">
        <w:rPr>
          <w:rFonts w:ascii="Verdana" w:eastAsia="Verdana" w:hAnsi="Verdana" w:cs="Verdana"/>
        </w:rPr>
        <w:t xml:space="preserve">In October 2019, NewsWise launched a new lesson for Upper Key Stage 2, teaching the concept of targeted information, algorithms and filter bubbles for the first time. This lesson was created with PSHE specialists and provides examples and activities in an age-appropriate and safe way.  </w:t>
      </w:r>
    </w:p>
    <w:p w:rsidR="00FB0B24" w:rsidRPr="005B5CB6" w:rsidP="00A72806">
      <w:pPr>
        <w:spacing w:after="27"/>
        <w:ind w:left="14"/>
        <w:jc w:val="both"/>
        <w:rPr>
          <w:rFonts w:ascii="Verdana" w:hAnsi="Verdana"/>
        </w:rPr>
      </w:pPr>
      <w:r w:rsidRPr="005B5CB6">
        <w:rPr>
          <w:rFonts w:ascii="Verdana" w:eastAsia="Verdana" w:hAnsi="Verdana" w:cs="Verdana"/>
        </w:rPr>
        <w:t xml:space="preserve">  </w:t>
      </w:r>
    </w:p>
    <w:p w:rsidR="00FB0B24" w:rsidRPr="005B5CB6" w:rsidP="00A72806">
      <w:pPr>
        <w:spacing w:after="27"/>
        <w:ind w:left="14"/>
        <w:jc w:val="both"/>
        <w:rPr>
          <w:rFonts w:ascii="Verdana" w:hAnsi="Verdana"/>
        </w:rPr>
      </w:pPr>
      <w:r w:rsidRPr="005B5CB6">
        <w:rPr>
          <w:rFonts w:ascii="Verdana" w:eastAsia="Verdana" w:hAnsi="Verdana" w:cs="Verdana"/>
        </w:rPr>
        <w:t xml:space="preserve">  </w:t>
      </w:r>
    </w:p>
    <w:p w:rsidR="00FB0B24" w:rsidRPr="005B5CB6" w:rsidP="00A72806">
      <w:pPr>
        <w:spacing w:after="40" w:line="250" w:lineRule="auto"/>
        <w:ind w:left="11" w:hanging="10"/>
        <w:jc w:val="both"/>
        <w:rPr>
          <w:rFonts w:ascii="Verdana" w:hAnsi="Verdana"/>
        </w:rPr>
      </w:pPr>
      <w:r w:rsidRPr="005B5CB6">
        <w:rPr>
          <w:rFonts w:ascii="Verdana" w:eastAsia="Verdana" w:hAnsi="Verdana" w:cs="Verdana"/>
          <w:b/>
        </w:rPr>
        <w:t xml:space="preserve">Education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35" w:line="250" w:lineRule="auto"/>
        <w:ind w:left="11" w:hanging="10"/>
        <w:jc w:val="both"/>
        <w:rPr>
          <w:rFonts w:ascii="Verdana" w:hAnsi="Verdana"/>
        </w:rPr>
      </w:pPr>
      <w:r w:rsidRPr="005B5CB6">
        <w:rPr>
          <w:rFonts w:ascii="Verdana" w:eastAsia="Verdana" w:hAnsi="Verdana" w:cs="Verdana"/>
          <w:b/>
        </w:rPr>
        <w:t xml:space="preserve">3. What role should every stage of education play in helping to create a healthy, active, digitally literate democracy? </w:t>
      </w:r>
      <w:r w:rsidRPr="005B5CB6">
        <w:rPr>
          <w:rFonts w:ascii="Verdana" w:eastAsia="Verdana" w:hAnsi="Verdana" w:cs="Verdana"/>
        </w:rPr>
        <w:t xml:space="preserve"> </w:t>
      </w:r>
    </w:p>
    <w:p w:rsidR="00FB0B24" w:rsidRPr="005B5CB6" w:rsidP="00A72806">
      <w:pPr>
        <w:spacing w:after="24"/>
        <w:ind w:left="15"/>
        <w:jc w:val="both"/>
        <w:rPr>
          <w:rFonts w:ascii="Verdana" w:hAnsi="Verdana"/>
        </w:rPr>
      </w:pPr>
      <w:r w:rsidRPr="005B5CB6">
        <w:rPr>
          <w:rFonts w:ascii="Verdana" w:eastAsia="Verdana" w:hAnsi="Verdana" w:cs="Verdana"/>
        </w:rPr>
        <w:t xml:space="preserve">  </w:t>
      </w:r>
    </w:p>
    <w:p w:rsidR="00FB0B24" w:rsidRPr="005B5CB6" w:rsidP="00575F14">
      <w:pPr>
        <w:numPr>
          <w:ilvl w:val="0"/>
          <w:numId w:val="219"/>
        </w:numPr>
        <w:spacing w:after="40" w:line="250" w:lineRule="auto"/>
        <w:ind w:right="11" w:hanging="360"/>
        <w:jc w:val="both"/>
        <w:rPr>
          <w:rFonts w:ascii="Verdana" w:hAnsi="Verdana"/>
        </w:rPr>
      </w:pPr>
      <w:r w:rsidRPr="005B5CB6">
        <w:rPr>
          <w:rFonts w:ascii="Verdana" w:eastAsia="Verdana" w:hAnsi="Verdana" w:cs="Verdana"/>
        </w:rPr>
        <w:t xml:space="preserve">We believe that education is a crucial pillar in the fight against disinformation, and therefore digital literacy skills are crucial in a civil, democratic society.  </w:t>
      </w:r>
    </w:p>
    <w:p w:rsidR="00FB0B24" w:rsidRPr="005B5CB6" w:rsidP="00575F14">
      <w:pPr>
        <w:numPr>
          <w:ilvl w:val="0"/>
          <w:numId w:val="219"/>
        </w:numPr>
        <w:spacing w:after="37" w:line="250" w:lineRule="auto"/>
        <w:ind w:right="11" w:hanging="360"/>
        <w:jc w:val="both"/>
        <w:rPr>
          <w:rFonts w:ascii="Verdana" w:hAnsi="Verdana"/>
        </w:rPr>
      </w:pPr>
      <w:r w:rsidRPr="005B5CB6">
        <w:rPr>
          <w:rFonts w:ascii="Verdana" w:eastAsia="Verdana" w:hAnsi="Verdana" w:cs="Verdana"/>
        </w:rPr>
        <w:t xml:space="preserve">At NewsWise we focus on the primary sector: we believe that, given children are exposed to digital technologies and online media from the moment they are born, it is remiss to only begin to give young people the skills to critically navigate the online world once they are teenagers.   </w:t>
      </w:r>
    </w:p>
    <w:p w:rsidR="00FB0B24" w:rsidRPr="005B5CB6" w:rsidP="00575F14">
      <w:pPr>
        <w:numPr>
          <w:ilvl w:val="0"/>
          <w:numId w:val="219"/>
        </w:numPr>
        <w:spacing w:after="65" w:line="250" w:lineRule="auto"/>
        <w:ind w:right="11" w:hanging="360"/>
        <w:jc w:val="both"/>
        <w:rPr>
          <w:rFonts w:ascii="Verdana" w:hAnsi="Verdana"/>
        </w:rPr>
      </w:pPr>
      <w:r w:rsidRPr="005B5CB6">
        <w:rPr>
          <w:rFonts w:ascii="Verdana" w:eastAsia="Verdana" w:hAnsi="Verdana" w:cs="Verdana"/>
        </w:rPr>
        <w:t>We have proven that NewsWise is making an impact both on children’s understanding of, and ability to identify disinformation, but is also generally allowing children from all backgrounds in engage in news and the wider world, often for the first time</w:t>
      </w:r>
      <w:r>
        <w:rPr>
          <w:rFonts w:ascii="Verdana" w:eastAsia="Verdana" w:hAnsi="Verdana" w:cs="Verdana"/>
          <w:vertAlign w:val="superscript"/>
        </w:rPr>
        <w:footnoteReference w:id="311"/>
      </w:r>
      <w:r w:rsidRPr="005B5CB6">
        <w:rPr>
          <w:rFonts w:ascii="Verdana" w:eastAsia="Verdana" w:hAnsi="Verdana" w:cs="Verdana"/>
        </w:rPr>
        <w:t xml:space="preserve">.   </w:t>
      </w:r>
    </w:p>
    <w:p w:rsidR="00FB0B24" w:rsidRPr="005B5CB6" w:rsidP="00575F14">
      <w:pPr>
        <w:numPr>
          <w:ilvl w:val="0"/>
          <w:numId w:val="219"/>
        </w:numPr>
        <w:spacing w:after="307" w:line="250" w:lineRule="auto"/>
        <w:ind w:right="11" w:hanging="360"/>
        <w:jc w:val="both"/>
        <w:rPr>
          <w:rFonts w:ascii="Verdana" w:hAnsi="Verdana"/>
        </w:rPr>
      </w:pPr>
      <w:r w:rsidRPr="005B5CB6">
        <w:rPr>
          <w:rFonts w:ascii="Verdana" w:eastAsia="Verdana" w:hAnsi="Verdana" w:cs="Verdana"/>
        </w:rPr>
        <w:t xml:space="preserve">In our second year, at the request of teachers, NewsWise will expand our offer to lower Key Stage 2 (7-9 year olds). We will provide opportunities for progressive learning of news and digital literacy through the last 4 years of primary education. ● </w:t>
      </w:r>
      <w:r w:rsidRPr="005B5CB6">
        <w:rPr>
          <w:rFonts w:ascii="Verdana" w:eastAsia="Verdana" w:hAnsi="Verdana" w:cs="Verdana"/>
        </w:rPr>
        <w:tab/>
        <w:t xml:space="preserve">In year 3, we intend to build on this progression, working with schools to use NewsWise to support children in </w:t>
      </w:r>
    </w:p>
    <w:p w:rsidR="00FB0B24" w:rsidRPr="005B5CB6" w:rsidP="00A72806">
      <w:pPr>
        <w:spacing w:after="0"/>
        <w:ind w:left="14"/>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1714" name="Group 58171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273" name="Shape 63627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27" style="height:0.6pt;mso-position-horizontal-relative:char;mso-position-vertical-relative:line;width:2in" coordsize="18288,76">
                <v:shape id="_x0000_s1328" style="height:91;position:absolute;width:18288" coordsize="1828800,9144" path="m,l1828800,l1828800,9144l,9144l,e">
                  <v:stroke joinstyle="miter" endcap="flat" opacity="0"/>
                </v:shape>
                <w10:wrap type="none"/>
              </v:group>
            </w:pict>
          </mc:Fallback>
        </mc:AlternateContent>
      </w:r>
      <w:r w:rsidRPr="005B5CB6">
        <w:rPr>
          <w:rFonts w:ascii="Verdana" w:eastAsia="Georgia" w:hAnsi="Verdana" w:cs="Georgia"/>
        </w:rPr>
        <w:t xml:space="preserve"> </w:t>
      </w:r>
    </w:p>
    <w:p w:rsidR="00FB0B24" w:rsidRPr="005B5CB6" w:rsidP="00A72806">
      <w:pPr>
        <w:spacing w:after="40" w:line="250" w:lineRule="auto"/>
        <w:ind w:left="728" w:right="11" w:hanging="8"/>
        <w:jc w:val="both"/>
        <w:rPr>
          <w:rFonts w:ascii="Verdana" w:hAnsi="Verdana"/>
        </w:rPr>
      </w:pPr>
      <w:r w:rsidRPr="005B5CB6">
        <w:rPr>
          <w:rFonts w:ascii="Verdana" w:eastAsia="Verdana" w:hAnsi="Verdana" w:cs="Verdana"/>
        </w:rPr>
        <w:t xml:space="preserve">their transition to secondary school, which often aligns with children’s first independent ownership of digital devices.  </w:t>
      </w:r>
    </w:p>
    <w:p w:rsidR="00FB0B24" w:rsidRPr="005B5CB6" w:rsidP="00575F14">
      <w:pPr>
        <w:numPr>
          <w:ilvl w:val="0"/>
          <w:numId w:val="219"/>
        </w:numPr>
        <w:spacing w:after="37" w:line="250" w:lineRule="auto"/>
        <w:ind w:right="11" w:hanging="360"/>
        <w:jc w:val="both"/>
        <w:rPr>
          <w:rFonts w:ascii="Verdana" w:hAnsi="Verdana"/>
        </w:rPr>
      </w:pPr>
      <w:r w:rsidRPr="005B5CB6">
        <w:rPr>
          <w:rFonts w:ascii="Verdana" w:eastAsia="Verdana" w:hAnsi="Verdana" w:cs="Verdana"/>
        </w:rPr>
        <w:t xml:space="preserve">We believe that digital literacy skills should be multidisciplinary: in PSHE and Citizenship children should learn about how news and other online information can be unreliable, and the subsequent consequences; how online information can affect their emotions and how to cope with this; concepts of power, and who can hold power to account in a democracy; and knowing who to trust online as part of healthy relationship building.  In English, children should understand how to recognise language, points of view, inference and balance, and have an opportunity to apply these </w:t>
      </w:r>
      <w:r w:rsidRPr="005B5CB6">
        <w:rPr>
          <w:rFonts w:ascii="Verdana" w:eastAsia="Verdana" w:hAnsi="Verdana" w:cs="Verdana"/>
        </w:rPr>
        <w:t xml:space="preserve">concepts not only to fiction and poetry, but also to news, videos, documentaries and podcasts.  </w:t>
      </w:r>
    </w:p>
    <w:p w:rsidR="00FB0B24" w:rsidRPr="005B5CB6" w:rsidP="00A72806">
      <w:pPr>
        <w:spacing w:after="37" w:line="250" w:lineRule="auto"/>
        <w:ind w:left="743" w:right="11" w:hanging="8"/>
        <w:jc w:val="both"/>
        <w:rPr>
          <w:rFonts w:ascii="Verdana" w:hAnsi="Verdana"/>
        </w:rPr>
      </w:pPr>
      <w:r w:rsidRPr="005B5CB6">
        <w:rPr>
          <w:rFonts w:ascii="Verdana" w:eastAsia="Verdana" w:hAnsi="Verdana" w:cs="Verdana"/>
        </w:rPr>
        <w:t xml:space="preserve">We are calling on the Department for Education to ensure that the teaching of critical literacy relevant for the digital age is included within Initial Teacher Training and Continuous Professional Development. A whole-school approach to teaching critical literacy is essential to embed these skills across the curriculum.   </w:t>
      </w:r>
    </w:p>
    <w:p w:rsidR="00FB0B24" w:rsidRPr="005B5CB6" w:rsidP="00575F14">
      <w:pPr>
        <w:numPr>
          <w:ilvl w:val="0"/>
          <w:numId w:val="219"/>
        </w:numPr>
        <w:spacing w:after="37" w:line="250" w:lineRule="auto"/>
        <w:ind w:right="11" w:hanging="360"/>
        <w:jc w:val="both"/>
        <w:rPr>
          <w:rFonts w:ascii="Verdana" w:hAnsi="Verdana"/>
        </w:rPr>
      </w:pPr>
      <w:r w:rsidRPr="005B5CB6">
        <w:rPr>
          <w:rFonts w:ascii="Verdana" w:eastAsia="Verdana" w:hAnsi="Verdana" w:cs="Verdana"/>
        </w:rPr>
        <w:t xml:space="preserve">The assessment framework needs to be updated to position critical literacy skills more explicitly, reflecting the changing digital landscape and the threats posed by fake news, especially within the Key Stage 2 frameworks.  </w:t>
      </w:r>
    </w:p>
    <w:p w:rsidR="00FB0B24" w:rsidRPr="005B5CB6" w:rsidP="00575F14">
      <w:pPr>
        <w:numPr>
          <w:ilvl w:val="0"/>
          <w:numId w:val="219"/>
        </w:numPr>
        <w:spacing w:after="39" w:line="250" w:lineRule="auto"/>
        <w:ind w:right="11" w:hanging="360"/>
        <w:jc w:val="both"/>
        <w:rPr>
          <w:rFonts w:ascii="Verdana" w:hAnsi="Verdana"/>
        </w:rPr>
      </w:pPr>
      <w:r w:rsidRPr="005B5CB6">
        <w:rPr>
          <w:rFonts w:ascii="Verdana" w:eastAsia="Verdana" w:hAnsi="Verdana" w:cs="Verdana"/>
        </w:rPr>
        <w:t xml:space="preserve">NewsWise believe that alongside regulation and the development of technological solutions, education is key in allowing young people to develop healthy habits with which to engage with social media, news and information in the digital world.  To facilitate this, we should be encouraging the use of a broader range of fiction, non-fiction and digital texts in the classroom, and explicitly mention the critical questioning of news (and social media) in the curriculum. This is not to devalue traditional literature, but to elevate the value of being able to critically navigate other media such as news and social media. This is crosscurricular topic which could be covered through English, PSHE, Citizenship and Computing.  </w:t>
      </w:r>
    </w:p>
    <w:p w:rsidR="00FB0B24" w:rsidRPr="005B5CB6" w:rsidP="00A72806">
      <w:pPr>
        <w:spacing w:after="27"/>
        <w:ind w:left="735"/>
        <w:jc w:val="both"/>
        <w:rPr>
          <w:rFonts w:ascii="Verdana" w:hAnsi="Verdana"/>
        </w:rPr>
      </w:pPr>
      <w:r w:rsidRPr="005B5CB6">
        <w:rPr>
          <w:rFonts w:ascii="Verdana" w:eastAsia="Verdana" w:hAnsi="Verdana" w:cs="Verdana"/>
        </w:rPr>
        <w:t xml:space="preserve">  </w:t>
      </w:r>
    </w:p>
    <w:p w:rsidR="00FB0B24" w:rsidRPr="005B5CB6" w:rsidP="00A72806">
      <w:pPr>
        <w:spacing w:after="27"/>
        <w:ind w:left="735"/>
        <w:jc w:val="both"/>
        <w:rPr>
          <w:rFonts w:ascii="Verdana" w:hAnsi="Verdana"/>
        </w:rPr>
      </w:pPr>
      <w:r w:rsidRPr="005B5CB6">
        <w:rPr>
          <w:rFonts w:ascii="Verdana" w:eastAsia="Verdana" w:hAnsi="Verdana" w:cs="Verdana"/>
        </w:rPr>
        <w:t xml:space="preserve">  </w:t>
      </w:r>
    </w:p>
    <w:p w:rsidR="00FB0B24" w:rsidRPr="005B5CB6" w:rsidP="00A72806">
      <w:pPr>
        <w:spacing w:after="38" w:line="250" w:lineRule="auto"/>
        <w:ind w:left="11" w:hanging="10"/>
        <w:jc w:val="both"/>
        <w:rPr>
          <w:rFonts w:ascii="Verdana" w:hAnsi="Verdana"/>
        </w:rPr>
      </w:pPr>
      <w:r w:rsidRPr="005B5CB6">
        <w:rPr>
          <w:rFonts w:ascii="Verdana" w:eastAsia="Verdana" w:hAnsi="Verdana" w:cs="Verdana"/>
          <w:b/>
        </w:rPr>
        <w:t xml:space="preserve">Misinformation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33" w:line="250" w:lineRule="auto"/>
        <w:ind w:left="11" w:hanging="10"/>
        <w:jc w:val="both"/>
        <w:rPr>
          <w:rFonts w:ascii="Verdana" w:hAnsi="Verdana"/>
        </w:rPr>
      </w:pPr>
      <w:r w:rsidRPr="005B5CB6">
        <w:rPr>
          <w:rFonts w:ascii="Verdana" w:eastAsia="Verdana" w:hAnsi="Verdana" w:cs="Verdana"/>
          <w:b/>
        </w:rPr>
        <w:t xml:space="preserve">Question 10: What might be the best ways of reducing the effects of misinformation on social media platforms? </w:t>
      </w:r>
      <w:r w:rsidRPr="005B5CB6">
        <w:rPr>
          <w:rFonts w:ascii="Verdana" w:eastAsia="Verdana" w:hAnsi="Verdana" w:cs="Verdana"/>
        </w:rPr>
        <w:t xml:space="preserve"> </w:t>
      </w:r>
    </w:p>
    <w:p w:rsidR="00FB0B24" w:rsidRPr="005B5CB6" w:rsidP="00575F14">
      <w:pPr>
        <w:numPr>
          <w:ilvl w:val="0"/>
          <w:numId w:val="219"/>
        </w:numPr>
        <w:spacing w:after="35" w:line="250" w:lineRule="auto"/>
        <w:ind w:right="11" w:hanging="360"/>
        <w:jc w:val="both"/>
        <w:rPr>
          <w:rFonts w:ascii="Verdana" w:hAnsi="Verdana"/>
        </w:rPr>
      </w:pPr>
      <w:r w:rsidRPr="005B5CB6">
        <w:rPr>
          <w:rFonts w:ascii="Verdana" w:eastAsia="Verdana" w:hAnsi="Verdana" w:cs="Verdana"/>
        </w:rPr>
        <w:t xml:space="preserve">While social media gives politicians a new way to reach and communicate with previously unheard constituents, we have seen that the impact of social media on democracy has not been wholly positive. We have seen disinformation and misinformation creators on social media platforms deliberately infiltrate and leverage online communities, amplifying </w:t>
      </w:r>
    </w:p>
    <w:p w:rsidR="00FB0B24" w:rsidRPr="005B5CB6" w:rsidP="00A72806">
      <w:pPr>
        <w:spacing w:after="40" w:line="250" w:lineRule="auto"/>
        <w:ind w:left="728" w:right="11" w:hanging="8"/>
        <w:jc w:val="both"/>
        <w:rPr>
          <w:rFonts w:ascii="Verdana" w:hAnsi="Verdana"/>
        </w:rPr>
      </w:pPr>
      <w:r w:rsidRPr="005B5CB6">
        <w:rPr>
          <w:rFonts w:ascii="Verdana" w:eastAsia="Verdana" w:hAnsi="Verdana" w:cs="Verdana"/>
        </w:rPr>
        <w:t xml:space="preserve">divisions in society. Such an untrustworthy and confusing landscape is not only causing young people to disengage with the democratic process, it is having an affect on their wellbeing.  </w:t>
      </w:r>
    </w:p>
    <w:p w:rsidR="00FB0B24" w:rsidRPr="005B5CB6" w:rsidP="00575F14">
      <w:pPr>
        <w:numPr>
          <w:ilvl w:val="0"/>
          <w:numId w:val="219"/>
        </w:numPr>
        <w:spacing w:after="37" w:line="250" w:lineRule="auto"/>
        <w:ind w:right="11" w:hanging="360"/>
        <w:jc w:val="both"/>
        <w:rPr>
          <w:rFonts w:ascii="Verdana" w:hAnsi="Verdana"/>
        </w:rPr>
      </w:pPr>
      <w:r w:rsidRPr="005B5CB6">
        <w:rPr>
          <w:rFonts w:ascii="Verdana" w:eastAsia="Verdana" w:hAnsi="Verdana" w:cs="Verdana"/>
        </w:rPr>
        <w:t>Recent research by the APPG on Literacy and the National Literacy Trust revealed that almost two-thirds of teachers (60.9%) believe that the proliferation of fake news online, including on social media, is harming children’s wellbeing by increasing levels of anxiety, damaging self-esteem and skewing their world view</w:t>
      </w:r>
      <w:r>
        <w:rPr>
          <w:rFonts w:ascii="Verdana" w:eastAsia="Verdana" w:hAnsi="Verdana" w:cs="Verdana"/>
          <w:vertAlign w:val="superscript"/>
        </w:rPr>
        <w:footnoteReference w:id="312"/>
      </w:r>
      <w:r w:rsidRPr="005B5CB6">
        <w:rPr>
          <w:rFonts w:ascii="Verdana" w:eastAsia="Verdana" w:hAnsi="Verdana" w:cs="Verdana"/>
        </w:rPr>
        <w:t xml:space="preserve">. The Key Stage 2 children we work with are developing their own identities and values, influenced not only by peers, families and communities but also the information they see, read, hear and learn.   </w:t>
      </w:r>
    </w:p>
    <w:p w:rsidR="00FB0B24" w:rsidRPr="005B5CB6" w:rsidP="00575F14">
      <w:pPr>
        <w:numPr>
          <w:ilvl w:val="0"/>
          <w:numId w:val="219"/>
        </w:numPr>
        <w:spacing w:after="7628" w:line="250" w:lineRule="auto"/>
        <w:ind w:right="11" w:hanging="360"/>
        <w:jc w:val="both"/>
        <w:rPr>
          <w:rFonts w:ascii="Verdana" w:hAnsi="Verdana"/>
        </w:rPr>
      </w:pPr>
      <w:r w:rsidRPr="005B5CB6">
        <w:rPr>
          <w:rFonts w:ascii="Verdana" w:eastAsia="Verdana" w:hAnsi="Verdana" w:cs="Verdana"/>
        </w:rPr>
        <w:t xml:space="preserve">The overwhelming volume of information, and the difficulty in ascertaining fact from fiction, is making this development more stressful and confusing </w:t>
      </w:r>
      <w:r w:rsidRPr="005B5CB6">
        <w:rPr>
          <w:rFonts w:ascii="Verdana" w:eastAsia="Verdana" w:hAnsi="Verdana" w:cs="Verdana"/>
        </w:rPr>
        <w:t xml:space="preserve">than necessary: half of children surveyed by the National Literacy Trust for the Commission on Fake News and Critical Literacy reported that they are worried that they wouldn’t be able to tell whether or not a news story was  </w:t>
      </w:r>
    </w:p>
    <w:p w:rsidR="00FB0B24" w:rsidRPr="005B5CB6" w:rsidP="00A72806">
      <w:pPr>
        <w:spacing w:after="0"/>
        <w:ind w:left="14"/>
        <w:jc w:val="both"/>
        <w:rPr>
          <w:rFonts w:ascii="Verdana" w:hAnsi="Verdana"/>
        </w:rPr>
      </w:pPr>
      <w:r w:rsidRPr="005B5CB6">
        <w:rPr>
          <w:rFonts w:ascii="Verdana" w:eastAsia="Georgia" w:hAnsi="Verdana" w:cs="Georgia"/>
        </w:rPr>
        <w:t xml:space="preserve"> </w:t>
      </w:r>
    </w:p>
    <w:p w:rsidR="00FB0B24" w:rsidRPr="005B5CB6" w:rsidP="00A72806">
      <w:pPr>
        <w:jc w:val="both"/>
        <w:rPr>
          <w:rFonts w:ascii="Verdana" w:hAnsi="Verdana"/>
        </w:rPr>
        <w:sectPr w:rsidSect="00EC193F">
          <w:headerReference w:type="even" r:id="rId370"/>
          <w:headerReference w:type="default" r:id="rId371"/>
          <w:footerReference w:type="even" r:id="rId372"/>
          <w:footerReference w:type="default" r:id="rId373"/>
          <w:headerReference w:type="first" r:id="rId374"/>
          <w:footerReference w:type="first" r:id="rId375"/>
          <w:pgSz w:w="11921" w:h="16860"/>
          <w:pgMar w:top="1492" w:right="1442" w:bottom="1453" w:left="1426" w:header="720" w:footer="720" w:gutter="0"/>
          <w:cols w:space="720"/>
        </w:sectPr>
      </w:pPr>
    </w:p>
    <w:p w:rsidR="00FB0B24" w:rsidRPr="005B5CB6" w:rsidP="00A72806">
      <w:pPr>
        <w:spacing w:after="468"/>
        <w:jc w:val="both"/>
        <w:rPr>
          <w:rFonts w:ascii="Verdana" w:hAnsi="Verdana"/>
        </w:rPr>
      </w:pPr>
      <w:r w:rsidRPr="005B5CB6">
        <w:rPr>
          <w:rFonts w:ascii="Verdana" w:eastAsia="Georgia" w:hAnsi="Verdana" w:cs="Georgia"/>
        </w:rPr>
        <w:t xml:space="preserve"> </w:t>
      </w:r>
    </w:p>
    <w:p w:rsidR="00FB0B24" w:rsidRPr="005B5CB6" w:rsidP="00A72806">
      <w:pPr>
        <w:spacing w:after="1186"/>
        <w:ind w:left="1023"/>
        <w:jc w:val="both"/>
        <w:rPr>
          <w:rFonts w:ascii="Verdana" w:hAnsi="Verdana"/>
        </w:rPr>
      </w:pPr>
      <w:r w:rsidRPr="005B5CB6">
        <w:rPr>
          <w:rFonts w:ascii="Verdana" w:eastAsia="Verdana" w:hAnsi="Verdana" w:cs="Verdana"/>
        </w:rPr>
        <w:t xml:space="preserve">  </w:t>
      </w:r>
    </w:p>
    <w:p w:rsidR="00FB0B24" w:rsidRPr="005B5CB6" w:rsidP="00A72806">
      <w:pPr>
        <w:spacing w:after="108" w:line="250" w:lineRule="auto"/>
        <w:ind w:left="1448" w:right="11" w:hanging="8"/>
        <w:jc w:val="both"/>
        <w:rPr>
          <w:rFonts w:ascii="Verdana" w:hAnsi="Verdana"/>
        </w:rPr>
      </w:pPr>
      <w:r w:rsidRPr="005B5CB6">
        <w:rPr>
          <w:rFonts w:ascii="Verdana" w:eastAsia="Verdana" w:hAnsi="Verdana" w:cs="Verdana"/>
        </w:rPr>
        <w:t>true.</w:t>
      </w:r>
      <w:r w:rsidRPr="005B5CB6">
        <w:rPr>
          <w:rFonts w:ascii="Verdana" w:eastAsia="Verdana" w:hAnsi="Verdana" w:cs="Verdana"/>
          <w:vertAlign w:val="superscript"/>
        </w:rPr>
        <w:t>6</w:t>
      </w:r>
      <w:r w:rsidRPr="005B5CB6">
        <w:rPr>
          <w:rFonts w:ascii="Verdana" w:eastAsia="Verdana" w:hAnsi="Verdana" w:cs="Verdana"/>
        </w:rPr>
        <w:t xml:space="preserve"> Multiplied thousands of times over, this uncertainty and worry ultimately poses a threat to the democratic process, as highlighted in the recent DCMS Committee report on disinformation and fake news.</w:t>
      </w:r>
      <w:r w:rsidRPr="005B5CB6">
        <w:rPr>
          <w:rFonts w:ascii="Verdana" w:eastAsia="Verdana" w:hAnsi="Verdana" w:cs="Verdana"/>
          <w:vertAlign w:val="superscript"/>
        </w:rPr>
        <w:t>7</w:t>
      </w:r>
      <w:r w:rsidRPr="005B5CB6">
        <w:rPr>
          <w:rFonts w:ascii="Verdana" w:eastAsia="Verdana" w:hAnsi="Verdana" w:cs="Verdana"/>
        </w:rPr>
        <w:t xml:space="preserve">  </w:t>
      </w:r>
    </w:p>
    <w:p w:rsidR="00FB0B24" w:rsidRPr="005B5CB6" w:rsidP="00575F14">
      <w:pPr>
        <w:numPr>
          <w:ilvl w:val="0"/>
          <w:numId w:val="219"/>
        </w:numPr>
        <w:spacing w:after="41" w:line="249" w:lineRule="auto"/>
        <w:ind w:right="11" w:hanging="360"/>
        <w:jc w:val="both"/>
        <w:rPr>
          <w:rFonts w:ascii="Verdana" w:hAnsi="Verdana"/>
        </w:rPr>
      </w:pPr>
      <w:r w:rsidRPr="005B5CB6">
        <w:rPr>
          <w:rFonts w:ascii="Verdana" w:eastAsia="Verdana" w:hAnsi="Verdana" w:cs="Verdana"/>
        </w:rPr>
        <w:t xml:space="preserve">This is why education from an early age is key and why the recent DCMS </w:t>
      </w:r>
    </w:p>
    <w:p w:rsidR="00FB0B24" w:rsidRPr="005B5CB6" w:rsidP="00A72806">
      <w:pPr>
        <w:spacing w:after="40" w:line="250" w:lineRule="auto"/>
        <w:ind w:left="714" w:right="11" w:hanging="8"/>
        <w:jc w:val="both"/>
        <w:rPr>
          <w:rFonts w:ascii="Verdana" w:hAnsi="Verdana"/>
        </w:rPr>
      </w:pPr>
      <w:r w:rsidRPr="005B5CB6">
        <w:rPr>
          <w:rFonts w:ascii="Verdana" w:eastAsia="Verdana" w:hAnsi="Verdana" w:cs="Verdana"/>
        </w:rPr>
        <w:t>Committee fake news report suggested that digital literacy should be a ‘fourth pillar of education’</w:t>
      </w:r>
      <w:r w:rsidRPr="005B5CB6">
        <w:rPr>
          <w:rFonts w:ascii="Verdana" w:eastAsia="Verdana" w:hAnsi="Verdana" w:cs="Verdana"/>
          <w:vertAlign w:val="superscript"/>
        </w:rPr>
        <w:t>8</w:t>
      </w:r>
      <w:r w:rsidRPr="005B5CB6">
        <w:rPr>
          <w:rFonts w:ascii="Verdana" w:eastAsia="Verdana" w:hAnsi="Verdana" w:cs="Verdana"/>
        </w:rPr>
        <w:t xml:space="preserve">. To empower children, and their families, to critically navigate the online world will not only re-engage them in healthy debate with the wider world, but also improve their wellbeing.   </w:t>
      </w:r>
    </w:p>
    <w:p w:rsidR="00FB0B24" w:rsidRPr="005B5CB6" w:rsidP="00575F14">
      <w:pPr>
        <w:numPr>
          <w:ilvl w:val="0"/>
          <w:numId w:val="219"/>
        </w:numPr>
        <w:spacing w:after="39" w:line="250" w:lineRule="auto"/>
        <w:ind w:right="11" w:hanging="360"/>
        <w:jc w:val="both"/>
        <w:rPr>
          <w:rFonts w:ascii="Verdana" w:hAnsi="Verdana"/>
        </w:rPr>
      </w:pPr>
      <w:r w:rsidRPr="005B5CB6">
        <w:rPr>
          <w:rFonts w:ascii="Verdana" w:eastAsia="Verdana" w:hAnsi="Verdana" w:cs="Verdana"/>
        </w:rPr>
        <w:t xml:space="preserve">Critically navigating the digital world includes the ability to question information: to look at the source, the coverage, the language and the visual cues. These navigation skills are relevant not only for major news stories, but also for rumours and opinions circulating on social media. To be empowered to know which questions to ask, and of whom, is to engage with the digital world in a positive and healthy way.   </w:t>
      </w:r>
    </w:p>
    <w:p w:rsidR="00FB0B24" w:rsidRPr="005B5CB6" w:rsidP="00A72806">
      <w:pPr>
        <w:spacing w:after="27"/>
        <w:ind w:left="1440"/>
        <w:jc w:val="both"/>
        <w:rPr>
          <w:rFonts w:ascii="Verdana" w:hAnsi="Verdana"/>
        </w:rPr>
      </w:pPr>
      <w:r w:rsidRPr="005B5CB6">
        <w:rPr>
          <w:rFonts w:ascii="Verdana" w:eastAsia="Verdana" w:hAnsi="Verdana" w:cs="Verdana"/>
        </w:rPr>
        <w:t xml:space="preserve">  </w:t>
      </w:r>
    </w:p>
    <w:p w:rsidR="00FB0B24" w:rsidRPr="005B5CB6" w:rsidP="00A72806">
      <w:pPr>
        <w:spacing w:after="24"/>
        <w:jc w:val="both"/>
        <w:rPr>
          <w:rFonts w:ascii="Verdana" w:hAnsi="Verdana"/>
        </w:rPr>
      </w:pPr>
      <w:r w:rsidRPr="005B5CB6">
        <w:rPr>
          <w:rFonts w:ascii="Verdana" w:eastAsia="Verdana" w:hAnsi="Verdana" w:cs="Verdana"/>
        </w:rPr>
        <w:t xml:space="preserve">  </w:t>
      </w:r>
    </w:p>
    <w:p w:rsidR="00FB0B24" w:rsidRPr="005B5CB6" w:rsidP="00A72806">
      <w:pPr>
        <w:spacing w:after="485" w:line="249" w:lineRule="auto"/>
        <w:ind w:left="-4" w:hanging="10"/>
        <w:jc w:val="both"/>
        <w:rPr>
          <w:rFonts w:ascii="Verdana" w:hAnsi="Verdana"/>
        </w:rPr>
      </w:pPr>
      <w:r>
        <w:fldChar w:fldCharType="begin"/>
      </w:r>
      <w:r>
        <w:instrText xml:space="preserve"> HYPERLINK "http://www.theguardian.com/newswise" </w:instrText>
      </w:r>
      <w:r>
        <w:fldChar w:fldCharType="separate"/>
      </w:r>
      <w:r w:rsidRPr="005B5CB6" w:rsidR="00A72806">
        <w:rPr>
          <w:rFonts w:ascii="Verdana" w:eastAsia="Verdana" w:hAnsi="Verdana" w:cs="Verdana"/>
          <w:color w:val="1155CC"/>
          <w:u w:val="single" w:color="1155CC"/>
        </w:rPr>
        <w:t>www.theguardian.com/newswis</w:t>
      </w:r>
      <w:r>
        <w:fldChar w:fldCharType="end"/>
      </w:r>
      <w:r>
        <w:fldChar w:fldCharType="begin"/>
      </w:r>
      <w:r>
        <w:instrText xml:space="preserve"> HYPERLINK "http://www.theguardian.com/newswise" </w:instrText>
      </w:r>
      <w:r>
        <w:fldChar w:fldCharType="separate"/>
      </w:r>
      <w:r w:rsidRPr="005B5CB6" w:rsidR="00A72806">
        <w:rPr>
          <w:rFonts w:ascii="Verdana" w:eastAsia="Verdana" w:hAnsi="Verdana" w:cs="Verdana"/>
          <w:color w:val="1155CC"/>
          <w:u w:val="single" w:color="1155CC"/>
        </w:rPr>
        <w:t>e</w:t>
      </w:r>
      <w:r>
        <w:fldChar w:fldCharType="end"/>
      </w:r>
      <w:r>
        <w:fldChar w:fldCharType="begin"/>
      </w:r>
      <w:r>
        <w:instrText xml:space="preserve"> HYPERLINK "http://www.theguardian.com/newswise" </w:instrText>
      </w:r>
      <w:r>
        <w:fldChar w:fldCharType="separate"/>
      </w:r>
      <w:r w:rsidRPr="005B5CB6" w:rsidR="00A72806">
        <w:rPr>
          <w:rFonts w:ascii="Verdana" w:eastAsia="Verdana" w:hAnsi="Verdana" w:cs="Verdana"/>
        </w:rPr>
        <w:t xml:space="preserve">  </w:t>
      </w:r>
      <w:r>
        <w:fldChar w:fldCharType="end"/>
      </w:r>
    </w:p>
    <w:p w:rsidR="00FB0B24" w:rsidRPr="005B5CB6" w:rsidP="00A72806">
      <w:pPr>
        <w:spacing w:after="10"/>
        <w:jc w:val="both"/>
        <w:rPr>
          <w:rFonts w:ascii="Verdana" w:hAnsi="Verdana"/>
        </w:rPr>
      </w:pPr>
      <w:r w:rsidRPr="005B5CB6">
        <w:rPr>
          <w:rFonts w:ascii="Verdana" w:eastAsia="Verdana" w:hAnsi="Verdana" w:cs="Verdana"/>
          <w:b/>
          <w:color w:val="1155CC"/>
          <w:u w:val="single" w:color="1155CC"/>
        </w:rPr>
        <w:t>newswise@theguardianfoundation.org</w:t>
      </w:r>
      <w:r w:rsidRPr="005B5CB6">
        <w:rPr>
          <w:rFonts w:ascii="Verdana" w:eastAsia="Verdana" w:hAnsi="Verdana" w:cs="Verdana"/>
        </w:rPr>
        <w:t xml:space="preserve">  </w:t>
      </w:r>
    </w:p>
    <w:p w:rsidR="00FB0B24" w:rsidRPr="005B5CB6" w:rsidP="00A72806">
      <w:pPr>
        <w:spacing w:after="24"/>
        <w:jc w:val="both"/>
        <w:rPr>
          <w:rFonts w:ascii="Verdana" w:hAnsi="Verdana"/>
        </w:rPr>
      </w:pPr>
      <w:r w:rsidRPr="005B5CB6">
        <w:rPr>
          <w:rFonts w:ascii="Verdana" w:eastAsia="Verdana" w:hAnsi="Verdana" w:cs="Verdana"/>
        </w:rPr>
        <w:t xml:space="preserve">  </w:t>
      </w:r>
    </w:p>
    <w:p w:rsidR="00FB0B24" w:rsidRPr="005B5CB6" w:rsidP="00A72806">
      <w:pPr>
        <w:spacing w:after="43" w:line="250" w:lineRule="auto"/>
        <w:ind w:left="23" w:right="11" w:hanging="8"/>
        <w:jc w:val="both"/>
        <w:rPr>
          <w:rFonts w:ascii="Verdana" w:hAnsi="Verdana"/>
        </w:rPr>
      </w:pPr>
      <w:r w:rsidRPr="005B5CB6">
        <w:rPr>
          <w:rFonts w:ascii="Verdana" w:eastAsia="Verdana" w:hAnsi="Verdana" w:cs="Verdana"/>
        </w:rPr>
        <w:t xml:space="preserve">@GetNewsWise   </w:t>
      </w:r>
    </w:p>
    <w:p w:rsidR="00FB0B24" w:rsidRPr="005B5CB6" w:rsidP="00A72806">
      <w:pPr>
        <w:spacing w:after="36"/>
        <w:jc w:val="both"/>
        <w:rPr>
          <w:rFonts w:ascii="Verdana" w:hAnsi="Verdana"/>
        </w:rPr>
      </w:pPr>
      <w:r w:rsidRPr="005B5CB6">
        <w:rPr>
          <w:rFonts w:ascii="Verdana" w:eastAsia="Verdana" w:hAnsi="Verdana" w:cs="Verdana"/>
        </w:rPr>
        <w:t xml:space="preserve"> </w:t>
      </w:r>
    </w:p>
    <w:p w:rsidR="00FB0B24" w:rsidRPr="005B5CB6" w:rsidP="00A72806">
      <w:pPr>
        <w:spacing w:after="34"/>
        <w:jc w:val="both"/>
        <w:rPr>
          <w:rFonts w:ascii="Verdana" w:hAnsi="Verdana"/>
        </w:rPr>
      </w:pPr>
      <w:r w:rsidRPr="005B5CB6">
        <w:rPr>
          <w:rFonts w:ascii="Verdana" w:eastAsia="Verdana" w:hAnsi="Verdana" w:cs="Verdana"/>
        </w:rPr>
        <w:t xml:space="preserve"> </w:t>
      </w:r>
    </w:p>
    <w:p w:rsidR="00FB0B24" w:rsidRPr="005B5CB6" w:rsidP="00A72806">
      <w:pPr>
        <w:spacing w:after="36"/>
        <w:jc w:val="both"/>
        <w:rPr>
          <w:rFonts w:ascii="Verdana" w:hAnsi="Verdana"/>
        </w:rPr>
      </w:pPr>
      <w:r w:rsidRPr="005B5CB6">
        <w:rPr>
          <w:rFonts w:ascii="Verdana" w:eastAsia="Verdana" w:hAnsi="Verdana" w:cs="Verdana"/>
        </w:rPr>
        <w:t xml:space="preserve"> </w:t>
      </w:r>
    </w:p>
    <w:p w:rsidR="00FB0B24" w:rsidRPr="005B5CB6" w:rsidP="00A72806">
      <w:pPr>
        <w:spacing w:after="34"/>
        <w:jc w:val="both"/>
        <w:rPr>
          <w:rFonts w:ascii="Verdana" w:hAnsi="Verdana"/>
        </w:rPr>
      </w:pPr>
      <w:r w:rsidRPr="005B5CB6">
        <w:rPr>
          <w:rFonts w:ascii="Verdana" w:eastAsia="Verdana" w:hAnsi="Verdana" w:cs="Verdana"/>
        </w:rPr>
        <w:t xml:space="preserve"> </w:t>
      </w:r>
    </w:p>
    <w:p w:rsidR="00FB0B24" w:rsidRPr="005B5CB6" w:rsidP="00A72806">
      <w:pPr>
        <w:spacing w:after="34"/>
        <w:jc w:val="both"/>
        <w:rPr>
          <w:rFonts w:ascii="Verdana" w:hAnsi="Verdana"/>
        </w:rPr>
      </w:pPr>
      <w:r w:rsidRPr="005B5CB6">
        <w:rPr>
          <w:rFonts w:ascii="Verdana" w:eastAsia="Verdana" w:hAnsi="Verdana" w:cs="Verdana"/>
        </w:rPr>
        <w:t xml:space="preserve"> </w:t>
      </w:r>
    </w:p>
    <w:p w:rsidR="00FB0B24" w:rsidRPr="005B5CB6" w:rsidP="00A72806">
      <w:pPr>
        <w:spacing w:after="36"/>
        <w:jc w:val="both"/>
        <w:rPr>
          <w:rFonts w:ascii="Verdana" w:hAnsi="Verdana"/>
        </w:rPr>
      </w:pPr>
      <w:r w:rsidRPr="005B5CB6">
        <w:rPr>
          <w:rFonts w:ascii="Verdana" w:eastAsia="Verdana" w:hAnsi="Verdana" w:cs="Verdana"/>
        </w:rPr>
        <w:t xml:space="preserve"> </w:t>
      </w:r>
    </w:p>
    <w:p w:rsidR="00FB0B24" w:rsidRPr="005B5CB6" w:rsidP="00A72806">
      <w:pPr>
        <w:spacing w:after="34"/>
        <w:jc w:val="both"/>
        <w:rPr>
          <w:rFonts w:ascii="Verdana" w:hAnsi="Verdana"/>
        </w:rPr>
      </w:pPr>
      <w:r w:rsidRPr="005B5CB6">
        <w:rPr>
          <w:rFonts w:ascii="Verdana" w:eastAsia="Verdana" w:hAnsi="Verdana" w:cs="Verdana"/>
        </w:rPr>
        <w:t xml:space="preserve"> </w:t>
      </w:r>
    </w:p>
    <w:p w:rsidR="00FB0B24" w:rsidRPr="005B5CB6" w:rsidP="00A72806">
      <w:pPr>
        <w:spacing w:after="36"/>
        <w:jc w:val="both"/>
        <w:rPr>
          <w:rFonts w:ascii="Verdana" w:hAnsi="Verdana"/>
        </w:rPr>
      </w:pPr>
      <w:r w:rsidRPr="005B5CB6">
        <w:rPr>
          <w:rFonts w:ascii="Verdana" w:eastAsia="Verdana" w:hAnsi="Verdana" w:cs="Verdana"/>
        </w:rPr>
        <w:t xml:space="preserve"> </w:t>
      </w:r>
    </w:p>
    <w:p w:rsidR="00FB0B24" w:rsidRPr="005B5CB6" w:rsidP="00A72806">
      <w:pPr>
        <w:spacing w:after="34"/>
        <w:jc w:val="both"/>
        <w:rPr>
          <w:rFonts w:ascii="Verdana" w:hAnsi="Verdana"/>
        </w:rPr>
      </w:pPr>
      <w:r w:rsidRPr="005B5CB6">
        <w:rPr>
          <w:rFonts w:ascii="Verdana" w:eastAsia="Verdana" w:hAnsi="Verdana" w:cs="Verdana"/>
        </w:rPr>
        <w:t xml:space="preserve"> </w:t>
      </w:r>
    </w:p>
    <w:p w:rsidR="00FB0B24" w:rsidRPr="005B5CB6" w:rsidP="00A72806">
      <w:pPr>
        <w:spacing w:after="34"/>
        <w:jc w:val="both"/>
        <w:rPr>
          <w:rFonts w:ascii="Verdana" w:hAnsi="Verdana"/>
        </w:rPr>
      </w:pPr>
      <w:r w:rsidRPr="005B5CB6">
        <w:rPr>
          <w:rFonts w:ascii="Verdana" w:eastAsia="Verdana" w:hAnsi="Verdana" w:cs="Verdana"/>
        </w:rPr>
        <w:t xml:space="preserve"> </w:t>
      </w:r>
    </w:p>
    <w:p w:rsidR="00FB0B24" w:rsidRPr="005B5CB6" w:rsidP="00A72806">
      <w:pPr>
        <w:spacing w:after="84"/>
        <w:jc w:val="both"/>
        <w:rPr>
          <w:rFonts w:ascii="Verdana" w:hAnsi="Verdana"/>
        </w:rPr>
      </w:pPr>
      <w:r w:rsidRPr="005B5CB6">
        <w:rPr>
          <w:rFonts w:ascii="Verdana" w:eastAsia="Verdana" w:hAnsi="Verdana" w:cs="Verdana"/>
        </w:rPr>
        <w:t xml:space="preserve"> </w:t>
      </w:r>
    </w:p>
    <w:p w:rsidR="00FB0B24" w:rsidRPr="005B5CB6" w:rsidP="00A72806">
      <w:pPr>
        <w:spacing w:after="0"/>
        <w:ind w:left="1"/>
        <w:jc w:val="both"/>
        <w:rPr>
          <w:rFonts w:ascii="Verdana" w:hAnsi="Verdana"/>
        </w:rPr>
      </w:pPr>
      <w:r w:rsidRPr="005B5CB6">
        <w:rPr>
          <w:rFonts w:ascii="Verdana" w:hAnsi="Verdana"/>
          <w:noProof/>
        </w:rPr>
        <mc:AlternateContent>
          <mc:Choice Requires="wpg">
            <w:drawing>
              <wp:inline distT="0" distB="0" distL="0" distR="0">
                <wp:extent cx="1830070" cy="9525"/>
                <wp:effectExtent l="0" t="0" r="0" b="0"/>
                <wp:docPr id="582690" name="Group 582690"/>
                <wp:cNvGraphicFramePr/>
                <a:graphic xmlns:a="http://schemas.openxmlformats.org/drawingml/2006/main">
                  <a:graphicData uri="http://schemas.microsoft.com/office/word/2010/wordprocessingGroup">
                    <wpg:wgp xmlns:wpg="http://schemas.microsoft.com/office/word/2010/wordprocessingGroup">
                      <wpg:cNvGrpSpPr/>
                      <wpg:grpSpPr>
                        <a:xfrm>
                          <a:off x="0" y="0"/>
                          <a:ext cx="1830070" cy="9525"/>
                          <a:chOff x="0" y="0"/>
                          <a:chExt cx="1830070" cy="9525"/>
                        </a:xfrm>
                      </wpg:grpSpPr>
                      <wps:wsp xmlns:wps="http://schemas.microsoft.com/office/word/2010/wordprocessingShape">
                        <wps:cNvPr id="636277" name="Shape 636277"/>
                        <wps:cNvSpPr/>
                        <wps:spPr>
                          <a:xfrm>
                            <a:off x="0" y="0"/>
                            <a:ext cx="1830070" cy="9525"/>
                          </a:xfrm>
                          <a:custGeom>
                            <a:avLst/>
                            <a:gdLst/>
                            <a:ahLst/>
                            <a:cxnLst/>
                            <a:rect l="0" t="0" r="0" b="0"/>
                            <a:pathLst>
                              <a:path w="1830070" h="9525">
                                <a:moveTo>
                                  <a:pt x="0" y="0"/>
                                </a:moveTo>
                                <a:lnTo>
                                  <a:pt x="1830070" y="0"/>
                                </a:lnTo>
                                <a:lnTo>
                                  <a:pt x="183007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29" style="height:0.75pt;mso-position-horizontal-relative:char;mso-position-vertical-relative:line;width:144.1pt" coordsize="18300,95">
                <v:shape id="_x0000_s1330" style="height:95;position:absolute;width:18300" coordsize="1830070,9525" path="m,l1830070,l1830070,9525l,9525l,e">
                  <v:stroke joinstyle="miter" endcap="flat" opacity="0"/>
                </v:shape>
                <w10:wrap type="none"/>
              </v:group>
            </w:pict>
          </mc:Fallback>
        </mc:AlternateContent>
      </w:r>
      <w:r w:rsidRPr="005B5CB6">
        <w:rPr>
          <w:rFonts w:ascii="Verdana" w:eastAsia="Verdana" w:hAnsi="Verdana" w:cs="Verdana"/>
        </w:rPr>
        <w:t xml:space="preserve"> </w:t>
      </w:r>
    </w:p>
    <w:p w:rsidR="00FB0B24" w:rsidRPr="005B5CB6" w:rsidP="00A72806">
      <w:pPr>
        <w:spacing w:after="28" w:line="249" w:lineRule="auto"/>
        <w:ind w:left="-2" w:hanging="10"/>
        <w:jc w:val="both"/>
        <w:rPr>
          <w:rFonts w:ascii="Verdana" w:hAnsi="Verdana"/>
        </w:rPr>
      </w:pPr>
      <w:r w:rsidRPr="005B5CB6">
        <w:rPr>
          <w:rFonts w:ascii="Verdana" w:eastAsia="Verdana" w:hAnsi="Verdana" w:cs="Verdana"/>
          <w:vertAlign w:val="superscript"/>
        </w:rPr>
        <w:t>6</w:t>
      </w:r>
      <w:r w:rsidRPr="005B5CB6">
        <w:rPr>
          <w:rFonts w:ascii="Verdana" w:eastAsia="Verdana" w:hAnsi="Verdana" w:cs="Verdana"/>
        </w:rPr>
        <w:t xml:space="preserve"> All Party Parliamentary Group on Literacy: Commission on Fake News and the Teaching of Critical Literacy Skills in Schools 2018  </w:t>
      </w:r>
      <w:r>
        <w:fldChar w:fldCharType="begin"/>
      </w:r>
      <w:r>
        <w:instrText xml:space="preserve"> HYPERLINK "https://literacytrust.org.uk/policy-and-campaigns/all-party-parliamentary-group-literacy/fakenews/" </w:instrText>
      </w:r>
      <w:r>
        <w:fldChar w:fldCharType="separate"/>
      </w:r>
      <w:r w:rsidRPr="005B5CB6">
        <w:rPr>
          <w:rFonts w:ascii="Verdana" w:eastAsia="Verdana" w:hAnsi="Verdana" w:cs="Verdana"/>
          <w:color w:val="1155CC"/>
          <w:u w:val="single" w:color="1155CC"/>
        </w:rPr>
        <w:t>https://literacytrust.org.uk/policy-and-campaigns/all-party-parliamentary-group-literacy/fakenews</w:t>
      </w:r>
      <w:r>
        <w:fldChar w:fldCharType="end"/>
      </w:r>
      <w:r>
        <w:fldChar w:fldCharType="begin"/>
      </w:r>
      <w:r>
        <w:instrText xml:space="preserve"> HYPERLINK "https://literacytrust.org.uk/policy-and-campaigns/all-party-parliamentary-group-literacy/fakenews/" </w:instrText>
      </w:r>
      <w:r>
        <w:fldChar w:fldCharType="separate"/>
      </w:r>
      <w:r w:rsidRPr="005B5CB6">
        <w:rPr>
          <w:rFonts w:ascii="Verdana" w:eastAsia="Verdana" w:hAnsi="Verdana" w:cs="Verdana"/>
          <w:color w:val="1155CC"/>
          <w:u w:val="single" w:color="1155CC"/>
        </w:rPr>
        <w:t>/</w:t>
      </w:r>
      <w:r>
        <w:fldChar w:fldCharType="end"/>
      </w:r>
      <w:r>
        <w:fldChar w:fldCharType="begin"/>
      </w:r>
      <w:r>
        <w:instrText xml:space="preserve"> HYPERLINK "https://literacytrust.org.uk/policy-and-campaigns/all-party-parliamentary-group-literacy/fakenews/" </w:instrText>
      </w:r>
      <w:r>
        <w:fldChar w:fldCharType="separate"/>
      </w:r>
      <w:r w:rsidRPr="005B5CB6">
        <w:rPr>
          <w:rFonts w:ascii="Verdana" w:eastAsia="Verdana" w:hAnsi="Verdana" w:cs="Verdana"/>
        </w:rPr>
        <w:t xml:space="preserve">  </w:t>
      </w:r>
      <w:r>
        <w:fldChar w:fldCharType="end"/>
      </w:r>
    </w:p>
    <w:p w:rsidR="00FB0B24" w:rsidRPr="005B5CB6" w:rsidP="00A72806">
      <w:pPr>
        <w:spacing w:after="289" w:line="399" w:lineRule="auto"/>
        <w:ind w:left="55" w:hanging="67"/>
        <w:jc w:val="both"/>
        <w:rPr>
          <w:rFonts w:ascii="Verdana" w:hAnsi="Verdana"/>
        </w:rPr>
      </w:pPr>
      <w:r w:rsidRPr="005B5CB6">
        <w:rPr>
          <w:rFonts w:ascii="Verdana" w:eastAsia="Verdana" w:hAnsi="Verdana" w:cs="Verdana"/>
          <w:vertAlign w:val="superscript"/>
        </w:rPr>
        <w:t>7</w:t>
      </w:r>
      <w:r>
        <w:fldChar w:fldCharType="begin"/>
      </w:r>
      <w:r>
        <w:instrText xml:space="preserve"> HYPERLINK "https://publications.parliament.uk/pa/cm201719/cmselect/cmcumeds/363/363.pdf" </w:instrText>
      </w:r>
      <w:r>
        <w:fldChar w:fldCharType="separate"/>
      </w:r>
      <w:r w:rsidRPr="005B5CB6">
        <w:rPr>
          <w:rFonts w:ascii="Verdana" w:eastAsia="Verdana" w:hAnsi="Verdana" w:cs="Verdana"/>
        </w:rPr>
        <w:t>8</w:t>
      </w:r>
      <w:r>
        <w:fldChar w:fldCharType="end"/>
      </w:r>
      <w:r>
        <w:fldChar w:fldCharType="begin"/>
      </w:r>
      <w:r>
        <w:instrText xml:space="preserve"> HYPERLINK "https://publications.parliament.uk/pa/cm201719/cmselect/cmcumeds/363/363.pdf"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"https://publications.parliament.uk/pa/cm201719/cmselect/cmcumeds/363/363.pdf" </w:instrText>
      </w:r>
      <w:r>
        <w:fldChar w:fldCharType="separate"/>
      </w:r>
      <w:r w:rsidRPr="005B5CB6">
        <w:rPr>
          <w:rFonts w:ascii="Verdana" w:eastAsia="Verdana" w:hAnsi="Verdana" w:cs="Verdana"/>
          <w:color w:val="1155CC"/>
          <w:u w:val="single" w:color="1155CC"/>
        </w:rPr>
        <w:t>https://publications.parliament.uk/pa/cm201719/cmselect/cmcumeds/363/363.pdf</w:t>
      </w:r>
      <w:r>
        <w:fldChar w:fldCharType="end"/>
      </w:r>
      <w:r>
        <w:fldChar w:fldCharType="begin"/>
      </w:r>
      <w:r>
        <w:instrText xml:space="preserve"> HYPERLINK "https://publications.parliament.uk/pa/cm201719/cmselect/cmcumeds/363/363.pdf"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https://publications.parliament.uk/pa/cm201719/cmselect/cmcumeds/363/363.pdf  </w:t>
      </w:r>
    </w:p>
    <w:p w:rsidR="00FB0B24" w:rsidRPr="005B5CB6" w:rsidP="00A72806">
      <w:pPr>
        <w:spacing w:after="0"/>
        <w:jc w:val="both"/>
        <w:rPr>
          <w:rFonts w:ascii="Verdana" w:hAnsi="Verdana"/>
        </w:rPr>
      </w:pPr>
      <w:r w:rsidRPr="005B5CB6">
        <w:rPr>
          <w:rFonts w:ascii="Verdana" w:eastAsia="Georgia" w:hAnsi="Verdana" w:cs="Georgia"/>
        </w:rPr>
        <w:t xml:space="preserve">6 </w:t>
      </w:r>
    </w:p>
    <w:p w:rsidR="00FB0B24" w:rsidRPr="005B5CB6" w:rsidP="00A72806">
      <w:pPr>
        <w:spacing w:after="0"/>
        <w:jc w:val="both"/>
        <w:rPr>
          <w:rFonts w:ascii="Verdana" w:hAnsi="Verdana"/>
        </w:rPr>
      </w:pPr>
      <w:r w:rsidRPr="005B5CB6">
        <w:rPr>
          <w:rFonts w:ascii="Verdana" w:eastAsia="Georgia" w:hAnsi="Verdana" w:cs="Georgia"/>
        </w:rPr>
        <w:t xml:space="preserve"> </w:t>
      </w:r>
    </w:p>
    <w:p w:rsidR="00FB0B24" w:rsidRPr="005B5CB6" w:rsidP="00A72806">
      <w:pPr>
        <w:jc w:val="both"/>
        <w:rPr>
          <w:rFonts w:ascii="Verdana" w:hAnsi="Verdana"/>
        </w:rPr>
        <w:sectPr w:rsidSect="006562C6">
          <w:headerReference w:type="even" r:id="rId376"/>
          <w:headerReference w:type="default" r:id="rId377"/>
          <w:footerReference w:type="even" r:id="rId378"/>
          <w:footerReference w:type="default" r:id="rId379"/>
          <w:headerReference w:type="first" r:id="rId380"/>
          <w:footerReference w:type="first" r:id="rId381"/>
          <w:pgSz w:w="11921" w:h="16860"/>
          <w:pgMar w:top="1440" w:right="1529" w:bottom="1440" w:left="1440" w:header="720" w:footer="720" w:gutter="0"/>
          <w:cols w:space="720"/>
        </w:sectPr>
      </w:pPr>
    </w:p>
    <w:p w:rsidR="00FB0B24" w:rsidRPr="005B5CB6" w:rsidP="00A1624B">
      <w:pPr>
        <w:pStyle w:val="Heading1"/>
        <w:rPr>
          <w:sz w:val="22"/>
        </w:rPr>
      </w:pPr>
      <w:r w:rsidRPr="005B5CB6">
        <w:rPr>
          <w:sz w:val="22"/>
        </w:rPr>
        <w:t xml:space="preserve"> </w:t>
      </w:r>
      <w:bookmarkStart w:id="64" w:name="_Toc44517752"/>
      <w:r w:rsidRPr="005B5CB6" w:rsidR="00C21BA5">
        <w:rPr>
          <w:sz w:val="22"/>
        </w:rPr>
        <w:t>Avaaz – written evidence (DAD0073)</w:t>
      </w:r>
      <w:bookmarkEnd w:id="64"/>
    </w:p>
    <w:p w:rsidR="00FB0B24" w:rsidRPr="005B5CB6" w:rsidP="00A72806">
      <w:pPr>
        <w:spacing w:after="27"/>
        <w:ind w:left="46"/>
        <w:jc w:val="both"/>
        <w:rPr>
          <w:rFonts w:ascii="Verdana" w:hAnsi="Verdana"/>
        </w:rPr>
      </w:pPr>
      <w:r w:rsidRPr="005B5CB6">
        <w:rPr>
          <w:rFonts w:ascii="Verdana" w:eastAsia="Verdana" w:hAnsi="Verdana" w:cs="Verdana"/>
        </w:rPr>
        <w:t xml:space="preserve">  </w:t>
      </w:r>
    </w:p>
    <w:p w:rsidR="00FB0B24" w:rsidRPr="005B5CB6" w:rsidP="00A72806">
      <w:pPr>
        <w:spacing w:after="24"/>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40" w:line="250" w:lineRule="auto"/>
        <w:ind w:left="11" w:right="107" w:hanging="10"/>
        <w:jc w:val="both"/>
        <w:rPr>
          <w:rFonts w:ascii="Verdana" w:hAnsi="Verdana"/>
        </w:rPr>
      </w:pPr>
      <w:r w:rsidRPr="005B5CB6">
        <w:rPr>
          <w:rFonts w:ascii="Verdana" w:eastAsia="Verdana" w:hAnsi="Verdana" w:cs="Verdana"/>
          <w:b/>
        </w:rPr>
        <w:t xml:space="preserve">Submission to the House of Lords Select Committee on Democracy and Digital Technologies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58" w:line="250" w:lineRule="auto"/>
        <w:ind w:left="23" w:right="357" w:hanging="8"/>
        <w:jc w:val="both"/>
        <w:rPr>
          <w:rFonts w:ascii="Verdana" w:hAnsi="Verdana"/>
        </w:rPr>
      </w:pPr>
      <w:r w:rsidRPr="005B5CB6">
        <w:rPr>
          <w:rFonts w:ascii="Verdana" w:eastAsia="Verdana" w:hAnsi="Verdana" w:cs="Verdana"/>
        </w:rPr>
        <w:t xml:space="preserve">This Avaaz submission will focus on the rise of disinformation powered by digital technology and how that undermines democracy and Avaaz’s workable policy solutions for tech platforms to </w:t>
      </w:r>
      <w:r w:rsidRPr="005B5CB6">
        <w:rPr>
          <w:rFonts w:ascii="Verdana" w:eastAsia="Verdana" w:hAnsi="Verdana" w:cs="Verdana"/>
          <w:b/>
        </w:rPr>
        <w:t>Correct the Record</w:t>
      </w:r>
      <w:r w:rsidRPr="005B5CB6">
        <w:rPr>
          <w:rFonts w:ascii="Verdana" w:eastAsia="Verdana" w:hAnsi="Verdana" w:cs="Verdana"/>
        </w:rPr>
        <w:t xml:space="preserve"> for everyone exposed to disinformation. Our reports and evidence collected over the past year has convinced us only regulation will ensure this principle is adopted widely.   </w:t>
      </w:r>
    </w:p>
    <w:p w:rsidR="00FB0B24" w:rsidRPr="005B5CB6" w:rsidP="00A72806">
      <w:pPr>
        <w:spacing w:after="24"/>
        <w:ind w:left="15"/>
        <w:jc w:val="both"/>
        <w:rPr>
          <w:rFonts w:ascii="Verdana" w:hAnsi="Verdana"/>
        </w:rPr>
      </w:pPr>
      <w:r w:rsidRPr="005B5CB6">
        <w:rPr>
          <w:rFonts w:ascii="Verdana" w:eastAsia="Verdana" w:hAnsi="Verdana" w:cs="Verdana"/>
        </w:rPr>
        <w:t xml:space="preserve">  </w:t>
      </w:r>
    </w:p>
    <w:p w:rsidR="00FB0B24" w:rsidRPr="005B5CB6" w:rsidP="00A72806">
      <w:pPr>
        <w:spacing w:after="40" w:line="250" w:lineRule="auto"/>
        <w:ind w:left="11" w:hanging="10"/>
        <w:jc w:val="both"/>
        <w:rPr>
          <w:rFonts w:ascii="Verdana" w:hAnsi="Verdana"/>
        </w:rPr>
      </w:pPr>
      <w:r w:rsidRPr="005B5CB6">
        <w:rPr>
          <w:rFonts w:ascii="Verdana" w:eastAsia="Verdana" w:hAnsi="Verdana" w:cs="Verdana"/>
          <w:b/>
        </w:rPr>
        <w:t>Summary of the Avaaz submission:</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31" w:line="250" w:lineRule="auto"/>
        <w:ind w:left="23" w:right="653" w:hanging="8"/>
        <w:jc w:val="both"/>
        <w:rPr>
          <w:rFonts w:ascii="Verdana" w:hAnsi="Verdana"/>
        </w:rPr>
      </w:pPr>
      <w:r w:rsidRPr="005B5CB6">
        <w:rPr>
          <w:rFonts w:ascii="Verdana" w:eastAsia="Verdana" w:hAnsi="Verdana" w:cs="Verdana"/>
        </w:rPr>
        <w:t xml:space="preserve">Avaaz’s members -- 1.8 million in the UK, 20 million in the EU, and 53 million globally -- are deeply concerned about the damage disinformation is doing to democracies. Large scale carefully orchestrated disinformation campaigns have succeeded in sowing distrust and division across Europe and in the UK. In the last 2 years Avaaz has rapidly built up expertise on how to track these dangerous networks.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30" w:line="250" w:lineRule="auto"/>
        <w:ind w:left="23" w:right="706" w:hanging="8"/>
        <w:jc w:val="both"/>
        <w:rPr>
          <w:rFonts w:ascii="Verdana" w:hAnsi="Verdana"/>
        </w:rPr>
      </w:pPr>
      <w:r w:rsidRPr="005B5CB6">
        <w:rPr>
          <w:rFonts w:ascii="Verdana" w:eastAsia="Verdana" w:hAnsi="Verdana" w:cs="Verdana"/>
        </w:rPr>
        <w:t>In the run up to the European Parliament elections in 2019, Avaaz’s investigative reporting on the distortion of political discourse through the abuse of social media platforms prompted Facebook to take action on pages and groups across Europe whose content reached more than 750 million views in just the three months prior to the elections</w:t>
      </w:r>
      <w:r>
        <w:rPr>
          <w:rFonts w:ascii="Verdana" w:eastAsia="Verdana" w:hAnsi="Verdana" w:cs="Verdana"/>
          <w:vertAlign w:val="superscript"/>
        </w:rPr>
        <w:footnoteReference w:id="313"/>
      </w:r>
      <w:r w:rsidRPr="005B5CB6">
        <w:rPr>
          <w:rFonts w:ascii="Verdana" w:eastAsia="Verdana" w:hAnsi="Verdana" w:cs="Verdana"/>
        </w:rPr>
        <w:t xml:space="preserve">. Facebook was not the only source - in Spain, our investigators found that more than one in four Spanish voters had been reached by posts on Whatsapp that they thought were false, misleading, hateful or pose a serious threat to healthy public discourse. There is also extensive evidence of use of YouTube by malicious actors to host disinformation.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357" w:line="250" w:lineRule="auto"/>
        <w:ind w:left="23" w:right="467" w:hanging="8"/>
        <w:jc w:val="both"/>
        <w:rPr>
          <w:rFonts w:ascii="Verdana" w:hAnsi="Verdana"/>
        </w:rPr>
      </w:pPr>
      <w:r w:rsidRPr="005B5CB6">
        <w:rPr>
          <w:rFonts w:ascii="Verdana" w:eastAsia="Verdana" w:hAnsi="Verdana" w:cs="Verdana"/>
        </w:rPr>
        <w:t xml:space="preserve">Our work has uncovered an urgent need for action to slow the spread of disinformation and hate speech, particularly in the context of elections, and growing evidence that the platforms continue to fail to prioritise its changing global nature. </w:t>
      </w:r>
      <w:r w:rsidRPr="005B5CB6">
        <w:rPr>
          <w:rFonts w:ascii="Verdana" w:eastAsia="Verdana" w:hAnsi="Verdana" w:cs="Verdana"/>
          <w:b/>
        </w:rPr>
        <w:t xml:space="preserve">77% of citizens across the United Kingdom think social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3213" name="Group 58321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279" name="Shape 63627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31" style="height:0.6pt;mso-position-horizontal-relative:char;mso-position-vertical-relative:line;width:2in" coordsize="18288,76">
                <v:shape id="_x0000_s1332"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58" w:line="250" w:lineRule="auto"/>
        <w:ind w:left="11" w:hanging="10"/>
        <w:jc w:val="both"/>
        <w:rPr>
          <w:rFonts w:ascii="Verdana" w:hAnsi="Verdana"/>
        </w:rPr>
      </w:pPr>
      <w:r w:rsidRPr="005B5CB6">
        <w:rPr>
          <w:rFonts w:ascii="Verdana" w:eastAsia="Verdana" w:hAnsi="Verdana" w:cs="Verdana"/>
          <w:b/>
        </w:rPr>
        <w:t xml:space="preserve">media platforms should be regulated to protect our societies from manipulation, fake news and data misuse.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34" w:line="250" w:lineRule="auto"/>
        <w:ind w:left="23" w:right="11" w:hanging="8"/>
        <w:jc w:val="both"/>
        <w:rPr>
          <w:rFonts w:ascii="Verdana" w:hAnsi="Verdana"/>
        </w:rPr>
      </w:pPr>
      <w:r w:rsidRPr="005B5CB6">
        <w:rPr>
          <w:rFonts w:ascii="Verdana" w:eastAsia="Verdana" w:hAnsi="Verdana" w:cs="Verdana"/>
        </w:rPr>
        <w:t xml:space="preserve">This urgency seems to be unrecognised by the major social media platforms. On September 24,  </w:t>
      </w:r>
    </w:p>
    <w:p w:rsidR="00FB0B24" w:rsidRPr="005B5CB6" w:rsidP="00A72806">
      <w:pPr>
        <w:spacing w:after="80" w:line="250" w:lineRule="auto"/>
        <w:ind w:left="23" w:right="672" w:hanging="8"/>
        <w:jc w:val="both"/>
        <w:rPr>
          <w:rFonts w:ascii="Verdana" w:hAnsi="Verdana"/>
        </w:rPr>
      </w:pPr>
      <w:r w:rsidRPr="005B5CB6">
        <w:rPr>
          <w:rFonts w:ascii="Verdana" w:eastAsia="Verdana" w:hAnsi="Verdana" w:cs="Verdana"/>
        </w:rPr>
        <w:t>2019 Facebook’s VP of Global Affairs and Communications, Nick Clegg delivered a speech on Facebook, Elections and Political Speech</w:t>
      </w:r>
      <w:r>
        <w:rPr>
          <w:rFonts w:ascii="Verdana" w:eastAsia="Verdana" w:hAnsi="Verdana" w:cs="Verdana"/>
          <w:vertAlign w:val="superscript"/>
        </w:rPr>
        <w:footnoteReference w:id="314"/>
      </w:r>
      <w:r w:rsidRPr="005B5CB6">
        <w:rPr>
          <w:rFonts w:ascii="Verdana" w:eastAsia="Verdana" w:hAnsi="Verdana" w:cs="Verdana"/>
        </w:rPr>
        <w:t xml:space="preserve"> in which he described the action it had taken in the past to combat electoral disinformation before announcing that Facebook would from now on downgrade the action Facebook is taking in regards to politicians’ speech -- announcing that politician’s posts would no longer be subject to third-party fact-checking."</w:t>
      </w:r>
      <w:r>
        <w:rPr>
          <w:rFonts w:ascii="Verdana" w:eastAsia="Verdana" w:hAnsi="Verdana" w:cs="Verdana"/>
          <w:vertAlign w:val="superscript"/>
        </w:rPr>
        <w:footnoteReference w:id="315"/>
      </w:r>
      <w:r w:rsidRPr="005B5CB6">
        <w:rPr>
          <w:rFonts w:ascii="Verdana" w:eastAsia="Verdana" w:hAnsi="Verdana" w:cs="Verdana"/>
        </w:rPr>
        <w:t xml:space="preserve">   </w:t>
      </w:r>
    </w:p>
    <w:p w:rsidR="00FB0B24" w:rsidRPr="005B5CB6" w:rsidP="00A72806">
      <w:pPr>
        <w:spacing w:after="29"/>
        <w:ind w:left="15"/>
        <w:jc w:val="both"/>
        <w:rPr>
          <w:rFonts w:ascii="Verdana" w:hAnsi="Verdana"/>
        </w:rPr>
      </w:pP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31" w:line="250" w:lineRule="auto"/>
        <w:ind w:left="23" w:right="642" w:hanging="8"/>
        <w:jc w:val="both"/>
        <w:rPr>
          <w:rFonts w:ascii="Verdana" w:hAnsi="Verdana"/>
        </w:rPr>
      </w:pPr>
      <w:r w:rsidRPr="005B5CB6">
        <w:rPr>
          <w:rFonts w:ascii="Verdana" w:eastAsia="Verdana" w:hAnsi="Verdana" w:cs="Verdana"/>
        </w:rPr>
        <w:t xml:space="preserve">We fully support free, open honest discourse on Facebook, but as we will evidence in this report, we have seen examples both in the UK, and across the world, of politicians who peddle disinformation and use divisive issues like race or immigration if it achieves their goal.  The boundaries of political speech are being pushed to their limits in the current unstable world order and platforms cannot be allowed to simply throw up their hands and do nothing.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29" w:line="250" w:lineRule="auto"/>
        <w:ind w:left="23" w:right="564" w:hanging="8"/>
        <w:jc w:val="both"/>
        <w:rPr>
          <w:rFonts w:ascii="Verdana" w:hAnsi="Verdana"/>
        </w:rPr>
      </w:pPr>
      <w:r w:rsidRPr="005B5CB6">
        <w:rPr>
          <w:rFonts w:ascii="Verdana" w:eastAsia="Verdana" w:hAnsi="Verdana" w:cs="Verdana"/>
        </w:rPr>
        <w:t xml:space="preserve">This is particularly so because it is simple and within the current technical capabilities of the platforms to protect against disinformation without impacting freedom of expression and without putting either the government or the platforms in charge of deciding what’s true and what’s false. We urge the House of Lords to consider the following legislative principles as it considers the evidence before it.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33" w:line="250" w:lineRule="auto"/>
        <w:ind w:left="11" w:hanging="10"/>
        <w:jc w:val="both"/>
        <w:rPr>
          <w:rFonts w:ascii="Verdana" w:hAnsi="Verdana"/>
        </w:rPr>
      </w:pPr>
      <w:r w:rsidRPr="005B5CB6">
        <w:rPr>
          <w:rFonts w:ascii="Verdana" w:eastAsia="Verdana" w:hAnsi="Verdana" w:cs="Verdana"/>
          <w:b/>
        </w:rPr>
        <w:t xml:space="preserve">Our Solution? Five Legislative Principles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206" w:line="315" w:lineRule="auto"/>
        <w:ind w:left="-2" w:right="275" w:hanging="10"/>
        <w:jc w:val="both"/>
        <w:rPr>
          <w:rFonts w:ascii="Verdana" w:hAnsi="Verdana"/>
        </w:rPr>
      </w:pPr>
      <w:r w:rsidRPr="005B5CB6">
        <w:rPr>
          <w:rFonts w:ascii="Verdana" w:eastAsia="Verdana" w:hAnsi="Verdana" w:cs="Verdana"/>
          <w:b/>
        </w:rPr>
        <w:t>Avaaz has consulted deeply with academics and lawmakers across the globe as well as civil society and social media executives and developed 5 legislative principles</w:t>
      </w:r>
      <w:r>
        <w:rPr>
          <w:rFonts w:ascii="Verdana" w:eastAsia="Verdana" w:hAnsi="Verdana" w:cs="Verdana"/>
          <w:b/>
          <w:vertAlign w:val="superscript"/>
        </w:rPr>
        <w:footnoteReference w:id="316"/>
      </w:r>
      <w:r w:rsidRPr="005B5CB6">
        <w:rPr>
          <w:rFonts w:ascii="Verdana" w:eastAsia="Verdana" w:hAnsi="Verdana" w:cs="Verdana"/>
          <w:b/>
        </w:rPr>
        <w:t xml:space="preserve">, which should form the basis for any regulatory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3606" name="Group 58360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281" name="Shape 63628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33" style="height:0.6pt;mso-position-horizontal-relative:char;mso-position-vertical-relative:line;width:2in" coordsize="18288,76">
                <v:shape id="_x0000_s1334"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5" w:line="336" w:lineRule="auto"/>
        <w:ind w:left="11" w:right="204" w:hanging="10"/>
        <w:jc w:val="both"/>
        <w:rPr>
          <w:rFonts w:ascii="Verdana" w:hAnsi="Verdana"/>
        </w:rPr>
      </w:pPr>
      <w:r w:rsidRPr="005B5CB6">
        <w:rPr>
          <w:rFonts w:ascii="Verdana" w:eastAsia="Verdana" w:hAnsi="Verdana" w:cs="Verdana"/>
          <w:b/>
        </w:rPr>
        <w:t>regime.</w:t>
      </w:r>
      <w:r w:rsidRPr="005B5CB6">
        <w:rPr>
          <w:rFonts w:ascii="Verdana" w:eastAsia="Verdana" w:hAnsi="Verdana" w:cs="Verdana"/>
        </w:rPr>
        <w:t xml:space="preserve"> These are required to ensure </w:t>
      </w:r>
      <w:r w:rsidRPr="005B5CB6">
        <w:rPr>
          <w:rFonts w:ascii="Verdana" w:eastAsia="Verdana" w:hAnsi="Verdana" w:cs="Verdana"/>
          <w:b/>
        </w:rPr>
        <w:t>all online</w:t>
      </w:r>
      <w:r w:rsidRPr="005B5CB6">
        <w:rPr>
          <w:rFonts w:ascii="Verdana" w:eastAsia="Verdana" w:hAnsi="Verdana" w:cs="Verdana"/>
        </w:rPr>
        <w:t xml:space="preserve"> </w:t>
      </w:r>
      <w:r w:rsidRPr="005B5CB6">
        <w:rPr>
          <w:rFonts w:ascii="Verdana" w:eastAsia="Verdana" w:hAnsi="Verdana" w:cs="Verdana"/>
        </w:rPr>
        <w:tab/>
      </w:r>
      <w:r w:rsidRPr="005B5CB6">
        <w:rPr>
          <w:rFonts w:ascii="Verdana" w:eastAsia="Verdana" w:hAnsi="Verdana" w:cs="Verdana"/>
          <w:b/>
        </w:rPr>
        <w:t xml:space="preserve"> platforms</w:t>
      </w:r>
      <w:r>
        <w:rPr>
          <w:rFonts w:ascii="Verdana" w:eastAsia="Verdana" w:hAnsi="Verdana" w:cs="Verdana"/>
          <w:b/>
          <w:vertAlign w:val="superscript"/>
        </w:rPr>
        <w:footnoteReference w:id="317"/>
      </w:r>
      <w:r w:rsidRPr="005B5CB6">
        <w:rPr>
          <w:rFonts w:ascii="Verdana" w:eastAsia="Verdana" w:hAnsi="Verdana" w:cs="Verdana"/>
          <w:b/>
        </w:rPr>
        <w:t xml:space="preserve"> effectively counter disinformation.</w:t>
      </w:r>
      <w:r w:rsidRPr="005B5CB6">
        <w:rPr>
          <w:rFonts w:ascii="Verdana" w:eastAsia="Verdana" w:hAnsi="Verdana" w:cs="Verdana"/>
        </w:rPr>
        <w:t xml:space="preserve">  </w:t>
      </w:r>
    </w:p>
    <w:p w:rsidR="00FB0B24" w:rsidRPr="005B5CB6" w:rsidP="00A72806">
      <w:pPr>
        <w:spacing w:after="27"/>
        <w:ind w:left="735"/>
        <w:jc w:val="both"/>
        <w:rPr>
          <w:rFonts w:ascii="Verdana" w:hAnsi="Verdana"/>
        </w:rPr>
      </w:pPr>
      <w:r w:rsidRPr="005B5CB6">
        <w:rPr>
          <w:rFonts w:ascii="Verdana" w:eastAsia="Verdana" w:hAnsi="Verdana" w:cs="Verdana"/>
        </w:rPr>
        <w:t xml:space="preserve">  </w:t>
      </w:r>
    </w:p>
    <w:p w:rsidR="00FB0B24" w:rsidRPr="005B5CB6" w:rsidP="00575F14">
      <w:pPr>
        <w:numPr>
          <w:ilvl w:val="0"/>
          <w:numId w:val="220"/>
        </w:numPr>
        <w:spacing w:after="38" w:line="250" w:lineRule="auto"/>
        <w:ind w:left="351" w:hanging="350"/>
        <w:jc w:val="both"/>
        <w:rPr>
          <w:rFonts w:ascii="Verdana" w:hAnsi="Verdana"/>
        </w:rPr>
      </w:pPr>
      <w:r w:rsidRPr="005B5CB6">
        <w:rPr>
          <w:rFonts w:ascii="Verdana" w:eastAsia="Verdana" w:hAnsi="Verdana" w:cs="Verdana"/>
          <w:b/>
        </w:rPr>
        <w:t xml:space="preserve">Correct the Record   </w:t>
      </w:r>
    </w:p>
    <w:p w:rsidR="00FB0B24" w:rsidRPr="005B5CB6" w:rsidP="00A72806">
      <w:pPr>
        <w:spacing w:after="5" w:line="333" w:lineRule="auto"/>
        <w:ind w:left="743" w:right="542" w:hanging="8"/>
        <w:jc w:val="both"/>
        <w:rPr>
          <w:rFonts w:ascii="Verdana" w:hAnsi="Verdana"/>
        </w:rPr>
      </w:pPr>
      <w:r w:rsidRPr="005B5CB6">
        <w:rPr>
          <w:rFonts w:ascii="Verdana" w:eastAsia="Verdana" w:hAnsi="Verdana" w:cs="Verdana"/>
          <w:b/>
        </w:rPr>
        <w:t xml:space="preserve">Correct the Record exposes disinformation and other manipulations, educates the public, and reduces belief in lies </w:t>
      </w:r>
      <w:r w:rsidRPr="005B5CB6">
        <w:rPr>
          <w:rFonts w:ascii="Verdana" w:eastAsia="Verdana" w:hAnsi="Verdana" w:cs="Verdana"/>
        </w:rPr>
        <w:t xml:space="preserve">The policy requires platforms to inform users and push effective corrections to every person who saw information that independent fact checkers have determined to be disinformation. This solution would </w:t>
      </w:r>
      <w:r w:rsidRPr="005B5CB6">
        <w:rPr>
          <w:rFonts w:ascii="Verdana" w:eastAsia="Verdana" w:hAnsi="Verdana" w:cs="Verdana"/>
          <w:b/>
        </w:rPr>
        <w:t>tackle disinformation while preserving freedom of expression</w:t>
      </w:r>
      <w:r w:rsidRPr="005B5CB6">
        <w:rPr>
          <w:rFonts w:ascii="Verdana" w:eastAsia="Verdana" w:hAnsi="Verdana" w:cs="Verdana"/>
        </w:rPr>
        <w:t>.  We have seen reports that Facebook itself has conducted vigorous fact checking programmes in defence of its own reputation - under its “Stormchaser” initiative</w:t>
      </w:r>
      <w:r w:rsidRPr="005B5CB6">
        <w:rPr>
          <w:rFonts w:ascii="Verdana" w:eastAsia="Verdana" w:hAnsi="Verdana" w:cs="Verdana"/>
          <w:vertAlign w:val="superscript"/>
        </w:rPr>
        <w:t>6</w:t>
      </w:r>
      <w:r w:rsidRPr="005B5CB6">
        <w:rPr>
          <w:rFonts w:ascii="Verdana" w:eastAsia="Verdana" w:hAnsi="Verdana" w:cs="Verdana"/>
        </w:rPr>
        <w:t xml:space="preserve">. There is no reason why it should reject this approach in relation to election disinformation, a much more serious issue.  </w:t>
      </w:r>
    </w:p>
    <w:p w:rsidR="00FB0B24" w:rsidRPr="005B5CB6" w:rsidP="00A72806">
      <w:pPr>
        <w:spacing w:after="29"/>
        <w:ind w:left="735"/>
        <w:jc w:val="both"/>
        <w:rPr>
          <w:rFonts w:ascii="Verdana" w:hAnsi="Verdana"/>
        </w:rPr>
      </w:pPr>
      <w:r w:rsidRPr="005B5CB6">
        <w:rPr>
          <w:rFonts w:ascii="Verdana" w:eastAsia="Verdana" w:hAnsi="Verdana" w:cs="Verdana"/>
        </w:rPr>
        <w:t xml:space="preserve">  </w:t>
      </w:r>
    </w:p>
    <w:p w:rsidR="00FB0B24" w:rsidRPr="005B5CB6" w:rsidP="00575F14">
      <w:pPr>
        <w:numPr>
          <w:ilvl w:val="0"/>
          <w:numId w:val="220"/>
        </w:numPr>
        <w:spacing w:after="35" w:line="250" w:lineRule="auto"/>
        <w:ind w:left="351" w:hanging="350"/>
        <w:jc w:val="both"/>
        <w:rPr>
          <w:rFonts w:ascii="Verdana" w:hAnsi="Verdana"/>
        </w:rPr>
      </w:pPr>
      <w:r w:rsidRPr="005B5CB6">
        <w:rPr>
          <w:rFonts w:ascii="Verdana" w:eastAsia="Verdana" w:hAnsi="Verdana" w:cs="Verdana"/>
          <w:b/>
        </w:rPr>
        <w:t xml:space="preserve">Detox the Algorithm  </w:t>
      </w:r>
    </w:p>
    <w:p w:rsidR="00FB0B24" w:rsidRPr="005B5CB6" w:rsidP="00A72806">
      <w:pPr>
        <w:spacing w:after="27"/>
        <w:ind w:left="735"/>
        <w:jc w:val="both"/>
        <w:rPr>
          <w:rFonts w:ascii="Verdana" w:hAnsi="Verdana"/>
        </w:rPr>
      </w:pPr>
      <w:r w:rsidRPr="005B5CB6">
        <w:rPr>
          <w:rFonts w:ascii="Verdana" w:eastAsia="Verdana" w:hAnsi="Verdana" w:cs="Verdana"/>
        </w:rPr>
        <w:t xml:space="preserve"> </w:t>
      </w:r>
    </w:p>
    <w:p w:rsidR="00FB0B24" w:rsidRPr="005B5CB6" w:rsidP="00575F14">
      <w:pPr>
        <w:numPr>
          <w:ilvl w:val="0"/>
          <w:numId w:val="220"/>
        </w:numPr>
        <w:spacing w:after="35" w:line="250" w:lineRule="auto"/>
        <w:ind w:left="351" w:hanging="350"/>
        <w:jc w:val="both"/>
        <w:rPr>
          <w:rFonts w:ascii="Verdana" w:hAnsi="Verdana"/>
        </w:rPr>
      </w:pPr>
      <w:r w:rsidRPr="005B5CB6">
        <w:rPr>
          <w:rFonts w:ascii="Verdana" w:eastAsia="Verdana" w:hAnsi="Verdana" w:cs="Verdana"/>
          <w:b/>
        </w:rPr>
        <w:t xml:space="preserve">Transparency  </w:t>
      </w:r>
    </w:p>
    <w:p w:rsidR="00FB0B24" w:rsidRPr="005B5CB6" w:rsidP="00A72806">
      <w:pPr>
        <w:spacing w:after="5" w:line="345" w:lineRule="auto"/>
        <w:ind w:left="744" w:right="886" w:hanging="9"/>
        <w:jc w:val="both"/>
        <w:rPr>
          <w:rFonts w:ascii="Verdana" w:hAnsi="Verdana"/>
        </w:rPr>
      </w:pPr>
      <w:r w:rsidRPr="005B5CB6">
        <w:rPr>
          <w:rFonts w:ascii="Verdana" w:eastAsia="Verdana" w:hAnsi="Verdana" w:cs="Verdana"/>
        </w:rPr>
        <w:t>In the evolving defence of our democracies against disinformation, it is</w:t>
      </w:r>
      <w:r w:rsidRPr="005B5CB6">
        <w:rPr>
          <w:rFonts w:ascii="Verdana" w:eastAsia="Verdana" w:hAnsi="Verdana" w:cs="Verdana"/>
          <w:b/>
        </w:rPr>
        <w:t xml:space="preserve"> essential that governments, civil society, and the general public be informed about the nature and scale of the threat, and about the measures being taken to guard against it. </w:t>
      </w:r>
      <w:r w:rsidRPr="005B5CB6">
        <w:rPr>
          <w:rFonts w:ascii="Verdana" w:eastAsia="Verdana" w:hAnsi="Verdana" w:cs="Verdana"/>
        </w:rPr>
        <w:t>Online platforms must therefore provide</w:t>
      </w:r>
      <w:r w:rsidRPr="005B5CB6">
        <w:rPr>
          <w:rFonts w:ascii="Verdana" w:eastAsia="Verdana" w:hAnsi="Verdana" w:cs="Verdana"/>
          <w:b/>
        </w:rPr>
        <w:t xml:space="preserve"> periodic reports</w:t>
      </w:r>
      <w:r w:rsidRPr="005B5CB6">
        <w:rPr>
          <w:rFonts w:ascii="Verdana" w:eastAsia="Verdana" w:hAnsi="Verdana" w:cs="Verdana"/>
        </w:rPr>
        <w:t xml:space="preserve"> listing the disinformation found on their services, the number of bots and inauthentic accounts that were detected, what actions were taken against those accounts and bots, how many times users reported disinformation. The reports must also </w:t>
      </w:r>
      <w:r w:rsidRPr="005B5CB6">
        <w:rPr>
          <w:rFonts w:ascii="Verdana" w:eastAsia="Verdana" w:hAnsi="Verdana" w:cs="Verdana"/>
          <w:b/>
        </w:rPr>
        <w:t xml:space="preserve">detail platforms’ efforts </w:t>
      </w:r>
      <w:r w:rsidRPr="005B5CB6">
        <w:rPr>
          <w:rFonts w:ascii="Verdana" w:eastAsia="Verdana" w:hAnsi="Verdana" w:cs="Verdana"/>
        </w:rPr>
        <w:t xml:space="preserve">to deal with disinformation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575F14">
      <w:pPr>
        <w:numPr>
          <w:ilvl w:val="0"/>
          <w:numId w:val="220"/>
        </w:numPr>
        <w:spacing w:after="35" w:line="250" w:lineRule="auto"/>
        <w:ind w:left="351" w:hanging="350"/>
        <w:jc w:val="both"/>
        <w:rPr>
          <w:rFonts w:ascii="Verdana" w:hAnsi="Verdana"/>
        </w:rPr>
      </w:pPr>
      <w:r w:rsidRPr="005B5CB6">
        <w:rPr>
          <w:rFonts w:ascii="Verdana" w:eastAsia="Verdana" w:hAnsi="Verdana" w:cs="Verdana"/>
          <w:b/>
        </w:rPr>
        <w:t xml:space="preserve">Ban Fake Accounts and Unlabelled Bots  </w:t>
      </w:r>
    </w:p>
    <w:p w:rsidR="00FB0B24" w:rsidRPr="005B5CB6" w:rsidP="00A72806">
      <w:pPr>
        <w:spacing w:after="295" w:line="339" w:lineRule="auto"/>
        <w:ind w:left="743" w:right="448" w:hanging="8"/>
        <w:jc w:val="both"/>
        <w:rPr>
          <w:rFonts w:ascii="Verdana" w:hAnsi="Verdana"/>
        </w:rPr>
      </w:pPr>
      <w:r w:rsidRPr="005B5CB6">
        <w:rPr>
          <w:rFonts w:ascii="Verdana" w:eastAsia="Verdana" w:hAnsi="Verdana" w:cs="Verdana"/>
        </w:rPr>
        <w:t xml:space="preserve">Ban fake accounts and unlabelled bots that act as conduits for disinformation and take action to track down the networks that create and </w:t>
      </w:r>
    </w:p>
    <w:p w:rsidR="00FB0B24" w:rsidRPr="005B5CB6" w:rsidP="00A72806">
      <w:pPr>
        <w:spacing w:after="2"/>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3330" name="Group 58333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291" name="Shape 63629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35" style="height:0.6pt;mso-position-horizontal-relative:char;mso-position-vertical-relative:line;width:2in" coordsize="18288,76">
                <v:shape id="_x0000_s1336"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34" w:line="236" w:lineRule="auto"/>
        <w:ind w:left="19" w:right="844" w:hanging="10"/>
        <w:jc w:val="both"/>
        <w:rPr>
          <w:rFonts w:ascii="Verdana" w:hAnsi="Verdana"/>
        </w:rPr>
      </w:pPr>
      <w:r w:rsidRPr="005B5CB6">
        <w:rPr>
          <w:rFonts w:ascii="Verdana" w:eastAsia="Arial" w:hAnsi="Verdana" w:cs="Arial"/>
        </w:rPr>
        <w:t xml:space="preserve">Platforms should transparently adapt their algorithms to ensure that they are not themselves exponentially accelerating the spread of disinformation. And although social media platforms need virality for profitability, it is crucial for them to monitor exactly what is going viral - an MIT study found that falsehoods on Twitter spread six times faster than true news.   </w:t>
      </w:r>
    </w:p>
    <w:p w:rsidR="00FB0B24" w:rsidRPr="005B5CB6" w:rsidP="00A72806">
      <w:pPr>
        <w:spacing w:after="5" w:line="339" w:lineRule="auto"/>
        <w:ind w:left="752" w:right="407" w:hanging="8"/>
        <w:jc w:val="both"/>
        <w:rPr>
          <w:rFonts w:ascii="Verdana" w:hAnsi="Verdana"/>
        </w:rPr>
      </w:pPr>
      <w:r w:rsidRPr="005B5CB6">
        <w:rPr>
          <w:rFonts w:ascii="Verdana" w:eastAsia="Verdana" w:hAnsi="Verdana" w:cs="Verdana"/>
        </w:rPr>
        <w:t>run them</w:t>
      </w:r>
      <w:r w:rsidRPr="005B5CB6">
        <w:rPr>
          <w:rFonts w:ascii="Verdana" w:eastAsia="Verdana" w:hAnsi="Verdana" w:cs="Verdana"/>
          <w:b/>
        </w:rPr>
        <w:t xml:space="preserve">, </w:t>
      </w:r>
      <w:r w:rsidRPr="005B5CB6">
        <w:rPr>
          <w:rFonts w:ascii="Verdana" w:eastAsia="Verdana" w:hAnsi="Verdana" w:cs="Verdana"/>
        </w:rPr>
        <w:t xml:space="preserve">closing the loopholes that allow them to multiply, and reducing the incentives provided by their own services.  </w:t>
      </w:r>
    </w:p>
    <w:p w:rsidR="00FB0B24" w:rsidRPr="005B5CB6" w:rsidP="00A72806">
      <w:pPr>
        <w:spacing w:after="29"/>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575F14">
      <w:pPr>
        <w:numPr>
          <w:ilvl w:val="0"/>
          <w:numId w:val="220"/>
        </w:numPr>
        <w:spacing w:after="35" w:line="250" w:lineRule="auto"/>
        <w:ind w:left="351" w:hanging="350"/>
        <w:jc w:val="both"/>
        <w:rPr>
          <w:rFonts w:ascii="Verdana" w:hAnsi="Verdana"/>
        </w:rPr>
      </w:pPr>
      <w:r w:rsidRPr="005B5CB6">
        <w:rPr>
          <w:rFonts w:ascii="Verdana" w:eastAsia="Verdana" w:hAnsi="Verdana" w:cs="Verdana"/>
          <w:b/>
        </w:rPr>
        <w:t xml:space="preserve">Label Paid Content and Disclose Targeting  </w:t>
      </w:r>
    </w:p>
    <w:p w:rsidR="00FB0B24" w:rsidRPr="005B5CB6" w:rsidP="00A72806">
      <w:pPr>
        <w:spacing w:after="29" w:line="250" w:lineRule="auto"/>
        <w:ind w:left="743" w:right="530" w:hanging="8"/>
        <w:jc w:val="both"/>
        <w:rPr>
          <w:rFonts w:ascii="Verdana" w:hAnsi="Verdana"/>
        </w:rPr>
      </w:pPr>
      <w:r w:rsidRPr="005B5CB6">
        <w:rPr>
          <w:rFonts w:ascii="Verdana" w:eastAsia="Verdana" w:hAnsi="Verdana" w:cs="Verdana"/>
        </w:rPr>
        <w:t xml:space="preserve">Transparency should apply to all paid communications, political and nonpolitical, as citizens ought to be able to know who paid for an advertisement and on what basis the viewer was targeted. Additionally, platforms should label state-sponsored media, particularly countries that deploy state-media to push propaganda, in order to increase transparency by disclosing where content is coming from.  </w:t>
      </w:r>
    </w:p>
    <w:p w:rsidR="00FB0B24" w:rsidRPr="005B5CB6" w:rsidP="00A72806">
      <w:pPr>
        <w:spacing w:after="29"/>
        <w:ind w:left="73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29" w:line="250" w:lineRule="auto"/>
        <w:ind w:left="23" w:right="332" w:hanging="8"/>
        <w:jc w:val="both"/>
        <w:rPr>
          <w:rFonts w:ascii="Verdana" w:hAnsi="Verdana"/>
        </w:rPr>
      </w:pPr>
      <w:r w:rsidRPr="005B5CB6">
        <w:rPr>
          <w:rFonts w:ascii="Verdana" w:eastAsia="Verdana" w:hAnsi="Verdana" w:cs="Verdana"/>
        </w:rPr>
        <w:t xml:space="preserve">Avaaz will go into greater detail on each of these solutions in answer to your specific questions below  </w:t>
      </w:r>
    </w:p>
    <w:p w:rsidR="00FB0B24" w:rsidRPr="005B5CB6" w:rsidP="00A72806">
      <w:pPr>
        <w:spacing w:after="29"/>
        <w:ind w:left="14"/>
        <w:jc w:val="both"/>
        <w:rPr>
          <w:rFonts w:ascii="Verdana" w:hAnsi="Verdana"/>
        </w:rPr>
      </w:pPr>
      <w:r w:rsidRPr="005B5CB6">
        <w:rPr>
          <w:rFonts w:ascii="Verdana" w:eastAsia="Verdana" w:hAnsi="Verdana" w:cs="Verdana"/>
        </w:rPr>
        <w:t xml:space="preserve">  </w:t>
      </w:r>
    </w:p>
    <w:p w:rsidR="00FB0B24" w:rsidRPr="005B5CB6" w:rsidP="00A72806">
      <w:pPr>
        <w:spacing w:after="33" w:line="250" w:lineRule="auto"/>
        <w:ind w:left="11" w:hanging="10"/>
        <w:jc w:val="both"/>
        <w:rPr>
          <w:rFonts w:ascii="Verdana" w:hAnsi="Verdana"/>
        </w:rPr>
      </w:pPr>
      <w:r w:rsidRPr="005B5CB6">
        <w:rPr>
          <w:rFonts w:ascii="Verdana" w:eastAsia="Verdana" w:hAnsi="Verdana" w:cs="Verdana"/>
          <w:b/>
        </w:rPr>
        <w:t xml:space="preserve">Avaaz Evidence to the Committee’s questionnaire  </w:t>
      </w:r>
    </w:p>
    <w:p w:rsidR="00FB0B24" w:rsidRPr="005B5CB6" w:rsidP="00A72806">
      <w:pPr>
        <w:spacing w:after="27"/>
        <w:ind w:left="14"/>
        <w:jc w:val="both"/>
        <w:rPr>
          <w:rFonts w:ascii="Verdana" w:hAnsi="Verdana"/>
        </w:rPr>
      </w:pPr>
      <w:r w:rsidRPr="005B5CB6">
        <w:rPr>
          <w:rFonts w:ascii="Verdana" w:eastAsia="Verdana" w:hAnsi="Verdana" w:cs="Verdana"/>
        </w:rPr>
        <w:t xml:space="preserve">  </w:t>
      </w:r>
    </w:p>
    <w:p w:rsidR="00FB0B24" w:rsidRPr="005B5CB6" w:rsidP="00A72806">
      <w:pPr>
        <w:spacing w:after="30" w:line="249" w:lineRule="auto"/>
        <w:ind w:left="10" w:right="337" w:hanging="10"/>
        <w:jc w:val="both"/>
        <w:rPr>
          <w:rFonts w:ascii="Verdana" w:hAnsi="Verdana"/>
        </w:rPr>
      </w:pPr>
      <w:r w:rsidRPr="005B5CB6">
        <w:rPr>
          <w:rFonts w:ascii="Verdana" w:eastAsia="Verdana" w:hAnsi="Verdana" w:cs="Verdana"/>
          <w:i/>
        </w:rPr>
        <w:t>General 1. How has digital technology changed the way that democracy works in the UK and has this been a net positive or negative effect?</w:t>
      </w:r>
      <w:r w:rsidRPr="005B5CB6">
        <w:rPr>
          <w:rFonts w:ascii="Verdana" w:eastAsia="Verdana" w:hAnsi="Verdana" w:cs="Verdana"/>
        </w:rPr>
        <w:t xml:space="preserve">   </w:t>
      </w:r>
    </w:p>
    <w:p w:rsidR="00FB0B24" w:rsidRPr="005B5CB6" w:rsidP="00A72806">
      <w:pPr>
        <w:spacing w:after="27"/>
        <w:ind w:left="14"/>
        <w:jc w:val="both"/>
        <w:rPr>
          <w:rFonts w:ascii="Verdana" w:hAnsi="Verdana"/>
        </w:rPr>
      </w:pPr>
      <w:r w:rsidRPr="005B5CB6">
        <w:rPr>
          <w:rFonts w:ascii="Verdana" w:eastAsia="Verdana" w:hAnsi="Verdana" w:cs="Verdana"/>
        </w:rPr>
        <w:t xml:space="preserve">  </w:t>
      </w:r>
    </w:p>
    <w:p w:rsidR="00FB0B24" w:rsidRPr="005B5CB6" w:rsidP="00A72806">
      <w:pPr>
        <w:spacing w:after="38" w:line="250" w:lineRule="auto"/>
        <w:ind w:left="11" w:hanging="10"/>
        <w:jc w:val="both"/>
        <w:rPr>
          <w:rFonts w:ascii="Verdana" w:hAnsi="Verdana"/>
        </w:rPr>
      </w:pPr>
      <w:r w:rsidRPr="005B5CB6">
        <w:rPr>
          <w:rFonts w:ascii="Verdana" w:eastAsia="Verdana" w:hAnsi="Verdana" w:cs="Verdana"/>
          <w:b/>
        </w:rPr>
        <w:t xml:space="preserve">The issues  </w:t>
      </w:r>
    </w:p>
    <w:p w:rsidR="00FB0B24" w:rsidRPr="005B5CB6" w:rsidP="00A72806">
      <w:pPr>
        <w:spacing w:after="31" w:line="250" w:lineRule="auto"/>
        <w:ind w:left="23" w:right="602" w:hanging="8"/>
        <w:jc w:val="both"/>
        <w:rPr>
          <w:rFonts w:ascii="Verdana" w:hAnsi="Verdana"/>
        </w:rPr>
      </w:pPr>
      <w:r w:rsidRPr="005B5CB6">
        <w:rPr>
          <w:rFonts w:ascii="Verdana" w:eastAsia="Verdana" w:hAnsi="Verdana" w:cs="Verdana"/>
        </w:rPr>
        <w:t xml:space="preserve">There are distinct positives where digital technology has promoted genuine debate, empowered individuals and created a new form of engagement with politics and policy-making. However, the positive effects of digital technologies rest on a few assumptions - one of which is that individuals are engaging authentically as themselves where possible. But Avaaz has uncovered significant evidence of the use of fake accounts and bots to amplify minority opinions so that they appear to have more support and sway than they really do.   </w:t>
      </w:r>
    </w:p>
    <w:p w:rsidR="00FB0B24" w:rsidRPr="005B5CB6" w:rsidP="00A72806">
      <w:pPr>
        <w:spacing w:after="27"/>
        <w:ind w:left="14"/>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29" w:line="250" w:lineRule="auto"/>
        <w:ind w:left="23" w:right="585" w:hanging="8"/>
        <w:jc w:val="both"/>
        <w:rPr>
          <w:rFonts w:ascii="Verdana" w:hAnsi="Verdana"/>
        </w:rPr>
      </w:pPr>
      <w:r w:rsidRPr="005B5CB6">
        <w:rPr>
          <w:rFonts w:ascii="Verdana" w:eastAsia="Verdana" w:hAnsi="Verdana" w:cs="Verdana"/>
        </w:rPr>
        <w:t>Ahead of the EU elections, Avaaz conducted investigations in 6 key EU countries and unearthed large networks of disinformation on Facebook. This was the first investigation of its kind and uncovered that far-right and anti-EU groups are weaponizing social media at scale to spread false and hateful content in an attempt to influence the elections by making their views seem to have more widespread currency and support than they actually did. Our findings were shared with Facebook, and resulted in an unprecedented shut down of Facebook pages just before voters headed to the polls.</w:t>
      </w: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29"/>
        <w:ind w:left="14"/>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33" w:line="250" w:lineRule="auto"/>
        <w:ind w:left="23" w:right="11" w:hanging="8"/>
        <w:jc w:val="both"/>
        <w:rPr>
          <w:rFonts w:ascii="Verdana" w:hAnsi="Verdana"/>
        </w:rPr>
      </w:pPr>
      <w:r w:rsidRPr="005B5CB6">
        <w:rPr>
          <w:rFonts w:ascii="Verdana" w:eastAsia="Verdana" w:hAnsi="Verdana" w:cs="Verdana"/>
        </w:rPr>
        <w:t xml:space="preserve">Media coverage of Avaaz’s investigations:  </w:t>
      </w:r>
    </w:p>
    <w:p w:rsidR="00FB0B24" w:rsidRPr="005B5CB6" w:rsidP="00A72806">
      <w:pPr>
        <w:spacing w:after="56" w:line="249" w:lineRule="auto"/>
        <w:ind w:left="-4" w:right="7560" w:hanging="10"/>
        <w:jc w:val="both"/>
        <w:rPr>
          <w:rFonts w:ascii="Verdana" w:hAnsi="Verdana"/>
        </w:rPr>
      </w:pPr>
      <w:r>
        <w:fldChar w:fldCharType="begin"/>
      </w:r>
      <w:r>
        <w:instrText xml:space="preserve"> HYPERLINK "https://www.theguardian.com/world/2019/may/22/far-right-facebook-groups-spreading-hate-to-millions-in-europe" </w:instrText>
      </w:r>
      <w:r>
        <w:fldChar w:fldCharType="separate"/>
      </w:r>
      <w:r w:rsidRPr="005B5CB6" w:rsidR="00A72806">
        <w:rPr>
          <w:rFonts w:ascii="Verdana" w:eastAsia="Verdana" w:hAnsi="Verdana" w:cs="Verdana"/>
          <w:color w:val="1155CC"/>
          <w:u w:val="single" w:color="1155CC"/>
        </w:rPr>
        <w:t>Guardian</w:t>
      </w:r>
      <w:r>
        <w:fldChar w:fldCharType="end"/>
      </w:r>
      <w:r>
        <w:fldChar w:fldCharType="begin"/>
      </w:r>
      <w:r>
        <w:instrText xml:space="preserve"> HYPERLINK "https://www.theguardian.com/world/2019/may/22/far-right-facebook-groups-spreading-hate-to-millions-in-europe"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 </w:t>
      </w:r>
      <w:r>
        <w:fldChar w:fldCharType="begin"/>
      </w:r>
      <w:r>
        <w:instrText xml:space="preserve"> HYPERLINK "https://www.dw.com/en/vast-far-right-disinformation-networks-discovered-in-eu/a-48823382" </w:instrText>
      </w:r>
      <w:r>
        <w:fldChar w:fldCharType="separate"/>
      </w:r>
      <w:r w:rsidRPr="005B5CB6" w:rsidR="00A72806">
        <w:rPr>
          <w:rFonts w:ascii="Verdana" w:eastAsia="Verdana" w:hAnsi="Verdana" w:cs="Verdana"/>
          <w:color w:val="1155CC"/>
          <w:u w:val="single" w:color="1155CC"/>
        </w:rPr>
        <w:t>Deutsche Well</w:t>
      </w:r>
      <w:r>
        <w:fldChar w:fldCharType="end"/>
      </w:r>
      <w:r>
        <w:fldChar w:fldCharType="begin"/>
      </w:r>
      <w:r>
        <w:instrText xml:space="preserve"> HYPERLINK "https://www.dw.com/en/vast-far-right-disinformation-networks-discovered-in-eu/a-48823382" </w:instrText>
      </w:r>
      <w:r>
        <w:fldChar w:fldCharType="separate"/>
      </w:r>
      <w:r w:rsidRPr="005B5CB6" w:rsidR="00A72806">
        <w:rPr>
          <w:rFonts w:ascii="Verdana" w:eastAsia="Verdana" w:hAnsi="Verdana" w:cs="Verdana"/>
          <w:color w:val="1155CC"/>
          <w:u w:val="single" w:color="1155CC"/>
        </w:rPr>
        <w:t>e</w:t>
      </w:r>
      <w:r>
        <w:fldChar w:fldCharType="end"/>
      </w:r>
      <w:r>
        <w:fldChar w:fldCharType="begin"/>
      </w:r>
      <w:r>
        <w:instrText xml:space="preserve"> HYPERLINK "https://www.dw.com/en/vast-far-right-disinformation-networks-discovered-in-eu/a-48823382" </w:instrText>
      </w:r>
      <w:r>
        <w:fldChar w:fldCharType="separate"/>
      </w:r>
      <w:r w:rsidRPr="005B5CB6" w:rsidR="00A72806">
        <w:rPr>
          <w:rFonts w:ascii="Verdana" w:eastAsia="Verdana" w:hAnsi="Verdana" w:cs="Verdana"/>
        </w:rPr>
        <w:t xml:space="preserve">  </w:t>
      </w:r>
      <w:r>
        <w:fldChar w:fldCharType="end"/>
      </w:r>
      <w:r>
        <w:fldChar w:fldCharType="begin"/>
      </w:r>
      <w:r>
        <w:instrText xml:space="preserve"> HYPERLINK "https://www.euractiv.com/section/digital/news/digital-brief-far-right-falsities/" </w:instrText>
      </w:r>
      <w:r>
        <w:fldChar w:fldCharType="separate"/>
      </w:r>
      <w:r w:rsidRPr="005B5CB6" w:rsidR="00A72806">
        <w:rPr>
          <w:rFonts w:ascii="Verdana" w:eastAsia="Verdana" w:hAnsi="Verdana" w:cs="Verdana"/>
          <w:color w:val="1155CC"/>
          <w:u w:val="single" w:color="1155CC"/>
        </w:rPr>
        <w:t>Euracti</w:t>
      </w:r>
      <w:r>
        <w:fldChar w:fldCharType="end"/>
      </w:r>
      <w:r>
        <w:fldChar w:fldCharType="begin"/>
      </w:r>
      <w:r>
        <w:instrText xml:space="preserve"> HYPERLINK "https://www.euractiv.com/section/digital/news/digital-brief-far-right-falsities/" </w:instrText>
      </w:r>
      <w:r>
        <w:fldChar w:fldCharType="separate"/>
      </w:r>
      <w:r w:rsidRPr="005B5CB6" w:rsidR="00A72806">
        <w:rPr>
          <w:rFonts w:ascii="Verdana" w:eastAsia="Verdana" w:hAnsi="Verdana" w:cs="Verdana"/>
          <w:color w:val="1155CC"/>
          <w:u w:val="single" w:color="1155CC"/>
        </w:rPr>
        <w:t>v</w:t>
      </w:r>
      <w:r>
        <w:fldChar w:fldCharType="end"/>
      </w:r>
      <w:r>
        <w:fldChar w:fldCharType="begin"/>
      </w:r>
      <w:r>
        <w:instrText xml:space="preserve"> HYPERLINK "https://www.euractiv.com/section/digital/news/digital-brief-far-right-falsities/" </w:instrText>
      </w:r>
      <w:r>
        <w:fldChar w:fldCharType="separate"/>
      </w:r>
      <w:r w:rsidRPr="005B5CB6" w:rsidR="00A72806">
        <w:rPr>
          <w:rFonts w:ascii="Verdana" w:eastAsia="Verdana" w:hAnsi="Verdana" w:cs="Verdana"/>
        </w:rPr>
        <w:t xml:space="preserve">  </w:t>
      </w:r>
      <w:r>
        <w:fldChar w:fldCharType="end"/>
      </w:r>
    </w:p>
    <w:p w:rsidR="00FB0B24" w:rsidRPr="005B5CB6" w:rsidP="00A72806">
      <w:pPr>
        <w:spacing w:after="36" w:line="249" w:lineRule="auto"/>
        <w:ind w:left="-4" w:hanging="10"/>
        <w:jc w:val="both"/>
        <w:rPr>
          <w:rFonts w:ascii="Verdana" w:hAnsi="Verdana"/>
        </w:rPr>
      </w:pPr>
      <w:r>
        <w:fldChar w:fldCharType="begin"/>
      </w:r>
      <w:r>
        <w:instrText xml:space="preserve"> HYPERLINK "https://www.wired.com/story/far-right-propaganda-facebook-eu-elections/" </w:instrText>
      </w:r>
      <w:r>
        <w:fldChar w:fldCharType="separate"/>
      </w:r>
      <w:r w:rsidRPr="005B5CB6" w:rsidR="00A72806">
        <w:rPr>
          <w:rFonts w:ascii="Verdana" w:eastAsia="Verdana" w:hAnsi="Verdana" w:cs="Verdana"/>
          <w:color w:val="1155CC"/>
          <w:u w:val="single" w:color="1155CC"/>
        </w:rPr>
        <w:t>Wired</w:t>
      </w:r>
      <w:r>
        <w:fldChar w:fldCharType="end"/>
      </w:r>
      <w:r>
        <w:fldChar w:fldCharType="begin"/>
      </w:r>
      <w:r>
        <w:instrText xml:space="preserve"> HYPERLINK "https://www.wired.com/story/far-right-propaganda-facebook-eu-elections/"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 </w:t>
      </w:r>
    </w:p>
    <w:p w:rsidR="00FB0B24" w:rsidRPr="005B5CB6" w:rsidP="00A72806">
      <w:pPr>
        <w:spacing w:after="24"/>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40" w:line="250" w:lineRule="auto"/>
        <w:ind w:left="11" w:hanging="10"/>
        <w:jc w:val="both"/>
        <w:rPr>
          <w:rFonts w:ascii="Verdana" w:hAnsi="Verdana"/>
        </w:rPr>
      </w:pPr>
      <w:r w:rsidRPr="005B5CB6">
        <w:rPr>
          <w:rFonts w:ascii="Verdana" w:eastAsia="Verdana" w:hAnsi="Verdana" w:cs="Verdana"/>
          <w:b/>
        </w:rPr>
        <w:t xml:space="preserve">The Evidence: </w:t>
      </w:r>
      <w:r w:rsidRPr="005B5CB6">
        <w:rPr>
          <w:rFonts w:ascii="Verdana" w:eastAsia="Verdana" w:hAnsi="Verdana" w:cs="Verdana"/>
        </w:rPr>
        <w:t xml:space="preserve"> </w:t>
      </w:r>
    </w:p>
    <w:p w:rsidR="00FB0B24" w:rsidRPr="005B5CB6" w:rsidP="00A72806">
      <w:pPr>
        <w:spacing w:after="24"/>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40" w:line="250" w:lineRule="auto"/>
        <w:ind w:left="11" w:hanging="10"/>
        <w:jc w:val="both"/>
        <w:rPr>
          <w:rFonts w:ascii="Verdana" w:hAnsi="Verdana"/>
        </w:rPr>
      </w:pPr>
      <w:r w:rsidRPr="005B5CB6">
        <w:rPr>
          <w:rFonts w:ascii="Verdana" w:eastAsia="Verdana" w:hAnsi="Verdana" w:cs="Verdana"/>
          <w:b/>
        </w:rPr>
        <w:t xml:space="preserve">Fake Accounts in use by politicians and supporters of the AfD party in Germany ahead of the European Election.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55" w:line="250" w:lineRule="auto"/>
        <w:ind w:left="23" w:right="542" w:hanging="8"/>
        <w:jc w:val="both"/>
        <w:rPr>
          <w:rFonts w:ascii="Verdana" w:hAnsi="Verdana"/>
        </w:rPr>
      </w:pPr>
      <w:r w:rsidRPr="005B5CB6">
        <w:rPr>
          <w:rFonts w:ascii="Verdana" w:eastAsia="Verdana" w:hAnsi="Verdana" w:cs="Verdana"/>
        </w:rPr>
        <w:t xml:space="preserve">In May 2019 the AfD party in Germany was standing on an anti EU immigration policy platform. We discovered multiple instances of social media manipulation through fake and multiple accounts in violation of Facebook’s terms and conditions. When we reported it to </w:t>
      </w:r>
      <w:r w:rsidRPr="005B5CB6">
        <w:rPr>
          <w:rFonts w:ascii="Verdana" w:eastAsia="Verdana" w:hAnsi="Verdana" w:cs="Verdana"/>
          <w:b/>
        </w:rPr>
        <w:t>Facebook, they shut down these accounts, although the content they spread, would have been seen by and potentially influenced many voters before Facebook did so.</w:t>
      </w:r>
      <w:r w:rsidRPr="005B5CB6">
        <w:rPr>
          <w:rFonts w:ascii="Verdana" w:eastAsia="Verdana" w:hAnsi="Verdana" w:cs="Verdana"/>
        </w:rPr>
        <w:t xml:space="preserve">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29" w:line="250" w:lineRule="auto"/>
        <w:ind w:left="23" w:right="483" w:hanging="8"/>
        <w:jc w:val="both"/>
        <w:rPr>
          <w:rFonts w:ascii="Verdana" w:hAnsi="Verdana"/>
        </w:rPr>
      </w:pPr>
      <w:r w:rsidRPr="005B5CB6">
        <w:rPr>
          <w:rFonts w:ascii="Verdana" w:eastAsia="Verdana" w:hAnsi="Verdana" w:cs="Verdana"/>
        </w:rPr>
        <w:t xml:space="preserve">In its simplest form we saw politicians creating multiple accounts for themselves to amplify and repost their content to different audiences. For example  Laleh </w:t>
      </w:r>
    </w:p>
    <w:p w:rsidR="00FB0B24" w:rsidRPr="005B5CB6" w:rsidP="00A72806">
      <w:pPr>
        <w:spacing w:after="33" w:line="250" w:lineRule="auto"/>
        <w:ind w:left="23" w:right="11" w:hanging="8"/>
        <w:jc w:val="both"/>
        <w:rPr>
          <w:rFonts w:ascii="Verdana" w:hAnsi="Verdana"/>
        </w:rPr>
      </w:pPr>
      <w:r w:rsidRPr="005B5CB6">
        <w:rPr>
          <w:rFonts w:ascii="Verdana" w:eastAsia="Verdana" w:hAnsi="Verdana" w:cs="Verdana"/>
        </w:rPr>
        <w:t xml:space="preserve">Hadjimohamadvali was a candidate for the AfD in the elections for Landtag </w:t>
      </w:r>
    </w:p>
    <w:p w:rsidR="00FB0B24" w:rsidRPr="005B5CB6" w:rsidP="00A72806">
      <w:pPr>
        <w:spacing w:after="29" w:line="250" w:lineRule="auto"/>
        <w:ind w:left="23" w:right="505" w:hanging="8"/>
        <w:jc w:val="both"/>
        <w:rPr>
          <w:rFonts w:ascii="Verdana" w:hAnsi="Verdana"/>
        </w:rPr>
      </w:pPr>
      <w:r w:rsidRPr="005B5CB6">
        <w:rPr>
          <w:rFonts w:ascii="Verdana" w:eastAsia="Verdana" w:hAnsi="Verdana" w:cs="Verdana"/>
        </w:rPr>
        <w:t xml:space="preserve">(state parliament) in Saarbrücken and Bundestag (federal parliament) in 2017.  She then stood as a candidate for the position of mayor in Saarbrücken and during this period we observed four accounts, 4 each clearly showing Laleh </w:t>
      </w:r>
    </w:p>
    <w:p w:rsidR="00FB0B24" w:rsidRPr="005B5CB6" w:rsidP="00A72806">
      <w:pPr>
        <w:spacing w:after="29" w:line="250" w:lineRule="auto"/>
        <w:ind w:left="23" w:right="714" w:hanging="8"/>
        <w:jc w:val="both"/>
        <w:rPr>
          <w:rFonts w:ascii="Verdana" w:hAnsi="Verdana"/>
        </w:rPr>
      </w:pPr>
      <w:r w:rsidRPr="005B5CB6">
        <w:rPr>
          <w:rFonts w:ascii="Verdana" w:eastAsia="Verdana" w:hAnsi="Verdana" w:cs="Verdana"/>
        </w:rPr>
        <w:t xml:space="preserve">Hadjimohamadvali’s image on their profile. It is a breach of Facebook’s Community Standards on Misrepresentation to “maintain multiple accounts.” We found personal videos and photos of Hadjimohamadvali across all four accounts, and three of the four profiles are “friends” with each other. On May 17, within 24 hours of being alerted to the accounts, Facebook removed the Laleh Mohamad account.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31" w:line="250" w:lineRule="auto"/>
        <w:ind w:left="23" w:right="667" w:hanging="8"/>
        <w:jc w:val="both"/>
        <w:rPr>
          <w:rFonts w:ascii="Verdana" w:hAnsi="Verdana"/>
        </w:rPr>
      </w:pPr>
      <w:r w:rsidRPr="005B5CB6">
        <w:rPr>
          <w:rFonts w:ascii="Verdana" w:eastAsia="Verdana" w:hAnsi="Verdana" w:cs="Verdana"/>
        </w:rPr>
        <w:t>Beyond this simple form of influence we discovered another AfD politician with 22 fake and duplicate accounts as “friends”. These “friends” reposted the politician’s content making it seem more popular than it really was. This politician had been identified as posting known disinformation, including fake quotes falsely attributed to the Vice-President of the EU commission, Frans Timmermans</w:t>
      </w:r>
      <w:r>
        <w:rPr>
          <w:rFonts w:ascii="Verdana" w:eastAsia="Verdana" w:hAnsi="Verdana" w:cs="Verdana"/>
          <w:vertAlign w:val="superscript"/>
        </w:rPr>
        <w:footnoteReference w:id="318"/>
      </w:r>
      <w:r w:rsidRPr="005B5CB6">
        <w:rPr>
          <w:rFonts w:ascii="Verdana" w:eastAsia="Verdana" w:hAnsi="Verdana" w:cs="Verdana"/>
        </w:rPr>
        <w:t xml:space="preserve">. As per Nick Clegg’s announcement, such posting of disinformation would not be subjected to third-party fact-checking simply because it comes from a politician and worse, this network of fake “friends” helped make it appear that the message was more popular than it actually was.  </w:t>
      </w:r>
    </w:p>
    <w:p w:rsidR="00FB0B24" w:rsidRPr="005B5CB6" w:rsidP="00A72806">
      <w:pPr>
        <w:spacing w:after="454"/>
        <w:ind w:left="15"/>
        <w:jc w:val="both"/>
        <w:rPr>
          <w:rFonts w:ascii="Verdana" w:hAnsi="Verdana"/>
        </w:rPr>
      </w:pP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3923" name="Group 58392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295" name="Shape 63629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37" style="height:0.6pt;mso-position-horizontal-relative:char;mso-position-vertical-relative:line;width:2in" coordsize="18288,76">
                <v:shape id="_x0000_s1338"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29" w:line="250" w:lineRule="auto"/>
        <w:ind w:left="23" w:right="493" w:hanging="8"/>
        <w:jc w:val="both"/>
        <w:rPr>
          <w:rFonts w:ascii="Verdana" w:hAnsi="Verdana"/>
        </w:rPr>
      </w:pPr>
      <w:r w:rsidRPr="005B5CB6">
        <w:rPr>
          <w:rFonts w:ascii="Verdana" w:eastAsia="Verdana" w:hAnsi="Verdana" w:cs="Verdana"/>
        </w:rPr>
        <w:t xml:space="preserve">It is possible that when the politician befriended these profiles he was not aware of them being inauthentic but when we reported it to Facebook seven out of the 22 profiles were immediately shut down.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31" w:line="250" w:lineRule="auto"/>
        <w:ind w:left="23" w:right="611" w:hanging="8"/>
        <w:jc w:val="both"/>
        <w:rPr>
          <w:rFonts w:ascii="Verdana" w:hAnsi="Verdana"/>
        </w:rPr>
      </w:pPr>
      <w:r w:rsidRPr="005B5CB6">
        <w:rPr>
          <w:rFonts w:ascii="Verdana" w:eastAsia="Verdana" w:hAnsi="Verdana" w:cs="Verdana"/>
        </w:rPr>
        <w:t xml:space="preserve">Worryingly, we traced an even more organised network of fake accounts deliberately reposting content. We found a Network of AfD fan pages and groups acting together, closely coordinating their posting, with each of them publicly supporting the AfD party in Germany. Our evidence showed that these apparently separate groups and pages led back to the profile of just one individual - Johann Z., - a self-described AfD supporter living in Germany. See the links in the image below.  </w:t>
      </w:r>
    </w:p>
    <w:p w:rsidR="00FB0B24" w:rsidRPr="005B5CB6" w:rsidP="00A72806">
      <w:pPr>
        <w:spacing w:after="0"/>
        <w:ind w:left="15"/>
        <w:jc w:val="both"/>
        <w:rPr>
          <w:rFonts w:ascii="Verdana" w:hAnsi="Verdana"/>
        </w:rPr>
      </w:pPr>
      <w:r w:rsidRPr="005B5CB6">
        <w:rPr>
          <w:rFonts w:ascii="Verdana" w:eastAsia="Verdana" w:hAnsi="Verdana" w:cs="Verdana"/>
        </w:rPr>
        <w:t xml:space="preserve">  </w:t>
      </w:r>
    </w:p>
    <w:p w:rsidR="00FB0B24" w:rsidRPr="005B5CB6" w:rsidP="00A72806">
      <w:pPr>
        <w:spacing w:after="0"/>
        <w:ind w:right="86"/>
        <w:jc w:val="both"/>
        <w:rPr>
          <w:rFonts w:ascii="Verdana" w:hAnsi="Verdana"/>
        </w:rPr>
      </w:pPr>
      <w:r w:rsidRPr="005B5CB6">
        <w:rPr>
          <w:rFonts w:ascii="Verdana" w:hAnsi="Verdana"/>
          <w:noProof/>
        </w:rPr>
        <w:drawing>
          <wp:inline distT="0" distB="0" distL="0" distR="0">
            <wp:extent cx="6029325" cy="3648075"/>
            <wp:effectExtent l="0" t="0" r="0" b="0"/>
            <wp:docPr id="37016" name="Picture 37016"/>
            <wp:cNvGraphicFramePr/>
            <a:graphic xmlns:a="http://schemas.openxmlformats.org/drawingml/2006/main">
              <a:graphicData uri="http://schemas.openxmlformats.org/drawingml/2006/picture">
                <pic:pic xmlns:pic="http://schemas.openxmlformats.org/drawingml/2006/picture">
                  <pic:nvPicPr>
                    <pic:cNvPr id="37016" name="Picture 37016"/>
                    <pic:cNvPicPr/>
                  </pic:nvPicPr>
                  <pic:blipFill>
                    <a:blip xmlns:r="http://schemas.openxmlformats.org/officeDocument/2006/relationships" r:embed="rId382"/>
                    <a:stretch>
                      <a:fillRect/>
                    </a:stretch>
                  </pic:blipFill>
                  <pic:spPr>
                    <a:xfrm>
                      <a:off x="0" y="0"/>
                      <a:ext cx="6029325" cy="3648075"/>
                    </a:xfrm>
                    <a:prstGeom prst="rect">
                      <a:avLst/>
                    </a:prstGeom>
                  </pic:spPr>
                </pic:pic>
              </a:graphicData>
            </a:graphic>
          </wp:inline>
        </w:drawing>
      </w:r>
      <w:r w:rsidRPr="005B5CB6">
        <w:rPr>
          <w:rFonts w:ascii="Verdana" w:eastAsia="Verdana" w:hAnsi="Verdana" w:cs="Verdana"/>
        </w:rPr>
        <w:t xml:space="preserve">  </w:t>
      </w:r>
    </w:p>
    <w:p w:rsidR="00FB0B24" w:rsidRPr="005B5CB6" w:rsidP="00A72806">
      <w:pPr>
        <w:spacing w:after="29"/>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31" w:line="250" w:lineRule="auto"/>
        <w:ind w:left="23" w:right="687" w:hanging="8"/>
        <w:jc w:val="both"/>
        <w:rPr>
          <w:rFonts w:ascii="Verdana" w:hAnsi="Verdana"/>
        </w:rPr>
      </w:pPr>
      <w:r w:rsidRPr="005B5CB6">
        <w:rPr>
          <w:rFonts w:ascii="Verdana" w:eastAsia="Verdana" w:hAnsi="Verdana" w:cs="Verdana"/>
        </w:rPr>
        <w:t xml:space="preserve">The following screenshots show how these pages and groups are used to spread content, sharing one article almost simultaneously, thereby boosting its apparent popularity on Facebook.   </w:t>
      </w:r>
    </w:p>
    <w:p w:rsidR="00FB0B24" w:rsidRPr="005B5CB6" w:rsidP="00A72806">
      <w:pPr>
        <w:spacing w:after="0"/>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0"/>
        <w:ind w:right="223"/>
        <w:jc w:val="both"/>
        <w:rPr>
          <w:rFonts w:ascii="Verdana" w:hAnsi="Verdana"/>
        </w:rPr>
      </w:pPr>
      <w:r w:rsidRPr="005B5CB6">
        <w:rPr>
          <w:rFonts w:ascii="Verdana" w:hAnsi="Verdana"/>
          <w:noProof/>
        </w:rPr>
        <w:drawing>
          <wp:inline distT="0" distB="0" distL="0" distR="0">
            <wp:extent cx="5943600" cy="6438900"/>
            <wp:effectExtent l="0" t="0" r="0" b="0"/>
            <wp:docPr id="37048" name="Picture 37048"/>
            <wp:cNvGraphicFramePr/>
            <a:graphic xmlns:a="http://schemas.openxmlformats.org/drawingml/2006/main">
              <a:graphicData uri="http://schemas.openxmlformats.org/drawingml/2006/picture">
                <pic:pic xmlns:pic="http://schemas.openxmlformats.org/drawingml/2006/picture">
                  <pic:nvPicPr>
                    <pic:cNvPr id="37048" name="Picture 37048"/>
                    <pic:cNvPicPr/>
                  </pic:nvPicPr>
                  <pic:blipFill>
                    <a:blip xmlns:r="http://schemas.openxmlformats.org/officeDocument/2006/relationships" r:embed="rId383"/>
                    <a:stretch>
                      <a:fillRect/>
                    </a:stretch>
                  </pic:blipFill>
                  <pic:spPr>
                    <a:xfrm>
                      <a:off x="0" y="0"/>
                      <a:ext cx="5943600" cy="6438900"/>
                    </a:xfrm>
                    <a:prstGeom prst="rect">
                      <a:avLst/>
                    </a:prstGeom>
                  </pic:spPr>
                </pic:pic>
              </a:graphicData>
            </a:graphic>
          </wp:inline>
        </w:drawing>
      </w: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147" w:line="250" w:lineRule="auto"/>
        <w:ind w:left="23" w:right="695" w:hanging="8"/>
        <w:jc w:val="both"/>
        <w:rPr>
          <w:rFonts w:ascii="Verdana" w:hAnsi="Verdana"/>
        </w:rPr>
      </w:pPr>
      <w:r w:rsidRPr="005B5CB6">
        <w:rPr>
          <w:rFonts w:ascii="Verdana" w:eastAsia="Verdana" w:hAnsi="Verdana" w:cs="Verdana"/>
        </w:rPr>
        <w:t xml:space="preserve">We found this method of boosting the apparent appeal and popularity of minority polarising views across all the countries we investigated in Europe, and have detailed further instances in Spain, Poland and France in </w:t>
      </w:r>
      <w:r>
        <w:fldChar w:fldCharType="begin"/>
      </w:r>
      <w:r>
        <w:instrText xml:space="preserve"> HYPERLINK "https://avaazimages.avaaz.org/Avaaz%20Report%20Network%20Deception%2020190522.pdf?slideshow" </w:instrText>
      </w:r>
      <w:r>
        <w:fldChar w:fldCharType="separate"/>
      </w:r>
      <w:r w:rsidRPr="005B5CB6">
        <w:rPr>
          <w:rFonts w:ascii="Verdana" w:eastAsia="Verdana" w:hAnsi="Verdana" w:cs="Verdana"/>
          <w:color w:val="1155CC"/>
          <w:u w:val="single" w:color="1155CC"/>
        </w:rPr>
        <w:t>our repor</w:t>
      </w:r>
      <w:r>
        <w:fldChar w:fldCharType="end"/>
      </w:r>
      <w:r>
        <w:fldChar w:fldCharType="begin"/>
      </w:r>
      <w:r>
        <w:instrText xml:space="preserve"> HYPERLINK "https://avaazimages.avaaz.org/Avaaz%20Report%20Network%20Deception%2020190522.pdf?slideshow" </w:instrText>
      </w:r>
      <w:r>
        <w:fldChar w:fldCharType="separate"/>
      </w:r>
      <w:r w:rsidRPr="005B5CB6">
        <w:rPr>
          <w:rFonts w:ascii="Verdana" w:eastAsia="Verdana" w:hAnsi="Verdana" w:cs="Verdana"/>
          <w:color w:val="1155CC"/>
          <w:u w:val="single" w:color="1155CC"/>
        </w:rPr>
        <w:t>t</w:t>
      </w:r>
      <w:r>
        <w:fldChar w:fldCharType="end"/>
      </w:r>
      <w:r>
        <w:fldChar w:fldCharType="begin"/>
      </w:r>
      <w:r>
        <w:instrText xml:space="preserve"> HYPERLINK "https://avaazimages.avaaz.org/Avaaz%20Report%20Network%20Deception%2020190522.pdf?slideshow" </w:instrText>
      </w:r>
      <w:r>
        <w:fldChar w:fldCharType="separate"/>
      </w:r>
      <w:r w:rsidRPr="005B5CB6">
        <w:rPr>
          <w:rFonts w:ascii="Verdana" w:eastAsia="Verdana" w:hAnsi="Verdana" w:cs="Verdana"/>
        </w:rPr>
        <w:t>.</w:t>
      </w:r>
      <w:r>
        <w:fldChar w:fldCharType="end"/>
      </w:r>
      <w:r>
        <w:fldChar w:fldCharType="begin"/>
      </w:r>
      <w:r>
        <w:instrText xml:space="preserve"> HYPERLINK "https://avaazimages.avaaz.org/Avaaz%20Report%20Network%20Deception%2020190522.pdf?slideshow"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p>
    <w:p w:rsidR="00FB0B24" w:rsidRPr="005B5CB6" w:rsidP="00A72806">
      <w:pPr>
        <w:spacing w:after="24"/>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35" w:line="250" w:lineRule="auto"/>
        <w:ind w:left="11" w:hanging="10"/>
        <w:jc w:val="both"/>
        <w:rPr>
          <w:rFonts w:ascii="Verdana" w:hAnsi="Verdana"/>
        </w:rPr>
      </w:pPr>
      <w:r w:rsidRPr="005B5CB6">
        <w:rPr>
          <w:rFonts w:ascii="Verdana" w:eastAsia="Verdana" w:hAnsi="Verdana" w:cs="Verdana"/>
          <w:b/>
        </w:rPr>
        <w:t xml:space="preserve">The Solution  </w:t>
      </w:r>
    </w:p>
    <w:p w:rsidR="00FB0B24" w:rsidRPr="005B5CB6" w:rsidP="00A72806">
      <w:pPr>
        <w:spacing w:after="29"/>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5" w:line="331" w:lineRule="auto"/>
        <w:ind w:left="23" w:right="714" w:hanging="8"/>
        <w:jc w:val="both"/>
        <w:rPr>
          <w:rFonts w:ascii="Verdana" w:hAnsi="Verdana"/>
        </w:rPr>
      </w:pPr>
      <w:r w:rsidRPr="005B5CB6">
        <w:rPr>
          <w:rFonts w:ascii="Verdana" w:eastAsia="Verdana" w:hAnsi="Verdana" w:cs="Verdana"/>
          <w:b/>
        </w:rPr>
        <w:t>Fake Accounts and unlabelled bots act as conduits for disinformation and harm voters</w:t>
      </w:r>
      <w:r w:rsidRPr="005B5CB6">
        <w:rPr>
          <w:rFonts w:ascii="Verdana" w:eastAsia="Verdana" w:hAnsi="Verdana" w:cs="Verdana"/>
        </w:rPr>
        <w:t xml:space="preserve"> in precisely the same way that misleading advertising and unfair business practices harm consumers. They must therefore be </w:t>
      </w:r>
      <w:r w:rsidRPr="005B5CB6">
        <w:rPr>
          <w:rFonts w:ascii="Verdana" w:eastAsia="Verdana" w:hAnsi="Verdana" w:cs="Verdana"/>
          <w:b/>
        </w:rPr>
        <w:t>mandatorily</w:t>
      </w:r>
      <w:r w:rsidRPr="005B5CB6">
        <w:rPr>
          <w:rFonts w:ascii="Verdana" w:eastAsia="Verdana" w:hAnsi="Verdana" w:cs="Verdana"/>
        </w:rPr>
        <w:t xml:space="preserve"> </w:t>
      </w:r>
      <w:r w:rsidRPr="005B5CB6">
        <w:rPr>
          <w:rFonts w:ascii="Verdana" w:eastAsia="Verdana" w:hAnsi="Verdana" w:cs="Verdana"/>
          <w:b/>
        </w:rPr>
        <w:t>banned on all platforms.</w:t>
      </w:r>
      <w:r w:rsidRPr="005B5CB6">
        <w:rPr>
          <w:rFonts w:ascii="Verdana" w:eastAsia="Verdana" w:hAnsi="Verdana" w:cs="Verdana"/>
        </w:rPr>
        <w:t xml:space="preserve"> Many platforms’ guidelines and policies already include this ban, but they are underperforming on actively searching for fake accounts, closing the loopholes that allow them to multiply and reducing the incentives provided by their own services that favor the existence of bots.   </w:t>
      </w:r>
    </w:p>
    <w:p w:rsidR="00FB0B24" w:rsidRPr="005B5CB6" w:rsidP="00A72806">
      <w:pPr>
        <w:spacing w:after="34"/>
        <w:ind w:left="106"/>
        <w:jc w:val="both"/>
        <w:rPr>
          <w:rFonts w:ascii="Verdana" w:hAnsi="Verdana"/>
        </w:rPr>
      </w:pPr>
      <w:r w:rsidRPr="005B5CB6">
        <w:rPr>
          <w:rFonts w:ascii="Verdana" w:eastAsia="Verdana" w:hAnsi="Verdana" w:cs="Verdana"/>
        </w:rPr>
        <w:t xml:space="preserve">  </w:t>
      </w:r>
    </w:p>
    <w:p w:rsidR="00FB0B24" w:rsidRPr="005B5CB6" w:rsidP="00A72806">
      <w:pPr>
        <w:spacing w:after="60" w:line="250" w:lineRule="auto"/>
        <w:ind w:left="23" w:right="642" w:hanging="8"/>
        <w:jc w:val="both"/>
        <w:rPr>
          <w:rFonts w:ascii="Verdana" w:hAnsi="Verdana"/>
        </w:rPr>
      </w:pPr>
      <w:r w:rsidRPr="005B5CB6">
        <w:rPr>
          <w:rFonts w:ascii="Verdana" w:eastAsia="Verdana" w:hAnsi="Verdana" w:cs="Verdana"/>
          <w:b/>
        </w:rPr>
        <w:t xml:space="preserve">Bots </w:t>
      </w:r>
      <w:r w:rsidRPr="005B5CB6">
        <w:rPr>
          <w:rFonts w:ascii="Verdana" w:eastAsia="Verdana" w:hAnsi="Verdana" w:cs="Verdana"/>
        </w:rPr>
        <w:t>must be prominently and effectively</w:t>
      </w:r>
      <w:r w:rsidRPr="005B5CB6">
        <w:rPr>
          <w:rFonts w:ascii="Verdana" w:eastAsia="Verdana" w:hAnsi="Verdana" w:cs="Verdana"/>
          <w:b/>
        </w:rPr>
        <w:t xml:space="preserve"> labelled</w:t>
      </w:r>
      <w:r w:rsidRPr="005B5CB6">
        <w:rPr>
          <w:rFonts w:ascii="Verdana" w:eastAsia="Verdana" w:hAnsi="Verdana" w:cs="Verdana"/>
        </w:rPr>
        <w:t xml:space="preserve">, and all content distributed by bots must prominently include the label and retain said label when the content or message is shared, forwarded, or passed along in any other manner. All such labels must be presented and formatted in a way that it is immediately clear to any user that they are interacting with a non-human.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31" w:line="249" w:lineRule="auto"/>
        <w:ind w:left="10" w:hanging="10"/>
        <w:jc w:val="both"/>
        <w:rPr>
          <w:rFonts w:ascii="Verdana" w:hAnsi="Verdana"/>
        </w:rPr>
      </w:pPr>
      <w:r w:rsidRPr="005B5CB6">
        <w:rPr>
          <w:rFonts w:ascii="Verdana" w:eastAsia="Verdana" w:hAnsi="Verdana" w:cs="Verdana"/>
          <w:i/>
        </w:rPr>
        <w:t>2. How have the design of algorithms used by social media platforms shaped democratic debate? To what extent should there be greater accountability for the design of these algorithms?</w:t>
      </w:r>
      <w:r w:rsidRPr="005B5CB6">
        <w:rPr>
          <w:rFonts w:ascii="Verdana" w:eastAsia="Verdana" w:hAnsi="Verdana" w:cs="Verdana"/>
        </w:rPr>
        <w:t xml:space="preserve">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33" w:line="250" w:lineRule="auto"/>
        <w:ind w:left="11" w:hanging="10"/>
        <w:jc w:val="both"/>
        <w:rPr>
          <w:rFonts w:ascii="Verdana" w:hAnsi="Verdana"/>
        </w:rPr>
      </w:pPr>
      <w:r w:rsidRPr="005B5CB6">
        <w:rPr>
          <w:rFonts w:ascii="Verdana" w:eastAsia="Verdana" w:hAnsi="Verdana" w:cs="Verdana"/>
          <w:b/>
        </w:rPr>
        <w:t xml:space="preserve">The issues  </w:t>
      </w:r>
    </w:p>
    <w:p w:rsidR="00FB0B24" w:rsidRPr="005B5CB6" w:rsidP="00A72806">
      <w:pPr>
        <w:spacing w:after="0" w:line="286" w:lineRule="auto"/>
        <w:ind w:left="25" w:right="718" w:hanging="10"/>
        <w:jc w:val="both"/>
        <w:rPr>
          <w:rFonts w:ascii="Verdana" w:hAnsi="Verdana"/>
        </w:rPr>
      </w:pPr>
      <w:r w:rsidRPr="005B5CB6">
        <w:rPr>
          <w:rFonts w:ascii="Verdana" w:eastAsia="Verdana" w:hAnsi="Verdana" w:cs="Verdana"/>
          <w:color w:val="0B0C0C"/>
        </w:rPr>
        <w:t xml:space="preserve">This section deals with the vital aspect of the promotion and monetisation of disinformation through the platforms failure to ensure their algorithms do not supercharge the disinformation increasing the spread.  Decoupling the financial incentive to push disinformation by ensuring algorithms no longer promote it is a simple and key way forward in the fight against its pernicious effect.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color w:val="0B0C0C"/>
        </w:rPr>
        <w:t xml:space="preserve"> </w:t>
      </w:r>
      <w:r w:rsidRPr="005B5CB6">
        <w:rPr>
          <w:rFonts w:ascii="Verdana" w:eastAsia="Verdana" w:hAnsi="Verdana" w:cs="Verdana"/>
        </w:rPr>
        <w:t xml:space="preserve"> </w:t>
      </w:r>
    </w:p>
    <w:p w:rsidR="00FB0B24" w:rsidRPr="005B5CB6" w:rsidP="00A72806">
      <w:pPr>
        <w:spacing w:after="32" w:line="250" w:lineRule="auto"/>
        <w:ind w:left="23" w:right="715" w:hanging="8"/>
        <w:jc w:val="both"/>
        <w:rPr>
          <w:rFonts w:ascii="Verdana" w:hAnsi="Verdana"/>
        </w:rPr>
      </w:pPr>
      <w:r w:rsidRPr="005B5CB6">
        <w:rPr>
          <w:rFonts w:ascii="Verdana" w:eastAsia="Verdana" w:hAnsi="Verdana" w:cs="Verdana"/>
        </w:rPr>
        <w:t>Platforms use algorithms to determine when and in what order users see content that the algorithm determines may be of interest to them to keep them viewing the service.</w:t>
      </w:r>
      <w:r>
        <w:rPr>
          <w:rFonts w:ascii="Verdana" w:eastAsia="Verdana" w:hAnsi="Verdana" w:cs="Verdana"/>
          <w:vertAlign w:val="superscript"/>
        </w:rPr>
        <w:footnoteReference w:id="319"/>
      </w:r>
      <w:r w:rsidRPr="005B5CB6">
        <w:rPr>
          <w:rFonts w:ascii="Verdana" w:eastAsia="Verdana" w:hAnsi="Verdana" w:cs="Verdana"/>
        </w:rPr>
        <w:t xml:space="preserve"> Algorithmic content curation like this has important consequences for how individuals find news but instead of human editors selecting important sources of news and information for public consumption, complex algorithmic code determines what information to deliver or exclude. </w:t>
      </w:r>
    </w:p>
    <w:p w:rsidR="00FB0B24" w:rsidRPr="005B5CB6" w:rsidP="00A72806">
      <w:pPr>
        <w:spacing w:after="395" w:line="250" w:lineRule="auto"/>
        <w:ind w:left="23" w:right="11" w:hanging="8"/>
        <w:jc w:val="both"/>
        <w:rPr>
          <w:rFonts w:ascii="Verdana" w:hAnsi="Verdana"/>
        </w:rPr>
      </w:pPr>
      <w:r w:rsidRPr="005B5CB6">
        <w:rPr>
          <w:rFonts w:ascii="Verdana" w:eastAsia="Verdana" w:hAnsi="Verdana" w:cs="Verdana"/>
        </w:rPr>
        <w:t xml:space="preserve">Popularity and the degree to which information provokes outrage, confirmation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3787" name="Group 58378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297" name="Shape 63629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39" style="height:0.6pt;mso-position-horizontal-relative:char;mso-position-vertical-relative:line;width:2in" coordsize="18288,76">
                <v:shape id="_x0000_s1340"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89" w:line="250" w:lineRule="auto"/>
        <w:ind w:left="23" w:right="549" w:hanging="8"/>
        <w:jc w:val="both"/>
        <w:rPr>
          <w:rFonts w:ascii="Verdana" w:hAnsi="Verdana"/>
        </w:rPr>
      </w:pPr>
      <w:r w:rsidRPr="005B5CB6">
        <w:rPr>
          <w:rFonts w:ascii="Verdana" w:eastAsia="Verdana" w:hAnsi="Verdana" w:cs="Verdana"/>
        </w:rPr>
        <w:t>bias, or engagement are increasingly important in driving its spread.</w:t>
      </w:r>
      <w:r>
        <w:rPr>
          <w:rFonts w:ascii="Verdana" w:eastAsia="Verdana" w:hAnsi="Verdana" w:cs="Verdana"/>
          <w:vertAlign w:val="superscript"/>
        </w:rPr>
        <w:footnoteReference w:id="320"/>
      </w:r>
      <w:r w:rsidRPr="005B5CB6">
        <w:rPr>
          <w:rFonts w:ascii="Verdana" w:eastAsia="Verdana" w:hAnsi="Verdana" w:cs="Verdana"/>
        </w:rPr>
        <w:t xml:space="preserve"> The speed and scale at which content “goes viral” grows exponentially, regardless of whether or not the information it contains is true. Although the Internet has provided more opportunities to access information, algorithms have made it harder for individuals to find information from critical or diverse viewpoints.</w:t>
      </w:r>
      <w:r>
        <w:rPr>
          <w:rFonts w:ascii="Verdana" w:eastAsia="Verdana" w:hAnsi="Verdana" w:cs="Verdana"/>
          <w:vertAlign w:val="superscript"/>
        </w:rPr>
        <w:footnoteReference w:id="321"/>
      </w: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eastAsia="Verdana" w:hAnsi="Verdana" w:cs="Verdana"/>
        </w:rPr>
        <w:t xml:space="preserve">  </w:t>
      </w:r>
    </w:p>
    <w:p w:rsidR="00FB0B24" w:rsidRPr="005B5CB6" w:rsidP="00A72806">
      <w:pPr>
        <w:spacing w:after="106" w:line="250" w:lineRule="auto"/>
        <w:ind w:left="23" w:right="630" w:hanging="8"/>
        <w:jc w:val="both"/>
        <w:rPr>
          <w:rFonts w:ascii="Verdana" w:hAnsi="Verdana"/>
        </w:rPr>
      </w:pPr>
      <w:r w:rsidRPr="005B5CB6">
        <w:rPr>
          <w:rFonts w:ascii="Verdana" w:eastAsia="Verdana" w:hAnsi="Verdana" w:cs="Verdana"/>
        </w:rPr>
        <w:t xml:space="preserve">In this way, without proper care and oversight, </w:t>
      </w:r>
      <w:r w:rsidRPr="005B5CB6">
        <w:rPr>
          <w:rFonts w:ascii="Verdana" w:eastAsia="Verdana" w:hAnsi="Verdana" w:cs="Verdana"/>
          <w:b/>
        </w:rPr>
        <w:t xml:space="preserve">display algorithms can increase user engagement with disinformation and other harmful content. These algorithms can be gamed to effectively ensure that the most divisive and senationally fake news quickly reaches a viral status. </w:t>
      </w:r>
      <w:r w:rsidRPr="005B5CB6">
        <w:rPr>
          <w:rFonts w:ascii="Verdana" w:eastAsia="Verdana" w:hAnsi="Verdana" w:cs="Verdana"/>
        </w:rPr>
        <w:t xml:space="preserve">Platforms should transparently adapt </w:t>
      </w:r>
      <w:r w:rsidRPr="005B5CB6">
        <w:rPr>
          <w:rFonts w:ascii="Verdana" w:eastAsia="Verdana" w:hAnsi="Verdana" w:cs="Verdana"/>
          <w:b/>
        </w:rPr>
        <w:t>their algorithms</w:t>
      </w:r>
      <w:r w:rsidRPr="005B5CB6">
        <w:rPr>
          <w:rFonts w:ascii="Verdana" w:eastAsia="Verdana" w:hAnsi="Verdana" w:cs="Verdana"/>
        </w:rPr>
        <w:t xml:space="preserve"> to ensure that they are not themselves exponentially accelerating the spread of disinformation. And although social media platforms need virality for profitability, it is crucial for them to monitor exactly what is going viral - an MIT study found that falsehoods on Twitter spread six times faster than true news.</w:t>
      </w:r>
      <w:r>
        <w:rPr>
          <w:rFonts w:ascii="Verdana" w:eastAsia="Verdana" w:hAnsi="Verdana" w:cs="Verdana"/>
          <w:vertAlign w:val="superscript"/>
        </w:rPr>
        <w:footnoteReference w:id="322"/>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35" w:line="250" w:lineRule="auto"/>
        <w:ind w:left="11" w:hanging="10"/>
        <w:jc w:val="both"/>
        <w:rPr>
          <w:rFonts w:ascii="Verdana" w:hAnsi="Verdana"/>
        </w:rPr>
      </w:pPr>
      <w:r w:rsidRPr="005B5CB6">
        <w:rPr>
          <w:rFonts w:ascii="Verdana" w:eastAsia="Verdana" w:hAnsi="Verdana" w:cs="Verdana"/>
          <w:b/>
        </w:rPr>
        <w:t xml:space="preserve">The Evidence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144" w:line="250" w:lineRule="auto"/>
        <w:ind w:left="23" w:right="515" w:hanging="8"/>
        <w:jc w:val="both"/>
        <w:rPr>
          <w:rFonts w:ascii="Verdana" w:hAnsi="Verdana"/>
        </w:rPr>
      </w:pPr>
      <w:r w:rsidRPr="005B5CB6">
        <w:rPr>
          <w:rFonts w:ascii="Verdana" w:eastAsia="Verdana" w:hAnsi="Verdana" w:cs="Verdana"/>
        </w:rPr>
        <w:t xml:space="preserve">For example, in our work ahead of the 2019 EU Elections, Avaaz identified and investigated three disinformation networks in France and submitted our findings to Facebook. Together, these networks had a total reach of over 1.7 million followers. We identified different tactics that used platform and web search algorithms to push disinformation. Our full report is </w:t>
      </w:r>
      <w:r>
        <w:fldChar w:fldCharType="begin"/>
      </w:r>
      <w:r>
        <w:instrText xml:space="preserve"> HYPERLINK "https://avaazimages.avaaz.org/Avaaz%20Report%20Network%20Deception%2020190522.pdf" </w:instrText>
      </w:r>
      <w:r>
        <w:fldChar w:fldCharType="separate"/>
      </w:r>
      <w:r w:rsidRPr="005B5CB6">
        <w:rPr>
          <w:rFonts w:ascii="Verdana" w:eastAsia="Verdana" w:hAnsi="Verdana" w:cs="Verdana"/>
          <w:color w:val="1155CC"/>
          <w:u w:val="single" w:color="1155CC"/>
        </w:rPr>
        <w:t>here</w:t>
      </w:r>
      <w:r>
        <w:fldChar w:fldCharType="end"/>
      </w:r>
      <w:r>
        <w:fldChar w:fldCharType="begin"/>
      </w:r>
      <w:r>
        <w:instrText xml:space="preserve"> HYPERLINK "https://avaazimages.avaaz.org/Avaaz%20Report%20Network%20Deception%2020190522.pdf"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35" w:line="250" w:lineRule="auto"/>
        <w:ind w:left="11" w:hanging="10"/>
        <w:jc w:val="both"/>
        <w:rPr>
          <w:rFonts w:ascii="Verdana" w:hAnsi="Verdana"/>
        </w:rPr>
      </w:pPr>
      <w:r w:rsidRPr="005B5CB6">
        <w:rPr>
          <w:rFonts w:ascii="Verdana" w:eastAsia="Verdana" w:hAnsi="Verdana" w:cs="Verdana"/>
          <w:b/>
        </w:rPr>
        <w:t xml:space="preserve">Amplifying the reach of Content through multiple posting  </w:t>
      </w:r>
    </w:p>
    <w:p w:rsidR="00FB0B24" w:rsidRPr="005B5CB6" w:rsidP="00A72806">
      <w:pPr>
        <w:spacing w:after="32"/>
        <w:ind w:left="15"/>
        <w:jc w:val="both"/>
        <w:rPr>
          <w:rFonts w:ascii="Verdana" w:hAnsi="Verdana"/>
        </w:rPr>
      </w:pPr>
      <w:r w:rsidRPr="005B5CB6">
        <w:rPr>
          <w:rFonts w:ascii="Verdana" w:eastAsia="Verdana" w:hAnsi="Verdana" w:cs="Verdana"/>
        </w:rPr>
        <w:t xml:space="preserve">  </w:t>
      </w:r>
    </w:p>
    <w:p w:rsidR="00FB0B24" w:rsidRPr="005B5CB6" w:rsidP="00A72806">
      <w:pPr>
        <w:spacing w:after="386" w:line="250" w:lineRule="auto"/>
        <w:ind w:left="23" w:right="693" w:hanging="8"/>
        <w:jc w:val="both"/>
        <w:rPr>
          <w:rFonts w:ascii="Verdana" w:hAnsi="Verdana"/>
        </w:rPr>
      </w:pPr>
      <w:r w:rsidRPr="005B5CB6">
        <w:rPr>
          <w:rFonts w:ascii="Verdana" w:eastAsia="Verdana" w:hAnsi="Verdana" w:cs="Verdana"/>
        </w:rPr>
        <w:t xml:space="preserve">One network we found, </w:t>
      </w:r>
      <w:r>
        <w:fldChar w:fldCharType="begin"/>
      </w:r>
      <w:r>
        <w:instrText xml:space="preserve"> HYPERLINK "http://archive.fo/fQClC" </w:instrText>
      </w:r>
      <w:r>
        <w:fldChar w:fldCharType="separate"/>
      </w:r>
      <w:r w:rsidRPr="005B5CB6">
        <w:rPr>
          <w:rFonts w:ascii="Verdana" w:eastAsia="Verdana" w:hAnsi="Verdana" w:cs="Verdana"/>
          <w:color w:val="1155CC"/>
          <w:u w:val="single" w:color="1155CC"/>
        </w:rPr>
        <w:t>La Gauche M’a Tuer</w:t>
      </w:r>
      <w:r>
        <w:fldChar w:fldCharType="end"/>
      </w:r>
      <w:r>
        <w:fldChar w:fldCharType="begin"/>
      </w:r>
      <w:r>
        <w:instrText xml:space="preserve"> HYPERLINK "http://archive.fo/fQClC"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systematically spread false news on a large scale, its posts being amplified by a network of accounts that reposted its content. Together, the three pages in this network had 526,339 followers. Facebook demoted La Gauche M’a Tuer’s official page, as well as pages that worked to amplify its content for their repeated spread of fake news. This was in line with its new </w:t>
      </w:r>
      <w:r>
        <w:fldChar w:fldCharType="begin"/>
      </w:r>
      <w:r>
        <w:instrText xml:space="preserve"> HYPERLINK "https://newsroom.fb.com/news/2019/04/remove-reduce-inform-new-steps/" </w:instrText>
      </w:r>
      <w:r>
        <w:fldChar w:fldCharType="separate"/>
      </w:r>
      <w:r w:rsidRPr="005B5CB6">
        <w:rPr>
          <w:rFonts w:ascii="Verdana" w:eastAsia="Verdana" w:hAnsi="Verdana" w:cs="Verdana"/>
          <w:color w:val="1155CC"/>
          <w:u w:val="single" w:color="1155CC"/>
        </w:rPr>
        <w:t>“Reduce, Remove, Inform” strateg</w:t>
      </w:r>
      <w:r>
        <w:fldChar w:fldCharType="end"/>
      </w:r>
      <w:r>
        <w:fldChar w:fldCharType="begin"/>
      </w:r>
      <w:r>
        <w:instrText xml:space="preserve"> HYPERLINK "https://newsroom.fb.com/news/2019/04/remove-reduce-inform-new-steps/" </w:instrText>
      </w:r>
      <w:r>
        <w:fldChar w:fldCharType="separate"/>
      </w:r>
      <w:r w:rsidRPr="005B5CB6">
        <w:rPr>
          <w:rFonts w:ascii="Verdana" w:eastAsia="Verdana" w:hAnsi="Verdana" w:cs="Verdana"/>
          <w:color w:val="1155CC"/>
          <w:u w:val="single" w:color="1155CC"/>
        </w:rPr>
        <w:t>y</w:t>
      </w:r>
      <w:r>
        <w:fldChar w:fldCharType="end"/>
      </w:r>
      <w:r>
        <w:fldChar w:fldCharType="begin"/>
      </w:r>
      <w:r>
        <w:instrText xml:space="preserve"> HYPERLINK "https://newsroom.fb.com/news/2019/04/remove-reduce-inform-new-steps/" </w:instrText>
      </w:r>
      <w:r>
        <w:fldChar w:fldCharType="separate"/>
      </w:r>
      <w:r w:rsidRPr="005B5CB6">
        <w:rPr>
          <w:rFonts w:ascii="Verdana" w:eastAsia="Verdana" w:hAnsi="Verdana" w:cs="Verdana"/>
        </w:rPr>
        <w:t>,</w:t>
      </w:r>
      <w:r>
        <w:fldChar w:fldCharType="end"/>
      </w:r>
      <w:r>
        <w:fldChar w:fldCharType="begin"/>
      </w:r>
      <w:r>
        <w:instrText xml:space="preserve"> HYPERLINK "https://newsroom.fb.com/news/2019/04/remove-reduce-inform-new-steps/"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which includes “reducing the reach of Facebook groups that repeatedly share misinformation.” Demoted content does not show up in news feeds or recommendations but can only be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4181" name="Group 58418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299" name="Shape 63629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41" style="height:0.6pt;mso-position-horizontal-relative:char;mso-position-vertical-relative:line;width:2in" coordsize="18288,76">
                <v:shape id="_x0000_s1342"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63" w:line="250" w:lineRule="auto"/>
        <w:ind w:left="23" w:right="11" w:hanging="8"/>
        <w:jc w:val="both"/>
        <w:rPr>
          <w:rFonts w:ascii="Verdana" w:hAnsi="Verdana"/>
        </w:rPr>
      </w:pPr>
      <w:r w:rsidRPr="005B5CB6">
        <w:rPr>
          <w:rFonts w:ascii="Verdana" w:eastAsia="Verdana" w:hAnsi="Verdana" w:cs="Verdana"/>
        </w:rPr>
        <w:t xml:space="preserve">found if specifically searched for. This effectively detoxifies its the platform’s algorithm.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33" w:line="250" w:lineRule="auto"/>
        <w:ind w:left="11" w:hanging="10"/>
        <w:jc w:val="both"/>
        <w:rPr>
          <w:rFonts w:ascii="Verdana" w:hAnsi="Verdana"/>
        </w:rPr>
      </w:pPr>
      <w:r w:rsidRPr="005B5CB6">
        <w:rPr>
          <w:rFonts w:ascii="Verdana" w:eastAsia="Verdana" w:hAnsi="Verdana" w:cs="Verdana"/>
          <w:b/>
        </w:rPr>
        <w:t xml:space="preserve">Boosting the search ranking of disinformation websites through multiple social media postings  </w:t>
      </w:r>
    </w:p>
    <w:p w:rsidR="00FB0B24" w:rsidRPr="005B5CB6" w:rsidP="00A72806">
      <w:pPr>
        <w:spacing w:after="142" w:line="250" w:lineRule="auto"/>
        <w:ind w:left="23" w:right="706" w:hanging="8"/>
        <w:jc w:val="both"/>
        <w:rPr>
          <w:rFonts w:ascii="Verdana" w:hAnsi="Verdana"/>
        </w:rPr>
      </w:pPr>
      <w:r w:rsidRPr="005B5CB6">
        <w:rPr>
          <w:rFonts w:ascii="Verdana" w:eastAsia="Verdana" w:hAnsi="Verdana" w:cs="Verdana"/>
        </w:rPr>
        <w:t>During our investigation we also identified another side to the gaming of search algorithms. Low-authority websites were found to be using a network of social media accounts, posting multiple times through these accounts to boost the numbers of times their sites were visited</w:t>
      </w:r>
      <w:r w:rsidRPr="005B5CB6">
        <w:rPr>
          <w:rFonts w:ascii="Verdana" w:eastAsia="Verdana" w:hAnsi="Verdana" w:cs="Verdana"/>
          <w:b/>
        </w:rPr>
        <w:t xml:space="preserve">. </w:t>
      </w:r>
      <w:r w:rsidRPr="005B5CB6">
        <w:rPr>
          <w:rFonts w:ascii="Verdana" w:eastAsia="Verdana" w:hAnsi="Verdana" w:cs="Verdana"/>
        </w:rPr>
        <w:t>This boosts the likelihood of them being featured more prominently in crucial internet rankings - boosting the value of any dis-info they peddle</w:t>
      </w: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27"/>
        <w:ind w:left="14"/>
        <w:jc w:val="both"/>
        <w:rPr>
          <w:rFonts w:ascii="Verdana" w:hAnsi="Verdana"/>
        </w:rPr>
      </w:pPr>
      <w:r w:rsidRPr="005B5CB6">
        <w:rPr>
          <w:rFonts w:ascii="Verdana" w:eastAsia="Verdana" w:hAnsi="Verdana" w:cs="Verdana"/>
        </w:rPr>
        <w:t xml:space="preserve">  </w:t>
      </w:r>
    </w:p>
    <w:p w:rsidR="00FB0B24" w:rsidRPr="005B5CB6" w:rsidP="00A72806">
      <w:pPr>
        <w:spacing w:after="107" w:line="250" w:lineRule="auto"/>
        <w:ind w:left="23" w:right="675" w:hanging="8"/>
        <w:jc w:val="both"/>
        <w:rPr>
          <w:rFonts w:ascii="Verdana" w:hAnsi="Verdana"/>
        </w:rPr>
      </w:pPr>
      <w:r w:rsidRPr="005B5CB6">
        <w:rPr>
          <w:rFonts w:ascii="Verdana" w:eastAsia="Verdana" w:hAnsi="Verdana" w:cs="Verdana"/>
        </w:rPr>
        <w:t>The process is explained by a leading internet search optimization company, MOZ They explain “Ranking refers to the process search engines use to determine where a particular piece of content should appear on a SERP. Search visibility refers to how prominently a piece of content is displayed in search engine results. Highly visible content (usually the content that ranks highest) may appear right at the top of organic search results or even in a featured snippet, while less-visible content [ie low authority content] may not appear until searchers click to page two and beyond”</w:t>
      </w:r>
      <w:r>
        <w:rPr>
          <w:rFonts w:ascii="Verdana" w:eastAsia="Verdana" w:hAnsi="Verdana" w:cs="Verdana"/>
          <w:vertAlign w:val="superscript"/>
        </w:rPr>
        <w:footnoteReference w:id="323"/>
      </w:r>
      <w:r w:rsidRPr="005B5CB6">
        <w:rPr>
          <w:rFonts w:ascii="Verdana" w:eastAsia="Verdana" w:hAnsi="Verdana" w:cs="Verdana"/>
        </w:rPr>
        <w:t xml:space="preserve">.  </w:t>
      </w:r>
    </w:p>
    <w:p w:rsidR="00FB0B24" w:rsidRPr="005B5CB6" w:rsidP="00A72806">
      <w:pPr>
        <w:spacing w:after="32"/>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137" w:line="250" w:lineRule="auto"/>
        <w:ind w:left="23" w:right="593" w:hanging="8"/>
        <w:jc w:val="both"/>
        <w:rPr>
          <w:rFonts w:ascii="Verdana" w:hAnsi="Verdana"/>
        </w:rPr>
      </w:pPr>
      <w:r w:rsidRPr="005B5CB6">
        <w:rPr>
          <w:rFonts w:ascii="Verdana" w:eastAsia="Verdana" w:hAnsi="Verdana" w:cs="Verdana"/>
          <w:b/>
        </w:rPr>
        <w:t xml:space="preserve">We identified three “alternative media” networks </w:t>
      </w:r>
      <w:r w:rsidRPr="005B5CB6">
        <w:rPr>
          <w:rFonts w:ascii="Verdana" w:eastAsia="Verdana" w:hAnsi="Verdana" w:cs="Verdana"/>
        </w:rPr>
        <w:t xml:space="preserve">engaging in what Avaaz reported as containing elements of spam behavior to boost three political websites all engaged in the promotion of politicians and policies supporting Brexit: Political UK2, UK Unity News Network and The Daily Brexit. Together, these networks had 1.17 million followers. As part of our analysis we mapped 709 Facebook Pages in the UK and collected 190,745 posts they sent between February 3 and May 7, 2019. We observed that these “alternative media” </w:t>
      </w:r>
      <w:r w:rsidRPr="005B5CB6">
        <w:rPr>
          <w:rFonts w:ascii="Verdana" w:eastAsia="Verdana" w:hAnsi="Verdana" w:cs="Verdana"/>
          <w:b/>
        </w:rPr>
        <w:t xml:space="preserve">all appeared in the top 20 most shared websites in the UK, sometimes above The Guardian and BBC UK.  </w:t>
      </w:r>
      <w:r w:rsidRPr="005B5CB6">
        <w:rPr>
          <w:rFonts w:ascii="Verdana" w:eastAsia="Verdana" w:hAnsi="Verdana" w:cs="Verdana"/>
        </w:rPr>
        <w:t>Together, these networks had nearly 5 million interactions in the past three months</w:t>
      </w: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32"/>
        <w:ind w:left="14"/>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64" w:line="250" w:lineRule="auto"/>
        <w:ind w:left="23" w:right="374" w:hanging="8"/>
        <w:jc w:val="both"/>
        <w:rPr>
          <w:rFonts w:ascii="Verdana" w:hAnsi="Verdana"/>
        </w:rPr>
      </w:pPr>
      <w:r w:rsidRPr="005B5CB6">
        <w:rPr>
          <w:rFonts w:ascii="Verdana" w:eastAsia="Verdana" w:hAnsi="Verdana" w:cs="Verdana"/>
          <w:b/>
        </w:rPr>
        <w:t>This was highly inconsistent with their status as “low-authority sites</w:t>
      </w:r>
      <w:r w:rsidRPr="005B5CB6">
        <w:rPr>
          <w:rFonts w:ascii="Verdana" w:eastAsia="Verdana" w:hAnsi="Verdana" w:cs="Verdana"/>
        </w:rPr>
        <w:t xml:space="preserve">” which is an independently ranked metric13 commonly used to detect spam links.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4962" name="Group 58496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01" name="Shape 63630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43" style="height:0.6pt;mso-position-horizontal-relative:char;mso-position-vertical-relative:line;width:2in" coordsize="18288,76">
                <v:shape id="_x0000_s1344"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62" w:line="250" w:lineRule="auto"/>
        <w:ind w:left="23" w:right="578" w:hanging="8"/>
        <w:jc w:val="both"/>
        <w:rPr>
          <w:rFonts w:ascii="Verdana" w:hAnsi="Verdana"/>
        </w:rPr>
      </w:pPr>
      <w:r w:rsidRPr="005B5CB6">
        <w:rPr>
          <w:rFonts w:ascii="Verdana" w:eastAsia="Verdana" w:hAnsi="Verdana" w:cs="Verdana"/>
        </w:rPr>
        <w:t>According to independent rankers, one of these outlets, “The Daily Brexit,” had an authority ranking of  0.4 in a scale from 0 to 100. We undertook statistical analysis of the sites social media activity and found a pattern of cross posting that amplified these Brexit supporting sites content.</w:t>
      </w: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eastAsia="Verdana" w:hAnsi="Verdana" w:cs="Verdana"/>
          <w:b/>
          <w:color w:val="38761D"/>
        </w:rPr>
        <w:t xml:space="preserve"> </w:t>
      </w:r>
      <w:r w:rsidRPr="005B5CB6">
        <w:rPr>
          <w:rFonts w:ascii="Verdana" w:eastAsia="Verdana" w:hAnsi="Verdana" w:cs="Verdana"/>
        </w:rPr>
        <w:t xml:space="preserve"> </w:t>
      </w:r>
    </w:p>
    <w:p w:rsidR="00FB0B24" w:rsidRPr="005B5CB6" w:rsidP="00A72806">
      <w:pPr>
        <w:spacing w:after="0"/>
        <w:jc w:val="both"/>
        <w:rPr>
          <w:rFonts w:ascii="Verdana" w:hAnsi="Verdana"/>
        </w:rPr>
      </w:pPr>
      <w:r w:rsidRPr="005B5CB6">
        <w:rPr>
          <w:rFonts w:ascii="Verdana" w:hAnsi="Verdana"/>
          <w:noProof/>
        </w:rPr>
        <w:drawing>
          <wp:inline distT="0" distB="0" distL="0" distR="0">
            <wp:extent cx="6086475" cy="2657475"/>
            <wp:effectExtent l="0" t="0" r="0" b="0"/>
            <wp:docPr id="37400" name="Picture 37400"/>
            <wp:cNvGraphicFramePr/>
            <a:graphic xmlns:a="http://schemas.openxmlformats.org/drawingml/2006/main">
              <a:graphicData uri="http://schemas.openxmlformats.org/drawingml/2006/picture">
                <pic:pic xmlns:pic="http://schemas.openxmlformats.org/drawingml/2006/picture">
                  <pic:nvPicPr>
                    <pic:cNvPr id="37400" name="Picture 37400"/>
                    <pic:cNvPicPr/>
                  </pic:nvPicPr>
                  <pic:blipFill>
                    <a:blip xmlns:r="http://schemas.openxmlformats.org/officeDocument/2006/relationships" r:embed="rId384"/>
                    <a:stretch>
                      <a:fillRect/>
                    </a:stretch>
                  </pic:blipFill>
                  <pic:spPr>
                    <a:xfrm>
                      <a:off x="0" y="0"/>
                      <a:ext cx="6086475" cy="2657475"/>
                    </a:xfrm>
                    <a:prstGeom prst="rect">
                      <a:avLst/>
                    </a:prstGeom>
                  </pic:spPr>
                </pic:pic>
              </a:graphicData>
            </a:graphic>
          </wp:inline>
        </w:drawing>
      </w:r>
      <w:r w:rsidRPr="005B5CB6">
        <w:rPr>
          <w:rFonts w:ascii="Verdana" w:eastAsia="Verdana" w:hAnsi="Verdana" w:cs="Verdana"/>
          <w:b/>
          <w:color w:val="38761D"/>
        </w:rPr>
        <w:t xml:space="preserve">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b/>
          <w:color w:val="38761D"/>
        </w:rPr>
        <w:t xml:space="preserve"> </w:t>
      </w:r>
      <w:r w:rsidRPr="005B5CB6">
        <w:rPr>
          <w:rFonts w:ascii="Verdana" w:eastAsia="Verdana" w:hAnsi="Verdana" w:cs="Verdana"/>
        </w:rPr>
        <w:t xml:space="preserve"> </w:t>
      </w:r>
    </w:p>
    <w:p w:rsidR="00FB0B24" w:rsidRPr="005B5CB6" w:rsidP="00A72806">
      <w:pPr>
        <w:spacing w:after="29" w:line="250" w:lineRule="auto"/>
        <w:ind w:left="23" w:right="300" w:hanging="8"/>
        <w:jc w:val="both"/>
        <w:rPr>
          <w:rFonts w:ascii="Verdana" w:hAnsi="Verdana"/>
        </w:rPr>
      </w:pPr>
      <w:r w:rsidRPr="005B5CB6">
        <w:rPr>
          <w:rFonts w:ascii="Verdana" w:eastAsia="Verdana" w:hAnsi="Verdana" w:cs="Verdana"/>
        </w:rPr>
        <w:t xml:space="preserve">This led us to investigate the sites where we discovered that the sites were reposting content multiple times on Facebook pages and groups, at almost the exact same time, through automated posting or coordination by a handful of individuals. An example below shows posts shared at the exact same time, on </w:t>
      </w:r>
    </w:p>
    <w:p w:rsidR="00FB0B24" w:rsidRPr="005B5CB6" w:rsidP="00A72806">
      <w:pPr>
        <w:spacing w:after="5" w:line="250" w:lineRule="auto"/>
        <w:ind w:left="23" w:right="11" w:hanging="8"/>
        <w:jc w:val="both"/>
        <w:rPr>
          <w:rFonts w:ascii="Verdana" w:hAnsi="Verdana"/>
        </w:rPr>
      </w:pPr>
      <w:r w:rsidRPr="005B5CB6">
        <w:rPr>
          <w:rFonts w:ascii="Verdana" w:eastAsia="Verdana" w:hAnsi="Verdana" w:cs="Verdana"/>
        </w:rPr>
        <w:t xml:space="preserve">May 4, 2019, at 7:57pm, on pages that are part of a network  </w:t>
      </w:r>
    </w:p>
    <w:p w:rsidR="00FB0B24" w:rsidRPr="005B5CB6" w:rsidP="00A72806">
      <w:pPr>
        <w:spacing w:after="0"/>
        <w:ind w:right="298"/>
        <w:jc w:val="both"/>
        <w:rPr>
          <w:rFonts w:ascii="Verdana" w:hAnsi="Verdana"/>
        </w:rPr>
      </w:pPr>
      <w:r w:rsidRPr="005B5CB6">
        <w:rPr>
          <w:rFonts w:ascii="Verdana" w:hAnsi="Verdana"/>
          <w:noProof/>
        </w:rPr>
        <mc:AlternateContent>
          <mc:Choice Requires="wpg">
            <w:drawing>
              <wp:inline distT="0" distB="0" distL="0" distR="0">
                <wp:extent cx="5899784" cy="3261360"/>
                <wp:effectExtent l="0" t="0" r="0" b="0"/>
                <wp:docPr id="584797" name="Group 584797"/>
                <wp:cNvGraphicFramePr/>
                <a:graphic xmlns:a="http://schemas.openxmlformats.org/drawingml/2006/main">
                  <a:graphicData uri="http://schemas.microsoft.com/office/word/2010/wordprocessingGroup">
                    <wpg:wgp xmlns:wpg="http://schemas.microsoft.com/office/word/2010/wordprocessingGroup">
                      <wpg:cNvGrpSpPr/>
                      <wpg:grpSpPr>
                        <a:xfrm>
                          <a:off x="0" y="0"/>
                          <a:ext cx="5899784" cy="3261360"/>
                          <a:chOff x="0" y="0"/>
                          <a:chExt cx="5899784" cy="3261360"/>
                        </a:xfrm>
                      </wpg:grpSpPr>
                      <pic:pic xmlns:pic="http://schemas.openxmlformats.org/drawingml/2006/picture">
                        <pic:nvPicPr>
                          <pic:cNvPr id="37448" name="Picture 37448"/>
                          <pic:cNvPicPr/>
                        </pic:nvPicPr>
                        <pic:blipFill>
                          <a:blip xmlns:r="http://schemas.openxmlformats.org/officeDocument/2006/relationships" r:embed="rId385"/>
                          <a:stretch>
                            <a:fillRect/>
                          </a:stretch>
                        </pic:blipFill>
                        <pic:spPr>
                          <a:xfrm>
                            <a:off x="0" y="0"/>
                            <a:ext cx="2176272" cy="3261360"/>
                          </a:xfrm>
                          <a:prstGeom prst="rect">
                            <a:avLst/>
                          </a:prstGeom>
                        </pic:spPr>
                      </pic:pic>
                      <pic:pic xmlns:pic="http://schemas.openxmlformats.org/drawingml/2006/picture">
                        <pic:nvPicPr>
                          <pic:cNvPr id="37450" name="Picture 37450"/>
                          <pic:cNvPicPr/>
                        </pic:nvPicPr>
                        <pic:blipFill>
                          <a:blip xmlns:r="http://schemas.openxmlformats.org/officeDocument/2006/relationships" r:embed="rId386"/>
                          <a:stretch>
                            <a:fillRect/>
                          </a:stretch>
                        </pic:blipFill>
                        <pic:spPr>
                          <a:xfrm>
                            <a:off x="2209799" y="47751"/>
                            <a:ext cx="2136648" cy="3212592"/>
                          </a:xfrm>
                          <a:prstGeom prst="rect">
                            <a:avLst/>
                          </a:prstGeom>
                        </pic:spPr>
                      </pic:pic>
                      <pic:pic xmlns:pic="http://schemas.openxmlformats.org/drawingml/2006/picture">
                        <pic:nvPicPr>
                          <pic:cNvPr id="37452" name="Picture 37452"/>
                          <pic:cNvPicPr/>
                        </pic:nvPicPr>
                        <pic:blipFill>
                          <a:blip xmlns:r="http://schemas.openxmlformats.org/officeDocument/2006/relationships" r:embed="rId387"/>
                          <a:stretch>
                            <a:fillRect/>
                          </a:stretch>
                        </pic:blipFill>
                        <pic:spPr>
                          <a:xfrm>
                            <a:off x="4385309" y="1699260"/>
                            <a:ext cx="1514475" cy="1562100"/>
                          </a:xfrm>
                          <a:prstGeom prst="rect">
                            <a:avLst/>
                          </a:prstGeom>
                        </pic:spPr>
                      </pic:pic>
                    </wpg:wgp>
                  </a:graphicData>
                </a:graphic>
              </wp:inline>
            </w:drawing>
          </mc:Choice>
          <mc:Fallback>
            <w:pict>
              <v:group id="_x0000_i1345" style="height:256.8pt;mso-position-horizontal-relative:char;mso-position-vertical-relative:line;width:464.55pt" coordsize="58997,32613">
                <v:shape id="_x0000_s1346" style="height:32613;position:absolute;width:21762" coordsize="21600,21600" o:spt="100" adj="-11796480,,5400" filled="f">
                  <v:stroke joinstyle="miter"/>
                  <v:imagedata r:id="rId385" o:title=""/>
                </v:shape>
                <v:shape id="_x0000_s1347" style="height:32125;left:22097;position:absolute;top:477;width:21366" coordsize="21600,21600" o:spt="100" adj="-11796480,,5400" filled="f">
                  <v:stroke joinstyle="miter"/>
                  <v:imagedata r:id="rId386" o:title=""/>
                </v:shape>
                <v:shape id="_x0000_s1348" style="height:15621;left:43853;position:absolute;top:16992;width:15144" coordsize="21600,21600" o:spt="100" adj="-11796480,,5400" filled="f">
                  <v:stroke joinstyle="miter"/>
                  <v:imagedata r:id="rId387" o:title=""/>
                </v:shape>
                <w10:wrap type="none"/>
              </v:group>
            </w:pict>
          </mc:Fallback>
        </mc:AlternateContent>
      </w: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24"/>
        <w:ind w:left="15"/>
        <w:jc w:val="both"/>
        <w:rPr>
          <w:rFonts w:ascii="Verdana" w:hAnsi="Verdana"/>
        </w:rPr>
      </w:pP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b/>
          <w:color w:val="38761D"/>
        </w:rPr>
        <w:t xml:space="preserve"> </w:t>
      </w:r>
      <w:r w:rsidRPr="005B5CB6">
        <w:rPr>
          <w:rFonts w:ascii="Verdana" w:eastAsia="Verdana" w:hAnsi="Verdana" w:cs="Verdana"/>
        </w:rPr>
        <w:t xml:space="preserve"> </w:t>
      </w:r>
    </w:p>
    <w:p w:rsidR="00FB0B24" w:rsidRPr="005B5CB6" w:rsidP="00A72806">
      <w:pPr>
        <w:spacing w:after="39" w:line="249" w:lineRule="auto"/>
        <w:ind w:left="-2" w:right="451" w:hanging="10"/>
        <w:jc w:val="both"/>
        <w:rPr>
          <w:rFonts w:ascii="Verdana" w:hAnsi="Verdana"/>
        </w:rPr>
      </w:pPr>
      <w:r w:rsidRPr="005B5CB6">
        <w:rPr>
          <w:rFonts w:ascii="Verdana" w:eastAsia="Verdana" w:hAnsi="Verdana" w:cs="Verdana"/>
          <w:b/>
        </w:rPr>
        <w:t xml:space="preserve">It is clear from the actions Facebook took with the French networks that it can apply the brakes on the spread of disinformation and ‘teach’ the algorithm to slow down the spread of certain content. This brings us to the solution of how to ‘detox the algorithm’. </w:t>
      </w:r>
      <w:r w:rsidRPr="005B5CB6">
        <w:rPr>
          <w:rFonts w:ascii="Verdana" w:eastAsia="Verdana" w:hAnsi="Verdana" w:cs="Verdana"/>
        </w:rPr>
        <w:t xml:space="preserve"> </w:t>
      </w:r>
    </w:p>
    <w:p w:rsidR="00FB0B24" w:rsidRPr="005B5CB6" w:rsidP="00A72806">
      <w:pPr>
        <w:spacing w:after="29"/>
        <w:ind w:left="14"/>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33" w:line="250" w:lineRule="auto"/>
        <w:ind w:left="11" w:hanging="10"/>
        <w:jc w:val="both"/>
        <w:rPr>
          <w:rFonts w:ascii="Verdana" w:hAnsi="Verdana"/>
        </w:rPr>
      </w:pPr>
      <w:r w:rsidRPr="005B5CB6">
        <w:rPr>
          <w:rFonts w:ascii="Verdana" w:eastAsia="Verdana" w:hAnsi="Verdana" w:cs="Verdana"/>
          <w:b/>
        </w:rPr>
        <w:t xml:space="preserve">The Solution  </w:t>
      </w:r>
    </w:p>
    <w:p w:rsidR="00FB0B24" w:rsidRPr="005B5CB6" w:rsidP="00A72806">
      <w:pPr>
        <w:spacing w:after="29"/>
        <w:ind w:left="14"/>
        <w:jc w:val="both"/>
        <w:rPr>
          <w:rFonts w:ascii="Verdana" w:hAnsi="Verdana"/>
        </w:rPr>
      </w:pPr>
      <w:r w:rsidRPr="005B5CB6">
        <w:rPr>
          <w:rFonts w:ascii="Verdana" w:eastAsia="Verdana" w:hAnsi="Verdana" w:cs="Verdana"/>
        </w:rPr>
        <w:t xml:space="preserve">  </w:t>
      </w:r>
    </w:p>
    <w:p w:rsidR="00FB0B24" w:rsidRPr="005B5CB6" w:rsidP="00A72806">
      <w:pPr>
        <w:spacing w:after="1" w:line="322" w:lineRule="auto"/>
        <w:ind w:left="24" w:right="691" w:hanging="10"/>
        <w:jc w:val="both"/>
        <w:rPr>
          <w:rFonts w:ascii="Verdana" w:hAnsi="Verdana"/>
        </w:rPr>
      </w:pPr>
      <w:r w:rsidRPr="005B5CB6">
        <w:rPr>
          <w:rFonts w:ascii="Verdana" w:eastAsia="Verdana" w:hAnsi="Verdana" w:cs="Verdana"/>
          <w:color w:val="0B0C0C"/>
        </w:rPr>
        <w:t xml:space="preserve">That’s why comprehensively detoxifying the platforms’ algorithms is crucial. </w:t>
      </w:r>
      <w:r w:rsidRPr="005B5CB6">
        <w:rPr>
          <w:rFonts w:ascii="Verdana" w:eastAsia="Verdana" w:hAnsi="Verdana" w:cs="Verdana"/>
          <w:b/>
          <w:color w:val="0B0C0C"/>
        </w:rPr>
        <w:t>“Detoxing the Algorithm” means tweaking social media platforms’ content curation algorithms to ensure that they extract disinformation, pages belonging to disinformation accelerators and malicious actors, and other harmful content out of their recommendations to viewers.</w:t>
      </w:r>
      <w:r w:rsidRPr="005B5CB6">
        <w:rPr>
          <w:rFonts w:ascii="Verdana" w:eastAsia="Verdana" w:hAnsi="Verdana" w:cs="Verdana"/>
          <w:color w:val="0B0C0C"/>
        </w:rPr>
        <w:t xml:space="preserve"> This would ensure that the recommendation, search, and newsfeed algorithms are not abused by malicious actors, and that </w:t>
      </w:r>
      <w:r w:rsidRPr="005B5CB6">
        <w:rPr>
          <w:rFonts w:ascii="Verdana" w:eastAsia="Verdana" w:hAnsi="Verdana" w:cs="Verdana"/>
        </w:rPr>
        <w:t xml:space="preserve">the reach of disinformation is </w:t>
      </w:r>
      <w:r w:rsidRPr="005B5CB6">
        <w:rPr>
          <w:rFonts w:ascii="Verdana" w:eastAsia="Verdana" w:hAnsi="Verdana" w:cs="Verdana"/>
          <w:color w:val="0B0C0C"/>
        </w:rPr>
        <w:t xml:space="preserve">sidelined rather than boosted by these platforms. </w:t>
      </w:r>
      <w:r w:rsidRPr="005B5CB6">
        <w:rPr>
          <w:rFonts w:ascii="Verdana" w:eastAsia="Verdana" w:hAnsi="Verdana" w:cs="Verdana"/>
        </w:rPr>
        <w:t xml:space="preserve">  </w:t>
      </w:r>
    </w:p>
    <w:p w:rsidR="00FB0B24" w:rsidRPr="005B5CB6" w:rsidP="00A72806">
      <w:pPr>
        <w:spacing w:after="27"/>
        <w:ind w:left="14"/>
        <w:jc w:val="both"/>
        <w:rPr>
          <w:rFonts w:ascii="Verdana" w:hAnsi="Verdana"/>
        </w:rPr>
      </w:pPr>
      <w:r w:rsidRPr="005B5CB6">
        <w:rPr>
          <w:rFonts w:ascii="Verdana" w:eastAsia="Verdana" w:hAnsi="Verdana" w:cs="Verdana"/>
        </w:rPr>
        <w:t xml:space="preserve">  </w:t>
      </w:r>
    </w:p>
    <w:p w:rsidR="00FB0B24" w:rsidRPr="005B5CB6" w:rsidP="00A72806">
      <w:pPr>
        <w:spacing w:after="31" w:line="250" w:lineRule="auto"/>
        <w:ind w:left="23" w:right="89" w:hanging="8"/>
        <w:jc w:val="both"/>
        <w:rPr>
          <w:rFonts w:ascii="Verdana" w:hAnsi="Verdana"/>
        </w:rPr>
      </w:pPr>
      <w:r w:rsidRPr="005B5CB6">
        <w:rPr>
          <w:rFonts w:ascii="Verdana" w:eastAsia="Verdana" w:hAnsi="Verdana" w:cs="Verdana"/>
        </w:rPr>
        <w:t xml:space="preserve">Avaaz believes that efforts to Detox the Algorithm should be based on these important principles:  </w:t>
      </w:r>
    </w:p>
    <w:p w:rsidR="00FB0B24" w:rsidRPr="005B5CB6" w:rsidP="00A72806">
      <w:pPr>
        <w:spacing w:after="24"/>
        <w:ind w:left="14"/>
        <w:jc w:val="both"/>
        <w:rPr>
          <w:rFonts w:ascii="Verdana" w:hAnsi="Verdana"/>
        </w:rPr>
      </w:pP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24"/>
        <w:ind w:left="14"/>
        <w:jc w:val="both"/>
        <w:rPr>
          <w:rFonts w:ascii="Verdana" w:hAnsi="Verdana"/>
        </w:rPr>
      </w:pP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0"/>
        <w:ind w:left="14"/>
        <w:jc w:val="both"/>
        <w:rPr>
          <w:rFonts w:ascii="Verdana" w:hAnsi="Verdana"/>
        </w:rPr>
      </w:pP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31" w:line="250" w:lineRule="auto"/>
        <w:ind w:left="23" w:right="694" w:hanging="8"/>
        <w:jc w:val="both"/>
        <w:rPr>
          <w:rFonts w:ascii="Verdana" w:hAnsi="Verdana"/>
        </w:rPr>
      </w:pPr>
      <w:r w:rsidRPr="005B5CB6">
        <w:rPr>
          <w:rFonts w:ascii="Verdana" w:eastAsia="Verdana" w:hAnsi="Verdana" w:cs="Verdana"/>
          <w:b/>
        </w:rPr>
        <w:t>Consequences</w:t>
      </w:r>
      <w:r w:rsidRPr="005B5CB6">
        <w:rPr>
          <w:rFonts w:ascii="Verdana" w:eastAsia="Verdana" w:hAnsi="Verdana" w:cs="Verdana"/>
        </w:rPr>
        <w:t xml:space="preserve">: Downgrade, Correct  and Demonetize Repeat Disinformers.  We go into more detail on our correct the record solution below, but we believe deterrents for disseminating disinformation should be consistent and should form part of the recommendation system’s algorithm and should demote all recognised and verified disinformation. A three strikes rule might apply: when a content provider is caught peddling disinformation three times the platform would ensure that all the providers’ (channels) content is demonetized and no longer accelerated by the recommendations algorithm.  </w:t>
      </w:r>
    </w:p>
    <w:p w:rsidR="00FB0B24" w:rsidRPr="005B5CB6" w:rsidP="00A72806">
      <w:pPr>
        <w:spacing w:after="27"/>
        <w:ind w:left="14"/>
        <w:jc w:val="both"/>
        <w:rPr>
          <w:rFonts w:ascii="Verdana" w:hAnsi="Verdana"/>
        </w:rPr>
      </w:pPr>
      <w:r w:rsidRPr="005B5CB6">
        <w:rPr>
          <w:rFonts w:ascii="Verdana" w:eastAsia="Verdana" w:hAnsi="Verdana" w:cs="Verdana"/>
        </w:rPr>
        <w:t xml:space="preserve">  </w:t>
      </w:r>
    </w:p>
    <w:p w:rsidR="00FB0B24" w:rsidRPr="005B5CB6" w:rsidP="00A72806">
      <w:pPr>
        <w:spacing w:after="34" w:line="250" w:lineRule="auto"/>
        <w:ind w:left="23" w:right="11" w:hanging="8"/>
        <w:jc w:val="both"/>
        <w:rPr>
          <w:rFonts w:ascii="Verdana" w:hAnsi="Verdana"/>
        </w:rPr>
      </w:pPr>
      <w:r w:rsidRPr="005B5CB6">
        <w:rPr>
          <w:rFonts w:ascii="Verdana" w:eastAsia="Verdana" w:hAnsi="Verdana" w:cs="Verdana"/>
        </w:rPr>
        <w:t xml:space="preserve">For encrypted messaging services steps to prevent the further spread of disinformation, they could include:  </w:t>
      </w:r>
    </w:p>
    <w:p w:rsidR="00FB0B24" w:rsidRPr="005B5CB6" w:rsidP="00A72806">
      <w:pPr>
        <w:spacing w:after="15"/>
        <w:ind w:left="14"/>
        <w:jc w:val="both"/>
        <w:rPr>
          <w:rFonts w:ascii="Verdana" w:hAnsi="Verdana"/>
        </w:rPr>
      </w:pPr>
      <w:r w:rsidRPr="005B5CB6">
        <w:rPr>
          <w:rFonts w:ascii="Verdana" w:eastAsia="Verdana" w:hAnsi="Verdana" w:cs="Verdana"/>
        </w:rPr>
        <w:t xml:space="preserve">  </w:t>
      </w:r>
    </w:p>
    <w:p w:rsidR="00FB0B24" w:rsidRPr="005B5CB6" w:rsidP="00A72806">
      <w:pPr>
        <w:spacing w:after="5" w:line="342" w:lineRule="auto"/>
        <w:ind w:left="10" w:right="729" w:hanging="9"/>
        <w:jc w:val="both"/>
        <w:rPr>
          <w:rFonts w:ascii="Verdana" w:hAnsi="Verdana"/>
        </w:rPr>
      </w:pPr>
      <w:r w:rsidRPr="005B5CB6">
        <w:rPr>
          <w:rFonts w:ascii="Verdana" w:eastAsia="Verdana" w:hAnsi="Verdana" w:cs="Verdana"/>
          <w:b/>
        </w:rPr>
        <w:t xml:space="preserve">Creating a separate databank of flagged disinformation: </w:t>
      </w:r>
      <w:r w:rsidRPr="005B5CB6">
        <w:rPr>
          <w:rFonts w:ascii="Verdana" w:eastAsia="Verdana" w:hAnsi="Verdana" w:cs="Verdana"/>
        </w:rPr>
        <w:t xml:space="preserve">content spreading on the platform, and providing users with access to a special fact-checking database where they can forward problematic content they receive to be reviewed by independent fact-checkers.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0" w:line="286" w:lineRule="auto"/>
        <w:ind w:left="25" w:right="718" w:hanging="10"/>
        <w:jc w:val="both"/>
        <w:rPr>
          <w:rFonts w:ascii="Verdana" w:hAnsi="Verdana"/>
        </w:rPr>
      </w:pPr>
      <w:r w:rsidRPr="005B5CB6">
        <w:rPr>
          <w:rFonts w:ascii="Verdana" w:eastAsia="Verdana" w:hAnsi="Verdana" w:cs="Verdana"/>
          <w:color w:val="0B0C0C"/>
        </w:rPr>
        <w:t xml:space="preserve">Platforms must work with independent, third-party, qualified fact checkers to determine whether content is disinformation, and ensure transparency over decisions made regarding the spread of certain content and channels. The “facts” are not for governments or platforms to determine but qualified, independent fact-checkers.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24"/>
        <w:ind w:left="15"/>
        <w:jc w:val="both"/>
        <w:rPr>
          <w:rFonts w:ascii="Verdana" w:hAnsi="Verdana"/>
        </w:rPr>
      </w:pPr>
      <w:r w:rsidRPr="005B5CB6">
        <w:rPr>
          <w:rFonts w:ascii="Verdana" w:eastAsia="Verdana" w:hAnsi="Verdana" w:cs="Verdana"/>
        </w:rPr>
        <w:t xml:space="preserve">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45" w:line="250" w:lineRule="auto"/>
        <w:ind w:left="23" w:right="11" w:hanging="8"/>
        <w:jc w:val="both"/>
        <w:rPr>
          <w:rFonts w:ascii="Verdana" w:hAnsi="Verdana"/>
        </w:rPr>
      </w:pPr>
      <w:r w:rsidRPr="005B5CB6">
        <w:rPr>
          <w:rFonts w:ascii="Verdana" w:eastAsia="Verdana" w:hAnsi="Verdana" w:cs="Verdana"/>
        </w:rPr>
        <w:t xml:space="preserve">Education   </w:t>
      </w:r>
    </w:p>
    <w:p w:rsidR="00FB0B24" w:rsidRPr="005B5CB6" w:rsidP="00575F14">
      <w:pPr>
        <w:numPr>
          <w:ilvl w:val="0"/>
          <w:numId w:val="221"/>
        </w:numPr>
        <w:spacing w:after="31" w:line="249" w:lineRule="auto"/>
        <w:ind w:right="459" w:hanging="10"/>
        <w:jc w:val="both"/>
        <w:rPr>
          <w:rFonts w:ascii="Verdana" w:hAnsi="Verdana"/>
        </w:rPr>
      </w:pPr>
      <w:r w:rsidRPr="005B5CB6">
        <w:rPr>
          <w:rFonts w:ascii="Verdana" w:eastAsia="Verdana" w:hAnsi="Verdana" w:cs="Verdana"/>
          <w:i/>
        </w:rPr>
        <w:t xml:space="preserve">What role should every stage of education play in helping to create a healthy, active, digitally literate democracy?  </w:t>
      </w:r>
      <w:r w:rsidRPr="005B5CB6">
        <w:rPr>
          <w:rFonts w:ascii="Verdana" w:eastAsia="Verdana" w:hAnsi="Verdana" w:cs="Verdana"/>
        </w:rPr>
        <w:t xml:space="preserve">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31" w:line="250" w:lineRule="auto"/>
        <w:ind w:left="23" w:right="662" w:hanging="8"/>
        <w:jc w:val="both"/>
        <w:rPr>
          <w:rFonts w:ascii="Verdana" w:hAnsi="Verdana"/>
        </w:rPr>
      </w:pPr>
      <w:r w:rsidRPr="005B5CB6">
        <w:rPr>
          <w:rFonts w:ascii="Verdana" w:eastAsia="Verdana" w:hAnsi="Verdana" w:cs="Verdana"/>
        </w:rPr>
        <w:t xml:space="preserve">Education and resilience are crucial, and Correct the Record operates to build this~:content is not removed, it is simply corrected. It adds the truth, and leaves the lies transparently corrected. With each correction the users are given a further piece of crucial information on which sites to trust and how to assess the credibility of the content they see.  This is an important educative function, that safeguards free expression.  </w:t>
      </w:r>
    </w:p>
    <w:p w:rsidR="00FB0B24" w:rsidRPr="005B5CB6" w:rsidP="00A72806">
      <w:pPr>
        <w:spacing w:after="36"/>
        <w:ind w:left="15"/>
        <w:jc w:val="both"/>
        <w:rPr>
          <w:rFonts w:ascii="Verdana" w:hAnsi="Verdana"/>
        </w:rPr>
      </w:pPr>
      <w:r w:rsidRPr="005B5CB6">
        <w:rPr>
          <w:rFonts w:ascii="Verdana" w:eastAsia="Verdana" w:hAnsi="Verdana" w:cs="Verdana"/>
        </w:rPr>
        <w:t xml:space="preserve">  </w:t>
      </w:r>
    </w:p>
    <w:p w:rsidR="00FB0B24" w:rsidRPr="005B5CB6" w:rsidP="00575F14">
      <w:pPr>
        <w:numPr>
          <w:ilvl w:val="0"/>
          <w:numId w:val="221"/>
        </w:numPr>
        <w:spacing w:after="30" w:line="249" w:lineRule="auto"/>
        <w:ind w:right="459" w:hanging="10"/>
        <w:jc w:val="both"/>
        <w:rPr>
          <w:rFonts w:ascii="Verdana" w:hAnsi="Verdana"/>
        </w:rPr>
      </w:pPr>
      <w:r w:rsidRPr="005B5CB6">
        <w:rPr>
          <w:rFonts w:ascii="Verdana" w:eastAsia="Verdana" w:hAnsi="Verdana" w:cs="Verdana"/>
          <w:i/>
        </w:rPr>
        <w:t xml:space="preserve">Would greater transparency in the online spending and campaigning of political groups improve the electoral process in the UK by ensuring accountability, and if so what should this transparency look like?  </w:t>
      </w: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eastAsia="Verdana" w:hAnsi="Verdana" w:cs="Verdana"/>
          <w:i/>
        </w:rPr>
        <w:t xml:space="preserve"> </w:t>
      </w:r>
      <w:r w:rsidRPr="005B5CB6">
        <w:rPr>
          <w:rFonts w:ascii="Verdana" w:eastAsia="Verdana" w:hAnsi="Verdana" w:cs="Verdana"/>
        </w:rPr>
        <w:t xml:space="preserve"> </w:t>
      </w:r>
    </w:p>
    <w:p w:rsidR="00FB0B24" w:rsidRPr="005B5CB6" w:rsidP="00A72806">
      <w:pPr>
        <w:spacing w:after="29" w:line="250" w:lineRule="auto"/>
        <w:ind w:left="23" w:right="320" w:hanging="8"/>
        <w:jc w:val="both"/>
        <w:rPr>
          <w:rFonts w:ascii="Verdana" w:hAnsi="Verdana"/>
        </w:rPr>
      </w:pPr>
      <w:r w:rsidRPr="005B5CB6">
        <w:rPr>
          <w:rFonts w:ascii="Verdana" w:eastAsia="Verdana" w:hAnsi="Verdana" w:cs="Verdana"/>
        </w:rPr>
        <w:t xml:space="preserve">One of the reasons Avaaz is campaigning for regulation of the tech giants is that unless they are legally required to be transparent, they can continue to play the role of judge, jury, prosecutor and witness all at the same time.   </w:t>
      </w:r>
    </w:p>
    <w:p w:rsidR="00FB0B24" w:rsidRPr="005B5CB6" w:rsidP="00A72806">
      <w:pPr>
        <w:spacing w:after="29"/>
        <w:ind w:left="14"/>
        <w:jc w:val="both"/>
        <w:rPr>
          <w:rFonts w:ascii="Verdana" w:hAnsi="Verdana"/>
        </w:rPr>
      </w:pPr>
      <w:r w:rsidRPr="005B5CB6">
        <w:rPr>
          <w:rFonts w:ascii="Verdana" w:eastAsia="Verdana" w:hAnsi="Verdana" w:cs="Verdana"/>
        </w:rPr>
        <w:t xml:space="preserve">  </w:t>
      </w:r>
    </w:p>
    <w:p w:rsidR="00FB0B24" w:rsidRPr="005B5CB6" w:rsidP="00A72806">
      <w:pPr>
        <w:spacing w:after="31" w:line="250" w:lineRule="auto"/>
        <w:ind w:left="23" w:right="462" w:hanging="8"/>
        <w:jc w:val="both"/>
        <w:rPr>
          <w:rFonts w:ascii="Verdana" w:hAnsi="Verdana"/>
        </w:rPr>
      </w:pPr>
      <w:r w:rsidRPr="005B5CB6">
        <w:rPr>
          <w:rFonts w:ascii="Verdana" w:eastAsia="Verdana" w:hAnsi="Verdana" w:cs="Verdana"/>
        </w:rPr>
        <w:t xml:space="preserve">There is therefore a very urgent requirement of transparency from the platforms to help lawmakers, elections officials and civil society stay ahead of the tactics employed by those who seek to influence election outcomes. Disinformation campaigns are relatively cheap so while transparency around online spending is very important, transparency about the scale of disinformation is equally so.   </w:t>
      </w:r>
    </w:p>
    <w:p w:rsidR="00FB0B24" w:rsidRPr="005B5CB6" w:rsidP="00A72806">
      <w:pPr>
        <w:spacing w:after="29"/>
        <w:ind w:left="14"/>
        <w:jc w:val="both"/>
        <w:rPr>
          <w:rFonts w:ascii="Verdana" w:hAnsi="Verdana"/>
        </w:rPr>
      </w:pPr>
      <w:r w:rsidRPr="005B5CB6">
        <w:rPr>
          <w:rFonts w:ascii="Verdana" w:eastAsia="Verdana" w:hAnsi="Verdana" w:cs="Verdana"/>
        </w:rPr>
        <w:t xml:space="preserve">  </w:t>
      </w:r>
    </w:p>
    <w:p w:rsidR="00FB0B24" w:rsidRPr="005B5CB6" w:rsidP="00A72806">
      <w:pPr>
        <w:spacing w:after="31" w:line="250" w:lineRule="auto"/>
        <w:ind w:left="23" w:right="693" w:hanging="8"/>
        <w:jc w:val="both"/>
        <w:rPr>
          <w:rFonts w:ascii="Verdana" w:hAnsi="Verdana"/>
        </w:rPr>
      </w:pPr>
      <w:r w:rsidRPr="005B5CB6">
        <w:rPr>
          <w:rFonts w:ascii="Verdana" w:eastAsia="Verdana" w:hAnsi="Verdana" w:cs="Verdana"/>
        </w:rPr>
        <w:t xml:space="preserve">Online platforms and messaging services should publish periodic transparency reports, conducted by independent auditors, on action taken against the dissemination of disinformation.  In the months preceding elections, online platforms and messaging services shall produce such reports on a monthly basis.  </w:t>
      </w:r>
    </w:p>
    <w:p w:rsidR="00FB0B24" w:rsidRPr="005B5CB6" w:rsidP="00A72806">
      <w:pPr>
        <w:spacing w:after="27"/>
        <w:ind w:left="734"/>
        <w:jc w:val="both"/>
        <w:rPr>
          <w:rFonts w:ascii="Verdana" w:hAnsi="Verdana"/>
        </w:rPr>
      </w:pPr>
      <w:r w:rsidRPr="005B5CB6">
        <w:rPr>
          <w:rFonts w:ascii="Verdana" w:eastAsia="Verdana" w:hAnsi="Verdana" w:cs="Verdana"/>
        </w:rPr>
        <w:t xml:space="preserve">  </w:t>
      </w:r>
    </w:p>
    <w:p w:rsidR="00FB0B24" w:rsidRPr="005B5CB6" w:rsidP="00A72806">
      <w:pPr>
        <w:spacing w:after="38" w:line="250" w:lineRule="auto"/>
        <w:ind w:left="23" w:right="11" w:hanging="8"/>
        <w:jc w:val="both"/>
        <w:rPr>
          <w:rFonts w:ascii="Verdana" w:hAnsi="Verdana"/>
        </w:rPr>
      </w:pPr>
      <w:r w:rsidRPr="005B5CB6">
        <w:rPr>
          <w:rFonts w:ascii="Verdana" w:eastAsia="Verdana" w:hAnsi="Verdana" w:cs="Verdana"/>
        </w:rPr>
        <w:t xml:space="preserve">Transparency reports shall include at least the following information:  </w:t>
      </w:r>
    </w:p>
    <w:p w:rsidR="00FB0B24" w:rsidRPr="005B5CB6" w:rsidP="00575F14">
      <w:pPr>
        <w:numPr>
          <w:ilvl w:val="0"/>
          <w:numId w:val="222"/>
        </w:numPr>
        <w:spacing w:after="31" w:line="250" w:lineRule="auto"/>
        <w:ind w:right="134" w:hanging="360"/>
        <w:jc w:val="both"/>
        <w:rPr>
          <w:rFonts w:ascii="Verdana" w:hAnsi="Verdana"/>
        </w:rPr>
      </w:pPr>
      <w:r w:rsidRPr="005B5CB6">
        <w:rPr>
          <w:rFonts w:ascii="Verdana" w:eastAsia="Verdana" w:hAnsi="Verdana" w:cs="Verdana"/>
        </w:rPr>
        <w:t xml:space="preserve">information about the online platform or messaging service’s measures in relation to the detection, identification and correction of disinformation;  </w:t>
      </w:r>
    </w:p>
    <w:p w:rsidR="00FB0B24" w:rsidRPr="005B5CB6" w:rsidP="00575F14">
      <w:pPr>
        <w:numPr>
          <w:ilvl w:val="0"/>
          <w:numId w:val="222"/>
        </w:numPr>
        <w:spacing w:after="34" w:line="250" w:lineRule="auto"/>
        <w:ind w:right="134" w:hanging="360"/>
        <w:jc w:val="both"/>
        <w:rPr>
          <w:rFonts w:ascii="Verdana" w:hAnsi="Verdana"/>
        </w:rPr>
      </w:pPr>
      <w:r w:rsidRPr="005B5CB6">
        <w:rPr>
          <w:rFonts w:ascii="Verdana" w:eastAsia="Verdana" w:hAnsi="Verdana" w:cs="Verdana"/>
        </w:rPr>
        <w:t xml:space="preserve">information about the online platform or messaging service’s measures to limit the spread disinformation;  </w:t>
      </w:r>
    </w:p>
    <w:p w:rsidR="00FB0B24" w:rsidRPr="005B5CB6" w:rsidP="00575F14">
      <w:pPr>
        <w:numPr>
          <w:ilvl w:val="0"/>
          <w:numId w:val="222"/>
        </w:numPr>
        <w:spacing w:after="34" w:line="250" w:lineRule="auto"/>
        <w:ind w:right="134" w:hanging="360"/>
        <w:jc w:val="both"/>
        <w:rPr>
          <w:rFonts w:ascii="Verdana" w:hAnsi="Verdana"/>
        </w:rPr>
      </w:pPr>
      <w:r w:rsidRPr="005B5CB6">
        <w:rPr>
          <w:rFonts w:ascii="Verdana" w:eastAsia="Verdana" w:hAnsi="Verdana" w:cs="Verdana"/>
        </w:rPr>
        <w:t xml:space="preserve">Statistics on the number of pieces of disinformation detected and those for which corrections have been issued, following user reports, or proactive measures, respectively including number of views on pieces of disinformation as well as number of users exposed to it  </w:t>
      </w:r>
    </w:p>
    <w:p w:rsidR="00FB0B24" w:rsidRPr="005B5CB6" w:rsidP="00575F14">
      <w:pPr>
        <w:numPr>
          <w:ilvl w:val="0"/>
          <w:numId w:val="222"/>
        </w:numPr>
        <w:spacing w:after="36" w:line="250" w:lineRule="auto"/>
        <w:ind w:right="134" w:hanging="360"/>
        <w:jc w:val="both"/>
        <w:rPr>
          <w:rFonts w:ascii="Verdana" w:hAnsi="Verdana"/>
        </w:rPr>
      </w:pPr>
      <w:r w:rsidRPr="005B5CB6">
        <w:rPr>
          <w:rFonts w:ascii="Verdana" w:eastAsia="Verdana" w:hAnsi="Verdana" w:cs="Verdana"/>
        </w:rPr>
        <w:t xml:space="preserve">An overview of the nature and outcome of complaint procedures  </w:t>
      </w:r>
    </w:p>
    <w:p w:rsidR="00FB0B24" w:rsidRPr="005B5CB6" w:rsidP="00A72806">
      <w:pPr>
        <w:spacing w:after="24"/>
        <w:ind w:left="15"/>
        <w:jc w:val="both"/>
        <w:rPr>
          <w:rFonts w:ascii="Verdana" w:hAnsi="Verdana"/>
        </w:rPr>
      </w:pPr>
      <w:r w:rsidRPr="005B5CB6">
        <w:rPr>
          <w:rFonts w:ascii="Verdana" w:eastAsia="Verdana" w:hAnsi="Verdana" w:cs="Verdana"/>
        </w:rPr>
        <w:t xml:space="preserve">  </w:t>
      </w:r>
    </w:p>
    <w:p w:rsidR="00FB0B24" w:rsidRPr="005B5CB6" w:rsidP="00A72806">
      <w:pPr>
        <w:spacing w:after="31" w:line="249" w:lineRule="auto"/>
        <w:ind w:left="10" w:right="117" w:hanging="10"/>
        <w:jc w:val="both"/>
        <w:rPr>
          <w:rFonts w:ascii="Verdana" w:hAnsi="Verdana"/>
        </w:rPr>
      </w:pPr>
      <w:r w:rsidRPr="005B5CB6">
        <w:rPr>
          <w:rFonts w:ascii="Verdana" w:eastAsia="Verdana" w:hAnsi="Verdana" w:cs="Verdana"/>
          <w:i/>
        </w:rPr>
        <w:t xml:space="preserve">5. What effect does online targeted advertising have on the political process, and what effects could it have in the future? Should there be additional regulation of political advertising? Privacy and anonymity  </w:t>
      </w:r>
      <w:r w:rsidRPr="005B5CB6">
        <w:rPr>
          <w:rFonts w:ascii="Verdana" w:eastAsia="Verdana" w:hAnsi="Verdana" w:cs="Verdana"/>
        </w:rPr>
        <w:t xml:space="preserve">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33" w:line="250" w:lineRule="auto"/>
        <w:ind w:left="11" w:hanging="10"/>
        <w:jc w:val="both"/>
        <w:rPr>
          <w:rFonts w:ascii="Verdana" w:hAnsi="Verdana"/>
        </w:rPr>
      </w:pPr>
      <w:r w:rsidRPr="005B5CB6">
        <w:rPr>
          <w:rFonts w:ascii="Verdana" w:eastAsia="Verdana" w:hAnsi="Verdana" w:cs="Verdana"/>
          <w:b/>
        </w:rPr>
        <w:t xml:space="preserve">The issue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144" w:line="250" w:lineRule="auto"/>
        <w:ind w:left="23" w:right="616" w:hanging="8"/>
        <w:jc w:val="both"/>
        <w:rPr>
          <w:rFonts w:ascii="Verdana" w:hAnsi="Verdana"/>
        </w:rPr>
      </w:pPr>
      <w:r w:rsidRPr="005B5CB6">
        <w:rPr>
          <w:rFonts w:ascii="Verdana" w:eastAsia="Verdana" w:hAnsi="Verdana" w:cs="Verdana"/>
        </w:rPr>
        <w:t>Many platform providers already require advertisers wishing to run political ads to verify their identity and location with proof of ID. In order to protect citizens from disinformation warfare, these standards of transparency should apply to all paid political communications - not just those that come directly from political parties or their foundation</w:t>
      </w:r>
      <w:r w:rsidRPr="005B5CB6">
        <w:rPr>
          <w:rFonts w:ascii="Verdana" w:eastAsia="Verdana" w:hAnsi="Verdana" w:cs="Verdana"/>
          <w:b/>
        </w:rPr>
        <w:t>.</w:t>
      </w:r>
      <w:r w:rsidRPr="005B5CB6">
        <w:rPr>
          <w:rFonts w:ascii="Verdana" w:eastAsia="Verdana" w:hAnsi="Verdana" w:cs="Verdana"/>
        </w:rPr>
        <w:t xml:space="preserve">  </w:t>
      </w:r>
    </w:p>
    <w:p w:rsidR="00FB0B24" w:rsidRPr="005B5CB6" w:rsidP="00A72806">
      <w:pPr>
        <w:spacing w:after="24"/>
        <w:ind w:left="15"/>
        <w:jc w:val="both"/>
        <w:rPr>
          <w:rFonts w:ascii="Verdana" w:hAnsi="Verdana"/>
        </w:rPr>
      </w:pPr>
      <w:r w:rsidRPr="005B5CB6">
        <w:rPr>
          <w:rFonts w:ascii="Verdana" w:eastAsia="Verdana" w:hAnsi="Verdana" w:cs="Verdana"/>
        </w:rPr>
        <w:t xml:space="preserve">  </w:t>
      </w:r>
    </w:p>
    <w:p w:rsidR="00FB0B24" w:rsidRPr="005B5CB6" w:rsidP="00A72806">
      <w:pPr>
        <w:spacing w:after="5" w:line="250" w:lineRule="auto"/>
        <w:ind w:left="11" w:hanging="10"/>
        <w:jc w:val="both"/>
        <w:rPr>
          <w:rFonts w:ascii="Verdana" w:hAnsi="Verdana"/>
        </w:rPr>
      </w:pPr>
      <w:r w:rsidRPr="005B5CB6">
        <w:rPr>
          <w:rFonts w:ascii="Verdana" w:eastAsia="Verdana" w:hAnsi="Verdana" w:cs="Verdana"/>
          <w:b/>
        </w:rPr>
        <w:t xml:space="preserve">The Solutions </w:t>
      </w:r>
      <w:r w:rsidRPr="005B5CB6">
        <w:rPr>
          <w:rFonts w:ascii="Verdana" w:eastAsia="Verdana" w:hAnsi="Verdana" w:cs="Verdana"/>
        </w:rPr>
        <w:t xml:space="preserve"> </w:t>
      </w:r>
    </w:p>
    <w:p w:rsidR="00FB0B24" w:rsidRPr="005B5CB6" w:rsidP="00A72806">
      <w:pPr>
        <w:spacing w:after="24"/>
        <w:ind w:left="15"/>
        <w:jc w:val="both"/>
        <w:rPr>
          <w:rFonts w:ascii="Verdana" w:hAnsi="Verdana"/>
        </w:rPr>
      </w:pPr>
      <w:r w:rsidRPr="005B5CB6">
        <w:rPr>
          <w:rFonts w:ascii="Verdana" w:eastAsia="Verdana" w:hAnsi="Verdana" w:cs="Verdana"/>
        </w:rPr>
        <w:t xml:space="preserve">  </w:t>
      </w:r>
    </w:p>
    <w:p w:rsidR="00FB0B24" w:rsidRPr="005B5CB6" w:rsidP="00A72806">
      <w:pPr>
        <w:spacing w:after="37" w:line="250" w:lineRule="auto"/>
        <w:ind w:left="11" w:right="175" w:hanging="10"/>
        <w:jc w:val="both"/>
        <w:rPr>
          <w:rFonts w:ascii="Verdana" w:hAnsi="Verdana"/>
        </w:rPr>
      </w:pPr>
      <w:r w:rsidRPr="005B5CB6">
        <w:rPr>
          <w:rFonts w:ascii="Verdana" w:eastAsia="Verdana" w:hAnsi="Verdana" w:cs="Verdana"/>
          <w:b/>
        </w:rPr>
        <w:t xml:space="preserve">We believe the following principles are crucial to any suggested regulation of political advertising content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575F14">
      <w:pPr>
        <w:numPr>
          <w:ilvl w:val="0"/>
          <w:numId w:val="223"/>
        </w:numPr>
        <w:spacing w:after="35" w:line="250" w:lineRule="auto"/>
        <w:ind w:hanging="350"/>
        <w:jc w:val="both"/>
        <w:rPr>
          <w:rFonts w:ascii="Verdana" w:hAnsi="Verdana"/>
        </w:rPr>
      </w:pPr>
      <w:r w:rsidRPr="005B5CB6">
        <w:rPr>
          <w:rFonts w:ascii="Verdana" w:eastAsia="Verdana" w:hAnsi="Verdana" w:cs="Verdana"/>
          <w:b/>
        </w:rPr>
        <w:t xml:space="preserve">Label Paid Content and Disclose Targeting  </w:t>
      </w:r>
    </w:p>
    <w:p w:rsidR="00FB0B24" w:rsidRPr="005B5CB6" w:rsidP="00A72806">
      <w:pPr>
        <w:spacing w:after="32"/>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5" w:line="397" w:lineRule="auto"/>
        <w:ind w:left="23" w:right="657" w:hanging="8"/>
        <w:jc w:val="both"/>
        <w:rPr>
          <w:rFonts w:ascii="Verdana" w:hAnsi="Verdana"/>
        </w:rPr>
      </w:pPr>
      <w:r w:rsidRPr="005B5CB6">
        <w:rPr>
          <w:rFonts w:ascii="Verdana" w:eastAsia="Verdana" w:hAnsi="Verdana" w:cs="Verdana"/>
          <w:b/>
        </w:rPr>
        <w:t xml:space="preserve">Transparency </w:t>
      </w:r>
      <w:r w:rsidRPr="005B5CB6">
        <w:rPr>
          <w:rFonts w:ascii="Verdana" w:eastAsia="Verdana" w:hAnsi="Verdana" w:cs="Verdana"/>
        </w:rPr>
        <w:t>should apply to all paid communications</w:t>
      </w:r>
      <w:r w:rsidRPr="005B5CB6">
        <w:rPr>
          <w:rFonts w:ascii="Verdana" w:eastAsia="Verdana" w:hAnsi="Verdana" w:cs="Verdana"/>
          <w:b/>
        </w:rPr>
        <w:t xml:space="preserve">, political and nonpolitical. Citizens ought to be able to know who paid for advertising content </w:t>
      </w:r>
      <w:r w:rsidRPr="005B5CB6">
        <w:rPr>
          <w:rFonts w:ascii="Verdana" w:eastAsia="Verdana" w:hAnsi="Verdana" w:cs="Verdana"/>
        </w:rPr>
        <w:t xml:space="preserve">and on what basis the viewer was targeted. All online advertising should include the following information: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575F14">
      <w:pPr>
        <w:numPr>
          <w:ilvl w:val="1"/>
          <w:numId w:val="223"/>
        </w:numPr>
        <w:spacing w:after="31" w:line="250" w:lineRule="auto"/>
        <w:ind w:right="400" w:hanging="360"/>
        <w:jc w:val="both"/>
        <w:rPr>
          <w:rFonts w:ascii="Verdana" w:hAnsi="Verdana"/>
        </w:rPr>
      </w:pPr>
      <w:r w:rsidRPr="005B5CB6">
        <w:rPr>
          <w:rFonts w:ascii="Verdana" w:eastAsia="Verdana" w:hAnsi="Verdana" w:cs="Verdana"/>
        </w:rPr>
        <w:t xml:space="preserve">A prominent “paid for by” label clarifying for users that they are seeing paid-for content and identifying who paid for the content;  </w:t>
      </w:r>
    </w:p>
    <w:p w:rsidR="00FB0B24" w:rsidRPr="005B5CB6" w:rsidP="00575F14">
      <w:pPr>
        <w:numPr>
          <w:ilvl w:val="1"/>
          <w:numId w:val="223"/>
        </w:numPr>
        <w:spacing w:after="34" w:line="250" w:lineRule="auto"/>
        <w:ind w:right="400" w:hanging="360"/>
        <w:jc w:val="both"/>
        <w:rPr>
          <w:rFonts w:ascii="Verdana" w:hAnsi="Verdana"/>
        </w:rPr>
      </w:pPr>
      <w:r w:rsidRPr="005B5CB6">
        <w:rPr>
          <w:rFonts w:ascii="Verdana" w:eastAsia="Verdana" w:hAnsi="Verdana" w:cs="Verdana"/>
        </w:rPr>
        <w:t xml:space="preserve">An easily recognisable button that directly leads the viewer to information showing the name of the entity that is paying the ad with contact information provided and the targeting of the ad.   </w:t>
      </w:r>
    </w:p>
    <w:p w:rsidR="00FB0B24" w:rsidRPr="005B5CB6" w:rsidP="00575F14">
      <w:pPr>
        <w:numPr>
          <w:ilvl w:val="1"/>
          <w:numId w:val="223"/>
        </w:numPr>
        <w:spacing w:after="31" w:line="250" w:lineRule="auto"/>
        <w:ind w:right="400" w:hanging="360"/>
        <w:jc w:val="both"/>
        <w:rPr>
          <w:rFonts w:ascii="Verdana" w:hAnsi="Verdana"/>
        </w:rPr>
      </w:pPr>
      <w:r w:rsidRPr="005B5CB6">
        <w:rPr>
          <w:rFonts w:ascii="Verdana" w:eastAsia="Verdana" w:hAnsi="Verdana" w:cs="Verdana"/>
        </w:rPr>
        <w:t xml:space="preserve">If the ad is paid for by a political party then the party name must also appear in the label.  </w:t>
      </w:r>
    </w:p>
    <w:p w:rsidR="00FB0B24" w:rsidRPr="005B5CB6" w:rsidP="00575F14">
      <w:pPr>
        <w:numPr>
          <w:ilvl w:val="1"/>
          <w:numId w:val="223"/>
        </w:numPr>
        <w:spacing w:after="34" w:line="250" w:lineRule="auto"/>
        <w:ind w:right="400" w:hanging="360"/>
        <w:jc w:val="both"/>
        <w:rPr>
          <w:rFonts w:ascii="Verdana" w:hAnsi="Verdana"/>
        </w:rPr>
      </w:pPr>
      <w:r w:rsidRPr="005B5CB6">
        <w:rPr>
          <w:rFonts w:ascii="Verdana" w:eastAsia="Verdana" w:hAnsi="Verdana" w:cs="Verdana"/>
        </w:rPr>
        <w:t xml:space="preserve">Users should be given an accessible and prominent way to access all ads the payee has run in the preceding 12 months, including all the ads it is running currently.   </w:t>
      </w:r>
    </w:p>
    <w:p w:rsidR="00FB0B24" w:rsidRPr="005B5CB6" w:rsidP="00575F14">
      <w:pPr>
        <w:numPr>
          <w:ilvl w:val="1"/>
          <w:numId w:val="223"/>
        </w:numPr>
        <w:spacing w:after="34" w:line="250" w:lineRule="auto"/>
        <w:ind w:right="400" w:hanging="360"/>
        <w:jc w:val="both"/>
        <w:rPr>
          <w:rFonts w:ascii="Verdana" w:hAnsi="Verdana"/>
        </w:rPr>
      </w:pPr>
      <w:r w:rsidRPr="005B5CB6">
        <w:rPr>
          <w:rFonts w:ascii="Verdana" w:eastAsia="Verdana" w:hAnsi="Verdana" w:cs="Verdana"/>
        </w:rPr>
        <w:t xml:space="preserve">These requirements apply to any advertising, paid content, or boosted content in any format (post, news item, article, video, animation, audio or mixed material).  </w:t>
      </w:r>
    </w:p>
    <w:p w:rsidR="00FB0B24" w:rsidRPr="005B5CB6" w:rsidP="00575F14">
      <w:pPr>
        <w:numPr>
          <w:ilvl w:val="1"/>
          <w:numId w:val="223"/>
        </w:numPr>
        <w:spacing w:after="29" w:line="250" w:lineRule="auto"/>
        <w:ind w:right="400" w:hanging="360"/>
        <w:jc w:val="both"/>
        <w:rPr>
          <w:rFonts w:ascii="Verdana" w:hAnsi="Verdana"/>
        </w:rPr>
      </w:pPr>
      <w:r w:rsidRPr="005B5CB6">
        <w:rPr>
          <w:rFonts w:ascii="Verdana" w:eastAsia="Verdana" w:hAnsi="Verdana" w:cs="Verdana"/>
        </w:rPr>
        <w:t xml:space="preserve">Platforms must label state-sponsored media in order to increase transparency by disclosing where content is funded or editorially controlled from.  </w:t>
      </w:r>
    </w:p>
    <w:p w:rsidR="00FB0B24" w:rsidRPr="005B5CB6" w:rsidP="00A72806">
      <w:pPr>
        <w:spacing w:after="27"/>
        <w:ind w:left="16"/>
        <w:jc w:val="both"/>
        <w:rPr>
          <w:rFonts w:ascii="Verdana" w:hAnsi="Verdana"/>
        </w:rPr>
      </w:pPr>
      <w:r w:rsidRPr="005B5CB6">
        <w:rPr>
          <w:rFonts w:ascii="Verdana" w:eastAsia="Verdana" w:hAnsi="Verdana" w:cs="Verdana"/>
        </w:rPr>
        <w:t xml:space="preserve">  </w:t>
      </w:r>
    </w:p>
    <w:p w:rsidR="00FB0B24" w:rsidRPr="005B5CB6" w:rsidP="00575F14">
      <w:pPr>
        <w:numPr>
          <w:ilvl w:val="0"/>
          <w:numId w:val="223"/>
        </w:numPr>
        <w:spacing w:after="38" w:line="250" w:lineRule="auto"/>
        <w:ind w:hanging="350"/>
        <w:jc w:val="both"/>
        <w:rPr>
          <w:rFonts w:ascii="Verdana" w:hAnsi="Verdana"/>
        </w:rPr>
      </w:pPr>
      <w:r w:rsidRPr="005B5CB6">
        <w:rPr>
          <w:rFonts w:ascii="Verdana" w:eastAsia="Verdana" w:hAnsi="Verdana" w:cs="Verdana"/>
          <w:b/>
        </w:rPr>
        <w:t xml:space="preserve">Remove all paid content that contains disinformation </w:t>
      </w:r>
      <w:r w:rsidRPr="005B5CB6">
        <w:rPr>
          <w:rFonts w:ascii="Verdana" w:eastAsia="Verdana" w:hAnsi="Verdana" w:cs="Verdana"/>
        </w:rPr>
        <w:t xml:space="preserve"> </w:t>
      </w:r>
    </w:p>
    <w:p w:rsidR="00FB0B24" w:rsidRPr="005B5CB6" w:rsidP="00A72806">
      <w:pPr>
        <w:spacing w:after="29"/>
        <w:ind w:left="16"/>
        <w:jc w:val="both"/>
        <w:rPr>
          <w:rFonts w:ascii="Verdana" w:hAnsi="Verdana"/>
        </w:rPr>
      </w:pPr>
      <w:r w:rsidRPr="005B5CB6">
        <w:rPr>
          <w:rFonts w:ascii="Verdana" w:eastAsia="Verdana" w:hAnsi="Verdana" w:cs="Verdana"/>
        </w:rPr>
        <w:t xml:space="preserve">  </w:t>
      </w:r>
    </w:p>
    <w:p w:rsidR="00FB0B24" w:rsidRPr="005B5CB6" w:rsidP="00A72806">
      <w:pPr>
        <w:spacing w:after="33" w:line="250" w:lineRule="auto"/>
        <w:ind w:left="11" w:hanging="10"/>
        <w:jc w:val="both"/>
        <w:rPr>
          <w:rFonts w:ascii="Verdana" w:hAnsi="Verdana"/>
        </w:rPr>
      </w:pPr>
      <w:r w:rsidRPr="005B5CB6">
        <w:rPr>
          <w:rFonts w:ascii="Verdana" w:eastAsia="Verdana" w:hAnsi="Verdana" w:cs="Verdana"/>
          <w:b/>
        </w:rPr>
        <w:t xml:space="preserve">The issue  </w:t>
      </w:r>
    </w:p>
    <w:p w:rsidR="00FB0B24" w:rsidRPr="005B5CB6" w:rsidP="00A72806">
      <w:pPr>
        <w:spacing w:after="29"/>
        <w:ind w:left="16"/>
        <w:jc w:val="both"/>
        <w:rPr>
          <w:rFonts w:ascii="Verdana" w:hAnsi="Verdana"/>
        </w:rPr>
      </w:pPr>
      <w:r w:rsidRPr="005B5CB6">
        <w:rPr>
          <w:rFonts w:ascii="Verdana" w:eastAsia="Verdana" w:hAnsi="Verdana" w:cs="Verdana"/>
        </w:rPr>
        <w:t xml:space="preserve">  </w:t>
      </w:r>
    </w:p>
    <w:p w:rsidR="00FB0B24" w:rsidRPr="005B5CB6" w:rsidP="00A72806">
      <w:pPr>
        <w:spacing w:after="34" w:line="250" w:lineRule="auto"/>
        <w:ind w:left="23" w:right="455" w:hanging="8"/>
        <w:jc w:val="both"/>
        <w:rPr>
          <w:rFonts w:ascii="Verdana" w:hAnsi="Verdana"/>
        </w:rPr>
      </w:pPr>
      <w:r w:rsidRPr="005B5CB6">
        <w:rPr>
          <w:rFonts w:ascii="Verdana" w:eastAsia="Verdana" w:hAnsi="Verdana" w:cs="Verdana"/>
        </w:rPr>
        <w:t xml:space="preserve">Facebook's current rules state “Facebook prohibits ads that include claims debunked by third-party fact checkers or, in certain circumstances, claims debunked by organizations with particular expertise. Advertisers that repeatedly post information deemed to be false may have restrictions placed on their ability to advertise on Facebook.  Facebook then gives the following examples:  </w:t>
      </w:r>
    </w:p>
    <w:p w:rsidR="00FB0B24" w:rsidRPr="005B5CB6" w:rsidP="00575F14">
      <w:pPr>
        <w:numPr>
          <w:ilvl w:val="0"/>
          <w:numId w:val="224"/>
        </w:numPr>
        <w:spacing w:after="5" w:line="250" w:lineRule="auto"/>
        <w:ind w:left="668" w:right="290" w:hanging="360"/>
        <w:jc w:val="both"/>
        <w:rPr>
          <w:rFonts w:ascii="Verdana" w:hAnsi="Verdana"/>
        </w:rPr>
      </w:pPr>
      <w:r w:rsidRPr="005B5CB6">
        <w:rPr>
          <w:rFonts w:ascii="Verdana" w:eastAsia="Verdana" w:hAnsi="Verdana" w:cs="Verdana"/>
        </w:rPr>
        <w:t xml:space="preserve">Ads containing claims which are debunked by third party fact checkers  </w:t>
      </w:r>
    </w:p>
    <w:p w:rsidR="00FB0B24" w:rsidRPr="005B5CB6" w:rsidP="00575F14">
      <w:pPr>
        <w:numPr>
          <w:ilvl w:val="0"/>
          <w:numId w:val="224"/>
        </w:numPr>
        <w:spacing w:after="96" w:line="249" w:lineRule="auto"/>
        <w:ind w:left="668" w:right="290" w:hanging="360"/>
        <w:jc w:val="both"/>
        <w:rPr>
          <w:rFonts w:ascii="Verdana" w:hAnsi="Verdana"/>
        </w:rPr>
      </w:pPr>
      <w:r w:rsidRPr="005B5CB6">
        <w:rPr>
          <w:rFonts w:ascii="Verdana" w:eastAsia="Verdana" w:hAnsi="Verdana" w:cs="Verdana"/>
        </w:rPr>
        <w:t>Ads which include misinformation about vaccines as identified and verified by global health organizations such as the World Health Organization</w:t>
      </w:r>
      <w:r>
        <w:rPr>
          <w:rFonts w:ascii="Verdana" w:eastAsia="Verdana" w:hAnsi="Verdana" w:cs="Verdana"/>
          <w:vertAlign w:val="superscript"/>
        </w:rPr>
        <w:footnoteReference w:id="324"/>
      </w:r>
      <w:r w:rsidRPr="005B5CB6">
        <w:rPr>
          <w:rFonts w:ascii="Verdana" w:eastAsia="Verdana" w:hAnsi="Verdana" w:cs="Verdana"/>
        </w:rPr>
        <w:t xml:space="preserve">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139" w:line="250" w:lineRule="auto"/>
        <w:ind w:left="23" w:right="695" w:hanging="8"/>
        <w:jc w:val="both"/>
        <w:rPr>
          <w:rFonts w:ascii="Verdana" w:hAnsi="Verdana"/>
        </w:rPr>
      </w:pPr>
      <w:r w:rsidRPr="005B5CB6">
        <w:rPr>
          <w:rFonts w:ascii="Verdana" w:eastAsia="Verdana" w:hAnsi="Verdana" w:cs="Verdana"/>
          <w:b/>
        </w:rPr>
        <w:t xml:space="preserve">But Facebook has exempted politicians from even this requirement not to peddle proven disinformation. </w:t>
      </w:r>
      <w:r w:rsidRPr="005B5CB6">
        <w:rPr>
          <w:rFonts w:ascii="Verdana" w:eastAsia="Verdana" w:hAnsi="Verdana" w:cs="Verdana"/>
        </w:rPr>
        <w:t xml:space="preserve">Nick Clegg’s speech of 24 September stated “This means that we will not send organic content or ads from politicians to our third-party fact-checking partners for review. However, when a politician shares previously debunked content including links, videos and photos, we plan to demote that content, display related information from fact-checkers, and reject its inclusion in advertisements.” </w:t>
      </w:r>
      <w:r w:rsidRPr="005B5CB6">
        <w:rPr>
          <w:rFonts w:ascii="Verdana" w:eastAsia="Verdana" w:hAnsi="Verdana" w:cs="Verdana"/>
          <w:b/>
        </w:rPr>
        <w:t>The exemption is already being exploited.</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35" w:line="250" w:lineRule="auto"/>
        <w:ind w:left="11" w:hanging="10"/>
        <w:jc w:val="both"/>
        <w:rPr>
          <w:rFonts w:ascii="Verdana" w:hAnsi="Verdana"/>
        </w:rPr>
      </w:pPr>
      <w:r w:rsidRPr="005B5CB6">
        <w:rPr>
          <w:rFonts w:ascii="Verdana" w:eastAsia="Verdana" w:hAnsi="Verdana" w:cs="Verdana"/>
          <w:b/>
        </w:rPr>
        <w:t xml:space="preserve">The Evidence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29" w:line="250" w:lineRule="auto"/>
        <w:ind w:left="23" w:right="659" w:hanging="8"/>
        <w:jc w:val="both"/>
        <w:rPr>
          <w:rFonts w:ascii="Verdana" w:hAnsi="Verdana"/>
        </w:rPr>
      </w:pPr>
      <w:r w:rsidRPr="005B5CB6">
        <w:rPr>
          <w:rFonts w:ascii="Verdana" w:eastAsia="Verdana" w:hAnsi="Verdana" w:cs="Verdana"/>
        </w:rPr>
        <w:t xml:space="preserve">On Tuesday 2 October 2019 October Donald Trump posted an advert which Facebook’s own fact checkers (Politifact and Factcheck.org) had already indicated was false.  </w:t>
      </w:r>
    </w:p>
    <w:p w:rsidR="00FB0B24" w:rsidRPr="005B5CB6" w:rsidP="00A72806">
      <w:pPr>
        <w:spacing w:after="6612"/>
        <w:ind w:left="15"/>
        <w:jc w:val="both"/>
        <w:rPr>
          <w:rFonts w:ascii="Verdana" w:hAnsi="Verdana"/>
        </w:rPr>
      </w:pP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5535" name="Group 58553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07" name="Shape 63630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49" style="height:0.6pt;mso-position-horizontal-relative:char;mso-position-vertical-relative:line;width:2in" coordsize="18288,76">
                <v:shape id="_x0000_s1350"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0"/>
        <w:ind w:right="3806"/>
        <w:jc w:val="both"/>
        <w:rPr>
          <w:rFonts w:ascii="Verdana" w:hAnsi="Verdana"/>
        </w:rPr>
      </w:pPr>
      <w:r w:rsidRPr="005B5CB6">
        <w:rPr>
          <w:rFonts w:ascii="Verdana" w:hAnsi="Verdana"/>
          <w:noProof/>
        </w:rPr>
        <w:drawing>
          <wp:inline distT="0" distB="0" distL="0" distR="0">
            <wp:extent cx="3657600" cy="4438650"/>
            <wp:effectExtent l="0" t="0" r="0" b="0"/>
            <wp:docPr id="37742" name="Picture 37742"/>
            <wp:cNvGraphicFramePr/>
            <a:graphic xmlns:a="http://schemas.openxmlformats.org/drawingml/2006/main">
              <a:graphicData uri="http://schemas.openxmlformats.org/drawingml/2006/picture">
                <pic:pic xmlns:pic="http://schemas.openxmlformats.org/drawingml/2006/picture">
                  <pic:nvPicPr>
                    <pic:cNvPr id="37742" name="Picture 37742"/>
                    <pic:cNvPicPr/>
                  </pic:nvPicPr>
                  <pic:blipFill>
                    <a:blip xmlns:r="http://schemas.openxmlformats.org/officeDocument/2006/relationships" r:embed="rId388"/>
                    <a:stretch>
                      <a:fillRect/>
                    </a:stretch>
                  </pic:blipFill>
                  <pic:spPr>
                    <a:xfrm>
                      <a:off x="0" y="0"/>
                      <a:ext cx="3657600" cy="4438650"/>
                    </a:xfrm>
                    <a:prstGeom prst="rect">
                      <a:avLst/>
                    </a:prstGeom>
                  </pic:spPr>
                </pic:pic>
              </a:graphicData>
            </a:graphic>
          </wp:inline>
        </w:drawing>
      </w: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33" w:line="250" w:lineRule="auto"/>
        <w:ind w:left="23" w:right="11" w:hanging="8"/>
        <w:jc w:val="both"/>
        <w:rPr>
          <w:rFonts w:ascii="Verdana" w:hAnsi="Verdana"/>
        </w:rPr>
      </w:pPr>
      <w:r w:rsidRPr="005B5CB6">
        <w:rPr>
          <w:rFonts w:ascii="Verdana" w:eastAsia="Verdana" w:hAnsi="Verdana" w:cs="Verdana"/>
        </w:rPr>
        <w:t xml:space="preserve">On September 24, Factcheck.org wrote: "[T]here is no evidence that Hunter </w:t>
      </w:r>
    </w:p>
    <w:p w:rsidR="00FB0B24" w:rsidRPr="005B5CB6" w:rsidP="00A72806">
      <w:pPr>
        <w:spacing w:after="29" w:line="250" w:lineRule="auto"/>
        <w:ind w:left="23" w:right="199" w:hanging="8"/>
        <w:jc w:val="both"/>
        <w:rPr>
          <w:rFonts w:ascii="Verdana" w:hAnsi="Verdana"/>
        </w:rPr>
      </w:pPr>
      <w:r w:rsidRPr="005B5CB6">
        <w:rPr>
          <w:rFonts w:ascii="Verdana" w:eastAsia="Verdana" w:hAnsi="Verdana" w:cs="Verdana"/>
        </w:rPr>
        <w:t xml:space="preserve">Biden was ever under investigation or that his father pressured Ukraine to fire Shokin on his behalf."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29" w:line="250" w:lineRule="auto"/>
        <w:ind w:left="23" w:right="11" w:hanging="8"/>
        <w:jc w:val="both"/>
        <w:rPr>
          <w:rFonts w:ascii="Verdana" w:hAnsi="Verdana"/>
        </w:rPr>
      </w:pPr>
      <w:r w:rsidRPr="005B5CB6">
        <w:rPr>
          <w:rFonts w:ascii="Verdana" w:eastAsia="Verdana" w:hAnsi="Verdana" w:cs="Verdana"/>
        </w:rPr>
        <w:t xml:space="preserve">On September 23, Politifact wrote: "Hunter Biden did do work in Ukraine, but we found nothing to suggest Vice President Biden acted to help him."   </w:t>
      </w:r>
    </w:p>
    <w:p w:rsidR="00FB0B24" w:rsidRPr="005B5CB6" w:rsidP="00A72806">
      <w:pPr>
        <w:spacing w:after="29"/>
        <w:ind w:left="14"/>
        <w:jc w:val="both"/>
        <w:rPr>
          <w:rFonts w:ascii="Verdana" w:hAnsi="Verdana"/>
        </w:rPr>
      </w:pPr>
      <w:r w:rsidRPr="005B5CB6">
        <w:rPr>
          <w:rFonts w:ascii="Verdana" w:eastAsia="Verdana" w:hAnsi="Verdana" w:cs="Verdana"/>
        </w:rPr>
        <w:t xml:space="preserve">  </w:t>
      </w:r>
    </w:p>
    <w:p w:rsidR="00FB0B24" w:rsidRPr="005B5CB6" w:rsidP="00A72806">
      <w:pPr>
        <w:spacing w:after="33" w:line="250" w:lineRule="auto"/>
        <w:ind w:left="23" w:right="11" w:hanging="8"/>
        <w:jc w:val="both"/>
        <w:rPr>
          <w:rFonts w:ascii="Verdana" w:hAnsi="Verdana"/>
        </w:rPr>
      </w:pPr>
      <w:r w:rsidRPr="005B5CB6">
        <w:rPr>
          <w:rFonts w:ascii="Verdana" w:eastAsia="Verdana" w:hAnsi="Verdana" w:cs="Verdana"/>
        </w:rPr>
        <w:t xml:space="preserve">A Facebook spokesperson reportedly confirmed that the ad does not violate </w:t>
      </w:r>
    </w:p>
    <w:p w:rsidR="00FB0B24" w:rsidRPr="005B5CB6" w:rsidP="00A72806">
      <w:pPr>
        <w:spacing w:after="30" w:line="250" w:lineRule="auto"/>
        <w:ind w:left="23" w:right="11" w:hanging="8"/>
        <w:jc w:val="both"/>
        <w:rPr>
          <w:rFonts w:ascii="Verdana" w:hAnsi="Verdana"/>
        </w:rPr>
      </w:pPr>
      <w:r w:rsidRPr="005B5CB6">
        <w:rPr>
          <w:rFonts w:ascii="Verdana" w:eastAsia="Verdana" w:hAnsi="Verdana" w:cs="Verdana"/>
        </w:rPr>
        <w:t xml:space="preserve">Facebook's policies because political ads are ineligible for fact-checking.  As at </w:t>
      </w:r>
    </w:p>
    <w:p w:rsidR="00FB0B24" w:rsidRPr="005B5CB6" w:rsidP="00A72806">
      <w:pPr>
        <w:spacing w:after="943" w:line="250" w:lineRule="auto"/>
        <w:ind w:left="23" w:right="11" w:hanging="8"/>
        <w:jc w:val="both"/>
        <w:rPr>
          <w:rFonts w:ascii="Verdana" w:hAnsi="Verdana"/>
        </w:rPr>
      </w:pPr>
      <w:r w:rsidRPr="005B5CB6">
        <w:rPr>
          <w:rFonts w:ascii="Verdana" w:eastAsia="Verdana" w:hAnsi="Verdana" w:cs="Verdana"/>
        </w:rPr>
        <w:t>4th October 2019, and despite international press coverage of the post</w:t>
      </w:r>
      <w:r>
        <w:rPr>
          <w:rFonts w:ascii="Verdana" w:eastAsia="Verdana" w:hAnsi="Verdana" w:cs="Verdana"/>
          <w:vertAlign w:val="superscript"/>
        </w:rPr>
        <w:footnoteReference w:id="325"/>
      </w:r>
      <w:r w:rsidRPr="005B5CB6">
        <w:rPr>
          <w:rFonts w:ascii="Verdana" w:eastAsia="Verdana" w:hAnsi="Verdana" w:cs="Verdana"/>
        </w:rPr>
        <w:t xml:space="preserve"> and its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85684" name="Group 58568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6309" name="Shape 63630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51" style="height:0.6pt;mso-position-horizontal-relative:char;mso-position-vertical-relative:line;width:2in" coordsize="18288,76">
                <v:shape id="_x0000_s1352"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113" w:line="250" w:lineRule="auto"/>
        <w:ind w:left="23" w:right="230" w:hanging="8"/>
        <w:jc w:val="both"/>
        <w:rPr>
          <w:rFonts w:ascii="Verdana" w:hAnsi="Verdana"/>
        </w:rPr>
      </w:pPr>
      <w:r w:rsidRPr="005B5CB6">
        <w:rPr>
          <w:rFonts w:ascii="Verdana" w:eastAsia="Verdana" w:hAnsi="Verdana" w:cs="Verdana"/>
        </w:rPr>
        <w:t>disinformation, this post was still available on Donald Trump's Facebook posts feed.</w:t>
      </w:r>
      <w:r>
        <w:rPr>
          <w:rFonts w:ascii="Verdana" w:eastAsia="Verdana" w:hAnsi="Verdana" w:cs="Verdana"/>
          <w:vertAlign w:val="superscript"/>
        </w:rPr>
        <w:footnoteReference w:id="326"/>
      </w:r>
      <w:r w:rsidRPr="005B5CB6">
        <w:rPr>
          <w:rFonts w:ascii="Verdana" w:eastAsia="Verdana" w:hAnsi="Verdana" w:cs="Verdana"/>
        </w:rPr>
        <w:t xml:space="preserve">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31" w:line="250" w:lineRule="auto"/>
        <w:ind w:left="23" w:right="565" w:hanging="8"/>
        <w:jc w:val="both"/>
        <w:rPr>
          <w:rFonts w:ascii="Verdana" w:hAnsi="Verdana"/>
        </w:rPr>
      </w:pPr>
      <w:r w:rsidRPr="005B5CB6">
        <w:rPr>
          <w:rFonts w:ascii="Verdana" w:eastAsia="Verdana" w:hAnsi="Verdana" w:cs="Verdana"/>
        </w:rPr>
        <w:t>The Biden campaign wrote to Facebook challenging a video advertisement that the Trump re-election campaign put out that has been viewed over 5 million times despite the falsehood it peddles. But Facebook told the Biden campaign that they would not take it down because of “Facebook’s fundamental belief in free expression.” CNN rejected this ad. And in a statement</w:t>
      </w:r>
      <w:r w:rsidRPr="005B5CB6">
        <w:rPr>
          <w:rFonts w:ascii="Verdana" w:eastAsia="Verdana" w:hAnsi="Verdana" w:cs="Verdana"/>
          <w:vertAlign w:val="superscript"/>
        </w:rPr>
        <w:t>15</w:t>
      </w:r>
      <w:r w:rsidRPr="005B5CB6">
        <w:rPr>
          <w:rFonts w:ascii="Verdana" w:eastAsia="Verdana" w:hAnsi="Verdana" w:cs="Verdana"/>
        </w:rPr>
        <w:t xml:space="preserve"> justifying their rejection saying it failed to meet advertising standards, they added,   </w:t>
      </w:r>
    </w:p>
    <w:p w:rsidR="00FB0B24" w:rsidRPr="005B5CB6" w:rsidP="00A72806">
      <w:pPr>
        <w:spacing w:after="24"/>
        <w:ind w:left="15"/>
        <w:jc w:val="both"/>
        <w:rPr>
          <w:rFonts w:ascii="Verdana" w:hAnsi="Verdana"/>
        </w:rPr>
      </w:pPr>
      <w:r w:rsidRPr="005B5CB6">
        <w:rPr>
          <w:rFonts w:ascii="Verdana" w:eastAsia="Verdana" w:hAnsi="Verdana" w:cs="Verdana"/>
        </w:rPr>
        <w:t xml:space="preserve">  </w:t>
      </w:r>
    </w:p>
    <w:p w:rsidR="00FB0B24" w:rsidRPr="005B5CB6" w:rsidP="00A72806">
      <w:pPr>
        <w:spacing w:after="30" w:line="249" w:lineRule="auto"/>
        <w:ind w:left="10" w:right="193" w:hanging="10"/>
        <w:jc w:val="both"/>
        <w:rPr>
          <w:rFonts w:ascii="Verdana" w:hAnsi="Verdana"/>
        </w:rPr>
      </w:pPr>
      <w:r w:rsidRPr="005B5CB6">
        <w:rPr>
          <w:rFonts w:ascii="Verdana" w:eastAsia="Verdana" w:hAnsi="Verdana" w:cs="Verdana"/>
          <w:i/>
        </w:rPr>
        <w:t xml:space="preserve">“In addition to disparaging CNN and its journalists, the ad makes assertions that have been proven demonstrably false by various news outlets, including CNN.”  </w:t>
      </w:r>
      <w:r w:rsidRPr="005B5CB6">
        <w:rPr>
          <w:rFonts w:ascii="Verdana" w:eastAsia="Verdana" w:hAnsi="Verdana" w:cs="Verdana"/>
        </w:rPr>
        <w:t xml:space="preserve">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92" w:line="250" w:lineRule="auto"/>
        <w:ind w:left="23" w:right="329" w:hanging="8"/>
        <w:jc w:val="both"/>
        <w:rPr>
          <w:rFonts w:ascii="Verdana" w:hAnsi="Verdana"/>
        </w:rPr>
      </w:pPr>
      <w:r w:rsidRPr="005B5CB6">
        <w:rPr>
          <w:rFonts w:ascii="Verdana" w:eastAsia="Verdana" w:hAnsi="Verdana" w:cs="Verdana"/>
        </w:rPr>
        <w:t>Yet platforms like Facebook, Twitter and Youtube are profiting enormously from spreading these lies. According to figures released by Facebook, the Trump reelection campaign has spent approximately $5 million on Facebook advertising while the Biden campaign has spent around $700,000</w:t>
      </w:r>
      <w:r>
        <w:rPr>
          <w:rFonts w:ascii="Verdana" w:eastAsia="Verdana" w:hAnsi="Verdana" w:cs="Verdana"/>
          <w:vertAlign w:val="superscript"/>
        </w:rPr>
        <w:footnoteReference w:id="327"/>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35" w:line="250" w:lineRule="auto"/>
        <w:ind w:left="11" w:hanging="10"/>
        <w:jc w:val="both"/>
        <w:rPr>
          <w:rFonts w:ascii="Verdana" w:hAnsi="Verdana"/>
        </w:rPr>
      </w:pPr>
      <w:r w:rsidRPr="005B5CB6">
        <w:rPr>
          <w:rFonts w:ascii="Verdana" w:eastAsia="Verdana" w:hAnsi="Verdana" w:cs="Verdana"/>
          <w:b/>
        </w:rPr>
        <w:t xml:space="preserve">The Solution  </w:t>
      </w:r>
    </w:p>
    <w:p w:rsidR="00FB0B24" w:rsidRPr="005B5CB6" w:rsidP="00A72806">
      <w:pPr>
        <w:spacing w:after="27"/>
        <w:ind w:left="15"/>
        <w:jc w:val="both"/>
        <w:rPr>
          <w:rFonts w:ascii="Verdana" w:hAnsi="Verdana"/>
        </w:rPr>
      </w:pPr>
      <w:r w:rsidRPr="005B5CB6">
        <w:rPr>
          <w:rFonts w:ascii="Verdana" w:eastAsia="Verdana" w:hAnsi="Verdana" w:cs="Verdana"/>
          <w:b/>
          <w:color w:val="38761D"/>
        </w:rPr>
        <w:t xml:space="preserve"> </w:t>
      </w:r>
      <w:r w:rsidRPr="005B5CB6">
        <w:rPr>
          <w:rFonts w:ascii="Verdana" w:eastAsia="Verdana" w:hAnsi="Verdana" w:cs="Verdana"/>
        </w:rPr>
        <w:t xml:space="preserve"> </w:t>
      </w:r>
    </w:p>
    <w:p w:rsidR="00FB0B24" w:rsidRPr="005B5CB6" w:rsidP="00A72806">
      <w:pPr>
        <w:spacing w:after="31" w:line="250" w:lineRule="auto"/>
        <w:ind w:left="23" w:right="357" w:hanging="8"/>
        <w:jc w:val="both"/>
        <w:rPr>
          <w:rFonts w:ascii="Verdana" w:hAnsi="Verdana"/>
        </w:rPr>
      </w:pPr>
      <w:r w:rsidRPr="005B5CB6">
        <w:rPr>
          <w:rFonts w:ascii="Verdana" w:eastAsia="Verdana" w:hAnsi="Verdana" w:cs="Verdana"/>
        </w:rPr>
        <w:t xml:space="preserve">Avaaz believes that disinformation that has been debunked by fact-checkers, should be barred from paid content including online political advertising.   </w:t>
      </w:r>
    </w:p>
    <w:p w:rsidR="00FB0B24" w:rsidRPr="005B5CB6" w:rsidP="00A72806">
      <w:pPr>
        <w:spacing w:after="36"/>
        <w:ind w:left="15"/>
        <w:jc w:val="both"/>
        <w:rPr>
          <w:rFonts w:ascii="Verdana" w:hAnsi="Verdana"/>
        </w:rPr>
      </w:pPr>
      <w:r w:rsidRPr="005B5CB6">
        <w:rPr>
          <w:rFonts w:ascii="Verdana" w:eastAsia="Verdana" w:hAnsi="Verdana" w:cs="Verdana"/>
        </w:rPr>
        <w:t xml:space="preserve">  </w:t>
      </w:r>
    </w:p>
    <w:p w:rsidR="00FB0B24" w:rsidRPr="005B5CB6" w:rsidP="00575F14">
      <w:pPr>
        <w:numPr>
          <w:ilvl w:val="0"/>
          <w:numId w:val="225"/>
        </w:numPr>
        <w:spacing w:after="38" w:line="249" w:lineRule="auto"/>
        <w:ind w:right="390" w:hanging="10"/>
        <w:jc w:val="both"/>
        <w:rPr>
          <w:rFonts w:ascii="Verdana" w:hAnsi="Verdana"/>
        </w:rPr>
      </w:pPr>
      <w:r w:rsidRPr="005B5CB6">
        <w:rPr>
          <w:rFonts w:ascii="Verdana" w:eastAsia="Verdana" w:hAnsi="Verdana" w:cs="Verdana"/>
          <w:i/>
        </w:rPr>
        <w:t xml:space="preserve">To what extent does increasing use of encrypted messaging and private groups present a challenge to the democratic process? And  </w:t>
      </w:r>
      <w:r w:rsidRPr="005B5CB6">
        <w:rPr>
          <w:rFonts w:ascii="Verdana" w:eastAsia="Verdana" w:hAnsi="Verdana" w:cs="Verdana"/>
        </w:rPr>
        <w:t xml:space="preserve"> </w:t>
      </w:r>
    </w:p>
    <w:p w:rsidR="00FB0B24" w:rsidRPr="005B5CB6" w:rsidP="00575F14">
      <w:pPr>
        <w:numPr>
          <w:ilvl w:val="0"/>
          <w:numId w:val="225"/>
        </w:numPr>
        <w:spacing w:after="440" w:line="249" w:lineRule="auto"/>
        <w:ind w:right="390" w:hanging="10"/>
        <w:jc w:val="both"/>
        <w:rPr>
          <w:rFonts w:ascii="Verdana" w:hAnsi="Verdana"/>
        </w:rPr>
      </w:pPr>
      <w:r w:rsidRPr="005B5CB6">
        <w:rPr>
          <w:rFonts w:ascii="Verdana" w:eastAsia="Verdana" w:hAnsi="Verdana" w:cs="Verdana"/>
          <w:i/>
        </w:rPr>
        <w:t xml:space="preserve">What are the positive or negative effects of anonymity on online democratic discourse? Democratic debate  </w:t>
      </w:r>
      <w:r w:rsidRPr="005B5CB6">
        <w:rPr>
          <w:rFonts w:ascii="Verdana" w:eastAsia="Verdana" w:hAnsi="Verdana" w:cs="Verdana"/>
          <w:color w:val="222222"/>
        </w:rPr>
        <w:t xml:space="preserve">We have dealt with these two questions together. </w:t>
      </w:r>
      <w:r w:rsidRPr="005B5CB6">
        <w:rPr>
          <w:rFonts w:ascii="Verdana" w:eastAsia="Verdana" w:hAnsi="Verdana" w:cs="Verdana"/>
        </w:rPr>
        <w:t xml:space="preserve"> </w:t>
      </w:r>
    </w:p>
    <w:p w:rsidR="00FB0B24" w:rsidRPr="005B5CB6" w:rsidP="00A72806">
      <w:pPr>
        <w:spacing w:after="33" w:line="250" w:lineRule="auto"/>
        <w:ind w:left="11" w:hanging="10"/>
        <w:jc w:val="both"/>
        <w:rPr>
          <w:rFonts w:ascii="Verdana" w:hAnsi="Verdana"/>
        </w:rPr>
      </w:pPr>
      <w:r w:rsidRPr="005B5CB6">
        <w:rPr>
          <w:rFonts w:ascii="Verdana" w:eastAsia="Verdana" w:hAnsi="Verdana" w:cs="Verdana"/>
          <w:b/>
        </w:rPr>
        <w:t xml:space="preserve">The Issue  </w:t>
      </w:r>
    </w:p>
    <w:p w:rsidR="00FB0B24" w:rsidRPr="005B5CB6" w:rsidP="00A72806">
      <w:pPr>
        <w:spacing w:after="832" w:line="249" w:lineRule="auto"/>
        <w:ind w:left="-4" w:hanging="10"/>
        <w:jc w:val="both"/>
        <w:rPr>
          <w:rFonts w:ascii="Verdana" w:hAnsi="Verdana"/>
        </w:rPr>
      </w:pPr>
      <w:r w:rsidRPr="005B5CB6">
        <w:rPr>
          <w:rFonts w:ascii="Verdana" w:eastAsia="Verdana" w:hAnsi="Verdana" w:cs="Verdana"/>
          <w:color w:val="222222"/>
        </w:rPr>
        <w:t xml:space="preserve">Encrypted messaging services have become a favoured tool for disseminating disinformation. </w:t>
      </w: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5765" name="Group 58576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11" name="Shape 63631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53" style="height:0.6pt;mso-position-horizontal-relative:char;mso-position-vertical-relative:line;width:2in" coordsize="18288,76">
                <v:shape id="_x0000_s1354"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324" w:line="260" w:lineRule="auto"/>
        <w:ind w:left="-5" w:hanging="10"/>
        <w:jc w:val="both"/>
        <w:rPr>
          <w:rFonts w:ascii="Verdana" w:hAnsi="Verdana"/>
        </w:rPr>
      </w:pPr>
      <w:r w:rsidRPr="005B5CB6">
        <w:rPr>
          <w:rFonts w:ascii="Verdana" w:eastAsia="Verdana" w:hAnsi="Verdana" w:cs="Verdana"/>
          <w:b/>
          <w:color w:val="222222"/>
        </w:rPr>
        <w:t xml:space="preserve">The Evidence:  </w:t>
      </w:r>
      <w:r w:rsidRPr="005B5CB6">
        <w:rPr>
          <w:rFonts w:ascii="Verdana" w:eastAsia="Verdana" w:hAnsi="Verdana" w:cs="Verdana"/>
        </w:rPr>
        <w:t xml:space="preserve"> </w:t>
      </w:r>
    </w:p>
    <w:p w:rsidR="00FB0B24" w:rsidRPr="005B5CB6" w:rsidP="00A72806">
      <w:pPr>
        <w:spacing w:after="359" w:line="270" w:lineRule="auto"/>
        <w:ind w:left="4" w:right="633" w:hanging="19"/>
        <w:jc w:val="both"/>
        <w:rPr>
          <w:rFonts w:ascii="Verdana" w:hAnsi="Verdana"/>
        </w:rPr>
      </w:pPr>
      <w:r w:rsidRPr="005B5CB6">
        <w:rPr>
          <w:rFonts w:ascii="Verdana" w:eastAsia="Verdana" w:hAnsi="Verdana" w:cs="Verdana"/>
          <w:color w:val="222222"/>
        </w:rPr>
        <w:t>In Brazil a massive investigation by the newspaper Folha de Sao Paulo before the 2018 presidential run off election found that businesses allied to the Bolsonaro campaign had set up a large-scale illegal mobilization on WhatsApp of up to 300,000 groups reaching up to 77 million Brazilians. The matter was placed under investigation by Brazil’s electoral tribunal.</w:t>
      </w:r>
      <w:r w:rsidRPr="005B5CB6">
        <w:rPr>
          <w:rFonts w:ascii="Verdana" w:eastAsia="Verdana" w:hAnsi="Verdana" w:cs="Verdana"/>
          <w:color w:val="222222"/>
          <w:vertAlign w:val="superscript"/>
        </w:rPr>
        <w:t>17</w:t>
      </w:r>
      <w:r w:rsidRPr="005B5CB6">
        <w:rPr>
          <w:rFonts w:ascii="Verdana" w:eastAsia="Verdana" w:hAnsi="Verdana" w:cs="Verdana"/>
          <w:color w:val="222222"/>
        </w:rPr>
        <w:t xml:space="preserve">  </w:t>
      </w:r>
      <w:r w:rsidRPr="005B5CB6">
        <w:rPr>
          <w:rFonts w:ascii="Verdana" w:eastAsia="Verdana" w:hAnsi="Verdana" w:cs="Verdana"/>
        </w:rPr>
        <w:t xml:space="preserve"> </w:t>
      </w:r>
    </w:p>
    <w:p w:rsidR="00FB0B24" w:rsidRPr="005B5CB6" w:rsidP="00A72806">
      <w:pPr>
        <w:spacing w:after="380" w:line="270" w:lineRule="auto"/>
        <w:ind w:left="4" w:right="633" w:hanging="19"/>
        <w:jc w:val="both"/>
        <w:rPr>
          <w:rFonts w:ascii="Verdana" w:hAnsi="Verdana"/>
        </w:rPr>
      </w:pPr>
      <w:r w:rsidRPr="005B5CB6">
        <w:rPr>
          <w:rFonts w:ascii="Verdana" w:eastAsia="Verdana" w:hAnsi="Verdana" w:cs="Verdana"/>
          <w:color w:val="222222"/>
        </w:rPr>
        <w:t>In Spain, in 2019 Avaaz’s investigation into WhatsApp revealed that 9.6 million potential voters in Spain (26.1%) had likely seen false, misleading, racist or hateful posts on WhatsApp. That was more than all the disinformation found during the investigation on YouTube, Twitter and Instagram combined -- and was almost as much as we found on Facebook (27.7%).</w:t>
      </w:r>
      <w:r>
        <w:rPr>
          <w:rFonts w:ascii="Verdana" w:eastAsia="Verdana" w:hAnsi="Verdana" w:cs="Verdana"/>
          <w:color w:val="222222"/>
          <w:vertAlign w:val="superscript"/>
        </w:rPr>
        <w:footnoteReference w:id="328"/>
      </w:r>
      <w:r w:rsidRPr="005B5CB6">
        <w:rPr>
          <w:rFonts w:ascii="Verdana" w:eastAsia="Verdana" w:hAnsi="Verdana" w:cs="Verdana"/>
        </w:rPr>
        <w:t xml:space="preserve"> </w:t>
      </w:r>
    </w:p>
    <w:p w:rsidR="00FB0B24" w:rsidRPr="005B5CB6" w:rsidP="00A72806">
      <w:pPr>
        <w:spacing w:after="367" w:line="250" w:lineRule="auto"/>
        <w:ind w:left="23" w:right="693" w:hanging="8"/>
        <w:jc w:val="both"/>
        <w:rPr>
          <w:rFonts w:ascii="Verdana" w:hAnsi="Verdana"/>
        </w:rPr>
      </w:pPr>
      <w:r w:rsidRPr="005B5CB6">
        <w:rPr>
          <w:rFonts w:ascii="Verdana" w:eastAsia="Verdana" w:hAnsi="Verdana" w:cs="Verdana"/>
        </w:rPr>
        <w:t>In India, Amit Shah, the current Minister of Home Affairs who has been President of the ruling Bharatiya Janata Party (BJP) since 2014, summarised the power of WhatsApp in this way: “We are capable of delivering any message we want to the public, whether sweet or sour, true or fake. We can do this work only because we have [3.2 million]</w:t>
      </w:r>
      <w:r>
        <w:rPr>
          <w:rFonts w:ascii="Verdana" w:eastAsia="Verdana" w:hAnsi="Verdana" w:cs="Verdana"/>
          <w:vertAlign w:val="superscript"/>
        </w:rPr>
        <w:footnoteReference w:id="329"/>
      </w:r>
      <w:r w:rsidRPr="005B5CB6">
        <w:rPr>
          <w:rFonts w:ascii="Verdana" w:eastAsia="Verdana" w:hAnsi="Verdana" w:cs="Verdana"/>
        </w:rPr>
        <w:t xml:space="preserve"> people in our WhatsApp groups. That is how we were able to make this viral.”</w:t>
      </w:r>
      <w:r>
        <w:rPr>
          <w:rFonts w:ascii="Verdana" w:eastAsia="Verdana" w:hAnsi="Verdana" w:cs="Verdana"/>
          <w:vertAlign w:val="superscript"/>
        </w:rPr>
        <w:footnoteReference w:id="330"/>
      </w:r>
      <w:r w:rsidRPr="005B5CB6">
        <w:rPr>
          <w:rFonts w:ascii="Verdana" w:eastAsia="Verdana" w:hAnsi="Verdana" w:cs="Verdana"/>
        </w:rPr>
        <w:t xml:space="preserve">  Underscoring the power of social media he said, “It is through social media that we have to form governments at the state and national levels.”</w:t>
      </w:r>
      <w:r>
        <w:rPr>
          <w:rFonts w:ascii="Verdana" w:eastAsia="Verdana" w:hAnsi="Verdana" w:cs="Verdana"/>
          <w:vertAlign w:val="superscript"/>
        </w:rPr>
        <w:footnoteReference w:id="331"/>
      </w:r>
      <w:r w:rsidRPr="005B5CB6">
        <w:rPr>
          <w:rFonts w:ascii="Verdana" w:eastAsia="Verdana" w:hAnsi="Verdana" w:cs="Verdana"/>
        </w:rPr>
        <w:t xml:space="preserve">   </w:t>
      </w:r>
    </w:p>
    <w:p w:rsidR="00FB0B24" w:rsidRPr="005B5CB6" w:rsidP="00A72806">
      <w:pPr>
        <w:spacing w:after="62" w:line="250" w:lineRule="auto"/>
        <w:ind w:left="23" w:right="11" w:hanging="8"/>
        <w:jc w:val="both"/>
        <w:rPr>
          <w:rFonts w:ascii="Verdana" w:hAnsi="Verdana"/>
        </w:rPr>
      </w:pPr>
      <w:r w:rsidRPr="005B5CB6">
        <w:rPr>
          <w:rFonts w:ascii="Verdana" w:eastAsia="Verdana" w:hAnsi="Verdana" w:cs="Verdana"/>
        </w:rPr>
        <w:t>One investigation</w:t>
      </w:r>
      <w:r>
        <w:rPr>
          <w:rFonts w:ascii="Verdana" w:eastAsia="Verdana" w:hAnsi="Verdana" w:cs="Verdana"/>
          <w:vertAlign w:val="superscript"/>
        </w:rPr>
        <w:footnoteReference w:id="332"/>
      </w:r>
      <w:r w:rsidRPr="005B5CB6">
        <w:rPr>
          <w:rFonts w:ascii="Verdana" w:eastAsia="Verdana" w:hAnsi="Verdana" w:cs="Verdana"/>
        </w:rPr>
        <w:t xml:space="preserve"> reported on over 60,000 messages from 140 pro-BJP </w:t>
      </w:r>
    </w:p>
    <w:p w:rsidR="00FB0B24" w:rsidRPr="005B5CB6" w:rsidP="00A72806">
      <w:pPr>
        <w:spacing w:after="413" w:line="250" w:lineRule="auto"/>
        <w:ind w:left="23" w:right="450" w:hanging="8"/>
        <w:jc w:val="both"/>
        <w:rPr>
          <w:rFonts w:ascii="Verdana" w:hAnsi="Verdana"/>
        </w:rPr>
      </w:pPr>
      <w:r w:rsidRPr="005B5CB6">
        <w:rPr>
          <w:rFonts w:ascii="Verdana" w:eastAsia="Verdana" w:hAnsi="Verdana" w:cs="Verdana"/>
        </w:rPr>
        <w:t xml:space="preserve">WhatsApp groups in India reported that disinformation and hate speech against Muslims occurred in nearly a quarter of the messages. The report found that nearly 23.84% of the messages shared in these groups were Islamophobic with the potential to ‘incite violence.’ Much of this hate speech was embedded in disinformation that Hindus were in some way in danger in India because of the presence of Muslims and/or that Hindus will eventually become a minority in </w:t>
      </w:r>
    </w:p>
    <w:p w:rsidR="00FB0B24" w:rsidRPr="005B5CB6" w:rsidP="00A72806">
      <w:pPr>
        <w:spacing w:after="15"/>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6177" name="Group 58617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13" name="Shape 63631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55" style="height:0.6pt;mso-position-horizontal-relative:char;mso-position-vertical-relative:line;width:2in" coordsize="18288,76">
                <v:shape id="_x0000_s1356"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0"/>
        <w:ind w:left="15"/>
        <w:jc w:val="both"/>
        <w:rPr>
          <w:rFonts w:ascii="Verdana" w:hAnsi="Verdana"/>
        </w:rPr>
      </w:pPr>
      <w:r w:rsidRPr="005B5CB6">
        <w:rPr>
          <w:rFonts w:ascii="Verdana" w:eastAsia="Arial" w:hAnsi="Verdana" w:cs="Arial"/>
          <w:vertAlign w:val="superscript"/>
        </w:rPr>
        <w:t>17</w:t>
      </w:r>
      <w:r>
        <w:fldChar w:fldCharType="begin"/>
      </w:r>
      <w:r>
        <w:instrText xml:space="preserve"> HYPERLINK "https://secure.avaaz.org/act/media.php?press_id=918" </w:instrText>
      </w:r>
      <w:r>
        <w:fldChar w:fldCharType="separate"/>
      </w:r>
      <w:r w:rsidRPr="005B5CB6">
        <w:rPr>
          <w:rFonts w:ascii="Verdana" w:eastAsia="Arial" w:hAnsi="Verdana" w:cs="Arial"/>
          <w:color w:val="1155CC"/>
          <w:u w:val="single" w:color="1155CC"/>
        </w:rPr>
        <w:t xml:space="preserve"> </w:t>
      </w:r>
      <w:r>
        <w:fldChar w:fldCharType="end"/>
      </w:r>
      <w:r>
        <w:fldChar w:fldCharType="begin"/>
      </w:r>
      <w:r>
        <w:instrText xml:space="preserve"> HYPERLINK "https://secure.avaaz.org/act/media.php?press_id=918" </w:instrText>
      </w:r>
      <w:r>
        <w:fldChar w:fldCharType="separate"/>
      </w:r>
      <w:r w:rsidRPr="005B5CB6">
        <w:rPr>
          <w:rFonts w:ascii="Verdana" w:eastAsia="Arial" w:hAnsi="Verdana" w:cs="Arial"/>
          <w:color w:val="1155CC"/>
          <w:u w:val="single" w:color="1155CC"/>
        </w:rPr>
        <w:t>https://secure.avaaz.org/act/media.php?press_id=91</w:t>
      </w:r>
      <w:r>
        <w:fldChar w:fldCharType="end"/>
      </w:r>
      <w:r>
        <w:fldChar w:fldCharType="begin"/>
      </w:r>
      <w:r>
        <w:instrText xml:space="preserve"> HYPERLINK "https://secure.avaaz.org/act/media.php?press_id=918" </w:instrText>
      </w:r>
      <w:r>
        <w:fldChar w:fldCharType="separate"/>
      </w:r>
      <w:r w:rsidRPr="005B5CB6">
        <w:rPr>
          <w:rFonts w:ascii="Verdana" w:eastAsia="Arial" w:hAnsi="Verdana" w:cs="Arial"/>
          <w:color w:val="1155CC"/>
          <w:u w:val="single" w:color="1155CC"/>
        </w:rPr>
        <w:t>8</w:t>
      </w:r>
      <w:r>
        <w:fldChar w:fldCharType="end"/>
      </w:r>
      <w:r>
        <w:fldChar w:fldCharType="begin"/>
      </w:r>
      <w:r>
        <w:instrText xml:space="preserve"> HYPERLINK "https://secure.avaaz.org/act/media.php?press_id=918" </w:instrText>
      </w:r>
      <w:r>
        <w:fldChar w:fldCharType="separate"/>
      </w:r>
      <w:r w:rsidRPr="005B5CB6">
        <w:rPr>
          <w:rFonts w:ascii="Verdana" w:eastAsia="Arial" w:hAnsi="Verdana" w:cs="Arial"/>
          <w:color w:val="222222"/>
        </w:rPr>
        <w:t xml:space="preserve"> </w:t>
      </w:r>
      <w:r>
        <w:fldChar w:fldCharType="end"/>
      </w:r>
      <w:r>
        <w:fldChar w:fldCharType="begin"/>
      </w:r>
      <w:r>
        <w:instrText xml:space="preserve"> HYPERLINK "https://secure.avaaz.org/act/media.php?press_id=918" </w:instrText>
      </w:r>
      <w:r>
        <w:fldChar w:fldCharType="separate"/>
      </w:r>
      <w:r w:rsidRPr="005B5CB6">
        <w:rPr>
          <w:rFonts w:ascii="Verdana" w:eastAsia="Arial" w:hAnsi="Verdana" w:cs="Arial"/>
        </w:rPr>
        <w:t xml:space="preserve"> </w:t>
      </w:r>
      <w:r>
        <w:fldChar w:fldCharType="end"/>
      </w:r>
      <w:r w:rsidRPr="005B5CB6">
        <w:rPr>
          <w:rFonts w:ascii="Verdana" w:eastAsia="Arial" w:hAnsi="Verdana" w:cs="Arial"/>
          <w:color w:val="1155CC"/>
        </w:rPr>
        <w:t xml:space="preserve"> </w:t>
      </w:r>
    </w:p>
    <w:p w:rsidR="00FB0B24" w:rsidRPr="005B5CB6" w:rsidP="00A72806">
      <w:pPr>
        <w:spacing w:after="390" w:line="250" w:lineRule="auto"/>
        <w:ind w:left="23" w:right="720" w:hanging="8"/>
        <w:jc w:val="both"/>
        <w:rPr>
          <w:rFonts w:ascii="Verdana" w:hAnsi="Verdana"/>
        </w:rPr>
      </w:pPr>
      <w:r w:rsidRPr="005B5CB6">
        <w:rPr>
          <w:rFonts w:ascii="Verdana" w:eastAsia="Verdana" w:hAnsi="Verdana" w:cs="Verdana"/>
        </w:rPr>
        <w:t>India. (The Hindu population currently makes up 79.8% of the overall population compared to Muslims who make up 14.2%</w:t>
      </w:r>
      <w:r>
        <w:rPr>
          <w:rFonts w:ascii="Verdana" w:eastAsia="Verdana" w:hAnsi="Verdana" w:cs="Verdana"/>
          <w:vertAlign w:val="superscript"/>
        </w:rPr>
        <w:footnoteReference w:id="333"/>
      </w:r>
      <w:r w:rsidRPr="005B5CB6">
        <w:rPr>
          <w:rFonts w:ascii="Verdana" w:eastAsia="Verdana" w:hAnsi="Verdana" w:cs="Verdana"/>
        </w:rPr>
        <w:t xml:space="preserve">)  </w:t>
      </w:r>
    </w:p>
    <w:p w:rsidR="00FB0B24" w:rsidRPr="005B5CB6" w:rsidP="00A72806">
      <w:pPr>
        <w:spacing w:after="29" w:line="249" w:lineRule="auto"/>
        <w:ind w:left="10" w:right="666" w:hanging="10"/>
        <w:jc w:val="both"/>
        <w:rPr>
          <w:rFonts w:ascii="Verdana" w:hAnsi="Verdana"/>
        </w:rPr>
      </w:pPr>
      <w:r w:rsidRPr="005B5CB6">
        <w:rPr>
          <w:rFonts w:ascii="Verdana" w:eastAsia="Verdana" w:hAnsi="Verdana" w:cs="Verdana"/>
        </w:rPr>
        <w:t xml:space="preserve">The hold such disinformation has on majority views is not to be underestimated as this Avaaz-Asia Research Partners poll conducted in India in July 2019 shows: </w:t>
      </w:r>
    </w:p>
    <w:p w:rsidR="00FB0B24" w:rsidRPr="005B5CB6" w:rsidP="00A72806">
      <w:pPr>
        <w:spacing w:after="4047"/>
        <w:ind w:right="1370"/>
        <w:jc w:val="both"/>
        <w:rPr>
          <w:rFonts w:ascii="Verdana" w:hAnsi="Verdana"/>
        </w:rPr>
      </w:pPr>
      <w:r w:rsidRPr="005B5CB6">
        <w:rPr>
          <w:rFonts w:ascii="Verdana" w:hAnsi="Verdana"/>
          <w:noProof/>
        </w:rPr>
        <w:drawing>
          <wp:inline distT="0" distB="0" distL="0" distR="0">
            <wp:extent cx="5200650" cy="3829049"/>
            <wp:effectExtent l="0" t="0" r="0" b="0"/>
            <wp:docPr id="38006" name="Picture 38006"/>
            <wp:cNvGraphicFramePr/>
            <a:graphic xmlns:a="http://schemas.openxmlformats.org/drawingml/2006/main">
              <a:graphicData uri="http://schemas.openxmlformats.org/drawingml/2006/picture">
                <pic:pic xmlns:pic="http://schemas.openxmlformats.org/drawingml/2006/picture">
                  <pic:nvPicPr>
                    <pic:cNvPr id="38006" name="Picture 38006"/>
                    <pic:cNvPicPr/>
                  </pic:nvPicPr>
                  <pic:blipFill>
                    <a:blip xmlns:r="http://schemas.openxmlformats.org/officeDocument/2006/relationships" r:embed="rId389"/>
                    <a:stretch>
                      <a:fillRect/>
                    </a:stretch>
                  </pic:blipFill>
                  <pic:spPr>
                    <a:xfrm>
                      <a:off x="0" y="0"/>
                      <a:ext cx="5200650" cy="3829049"/>
                    </a:xfrm>
                    <a:prstGeom prst="rect">
                      <a:avLst/>
                    </a:prstGeom>
                  </pic:spPr>
                </pic:pic>
              </a:graphicData>
            </a:graphic>
          </wp:inline>
        </w:drawing>
      </w:r>
      <w:r w:rsidRPr="005B5CB6">
        <w:rPr>
          <w:rFonts w:ascii="Verdana" w:eastAsia="Verdana" w:hAnsi="Verdana" w:cs="Verdana"/>
          <w:b/>
          <w:color w:val="222222"/>
        </w:rPr>
        <w:t xml:space="preserve"> </w:t>
      </w:r>
      <w:r w:rsidRPr="005B5CB6">
        <w:rPr>
          <w:rFonts w:ascii="Verdana" w:eastAsia="Verdana" w:hAnsi="Verdana" w:cs="Verdana"/>
        </w:rPr>
        <w:t xml:space="preserve"> </w:t>
      </w:r>
    </w:p>
    <w:p w:rsidR="00FB0B24" w:rsidRPr="005B5CB6" w:rsidP="00A72806">
      <w:pPr>
        <w:spacing w:after="398" w:line="250" w:lineRule="auto"/>
        <w:ind w:left="11" w:hanging="10"/>
        <w:jc w:val="both"/>
        <w:rPr>
          <w:rFonts w:ascii="Verdana" w:hAnsi="Verdana"/>
        </w:rPr>
      </w:pPr>
      <w:r w:rsidRPr="005B5CB6">
        <w:rPr>
          <w:rFonts w:ascii="Verdana" w:eastAsia="Verdana" w:hAnsi="Verdana" w:cs="Verdana"/>
          <w:b/>
        </w:rPr>
        <w:t xml:space="preserve">The Solutions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86148" name="Group 58614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6315" name="Shape 63631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57" style="height:0.6pt;mso-position-horizontal-relative:char;mso-position-vertical-relative:line;width:2in" coordsize="18288,76">
                <v:shape id="_x0000_s1358"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132" w:line="270" w:lineRule="auto"/>
        <w:ind w:left="4" w:right="633" w:hanging="19"/>
        <w:jc w:val="both"/>
        <w:rPr>
          <w:rFonts w:ascii="Verdana" w:hAnsi="Verdana"/>
        </w:rPr>
      </w:pPr>
      <w:r w:rsidRPr="005B5CB6">
        <w:rPr>
          <w:rFonts w:ascii="Verdana" w:eastAsia="Verdana" w:hAnsi="Verdana" w:cs="Verdana"/>
          <w:color w:val="222222"/>
        </w:rPr>
        <w:t xml:space="preserve">It’s clear that WhatsApp and other messaging services, whether encrypted or not, should be included in any anti-disinformation legislation because they do have the ability to “broadcast” and amplify messages. Fortunately, technical solutions are possible that would allow providers of encrypted messaging services to alert users </w:t>
      </w:r>
      <w:r w:rsidRPr="005B5CB6">
        <w:rPr>
          <w:rFonts w:ascii="Verdana" w:eastAsia="Verdana" w:hAnsi="Verdana" w:cs="Verdana"/>
          <w:color w:val="222222"/>
        </w:rPr>
        <w:t xml:space="preserve">to the presence of disinformation without breaking encryption. This preserves the proportionality between combating disinformation while preserving privacy. </w:t>
      </w:r>
      <w:r w:rsidRPr="005B5CB6">
        <w:rPr>
          <w:rFonts w:ascii="Verdana" w:eastAsia="Verdana" w:hAnsi="Verdana" w:cs="Verdana"/>
          <w:i/>
          <w:color w:val="0B0C0C"/>
        </w:rPr>
        <w:t xml:space="preserve"> </w:t>
      </w:r>
      <w:r w:rsidRPr="005B5CB6">
        <w:rPr>
          <w:rFonts w:ascii="Verdana" w:eastAsia="Verdana" w:hAnsi="Verdana" w:cs="Verdana"/>
        </w:rPr>
        <w:t xml:space="preserve"> </w:t>
      </w:r>
    </w:p>
    <w:p w:rsidR="00FB0B24" w:rsidRPr="005B5CB6" w:rsidP="00A72806">
      <w:pPr>
        <w:spacing w:after="313" w:line="270" w:lineRule="auto"/>
        <w:ind w:left="4" w:right="633" w:hanging="19"/>
        <w:jc w:val="both"/>
        <w:rPr>
          <w:rFonts w:ascii="Verdana" w:hAnsi="Verdana"/>
        </w:rPr>
      </w:pPr>
      <w:r w:rsidRPr="005B5CB6">
        <w:rPr>
          <w:rFonts w:ascii="Verdana" w:eastAsia="Verdana" w:hAnsi="Verdana" w:cs="Verdana"/>
          <w:color w:val="222222"/>
        </w:rPr>
        <w:t xml:space="preserve">We suggest that the providers of encrypted services should be required to incorporate features into their applications that check unencrypted locally stored information against known disformation. </w:t>
      </w:r>
      <w:r w:rsidRPr="005B5CB6">
        <w:rPr>
          <w:rFonts w:ascii="Verdana" w:eastAsia="Verdana" w:hAnsi="Verdana" w:cs="Verdana"/>
          <w:color w:val="0B0C0C"/>
        </w:rPr>
        <w:t xml:space="preserve">Recognising the difficulty of regulation of encryption, we believe that the following 5 principles could guide the design of any encrypted online service provider.  </w:t>
      </w:r>
      <w:r w:rsidRPr="005B5CB6">
        <w:rPr>
          <w:rFonts w:ascii="Verdana" w:eastAsia="Verdana" w:hAnsi="Verdana" w:cs="Verdana"/>
        </w:rPr>
        <w:t xml:space="preserve"> </w:t>
      </w:r>
    </w:p>
    <w:p w:rsidR="00FB0B24" w:rsidRPr="005B5CB6" w:rsidP="00575F14">
      <w:pPr>
        <w:numPr>
          <w:ilvl w:val="0"/>
          <w:numId w:val="226"/>
        </w:numPr>
        <w:spacing w:after="321" w:line="265" w:lineRule="auto"/>
        <w:ind w:right="691" w:hanging="360"/>
        <w:jc w:val="both"/>
        <w:rPr>
          <w:rFonts w:ascii="Verdana" w:hAnsi="Verdana"/>
        </w:rPr>
      </w:pPr>
      <w:r w:rsidRPr="005B5CB6">
        <w:rPr>
          <w:rFonts w:ascii="Verdana" w:eastAsia="Verdana" w:hAnsi="Verdana" w:cs="Verdana"/>
          <w:b/>
          <w:color w:val="0B0C0C"/>
        </w:rPr>
        <w:t xml:space="preserve">Transparency of senders </w:t>
      </w:r>
      <w:r w:rsidRPr="005B5CB6">
        <w:rPr>
          <w:rFonts w:ascii="Verdana" w:eastAsia="Verdana" w:hAnsi="Verdana" w:cs="Verdana"/>
        </w:rPr>
        <w:t xml:space="preserve"> </w:t>
      </w:r>
    </w:p>
    <w:p w:rsidR="00FB0B24" w:rsidRPr="005B5CB6" w:rsidP="00A72806">
      <w:pPr>
        <w:spacing w:after="301" w:line="286" w:lineRule="auto"/>
        <w:ind w:left="731" w:right="718" w:hanging="10"/>
        <w:jc w:val="both"/>
        <w:rPr>
          <w:rFonts w:ascii="Verdana" w:hAnsi="Verdana"/>
        </w:rPr>
      </w:pPr>
      <w:r w:rsidRPr="005B5CB6">
        <w:rPr>
          <w:rFonts w:ascii="Verdana" w:eastAsia="Verdana" w:hAnsi="Verdana" w:cs="Verdana"/>
          <w:color w:val="0B0C0C"/>
        </w:rPr>
        <w:t>Encrypted services should provide transparency to users for all forwarded messages, messages written by a third-party, and messages sent by a bot. All forwarded messages must come with an accessible and prominent label indicating that the message is a forwarded message from a thirdparty.  WhatsApp have produced a list of hints and tips to try to gauge if you have been forwarded junk news - and do label forwarded content as forwarded content but this falls short of a clear enough labelling requirement</w:t>
      </w:r>
      <w:r w:rsidRPr="005B5CB6">
        <w:rPr>
          <w:rFonts w:ascii="Verdana" w:eastAsia="Verdana" w:hAnsi="Verdana" w:cs="Verdana"/>
          <w:color w:val="0B0C0C"/>
          <w:vertAlign w:val="superscript"/>
        </w:rPr>
        <w:t>27</w:t>
      </w:r>
      <w:r w:rsidRPr="005B5CB6">
        <w:rPr>
          <w:rFonts w:ascii="Verdana" w:eastAsia="Verdana" w:hAnsi="Verdana" w:cs="Verdana"/>
          <w:color w:val="0B0C0C"/>
        </w:rPr>
        <w:t xml:space="preserve">. Messaging services must label all bots operating on the online communication network as such. </w:t>
      </w:r>
      <w:r w:rsidRPr="005B5CB6">
        <w:rPr>
          <w:rFonts w:ascii="Verdana" w:eastAsia="Verdana" w:hAnsi="Verdana" w:cs="Verdana"/>
        </w:rPr>
        <w:t xml:space="preserve"> </w:t>
      </w:r>
    </w:p>
    <w:p w:rsidR="00FB0B24" w:rsidRPr="005B5CB6" w:rsidP="00575F14">
      <w:pPr>
        <w:numPr>
          <w:ilvl w:val="0"/>
          <w:numId w:val="226"/>
        </w:numPr>
        <w:spacing w:after="321" w:line="265" w:lineRule="auto"/>
        <w:ind w:right="691" w:hanging="360"/>
        <w:jc w:val="both"/>
        <w:rPr>
          <w:rFonts w:ascii="Verdana" w:hAnsi="Verdana"/>
        </w:rPr>
      </w:pPr>
      <w:r w:rsidRPr="005B5CB6">
        <w:rPr>
          <w:rFonts w:ascii="Verdana" w:eastAsia="Verdana" w:hAnsi="Verdana" w:cs="Verdana"/>
          <w:b/>
          <w:color w:val="0B0C0C"/>
        </w:rPr>
        <w:t xml:space="preserve">Consent to receive broadcast messages </w:t>
      </w:r>
      <w:r w:rsidRPr="005B5CB6">
        <w:rPr>
          <w:rFonts w:ascii="Verdana" w:eastAsia="Verdana" w:hAnsi="Verdana" w:cs="Verdana"/>
        </w:rPr>
        <w:t xml:space="preserve"> </w:t>
      </w:r>
    </w:p>
    <w:p w:rsidR="00FB0B24" w:rsidRPr="005B5CB6" w:rsidP="00A72806">
      <w:pPr>
        <w:spacing w:after="301" w:line="286" w:lineRule="auto"/>
        <w:ind w:left="731" w:right="718" w:hanging="10"/>
        <w:jc w:val="both"/>
        <w:rPr>
          <w:rFonts w:ascii="Verdana" w:hAnsi="Verdana"/>
        </w:rPr>
      </w:pPr>
      <w:r w:rsidRPr="005B5CB6">
        <w:rPr>
          <w:rFonts w:ascii="Verdana" w:eastAsia="Verdana" w:hAnsi="Verdana" w:cs="Verdana"/>
          <w:color w:val="0B0C0C"/>
        </w:rPr>
        <w:t>For all messaging services that provide a broadcasting mechanism</w:t>
      </w:r>
      <w:r w:rsidRPr="005B5CB6">
        <w:rPr>
          <w:rFonts w:ascii="Verdana" w:eastAsia="Verdana" w:hAnsi="Verdana" w:cs="Verdana"/>
          <w:color w:val="0B0C0C"/>
          <w:vertAlign w:val="superscript"/>
        </w:rPr>
        <w:t>28</w:t>
      </w:r>
      <w:r w:rsidRPr="005B5CB6">
        <w:rPr>
          <w:rFonts w:ascii="Verdana" w:eastAsia="Verdana" w:hAnsi="Verdana" w:cs="Verdana"/>
          <w:color w:val="0B0C0C"/>
        </w:rPr>
        <w:t xml:space="preserve">, services must receive clear consent from each and every user before delivering broadcasted messages and Default settings for broadcast messaging could be set to ‘opt out.’ Users should have to manually ‘opt in’ for broadcast features but user consent should only be required the first time an entity wishes to send a broadcast message. Services should provide an accessible and prominent means for users to withdraw the consent that has been given. </w:t>
      </w:r>
      <w:r w:rsidRPr="005B5CB6">
        <w:rPr>
          <w:rFonts w:ascii="Verdana" w:eastAsia="Verdana" w:hAnsi="Verdana" w:cs="Verdana"/>
        </w:rPr>
        <w:t xml:space="preserve"> </w:t>
      </w:r>
    </w:p>
    <w:p w:rsidR="00FB0B24" w:rsidRPr="005B5CB6" w:rsidP="00575F14">
      <w:pPr>
        <w:numPr>
          <w:ilvl w:val="0"/>
          <w:numId w:val="226"/>
        </w:numPr>
        <w:spacing w:after="321" w:line="265" w:lineRule="auto"/>
        <w:ind w:right="691" w:hanging="360"/>
        <w:jc w:val="both"/>
        <w:rPr>
          <w:rFonts w:ascii="Verdana" w:hAnsi="Verdana"/>
        </w:rPr>
      </w:pPr>
      <w:r w:rsidRPr="005B5CB6">
        <w:rPr>
          <w:rFonts w:ascii="Verdana" w:eastAsia="Verdana" w:hAnsi="Verdana" w:cs="Verdana"/>
          <w:b/>
          <w:color w:val="0B0C0C"/>
        </w:rPr>
        <w:t xml:space="preserve">Prior approval of data sharing </w:t>
      </w:r>
      <w:r w:rsidRPr="005B5CB6">
        <w:rPr>
          <w:rFonts w:ascii="Verdana" w:eastAsia="Verdana" w:hAnsi="Verdana" w:cs="Verdana"/>
        </w:rPr>
        <w:t xml:space="preserve"> </w:t>
      </w:r>
    </w:p>
    <w:p w:rsidR="00FB0B24" w:rsidRPr="005B5CB6" w:rsidP="00A72806">
      <w:pPr>
        <w:spacing w:after="331" w:line="286" w:lineRule="auto"/>
        <w:ind w:left="731" w:right="718" w:hanging="10"/>
        <w:jc w:val="both"/>
        <w:rPr>
          <w:rFonts w:ascii="Verdana" w:hAnsi="Verdana"/>
        </w:rPr>
      </w:pPr>
      <w:r w:rsidRPr="005B5CB6">
        <w:rPr>
          <w:rFonts w:ascii="Verdana" w:eastAsia="Verdana" w:hAnsi="Verdana" w:cs="Verdana"/>
          <w:color w:val="0B0C0C"/>
        </w:rPr>
        <w:t xml:space="preserve">Any feature which requires any user data to be transmitted to the messaging service should require the prior approval of the user.  </w:t>
      </w:r>
      <w:r w:rsidRPr="005B5CB6">
        <w:rPr>
          <w:rFonts w:ascii="Verdana" w:eastAsia="Verdana" w:hAnsi="Verdana" w:cs="Verdana"/>
        </w:rPr>
        <w:t xml:space="preserve"> </w:t>
      </w:r>
      <w:r w:rsidRPr="005B5CB6">
        <w:rPr>
          <w:rFonts w:ascii="Verdana" w:eastAsia="Arial" w:hAnsi="Verdana" w:cs="Arial"/>
          <w:b/>
          <w:color w:val="0B0C0C"/>
        </w:rPr>
        <w:t xml:space="preserve">4) </w:t>
      </w:r>
      <w:r w:rsidRPr="005B5CB6">
        <w:rPr>
          <w:rFonts w:ascii="Verdana" w:eastAsia="Verdana" w:hAnsi="Verdana" w:cs="Verdana"/>
          <w:b/>
          <w:color w:val="0B0C0C"/>
        </w:rPr>
        <w:t xml:space="preserve">Protection of encryption </w:t>
      </w:r>
      <w:r w:rsidRPr="005B5CB6">
        <w:rPr>
          <w:rFonts w:ascii="Verdana" w:eastAsia="Verdana" w:hAnsi="Verdana" w:cs="Verdana"/>
        </w:rPr>
        <w:t xml:space="preserve"> </w:t>
      </w:r>
    </w:p>
    <w:p w:rsidR="00FB0B24" w:rsidRPr="005B5CB6" w:rsidP="00A72806">
      <w:pPr>
        <w:spacing w:after="301" w:line="286" w:lineRule="auto"/>
        <w:ind w:left="731" w:right="718" w:hanging="10"/>
        <w:jc w:val="both"/>
        <w:rPr>
          <w:rFonts w:ascii="Verdana" w:hAnsi="Verdana"/>
        </w:rPr>
      </w:pPr>
      <w:r w:rsidRPr="005B5CB6">
        <w:rPr>
          <w:rFonts w:ascii="Verdana" w:eastAsia="Verdana" w:hAnsi="Verdana" w:cs="Verdana"/>
          <w:color w:val="0B0C0C"/>
        </w:rPr>
        <w:t xml:space="preserve">Any feature which compromises encryption should also require the prior approval of the user. </w:t>
      </w:r>
      <w:r w:rsidRPr="005B5CB6">
        <w:rPr>
          <w:rFonts w:ascii="Verdana" w:eastAsia="Verdana" w:hAnsi="Verdana" w:cs="Verdana"/>
        </w:rPr>
        <w:t xml:space="preserve"> </w:t>
      </w:r>
    </w:p>
    <w:p w:rsidR="00FB0B24" w:rsidRPr="005B5CB6" w:rsidP="00A72806">
      <w:pPr>
        <w:spacing w:after="321" w:line="265" w:lineRule="auto"/>
        <w:ind w:left="355" w:right="691" w:hanging="10"/>
        <w:jc w:val="both"/>
        <w:rPr>
          <w:rFonts w:ascii="Verdana" w:hAnsi="Verdana"/>
        </w:rPr>
      </w:pPr>
      <w:r w:rsidRPr="005B5CB6">
        <w:rPr>
          <w:rFonts w:ascii="Verdana" w:eastAsia="Arial" w:hAnsi="Verdana" w:cs="Arial"/>
          <w:b/>
          <w:color w:val="0B0C0C"/>
        </w:rPr>
        <w:t xml:space="preserve">5) </w:t>
      </w:r>
      <w:r w:rsidRPr="005B5CB6">
        <w:rPr>
          <w:rFonts w:ascii="Verdana" w:eastAsia="Verdana" w:hAnsi="Verdana" w:cs="Verdana"/>
          <w:b/>
          <w:color w:val="0B0C0C"/>
        </w:rPr>
        <w:t xml:space="preserve">Alerts to disinformation </w:t>
      </w:r>
      <w:r w:rsidRPr="005B5CB6">
        <w:rPr>
          <w:rFonts w:ascii="Verdana" w:eastAsia="Verdana" w:hAnsi="Verdana" w:cs="Verdana"/>
        </w:rPr>
        <w:t xml:space="preserve"> </w:t>
      </w:r>
    </w:p>
    <w:p w:rsidR="00FB0B24" w:rsidRPr="005B5CB6" w:rsidP="00A72806">
      <w:pPr>
        <w:spacing w:after="301" w:line="286" w:lineRule="auto"/>
        <w:ind w:left="731" w:right="718" w:hanging="10"/>
        <w:jc w:val="both"/>
        <w:rPr>
          <w:rFonts w:ascii="Verdana" w:hAnsi="Verdana"/>
        </w:rPr>
      </w:pPr>
      <w:r w:rsidRPr="005B5CB6">
        <w:rPr>
          <w:rFonts w:ascii="Verdana" w:eastAsia="Verdana" w:hAnsi="Verdana" w:cs="Verdana"/>
          <w:color w:val="0B0C0C"/>
        </w:rPr>
        <w:t xml:space="preserve">All messaging services should include as part of their applications a feature that alerts the user to the presence of disinformation on their phone. There are many options for how this could be built, but in one version: </w:t>
      </w:r>
      <w:r w:rsidRPr="005B5CB6">
        <w:rPr>
          <w:rFonts w:ascii="Verdana" w:eastAsia="Verdana" w:hAnsi="Verdana" w:cs="Verdana"/>
        </w:rPr>
        <w:t xml:space="preserve"> </w:t>
      </w:r>
    </w:p>
    <w:p w:rsidR="00FB0B24" w:rsidRPr="005B5CB6" w:rsidP="00A72806">
      <w:pPr>
        <w:spacing w:after="301" w:line="286" w:lineRule="auto"/>
        <w:ind w:left="731" w:right="718" w:hanging="10"/>
        <w:jc w:val="both"/>
        <w:rPr>
          <w:rFonts w:ascii="Verdana" w:hAnsi="Verdana"/>
        </w:rPr>
      </w:pPr>
      <w:r w:rsidRPr="005B5CB6">
        <w:rPr>
          <w:rFonts w:ascii="Verdana" w:eastAsia="Verdana" w:hAnsi="Verdana" w:cs="Verdana"/>
          <w:color w:val="0B0C0C"/>
        </w:rPr>
        <w:t xml:space="preserve">The app would regularly download updates to thousands of "descriptions" of independently verified disinformation content and scan incoming messages for matches, much in the same way that anti-virus software works. Descriptions could be content-based hashes representing text, or digital IDs of images or video. </w:t>
      </w:r>
      <w:r w:rsidRPr="005B5CB6">
        <w:rPr>
          <w:rFonts w:ascii="Verdana" w:eastAsia="Verdana" w:hAnsi="Verdana" w:cs="Verdana"/>
        </w:rPr>
        <w:t xml:space="preserve"> </w:t>
      </w:r>
    </w:p>
    <w:p w:rsidR="00FB0B24" w:rsidRPr="005B5CB6" w:rsidP="00A72806">
      <w:pPr>
        <w:spacing w:after="301" w:line="286" w:lineRule="auto"/>
        <w:ind w:left="731" w:right="718" w:hanging="10"/>
        <w:jc w:val="both"/>
        <w:rPr>
          <w:rFonts w:ascii="Verdana" w:hAnsi="Verdana"/>
        </w:rPr>
      </w:pPr>
      <w:r w:rsidRPr="005B5CB6">
        <w:rPr>
          <w:rFonts w:ascii="Verdana" w:eastAsia="Verdana" w:hAnsi="Verdana" w:cs="Verdana"/>
          <w:color w:val="0B0C0C"/>
        </w:rPr>
        <w:t xml:space="preserve">Once suspected matches were identified, users could be alerted, and offered corrections by independent third party fact checkers. </w:t>
      </w:r>
      <w:r w:rsidRPr="005B5CB6">
        <w:rPr>
          <w:rFonts w:ascii="Verdana" w:eastAsia="Verdana" w:hAnsi="Verdana" w:cs="Verdana"/>
        </w:rPr>
        <w:t xml:space="preserve"> </w:t>
      </w:r>
    </w:p>
    <w:p w:rsidR="00FB0B24" w:rsidRPr="005B5CB6" w:rsidP="00A72806">
      <w:pPr>
        <w:spacing w:after="47" w:line="286" w:lineRule="auto"/>
        <w:ind w:left="731" w:right="718" w:hanging="10"/>
        <w:jc w:val="both"/>
        <w:rPr>
          <w:rFonts w:ascii="Verdana" w:hAnsi="Verdana"/>
        </w:rPr>
      </w:pPr>
      <w:r w:rsidRPr="005B5CB6">
        <w:rPr>
          <w:rFonts w:ascii="Verdana" w:eastAsia="Verdana" w:hAnsi="Verdana" w:cs="Verdana"/>
          <w:color w:val="0B0C0C"/>
        </w:rPr>
        <w:t xml:space="preserve">Users could then choose whether to share more information with the service they saw the disinformation on to enable its team to better track and disrupt disinformation networks, including through techniques adapted from your successful anti-spam efforts. </w:t>
      </w:r>
      <w:r w:rsidRPr="005B5CB6">
        <w:rPr>
          <w:rFonts w:ascii="Verdana" w:eastAsia="Verdana" w:hAnsi="Verdana" w:cs="Verdana"/>
        </w:rPr>
        <w:t xml:space="preserve"> </w:t>
      </w:r>
    </w:p>
    <w:p w:rsidR="00FB0B24" w:rsidRPr="005B5CB6" w:rsidP="00A72806">
      <w:pPr>
        <w:spacing w:after="80"/>
        <w:ind w:left="15"/>
        <w:jc w:val="both"/>
        <w:rPr>
          <w:rFonts w:ascii="Verdana" w:hAnsi="Verdana"/>
        </w:rPr>
      </w:pPr>
      <w:r w:rsidRPr="005B5CB6">
        <w:rPr>
          <w:rFonts w:ascii="Verdana" w:hAnsi="Verdana"/>
          <w:noProof/>
        </w:rPr>
        <mc:AlternateContent>
          <mc:Choice Requires="wpg">
            <w:drawing>
              <wp:inline distT="0" distB="0" distL="0" distR="0">
                <wp:extent cx="1828800" cy="9525"/>
                <wp:effectExtent l="0" t="0" r="0" b="0"/>
                <wp:docPr id="586368" name="Group 58636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525"/>
                          <a:chOff x="0" y="0"/>
                          <a:chExt cx="1828800" cy="9525"/>
                        </a:xfrm>
                      </wpg:grpSpPr>
                      <wps:wsp xmlns:wps="http://schemas.microsoft.com/office/word/2010/wordprocessingShape">
                        <wps:cNvPr id="636317" name="Shape 636317"/>
                        <wps:cNvSpPr/>
                        <wps:spPr>
                          <a:xfrm>
                            <a:off x="0" y="0"/>
                            <a:ext cx="1828800" cy="9525"/>
                          </a:xfrm>
                          <a:custGeom>
                            <a:avLst/>
                            <a:gdLst/>
                            <a:ahLst/>
                            <a:cxnLst/>
                            <a:rect l="0" t="0" r="0" b="0"/>
                            <a:pathLst>
                              <a:path w="1828800" h="9525">
                                <a:moveTo>
                                  <a:pt x="0" y="0"/>
                                </a:moveTo>
                                <a:lnTo>
                                  <a:pt x="1828800" y="0"/>
                                </a:lnTo>
                                <a:lnTo>
                                  <a:pt x="182880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59" style="height:0.75pt;mso-position-horizontal-relative:char;mso-position-vertical-relative:line;width:2in" coordsize="18288,95">
                <v:shape id="_x0000_s1360" style="height:95;position:absolute;width:18288" coordsize="1828800,9525" path="m,l1828800,l1828800,9525l,9525l,e">
                  <v:stroke joinstyle="miter" endcap="flat" opacity="0"/>
                </v:shape>
                <w10:wrap type="none"/>
              </v:group>
            </w:pict>
          </mc:Fallback>
        </mc:AlternateContent>
      </w:r>
      <w:r w:rsidRPr="005B5CB6">
        <w:rPr>
          <w:rFonts w:ascii="Verdana" w:eastAsia="Verdana" w:hAnsi="Verdana" w:cs="Verdana"/>
        </w:rPr>
        <w:t xml:space="preserve"> </w:t>
      </w:r>
    </w:p>
    <w:p w:rsidR="00FB0B24" w:rsidRPr="005B5CB6" w:rsidP="00A72806">
      <w:pPr>
        <w:spacing w:after="5" w:line="370" w:lineRule="auto"/>
        <w:ind w:left="135" w:hanging="149"/>
        <w:jc w:val="both"/>
        <w:rPr>
          <w:rFonts w:ascii="Verdana" w:hAnsi="Verdana"/>
        </w:rPr>
      </w:pPr>
      <w:r w:rsidRPr="005B5CB6">
        <w:rPr>
          <w:rFonts w:ascii="Verdana" w:eastAsia="Verdana" w:hAnsi="Verdana" w:cs="Verdana"/>
          <w:vertAlign w:val="superscript"/>
        </w:rPr>
        <w:t>27</w:t>
      </w:r>
      <w:r w:rsidRPr="005B5CB6">
        <w:rPr>
          <w:rFonts w:ascii="Verdana" w:eastAsia="Verdana" w:hAnsi="Verdana" w:cs="Verdana"/>
        </w:rPr>
        <w:t xml:space="preserve">28 </w:t>
      </w:r>
      <w:r>
        <w:fldChar w:fldCharType="begin"/>
      </w:r>
      <w:r>
        <w:instrText xml:space="preserve"> HYPERLINK "https://faq.whatsapp.com/en/android/26000216/?category=5245250" </w:instrText>
      </w:r>
      <w:r>
        <w:fldChar w:fldCharType="separate"/>
      </w:r>
      <w:r w:rsidRPr="005B5CB6">
        <w:rPr>
          <w:rFonts w:ascii="Verdana" w:eastAsia="Verdana" w:hAnsi="Verdana" w:cs="Verdana"/>
          <w:color w:val="1155CC"/>
          <w:u w:val="single" w:color="1155CC"/>
        </w:rPr>
        <w:t>https://faq.whatsapp.com/en/android/26000216/?category=5245250</w:t>
      </w:r>
      <w:r>
        <w:fldChar w:fldCharType="end"/>
      </w:r>
      <w:r>
        <w:fldChar w:fldCharType="begin"/>
      </w:r>
      <w:r>
        <w:instrText xml:space="preserve"> HYPERLINK "https://faq.whatsapp.com/en/android/26000216/?category=5245250"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r>
        <w:fldChar w:fldCharType="begin"/>
      </w:r>
      <w:r>
        <w:instrText xml:space="preserve"> HYPERLINK "https://faq.whatsapp.com/en/android/23130793/?category=5245251"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"https://faq.whatsapp.com/en/android/23130793/?category=5245251" </w:instrText>
      </w:r>
      <w:r>
        <w:fldChar w:fldCharType="separate"/>
      </w:r>
      <w:r w:rsidRPr="005B5CB6">
        <w:rPr>
          <w:rFonts w:ascii="Verdana" w:eastAsia="Verdana" w:hAnsi="Verdana" w:cs="Verdana"/>
          <w:color w:val="1155CC"/>
          <w:u w:val="single" w:color="1155CC"/>
        </w:rPr>
        <w:t>https://faq.whatsapp.com/en/android/23130793/?category=5245251</w:t>
      </w:r>
      <w:r>
        <w:fldChar w:fldCharType="end"/>
      </w:r>
      <w:r>
        <w:fldChar w:fldCharType="begin"/>
      </w:r>
      <w:r>
        <w:instrText xml:space="preserve"> HYPERLINK "https://faq.whatsapp.com/en/android/23130793/?category=5245251"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p>
    <w:p w:rsidR="00FB0B24" w:rsidRPr="005B5CB6" w:rsidP="00A72806">
      <w:pPr>
        <w:spacing w:after="301" w:line="286" w:lineRule="auto"/>
        <w:ind w:left="731" w:right="718" w:hanging="10"/>
        <w:jc w:val="both"/>
        <w:rPr>
          <w:rFonts w:ascii="Verdana" w:hAnsi="Verdana"/>
        </w:rPr>
      </w:pPr>
      <w:r w:rsidRPr="005B5CB6">
        <w:rPr>
          <w:rFonts w:ascii="Verdana" w:eastAsia="Verdana" w:hAnsi="Verdana" w:cs="Verdana"/>
          <w:color w:val="0B0C0C"/>
        </w:rPr>
        <w:t xml:space="preserve">The algorithm might optimize and tailor the descriptions downloaded to individual phones to track the most current and serious attacks. </w:t>
      </w:r>
      <w:r w:rsidRPr="005B5CB6">
        <w:rPr>
          <w:rFonts w:ascii="Verdana" w:eastAsia="Verdana" w:hAnsi="Verdana" w:cs="Verdana"/>
        </w:rPr>
        <w:t xml:space="preserve"> </w:t>
      </w:r>
    </w:p>
    <w:p w:rsidR="00FB0B24" w:rsidRPr="005B5CB6" w:rsidP="00A72806">
      <w:pPr>
        <w:spacing w:after="301" w:line="286" w:lineRule="auto"/>
        <w:ind w:left="731" w:right="718" w:hanging="10"/>
        <w:jc w:val="both"/>
        <w:rPr>
          <w:rFonts w:ascii="Verdana" w:hAnsi="Verdana"/>
        </w:rPr>
      </w:pPr>
      <w:r w:rsidRPr="005B5CB6">
        <w:rPr>
          <w:rFonts w:ascii="Verdana" w:eastAsia="Verdana" w:hAnsi="Verdana" w:cs="Verdana"/>
          <w:color w:val="0B0C0C"/>
        </w:rPr>
        <w:t>The database of all "descriptions" of disinformation might be generated by a strongly promoted user reporting system, verified by independent third party fact checkers, or in concert with electoral or law enforcement authorities.</w:t>
      </w:r>
      <w:r w:rsidRPr="005B5CB6">
        <w:rPr>
          <w:rFonts w:ascii="Verdana" w:eastAsia="Verdana" w:hAnsi="Verdana" w:cs="Verdana"/>
        </w:rPr>
        <w:t xml:space="preserve">  </w:t>
      </w:r>
    </w:p>
    <w:p w:rsidR="00FB0B24" w:rsidRPr="005B5CB6" w:rsidP="00A72806">
      <w:pPr>
        <w:spacing w:after="31" w:line="249" w:lineRule="auto"/>
        <w:ind w:left="10" w:right="494" w:hanging="10"/>
        <w:jc w:val="both"/>
        <w:rPr>
          <w:rFonts w:ascii="Verdana" w:hAnsi="Verdana"/>
        </w:rPr>
      </w:pPr>
      <w:r w:rsidRPr="005B5CB6">
        <w:rPr>
          <w:rFonts w:ascii="Verdana" w:eastAsia="Verdana" w:hAnsi="Verdana" w:cs="Verdana"/>
          <w:i/>
        </w:rPr>
        <w:t xml:space="preserve">8. To what extent does social media negatively shape public debate, either through encouraging polarisation or through abuse deterring individuals from engaging in public life?  </w:t>
      </w: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eastAsia="Verdana" w:hAnsi="Verdana" w:cs="Verdana"/>
        </w:rPr>
        <w:t xml:space="preserve">  </w:t>
      </w:r>
    </w:p>
    <w:p w:rsidR="00FB0B24" w:rsidRPr="005B5CB6" w:rsidP="00A72806">
      <w:pPr>
        <w:spacing w:after="35" w:line="250" w:lineRule="auto"/>
        <w:ind w:left="11" w:hanging="10"/>
        <w:jc w:val="both"/>
        <w:rPr>
          <w:rFonts w:ascii="Verdana" w:hAnsi="Verdana"/>
        </w:rPr>
      </w:pPr>
      <w:r w:rsidRPr="005B5CB6">
        <w:rPr>
          <w:rFonts w:ascii="Verdana" w:eastAsia="Verdana" w:hAnsi="Verdana" w:cs="Verdana"/>
          <w:b/>
        </w:rPr>
        <w:t xml:space="preserve">The Evidence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31" w:line="250" w:lineRule="auto"/>
        <w:ind w:left="23" w:right="564" w:hanging="8"/>
        <w:jc w:val="both"/>
        <w:rPr>
          <w:rFonts w:ascii="Verdana" w:hAnsi="Verdana"/>
        </w:rPr>
      </w:pPr>
      <w:r w:rsidRPr="005B5CB6">
        <w:rPr>
          <w:rFonts w:ascii="Verdana" w:eastAsia="Verdana" w:hAnsi="Verdana" w:cs="Verdana"/>
        </w:rPr>
        <w:t xml:space="preserve">Polling done by Avaaz in Europe, the UK, Brazil and India (attached in Annex 1) shows us that there is a huge public appetite for regulating social media giants. One of the reasons for this is because most people are aware that they are exposed to very harmful disinformation and hate speech that is corroding civic discourse in our societies. By distorting our ability to have a shared understanding we are unable to reach consensus. Social media has the capacity to link those with common views in a way that strengthens democratic organization, but when abused it also allows </w:t>
      </w:r>
      <w:r w:rsidRPr="005B5CB6">
        <w:rPr>
          <w:rFonts w:ascii="Verdana" w:eastAsia="Verdana" w:hAnsi="Verdana" w:cs="Verdana"/>
        </w:rPr>
        <w:t xml:space="preserve">polarising minority views that promote discord to gain a volume far louder than their actual support could justify.   </w:t>
      </w:r>
    </w:p>
    <w:p w:rsidR="00FB0B24" w:rsidRPr="005B5CB6" w:rsidP="00A72806">
      <w:pPr>
        <w:spacing w:after="27"/>
        <w:ind w:left="14"/>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35" w:line="250" w:lineRule="auto"/>
        <w:ind w:left="11" w:hanging="10"/>
        <w:jc w:val="both"/>
        <w:rPr>
          <w:rFonts w:ascii="Verdana" w:hAnsi="Verdana"/>
        </w:rPr>
      </w:pPr>
      <w:r w:rsidRPr="005B5CB6">
        <w:rPr>
          <w:rFonts w:ascii="Verdana" w:eastAsia="Verdana" w:hAnsi="Verdana" w:cs="Verdana"/>
          <w:b/>
        </w:rPr>
        <w:t xml:space="preserve">United Kingdom  </w:t>
      </w:r>
    </w:p>
    <w:p w:rsidR="00FB0B24" w:rsidRPr="005B5CB6" w:rsidP="00A72806">
      <w:pPr>
        <w:spacing w:after="27"/>
        <w:ind w:left="14"/>
        <w:jc w:val="both"/>
        <w:rPr>
          <w:rFonts w:ascii="Verdana" w:hAnsi="Verdana"/>
        </w:rPr>
      </w:pPr>
      <w:r w:rsidRPr="005B5CB6">
        <w:rPr>
          <w:rFonts w:ascii="Verdana" w:eastAsia="Verdana" w:hAnsi="Verdana" w:cs="Verdana"/>
        </w:rPr>
        <w:t xml:space="preserve">  </w:t>
      </w:r>
    </w:p>
    <w:p w:rsidR="00FB0B24" w:rsidRPr="005B5CB6" w:rsidP="00A72806">
      <w:pPr>
        <w:spacing w:after="34" w:line="250" w:lineRule="auto"/>
        <w:ind w:left="23" w:right="619" w:hanging="8"/>
        <w:jc w:val="both"/>
        <w:rPr>
          <w:rFonts w:ascii="Verdana" w:hAnsi="Verdana"/>
        </w:rPr>
      </w:pPr>
      <w:r w:rsidRPr="005B5CB6">
        <w:rPr>
          <w:rFonts w:ascii="Verdana" w:eastAsia="Verdana" w:hAnsi="Verdana" w:cs="Verdana"/>
        </w:rPr>
        <w:t>Facebook has detailed rules both about hate speech and about dangerous individuals who are organizing hate</w:t>
      </w:r>
      <w:r>
        <w:rPr>
          <w:rFonts w:ascii="Verdana" w:eastAsia="Verdana" w:hAnsi="Verdana" w:cs="Verdana"/>
          <w:vertAlign w:val="superscript"/>
        </w:rPr>
        <w:footnoteReference w:id="334"/>
      </w:r>
      <w:r w:rsidRPr="005B5CB6">
        <w:rPr>
          <w:rFonts w:ascii="Verdana" w:eastAsia="Verdana" w:hAnsi="Verdana" w:cs="Verdana"/>
        </w:rPr>
        <w:t xml:space="preserve">. However in Nick Clegg’s speech on behalf of Facebook in September he indicated a stepping back from holding politicians to the standards it expects all other citizens to hold to.  Nick Clegg said:   </w:t>
      </w:r>
    </w:p>
    <w:p w:rsidR="00FB0B24" w:rsidRPr="005B5CB6" w:rsidP="00A72806">
      <w:pPr>
        <w:spacing w:after="24"/>
        <w:ind w:left="15"/>
        <w:jc w:val="both"/>
        <w:rPr>
          <w:rFonts w:ascii="Verdana" w:hAnsi="Verdana"/>
        </w:rPr>
      </w:pPr>
      <w:r w:rsidRPr="005B5CB6">
        <w:rPr>
          <w:rFonts w:ascii="Verdana" w:eastAsia="Verdana" w:hAnsi="Verdana" w:cs="Verdana"/>
        </w:rPr>
        <w:t xml:space="preserve">  </w:t>
      </w:r>
    </w:p>
    <w:p w:rsidR="00FB0B24" w:rsidRPr="005B5CB6" w:rsidP="00A72806">
      <w:pPr>
        <w:spacing w:after="181" w:line="249" w:lineRule="auto"/>
        <w:ind w:left="10" w:right="564" w:hanging="10"/>
        <w:jc w:val="both"/>
        <w:rPr>
          <w:rFonts w:ascii="Verdana" w:hAnsi="Verdana"/>
        </w:rPr>
      </w:pPr>
      <w:r w:rsidRPr="005B5CB6">
        <w:rPr>
          <w:rFonts w:ascii="Verdana" w:eastAsia="Verdana" w:hAnsi="Verdana" w:cs="Verdana"/>
          <w:i/>
        </w:rPr>
        <w:t>Facebook has had a newsworthiness exemption since 2016. This means that if someone makes a statement or shares a post which breaks our community standards we will still allow it on our platform if we believe the public interest in seeing it outweighs the risk of harm. Today, I announced that from now on we will treat speech from politicians as newsworthy content that should, as a general rule, be seen and heard</w:t>
      </w:r>
      <w:r w:rsidRPr="005B5CB6">
        <w:rPr>
          <w:rFonts w:ascii="Verdana" w:eastAsia="Verdana" w:hAnsi="Verdana" w:cs="Verdana"/>
        </w:rPr>
        <w:t>.</w:t>
      </w:r>
      <w:r>
        <w:rPr>
          <w:rFonts w:ascii="Verdana" w:eastAsia="Verdana" w:hAnsi="Verdana" w:cs="Verdana"/>
          <w:vertAlign w:val="superscript"/>
        </w:rPr>
        <w:footnoteReference w:id="335"/>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31" w:line="250" w:lineRule="auto"/>
        <w:ind w:left="23" w:right="688" w:hanging="8"/>
        <w:jc w:val="both"/>
        <w:rPr>
          <w:rFonts w:ascii="Verdana" w:hAnsi="Verdana"/>
        </w:rPr>
      </w:pPr>
      <w:r w:rsidRPr="005B5CB6">
        <w:rPr>
          <w:rFonts w:ascii="Verdana" w:eastAsia="Verdana" w:hAnsi="Verdana" w:cs="Verdana"/>
        </w:rPr>
        <w:t>We understand and support the need for open democratic debate, but it is difficult to see how Facebook’s standards on dehumanising speech would prevent this.</w:t>
      </w: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254" w:line="250" w:lineRule="auto"/>
        <w:ind w:left="23" w:right="619" w:hanging="8"/>
        <w:jc w:val="both"/>
        <w:rPr>
          <w:rFonts w:ascii="Verdana" w:hAnsi="Verdana"/>
        </w:rPr>
      </w:pPr>
      <w:r w:rsidRPr="005B5CB6">
        <w:rPr>
          <w:rFonts w:ascii="Verdana" w:eastAsia="Verdana" w:hAnsi="Verdana" w:cs="Verdana"/>
        </w:rPr>
        <w:t>Facebook’s community standards also state they will “remove content that expresses support or praise for groups, leaders, or individuals involved in these activities.”  Facebook suspended the account of Tommy Robinson, who stood as a Brexit party candidate in 2018,</w:t>
      </w:r>
      <w:r>
        <w:rPr>
          <w:rFonts w:ascii="Verdana" w:eastAsia="Verdana" w:hAnsi="Verdana" w:cs="Verdana"/>
          <w:vertAlign w:val="superscript"/>
        </w:rPr>
        <w:footnoteReference w:id="336"/>
      </w:r>
      <w:r w:rsidRPr="005B5CB6">
        <w:rPr>
          <w:rFonts w:ascii="Verdana" w:eastAsia="Verdana" w:hAnsi="Verdana" w:cs="Verdana"/>
        </w:rPr>
        <w:t xml:space="preserve"> for having “repeatedly broken [community] standards, posting material that uses dehumanizing language and calls for violence targeted at Muslims.”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6571" name="Group 58657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19" name="Shape 63631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61" style="height:0.6pt;mso-position-horizontal-relative:char;mso-position-vertical-relative:line;width:2in" coordsize="18288,76">
                <v:shape id="_x0000_s1362"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31" w:line="250" w:lineRule="auto"/>
        <w:ind w:left="23" w:right="715" w:hanging="8"/>
        <w:jc w:val="both"/>
        <w:rPr>
          <w:rFonts w:ascii="Verdana" w:hAnsi="Verdana"/>
        </w:rPr>
      </w:pPr>
      <w:r w:rsidRPr="005B5CB6">
        <w:rPr>
          <w:rFonts w:ascii="Verdana" w:eastAsia="Verdana" w:hAnsi="Verdana" w:cs="Verdana"/>
        </w:rPr>
        <w:t>It also has stated it will remove profiles and pages that continue to show support and/or encourage users to follow banned figures, such as Tommy Robinson. However during our investigation into social media abuse ahead of the European Elections we uncovered examples of political groups doing exactly that. An example of one of these pages is the Pro Great Britain page</w:t>
      </w:r>
      <w:r>
        <w:rPr>
          <w:rFonts w:ascii="Verdana" w:eastAsia="Verdana" w:hAnsi="Verdana" w:cs="Verdana"/>
          <w:vertAlign w:val="superscript"/>
        </w:rPr>
        <w:footnoteReference w:id="337"/>
      </w:r>
      <w:r w:rsidRPr="005B5CB6">
        <w:rPr>
          <w:rFonts w:ascii="Verdana" w:eastAsia="Verdana" w:hAnsi="Verdana" w:cs="Verdana"/>
        </w:rPr>
        <w:t xml:space="preserve">, included in our report to Facebook, which was openly organising support for Robinson and his agenda on Facebook.  This was taken down by Facebook after we identified it to them as it was expresses support or praise for groups, leaders, or individuals involved in expressing hate.  </w:t>
      </w:r>
    </w:p>
    <w:p w:rsidR="00FB0B24" w:rsidRPr="005B5CB6" w:rsidP="00A72806">
      <w:pPr>
        <w:spacing w:after="0"/>
        <w:ind w:left="15"/>
        <w:jc w:val="both"/>
        <w:rPr>
          <w:rFonts w:ascii="Verdana" w:hAnsi="Verdana"/>
        </w:rPr>
      </w:pPr>
      <w:r w:rsidRPr="005B5CB6">
        <w:rPr>
          <w:rFonts w:ascii="Verdana" w:eastAsia="Verdana" w:hAnsi="Verdana" w:cs="Verdana"/>
        </w:rPr>
        <w:t xml:space="preserve">  </w:t>
      </w:r>
    </w:p>
    <w:p w:rsidR="00FB0B24" w:rsidRPr="005B5CB6" w:rsidP="00A72806">
      <w:pPr>
        <w:spacing w:after="53"/>
        <w:ind w:left="480"/>
        <w:jc w:val="both"/>
        <w:rPr>
          <w:rFonts w:ascii="Verdana" w:hAnsi="Verdana"/>
        </w:rPr>
      </w:pPr>
      <w:r w:rsidRPr="005B5CB6">
        <w:rPr>
          <w:rFonts w:ascii="Verdana" w:hAnsi="Verdana"/>
          <w:noProof/>
        </w:rPr>
        <w:drawing>
          <wp:inline distT="0" distB="0" distL="0" distR="0">
            <wp:extent cx="3924300" cy="3810000"/>
            <wp:effectExtent l="0" t="0" r="0" b="0"/>
            <wp:docPr id="38269" name="Picture 38269"/>
            <wp:cNvGraphicFramePr/>
            <a:graphic xmlns:a="http://schemas.openxmlformats.org/drawingml/2006/main">
              <a:graphicData uri="http://schemas.openxmlformats.org/drawingml/2006/picture">
                <pic:pic xmlns:pic="http://schemas.openxmlformats.org/drawingml/2006/picture">
                  <pic:nvPicPr>
                    <pic:cNvPr id="38269" name="Picture 38269"/>
                    <pic:cNvPicPr/>
                  </pic:nvPicPr>
                  <pic:blipFill>
                    <a:blip xmlns:r="http://schemas.openxmlformats.org/officeDocument/2006/relationships" r:embed="rId390"/>
                    <a:stretch>
                      <a:fillRect/>
                    </a:stretch>
                  </pic:blipFill>
                  <pic:spPr>
                    <a:xfrm>
                      <a:off x="0" y="0"/>
                      <a:ext cx="3924300" cy="3810000"/>
                    </a:xfrm>
                    <a:prstGeom prst="rect">
                      <a:avLst/>
                    </a:prstGeom>
                  </pic:spPr>
                </pic:pic>
              </a:graphicData>
            </a:graphic>
          </wp:inline>
        </w:drawing>
      </w:r>
    </w:p>
    <w:p w:rsidR="00FB0B24" w:rsidRPr="005B5CB6" w:rsidP="00A72806">
      <w:pPr>
        <w:spacing w:after="33" w:line="250" w:lineRule="auto"/>
        <w:ind w:left="23" w:right="11" w:hanging="8"/>
        <w:jc w:val="both"/>
        <w:rPr>
          <w:rFonts w:ascii="Verdana" w:hAnsi="Verdana"/>
        </w:rPr>
      </w:pPr>
      <w:r w:rsidRPr="005B5CB6">
        <w:rPr>
          <w:rFonts w:ascii="Verdana" w:eastAsia="Verdana" w:hAnsi="Verdana" w:cs="Verdana"/>
        </w:rPr>
        <w:t xml:space="preserve"> Image recorded 18 May 2019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31" w:line="250" w:lineRule="auto"/>
        <w:ind w:left="23" w:right="483" w:hanging="8"/>
        <w:jc w:val="both"/>
        <w:rPr>
          <w:rFonts w:ascii="Verdana" w:hAnsi="Verdana"/>
        </w:rPr>
      </w:pPr>
      <w:r w:rsidRPr="005B5CB6">
        <w:rPr>
          <w:rFonts w:ascii="Verdana" w:eastAsia="Verdana" w:hAnsi="Verdana" w:cs="Verdana"/>
        </w:rPr>
        <w:t xml:space="preserve">Further examples provided in the report include the “For Britain Movement,” an official political party that grew out of UKIP and its party leader, Ann Marie Waters.  </w:t>
      </w:r>
    </w:p>
    <w:p w:rsidR="00FB0B24" w:rsidRPr="005B5CB6" w:rsidP="00A72806">
      <w:pPr>
        <w:spacing w:after="1027"/>
        <w:ind w:left="15"/>
        <w:jc w:val="both"/>
        <w:rPr>
          <w:rFonts w:ascii="Verdana" w:hAnsi="Verdana"/>
        </w:rPr>
      </w:pP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86746" name="Group 58674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6321" name="Shape 63632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63" style="height:0.6pt;mso-position-horizontal-relative:char;mso-position-vertical-relative:line;width:2in" coordsize="18288,76">
                <v:shape id="_x0000_s1364"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55"/>
        <w:ind w:left="30"/>
        <w:jc w:val="both"/>
        <w:rPr>
          <w:rFonts w:ascii="Verdana" w:hAnsi="Verdana"/>
        </w:rPr>
      </w:pPr>
      <w:r w:rsidRPr="005B5CB6">
        <w:rPr>
          <w:rFonts w:ascii="Verdana" w:hAnsi="Verdana"/>
          <w:noProof/>
        </w:rPr>
        <w:drawing>
          <wp:inline distT="0" distB="0" distL="0" distR="0">
            <wp:extent cx="3238500" cy="1600200"/>
            <wp:effectExtent l="0" t="0" r="0" b="0"/>
            <wp:docPr id="38318" name="Picture 38318"/>
            <wp:cNvGraphicFramePr/>
            <a:graphic xmlns:a="http://schemas.openxmlformats.org/drawingml/2006/main">
              <a:graphicData uri="http://schemas.openxmlformats.org/drawingml/2006/picture">
                <pic:pic xmlns:pic="http://schemas.openxmlformats.org/drawingml/2006/picture">
                  <pic:nvPicPr>
                    <pic:cNvPr id="38318" name="Picture 38318"/>
                    <pic:cNvPicPr/>
                  </pic:nvPicPr>
                  <pic:blipFill>
                    <a:blip xmlns:r="http://schemas.openxmlformats.org/officeDocument/2006/relationships" r:embed="rId391"/>
                    <a:stretch>
                      <a:fillRect/>
                    </a:stretch>
                  </pic:blipFill>
                  <pic:spPr>
                    <a:xfrm>
                      <a:off x="0" y="0"/>
                      <a:ext cx="3238500" cy="1600200"/>
                    </a:xfrm>
                    <a:prstGeom prst="rect">
                      <a:avLst/>
                    </a:prstGeom>
                  </pic:spPr>
                </pic:pic>
              </a:graphicData>
            </a:graphic>
          </wp:inline>
        </w:drawing>
      </w:r>
    </w:p>
    <w:p w:rsidR="00FB0B24" w:rsidRPr="005B5CB6" w:rsidP="00A72806">
      <w:pPr>
        <w:spacing w:after="33" w:line="250" w:lineRule="auto"/>
        <w:ind w:left="23" w:right="11" w:hanging="8"/>
        <w:jc w:val="both"/>
        <w:rPr>
          <w:rFonts w:ascii="Verdana" w:hAnsi="Verdana"/>
        </w:rPr>
      </w:pPr>
      <w:r w:rsidRPr="005B5CB6">
        <w:rPr>
          <w:rFonts w:ascii="Verdana" w:eastAsia="Verdana" w:hAnsi="Verdana" w:cs="Verdana"/>
        </w:rPr>
        <w:t xml:space="preserve">Image recorded 18 May 2019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36" w:line="250" w:lineRule="auto"/>
        <w:ind w:left="23" w:right="699" w:hanging="8"/>
        <w:jc w:val="both"/>
        <w:rPr>
          <w:rFonts w:ascii="Verdana" w:hAnsi="Verdana"/>
        </w:rPr>
      </w:pPr>
      <w:r w:rsidRPr="005B5CB6">
        <w:rPr>
          <w:rFonts w:ascii="Verdana" w:eastAsia="Verdana" w:hAnsi="Verdana" w:cs="Verdana"/>
        </w:rPr>
        <w:t>Facebook has given no guidance on what degree of political activity would enable a person to benefit from this exemption</w:t>
      </w:r>
      <w:r w:rsidRPr="005B5CB6">
        <w:rPr>
          <w:rFonts w:ascii="Verdana" w:eastAsia="Verdana" w:hAnsi="Verdana" w:cs="Verdana"/>
          <w:vertAlign w:val="superscript"/>
        </w:rPr>
        <w:t>33</w:t>
      </w:r>
      <w:r w:rsidRPr="005B5CB6">
        <w:rPr>
          <w:rFonts w:ascii="Verdana" w:eastAsia="Verdana" w:hAnsi="Verdana" w:cs="Verdana"/>
        </w:rPr>
        <w:t xml:space="preserve">.  Would Tommy Robinson now fall into that category?  Would his supporters also be protected?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33" w:line="250" w:lineRule="auto"/>
        <w:ind w:left="11" w:hanging="10"/>
        <w:jc w:val="both"/>
        <w:rPr>
          <w:rFonts w:ascii="Verdana" w:hAnsi="Verdana"/>
        </w:rPr>
      </w:pPr>
      <w:r w:rsidRPr="005B5CB6">
        <w:rPr>
          <w:rFonts w:ascii="Verdana" w:eastAsia="Verdana" w:hAnsi="Verdana" w:cs="Verdana"/>
          <w:b/>
        </w:rPr>
        <w:t xml:space="preserve">The Solution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29" w:line="250" w:lineRule="auto"/>
        <w:ind w:left="23" w:right="652" w:hanging="8"/>
        <w:jc w:val="both"/>
        <w:rPr>
          <w:rFonts w:ascii="Verdana" w:hAnsi="Verdana"/>
        </w:rPr>
      </w:pPr>
      <w:r w:rsidRPr="005B5CB6">
        <w:rPr>
          <w:rFonts w:ascii="Verdana" w:eastAsia="Verdana" w:hAnsi="Verdana" w:cs="Verdana"/>
        </w:rPr>
        <w:t xml:space="preserve">Solutions lies in the principles we have outlined above and in the measures we recommend to Correct the Record which we detail in the section below. We would only add in this section that transparency on page and post takedowns is crucial if the debilitating effect of online dehumanising language is to be addressed.  Specifically Avaaz recommends that all social media platforms should publish the rationale for taking down public profiles and/or pages or messages.  Facebook should do so via the Facebook Newsroom, even in the cases of politicians whose speech they have decided not to act upon, so its application of its own standards is transparent, and the issue of hate speech is given the publicity it deserves.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273" w:line="249" w:lineRule="auto"/>
        <w:ind w:left="10" w:right="634" w:hanging="10"/>
        <w:jc w:val="both"/>
        <w:rPr>
          <w:rFonts w:ascii="Verdana" w:hAnsi="Verdana"/>
        </w:rPr>
      </w:pPr>
      <w:r w:rsidRPr="005B5CB6">
        <w:rPr>
          <w:rFonts w:ascii="Verdana" w:eastAsia="Verdana" w:hAnsi="Verdana" w:cs="Verdana"/>
          <w:i/>
        </w:rPr>
        <w:t xml:space="preserve">9. To what extent do you think that there are those who are using social media to attempt to undermine trust in the democratic process and in democratic institutions; and what might be the best ways to combat this and strengthen faith in democracy?  </w:t>
      </w:r>
      <w:r w:rsidRPr="005B5CB6">
        <w:rPr>
          <w:rFonts w:ascii="Verdana" w:eastAsia="Verdana" w:hAnsi="Verdana" w:cs="Verdana"/>
        </w:rPr>
        <w:t xml:space="preserve"> </w:t>
      </w:r>
    </w:p>
    <w:p w:rsidR="00FB0B24" w:rsidRPr="005B5CB6" w:rsidP="00A72806">
      <w:pPr>
        <w:spacing w:after="264"/>
        <w:ind w:left="15"/>
        <w:jc w:val="both"/>
        <w:rPr>
          <w:rFonts w:ascii="Verdana" w:hAnsi="Verdana"/>
        </w:rPr>
      </w:pPr>
      <w:r w:rsidRPr="005B5CB6">
        <w:rPr>
          <w:rFonts w:ascii="Verdana" w:eastAsia="Verdana" w:hAnsi="Verdana" w:cs="Verdana"/>
          <w:b/>
          <w:color w:val="0B0C0C"/>
          <w:u w:val="single" w:color="0B0C0C"/>
        </w:rPr>
        <w:t>The issues</w:t>
      </w:r>
      <w:r w:rsidRPr="005B5CB6">
        <w:rPr>
          <w:rFonts w:ascii="Verdana" w:eastAsia="Verdana" w:hAnsi="Verdana" w:cs="Verdana"/>
          <w:b/>
          <w:color w:val="0B0C0C"/>
        </w:rPr>
        <w:t xml:space="preserve"> </w:t>
      </w:r>
      <w:r w:rsidRPr="005B5CB6">
        <w:rPr>
          <w:rFonts w:ascii="Verdana" w:eastAsia="Verdana" w:hAnsi="Verdana" w:cs="Verdana"/>
        </w:rPr>
        <w:t xml:space="preserve"> </w:t>
      </w:r>
    </w:p>
    <w:p w:rsidR="00FB0B24" w:rsidRPr="005B5CB6" w:rsidP="00A72806">
      <w:pPr>
        <w:spacing w:after="327"/>
        <w:ind w:left="15"/>
        <w:jc w:val="both"/>
        <w:rPr>
          <w:rFonts w:ascii="Verdana" w:hAnsi="Verdana"/>
        </w:rPr>
      </w:pPr>
      <w:r w:rsidRPr="005B5CB6">
        <w:rPr>
          <w:rFonts w:ascii="Verdana" w:eastAsia="Verdana" w:hAnsi="Verdana" w:cs="Verdana"/>
          <w:color w:val="0B0C0C"/>
          <w:u w:val="single" w:color="0B0C0C"/>
        </w:rPr>
        <w:t>Disinformation and Election disruption protection</w:t>
      </w:r>
      <w:r w:rsidRPr="005B5CB6">
        <w:rPr>
          <w:rFonts w:ascii="Verdana" w:eastAsia="Verdana" w:hAnsi="Verdana" w:cs="Verdana"/>
          <w:color w:val="0B0C0C"/>
        </w:rPr>
        <w:t xml:space="preserve">  </w:t>
      </w:r>
      <w:r w:rsidRPr="005B5CB6">
        <w:rPr>
          <w:rFonts w:ascii="Verdana" w:eastAsia="Verdana" w:hAnsi="Verdana" w:cs="Verdana"/>
        </w:rPr>
        <w:t xml:space="preserve"> </w:t>
      </w:r>
    </w:p>
    <w:p w:rsidR="00FB0B24" w:rsidRPr="005B5CB6" w:rsidP="00A72806">
      <w:pPr>
        <w:spacing w:after="301" w:line="286" w:lineRule="auto"/>
        <w:ind w:left="25" w:right="718" w:hanging="10"/>
        <w:jc w:val="both"/>
        <w:rPr>
          <w:rFonts w:ascii="Verdana" w:hAnsi="Verdana"/>
        </w:rPr>
      </w:pPr>
      <w:r w:rsidRPr="005B5CB6">
        <w:rPr>
          <w:rFonts w:ascii="Verdana" w:eastAsia="Verdana" w:hAnsi="Verdana" w:cs="Verdana"/>
          <w:color w:val="0B0C0C"/>
        </w:rPr>
        <w:t xml:space="preserve">The potential for disinformation to disrupt election processes is becoming more widely understood. As we have shown, the European elections were not free from disinformation. The European Commission and the High Representative reported in June 2019 that “we should not accept this as the new normal. Malign actors constantly change their strategies. We must strive to be ahead of them. </w:t>
      </w:r>
    </w:p>
    <w:p w:rsidR="00FB0B24" w:rsidRPr="005B5CB6" w:rsidP="00A72806">
      <w:pPr>
        <w:spacing w:after="301" w:line="286" w:lineRule="auto"/>
        <w:ind w:left="34" w:right="718" w:hanging="10"/>
        <w:jc w:val="both"/>
        <w:rPr>
          <w:rFonts w:ascii="Verdana" w:hAnsi="Verdana"/>
        </w:rPr>
      </w:pPr>
      <w:r w:rsidRPr="005B5CB6">
        <w:rPr>
          <w:rFonts w:ascii="Verdana" w:eastAsia="Verdana" w:hAnsi="Verdana" w:cs="Verdana"/>
          <w:color w:val="0B0C0C"/>
        </w:rPr>
        <w:t xml:space="preserve">Fighting disinformation is a common, long-term challenge for EU institutions and Member States.”  </w:t>
      </w:r>
      <w:r w:rsidRPr="005B5CB6">
        <w:rPr>
          <w:rFonts w:ascii="Verdana" w:eastAsia="Verdana" w:hAnsi="Verdana" w:cs="Verdana"/>
        </w:rPr>
        <w:t xml:space="preserve"> </w:t>
      </w:r>
    </w:p>
    <w:p w:rsidR="00FB0B24" w:rsidRPr="005B5CB6" w:rsidP="00A72806">
      <w:pPr>
        <w:spacing w:after="427" w:line="265" w:lineRule="auto"/>
        <w:ind w:left="25" w:right="691" w:hanging="10"/>
        <w:jc w:val="both"/>
        <w:rPr>
          <w:rFonts w:ascii="Verdana" w:hAnsi="Verdana"/>
        </w:rPr>
      </w:pPr>
      <w:r w:rsidRPr="005B5CB6">
        <w:rPr>
          <w:rFonts w:ascii="Verdana" w:eastAsia="Verdana" w:hAnsi="Verdana" w:cs="Verdana"/>
          <w:b/>
          <w:color w:val="0B0C0C"/>
        </w:rPr>
        <w:t xml:space="preserve">The Evidence </w:t>
      </w:r>
      <w:r w:rsidRPr="005B5CB6">
        <w:rPr>
          <w:rFonts w:ascii="Verdana" w:eastAsia="Verdana" w:hAnsi="Verdana" w:cs="Verdana"/>
        </w:rPr>
        <w:t xml:space="preserve"> </w:t>
      </w:r>
    </w:p>
    <w:p w:rsidR="00FB0B24" w:rsidRPr="005B5CB6" w:rsidP="00A72806">
      <w:pPr>
        <w:spacing w:after="276" w:line="350" w:lineRule="auto"/>
        <w:ind w:left="23" w:right="663" w:hanging="8"/>
        <w:jc w:val="both"/>
        <w:rPr>
          <w:rFonts w:ascii="Verdana" w:hAnsi="Verdana"/>
        </w:rPr>
      </w:pPr>
      <w:r w:rsidRPr="005B5CB6">
        <w:rPr>
          <w:rFonts w:ascii="Verdana" w:eastAsia="Verdana" w:hAnsi="Verdana" w:cs="Verdana"/>
        </w:rPr>
        <w:t xml:space="preserve">Avaaz’s reporting (on </w:t>
      </w:r>
      <w:r>
        <w:fldChar w:fldCharType="begin"/>
      </w:r>
      <w:r>
        <w:instrText xml:space="preserve"> HYPERLINK "https://avaazimages.avaaz.org/Report%20Yellow%20Vests%20FINAL.pdf" </w:instrText>
      </w:r>
      <w:r>
        <w:fldChar w:fldCharType="separate"/>
      </w:r>
      <w:r w:rsidRPr="005B5CB6">
        <w:rPr>
          <w:rFonts w:ascii="Verdana" w:eastAsia="Verdana" w:hAnsi="Verdana" w:cs="Verdana"/>
          <w:color w:val="1155CC"/>
          <w:u w:val="single" w:color="1155CC"/>
        </w:rPr>
        <w:t>Yellow Vests</w:t>
      </w:r>
      <w:r>
        <w:fldChar w:fldCharType="end"/>
      </w:r>
      <w:r>
        <w:fldChar w:fldCharType="begin"/>
      </w:r>
      <w:r>
        <w:instrText xml:space="preserve"> HYPERLINK "https://avaazimages.avaaz.org/Report%20Yellow%20Vests%20FINAL.pdf" </w:instrText>
      </w:r>
      <w:r>
        <w:fldChar w:fldCharType="separate"/>
      </w:r>
      <w:r w:rsidRPr="005B5CB6">
        <w:rPr>
          <w:rFonts w:ascii="Verdana" w:eastAsia="Verdana" w:hAnsi="Verdana" w:cs="Verdana"/>
          <w:color w:val="1155CC"/>
          <w:u w:val="single" w:color="1155CC"/>
        </w:rPr>
        <w:t xml:space="preserve"> </w:t>
      </w:r>
      <w:r>
        <w:fldChar w:fldCharType="end"/>
      </w:r>
      <w:r>
        <w:fldChar w:fldCharType="begin"/>
      </w:r>
      <w:r>
        <w:instrText xml:space="preserve"> HYPERLINK "https://avaazimages.avaaz.org/Report%20Yellow%20Vests%20FINAL.pdf" </w:instrText>
      </w:r>
      <w:r>
        <w:fldChar w:fldCharType="separate"/>
      </w:r>
      <w:r w:rsidRPr="005B5CB6">
        <w:rPr>
          <w:rFonts w:ascii="Verdana" w:eastAsia="Verdana" w:hAnsi="Verdana" w:cs="Verdana"/>
        </w:rPr>
        <w:t>an</w:t>
      </w:r>
      <w:r>
        <w:fldChar w:fldCharType="end"/>
      </w:r>
      <w:r w:rsidRPr="005B5CB6">
        <w:rPr>
          <w:rFonts w:ascii="Verdana" w:eastAsia="Verdana" w:hAnsi="Verdana" w:cs="Verdana"/>
        </w:rPr>
        <w:t xml:space="preserve">d on </w:t>
      </w:r>
      <w:r>
        <w:fldChar w:fldCharType="begin"/>
      </w:r>
      <w:r>
        <w:instrText xml:space="preserve"> HYPERLINK "https://avaazimages.avaaz.org/Avaaz%20Report%20Network%20Deception%2020190522.pdf" </w:instrText>
      </w:r>
      <w:r>
        <w:fldChar w:fldCharType="separate"/>
      </w:r>
      <w:r w:rsidRPr="005B5CB6">
        <w:rPr>
          <w:rFonts w:ascii="Verdana" w:eastAsia="Verdana" w:hAnsi="Verdana" w:cs="Verdana"/>
          <w:color w:val="1155CC"/>
          <w:u w:val="single" w:color="1155CC"/>
        </w:rPr>
        <w:t>Far Right Networks of Deception</w:t>
      </w:r>
      <w:r>
        <w:fldChar w:fldCharType="end"/>
      </w:r>
      <w:r>
        <w:fldChar w:fldCharType="begin"/>
      </w:r>
      <w:r>
        <w:instrText xml:space="preserve"> HYPERLINK "https://avaazimages.avaaz.org/Avaaz%20Report%20Network%20Deception%2020190522.pdf"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r w:rsidRPr="005B5CB6">
        <w:rPr>
          <w:rFonts w:ascii="Verdana" w:eastAsia="Verdana" w:hAnsi="Verdana" w:cs="Verdana"/>
          <w:color w:val="0B0C0C"/>
        </w:rPr>
        <w:t xml:space="preserve">provides many examples of disinformation promoted on Facebook but the issue applies across all social media platforms.  </w:t>
      </w:r>
      <w:r w:rsidRPr="005B5CB6">
        <w:rPr>
          <w:rFonts w:ascii="Verdana" w:eastAsia="Verdana" w:hAnsi="Verdana" w:cs="Verdana"/>
        </w:rPr>
        <w:t>For example significant studies have found that Twitter is a conduit for disinformation, with just a few fake news sites pushing millions of disinformation messages to users during the 2016 US Elections</w:t>
      </w:r>
      <w:r w:rsidRPr="005B5CB6">
        <w:rPr>
          <w:rFonts w:ascii="Verdana" w:eastAsia="Verdana" w:hAnsi="Verdana" w:cs="Verdana"/>
          <w:vertAlign w:val="superscript"/>
        </w:rPr>
        <w:t>28</w:t>
      </w:r>
      <w:r w:rsidRPr="005B5CB6">
        <w:rPr>
          <w:rFonts w:ascii="Verdana" w:eastAsia="Verdana" w:hAnsi="Verdana" w:cs="Verdana"/>
        </w:rPr>
        <w:t xml:space="preserve">. </w:t>
      </w:r>
      <w:r>
        <w:fldChar w:fldCharType="begin"/>
      </w:r>
      <w:r>
        <w:instrText xml:space="preserve"> HYPERLINK "https://techcrunch.com/2019/04/24/twitter-to-offer-report-option-for-misleading-election-tweets/" </w:instrText>
      </w:r>
      <w:r>
        <w:fldChar w:fldCharType="separate"/>
      </w:r>
      <w:r w:rsidRPr="005B5CB6">
        <w:rPr>
          <w:rFonts w:ascii="Verdana" w:eastAsia="Verdana" w:hAnsi="Verdana" w:cs="Verdana"/>
          <w:color w:val="1155CC"/>
          <w:u w:val="single" w:color="1155CC"/>
        </w:rPr>
        <w:t>Twitte</w:t>
      </w:r>
      <w:r>
        <w:fldChar w:fldCharType="end"/>
      </w:r>
      <w:r>
        <w:fldChar w:fldCharType="begin"/>
      </w:r>
      <w:r>
        <w:instrText xml:space="preserve"> HYPERLINK "https://techcrunch.com/2019/04/24/twitter-to-offer-report-option-for-misleading-election-tweets/" </w:instrText>
      </w:r>
      <w:r>
        <w:fldChar w:fldCharType="separate"/>
      </w:r>
      <w:r w:rsidRPr="005B5CB6">
        <w:rPr>
          <w:rFonts w:ascii="Verdana" w:eastAsia="Verdana" w:hAnsi="Verdana" w:cs="Verdana"/>
          <w:color w:val="1155CC"/>
          <w:u w:val="single" w:color="1155CC"/>
        </w:rPr>
        <w:t>r</w:t>
      </w:r>
      <w:r>
        <w:fldChar w:fldCharType="end"/>
      </w:r>
      <w:r>
        <w:fldChar w:fldCharType="begin"/>
      </w:r>
      <w:r>
        <w:instrText xml:space="preserve"> HYPERLINK "https://techcrunch.com/2019/04/24/twitter-to-offer-report-option-for-misleading-election-tweets/" </w:instrText>
      </w:r>
      <w:r>
        <w:fldChar w:fldCharType="separate"/>
      </w:r>
      <w:r w:rsidRPr="005B5CB6">
        <w:rPr>
          <w:rFonts w:ascii="Verdana" w:eastAsia="Verdana" w:hAnsi="Verdana" w:cs="Verdana"/>
          <w:u w:val="single" w:color="1155CC"/>
        </w:rPr>
        <w:t xml:space="preserve"> </w:t>
      </w:r>
      <w:r>
        <w:fldChar w:fldCharType="end"/>
      </w:r>
      <w:r>
        <w:fldChar w:fldCharType="begin"/>
      </w:r>
      <w:r>
        <w:instrText xml:space="preserve"> HYPERLINK "https://techcrunch.com/2019/04/24/twitter-to-offer-report-option-for-misleading-election-tweets/" </w:instrText>
      </w:r>
      <w:r>
        <w:fldChar w:fldCharType="separate"/>
      </w:r>
      <w:r w:rsidRPr="005B5CB6">
        <w:rPr>
          <w:rFonts w:ascii="Verdana" w:eastAsia="Verdana" w:hAnsi="Verdana" w:cs="Verdana"/>
          <w:color w:val="1155CC"/>
          <w:u w:val="single" w:color="1155CC"/>
        </w:rPr>
        <w:t xml:space="preserve"> </w:t>
      </w:r>
      <w:r>
        <w:fldChar w:fldCharType="end"/>
      </w:r>
      <w:r>
        <w:fldChar w:fldCharType="begin"/>
      </w:r>
      <w:r>
        <w:instrText xml:space="preserve"> HYPERLINK "https://techcrunch.com/2019/04/24/twitter-to-offer-report-option-for-misleading-election-tweets/" </w:instrText>
      </w:r>
      <w:r>
        <w:fldChar w:fldCharType="separate"/>
      </w:r>
      <w:r w:rsidRPr="005B5CB6">
        <w:rPr>
          <w:rFonts w:ascii="Verdana" w:eastAsia="Verdana" w:hAnsi="Verdana" w:cs="Verdana"/>
        </w:rPr>
        <w:t>do</w:t>
      </w:r>
      <w:r>
        <w:fldChar w:fldCharType="end"/>
      </w:r>
      <w:r w:rsidRPr="005B5CB6">
        <w:rPr>
          <w:rFonts w:ascii="Verdana" w:eastAsia="Verdana" w:hAnsi="Verdana" w:cs="Verdana"/>
        </w:rPr>
        <w:t xml:space="preserve">es have a dedicated </w:t>
      </w:r>
      <w:r w:rsidRPr="005B5CB6">
        <w:rPr>
          <w:rFonts w:ascii="Verdana" w:eastAsia="Verdana" w:hAnsi="Verdana" w:cs="Verdana"/>
          <w:b/>
        </w:rPr>
        <w:t>report option that enables users to tell it about misleading tweets related to voting</w:t>
      </w:r>
      <w:r w:rsidRPr="005B5CB6">
        <w:rPr>
          <w:rFonts w:ascii="Verdana" w:eastAsia="Verdana" w:hAnsi="Verdana" w:cs="Verdana"/>
        </w:rPr>
        <w:t xml:space="preserve"> — starting with elections </w:t>
      </w:r>
      <w:r w:rsidRPr="005B5CB6">
        <w:rPr>
          <w:rFonts w:ascii="Verdana" w:eastAsia="Verdana" w:hAnsi="Verdana" w:cs="Verdana"/>
        </w:rPr>
        <w:t>taking place in India and the European Union - but its definitions of disinformation are limited to voter suppression issues</w:t>
      </w:r>
      <w:r w:rsidRPr="005B5CB6">
        <w:rPr>
          <w:rFonts w:ascii="Verdana" w:eastAsia="Verdana" w:hAnsi="Verdana" w:cs="Verdana"/>
          <w:vertAlign w:val="superscript"/>
        </w:rPr>
        <w:t>29</w:t>
      </w: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35" w:line="250" w:lineRule="auto"/>
        <w:ind w:left="11" w:hanging="10"/>
        <w:jc w:val="both"/>
        <w:rPr>
          <w:rFonts w:ascii="Verdana" w:hAnsi="Verdana"/>
        </w:rPr>
      </w:pPr>
      <w:r w:rsidRPr="005B5CB6">
        <w:rPr>
          <w:rFonts w:ascii="Verdana" w:eastAsia="Verdana" w:hAnsi="Verdana" w:cs="Verdana"/>
          <w:b/>
        </w:rPr>
        <w:t xml:space="preserve">The Solution  </w:t>
      </w:r>
    </w:p>
    <w:p w:rsidR="00FB0B24" w:rsidRPr="005B5CB6" w:rsidP="00A72806">
      <w:pPr>
        <w:spacing w:after="812" w:line="351" w:lineRule="auto"/>
        <w:ind w:left="23" w:right="564" w:hanging="8"/>
        <w:jc w:val="both"/>
        <w:rPr>
          <w:rFonts w:ascii="Verdana" w:hAnsi="Verdana"/>
        </w:rPr>
      </w:pPr>
      <w:r w:rsidRPr="005B5CB6">
        <w:rPr>
          <w:rFonts w:ascii="Verdana" w:eastAsia="Verdana" w:hAnsi="Verdana" w:cs="Verdana"/>
          <w:b/>
        </w:rPr>
        <w:t xml:space="preserve">Avaaz has proposed a developed and tested concept to </w:t>
      </w:r>
      <w:r w:rsidRPr="005B5CB6">
        <w:rPr>
          <w:rFonts w:ascii="Verdana" w:eastAsia="Verdana" w:hAnsi="Verdana" w:cs="Verdana"/>
        </w:rPr>
        <w:t xml:space="preserve">combat disinformation and strengthen faith in democracy, namely Correct the Record. </w:t>
      </w:r>
      <w:r w:rsidRPr="005B5CB6">
        <w:rPr>
          <w:rFonts w:ascii="Verdana" w:eastAsia="Verdana" w:hAnsi="Verdana" w:cs="Verdana"/>
          <w:b/>
        </w:rPr>
        <w:t xml:space="preserve"> Correct the Record is a simple solution</w:t>
      </w:r>
      <w:r w:rsidRPr="005B5CB6">
        <w:rPr>
          <w:rFonts w:ascii="Verdana" w:eastAsia="Verdana" w:hAnsi="Verdana" w:cs="Verdana"/>
        </w:rPr>
        <w:t xml:space="preserve"> that requires platforms to notify and provide effective fact-checked corrections to each and every person who saw false or misleading content in their feed. Researchers have concluded that effective corrections can reduce and even eliminate the effects of disinformation.</w:t>
      </w:r>
      <w:r w:rsidRPr="005B5CB6">
        <w:rPr>
          <w:rFonts w:ascii="Verdana" w:eastAsia="Verdana" w:hAnsi="Verdana" w:cs="Verdana"/>
          <w:vertAlign w:val="superscript"/>
        </w:rPr>
        <w:t>30</w:t>
      </w:r>
      <w:r w:rsidRPr="005B5CB6">
        <w:rPr>
          <w:rFonts w:ascii="Verdana" w:eastAsia="Verdana" w:hAnsi="Verdana" w:cs="Verdana"/>
        </w:rPr>
        <w:t xml:space="preserve"> Our solution </w:t>
      </w:r>
      <w:r w:rsidRPr="005B5CB6">
        <w:rPr>
          <w:rFonts w:ascii="Verdana" w:eastAsia="Verdana" w:hAnsi="Verdana" w:cs="Verdana"/>
          <w:b/>
        </w:rPr>
        <w:t>tackles disinformation while preserving freedom of expression</w:t>
      </w:r>
      <w:r w:rsidRPr="005B5CB6">
        <w:rPr>
          <w:rFonts w:ascii="Verdana" w:eastAsia="Verdana" w:hAnsi="Verdana" w:cs="Verdana"/>
        </w:rPr>
        <w:t xml:space="preserve">; there is no censorship, just as newspapers publish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6970" name="Group 58697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23" name="Shape 63632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65" style="height:0.6pt;mso-position-horizontal-relative:char;mso-position-vertical-relative:line;width:2in" coordsize="18288,76">
                <v:shape id="_x0000_s1366"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575F14">
      <w:pPr>
        <w:numPr>
          <w:ilvl w:val="0"/>
          <w:numId w:val="227"/>
        </w:numPr>
        <w:spacing w:after="54" w:line="279" w:lineRule="auto"/>
        <w:ind w:right="512" w:hanging="10"/>
        <w:jc w:val="both"/>
        <w:rPr>
          <w:rFonts w:ascii="Verdana" w:hAnsi="Verdana"/>
        </w:rPr>
      </w:pPr>
      <w:r>
        <w:fldChar w:fldCharType="begin"/>
      </w:r>
      <w:r>
        <w:instrText xml:space="preserve"> HYPERLINK "https://s3.amazonaws.com/kf-site-legacy-media/feature_assets/www/misinfo/kf-disinformation-report.0cdbb232.pdf" </w:instrText>
      </w:r>
      <w:r>
        <w:fldChar w:fldCharType="separate"/>
      </w:r>
      <w:r w:rsidRPr="005B5CB6" w:rsidR="00A72806">
        <w:rPr>
          <w:rFonts w:ascii="Verdana" w:eastAsia="Arial" w:hAnsi="Verdana" w:cs="Arial"/>
          <w:color w:val="1155CC"/>
          <w:u w:val="single" w:color="1155CC"/>
        </w:rPr>
        <w:t>https://s3.amazonaws.com/kf-site-legacy-media/feature_assets/www/misinfo/kf-disinformation</w:t>
      </w:r>
      <w:r>
        <w:fldChar w:fldCharType="end"/>
      </w:r>
      <w:r>
        <w:fldChar w:fldCharType="begin"/>
      </w:r>
      <w:r>
        <w:instrText xml:space="preserve"> HYPERLINK "https://s3.amazonaws.com/kf-site-legacy-media/feature_assets/www/misinfo/kf-disinformation-report.0cdbb232.pdf" </w:instrText>
      </w:r>
      <w:r>
        <w:fldChar w:fldCharType="separate"/>
      </w:r>
      <w:r w:rsidRPr="005B5CB6" w:rsidR="00A72806">
        <w:rPr>
          <w:rFonts w:ascii="Verdana" w:eastAsia="Arial" w:hAnsi="Verdana" w:cs="Arial"/>
          <w:color w:val="1155CC"/>
          <w:u w:val="single" w:color="1155CC"/>
        </w:rPr>
        <w:t>report.0cdb</w:t>
      </w:r>
      <w:r>
        <w:fldChar w:fldCharType="end"/>
      </w:r>
      <w:r>
        <w:fldChar w:fldCharType="begin"/>
      </w:r>
      <w:r>
        <w:instrText xml:space="preserve"> HYPERLINK "https://s3.amazonaws.com/kf-site-legacy-media/feature_assets/www/misinfo/kf-disinformation-report.0cdbb232.pdf" </w:instrText>
      </w:r>
      <w:r>
        <w:fldChar w:fldCharType="separate"/>
      </w:r>
      <w:r w:rsidRPr="005B5CB6" w:rsidR="00A72806">
        <w:rPr>
          <w:rFonts w:ascii="Verdana" w:eastAsia="Arial" w:hAnsi="Verdana" w:cs="Arial"/>
          <w:color w:val="1155CC"/>
          <w:u w:val="single" w:color="1155CC"/>
        </w:rPr>
        <w:t xml:space="preserve"> b232.pd</w:t>
      </w:r>
      <w:r>
        <w:fldChar w:fldCharType="end"/>
      </w:r>
      <w:r>
        <w:fldChar w:fldCharType="begin"/>
      </w:r>
      <w:r>
        <w:instrText xml:space="preserve"> HYPERLINK "https://s3.amazonaws.com/kf-site-legacy-media/feature_assets/www/misinfo/kf-disinformation-report.0cdbb232.pdf" </w:instrText>
      </w:r>
      <w:r>
        <w:fldChar w:fldCharType="separate"/>
      </w:r>
      <w:r w:rsidRPr="005B5CB6" w:rsidR="00A72806">
        <w:rPr>
          <w:rFonts w:ascii="Verdana" w:eastAsia="Arial" w:hAnsi="Verdana" w:cs="Arial"/>
          <w:color w:val="1155CC"/>
          <w:u w:val="single" w:color="1155CC"/>
        </w:rPr>
        <w:t>f</w:t>
      </w:r>
      <w:r>
        <w:fldChar w:fldCharType="end"/>
      </w:r>
      <w:r>
        <w:fldChar w:fldCharType="begin"/>
      </w:r>
      <w:r>
        <w:instrText xml:space="preserve"> HYPERLINK "https://s3.amazonaws.com/kf-site-legacy-media/feature_assets/www/misinfo/kf-disinformation-report.0cdbb232.pdf" </w:instrText>
      </w:r>
      <w:r>
        <w:fldChar w:fldCharType="separate"/>
      </w:r>
      <w:r w:rsidRPr="005B5CB6" w:rsidR="00A72806">
        <w:rPr>
          <w:rFonts w:ascii="Verdana" w:eastAsia="Arial" w:hAnsi="Verdana" w:cs="Arial"/>
        </w:rPr>
        <w:t xml:space="preserve"> </w:t>
      </w:r>
      <w:r>
        <w:fldChar w:fldCharType="end"/>
      </w:r>
      <w:r>
        <w:fldChar w:fldCharType="begin"/>
      </w:r>
      <w:r>
        <w:instrText xml:space="preserve"> HYPERLINK "https://s3.amazonaws.com/kf-site-legacy-media/feature_assets/www/misinfo/kf-disinformation-report.0cdbb232.pdf" </w:instrText>
      </w:r>
      <w:r>
        <w:fldChar w:fldCharType="separate"/>
      </w:r>
      <w:r w:rsidRPr="005B5CB6" w:rsidR="00A72806">
        <w:rPr>
          <w:rFonts w:ascii="Verdana" w:eastAsia="Arial" w:hAnsi="Verdana" w:cs="Arial"/>
          <w:color w:val="1155CC"/>
        </w:rPr>
        <w:t xml:space="preserve"> </w:t>
      </w:r>
      <w:r>
        <w:fldChar w:fldCharType="end"/>
      </w:r>
    </w:p>
    <w:p w:rsidR="00FB0B24" w:rsidRPr="005B5CB6" w:rsidP="00575F14">
      <w:pPr>
        <w:numPr>
          <w:ilvl w:val="0"/>
          <w:numId w:val="227"/>
        </w:numPr>
        <w:spacing w:after="34" w:line="236" w:lineRule="auto"/>
        <w:ind w:right="512" w:hanging="10"/>
        <w:jc w:val="both"/>
        <w:rPr>
          <w:rFonts w:ascii="Verdana" w:hAnsi="Verdana"/>
        </w:rPr>
      </w:pPr>
      <w:r w:rsidRPr="005B5CB6">
        <w:rPr>
          <w:rFonts w:ascii="Verdana" w:eastAsia="Arial" w:hAnsi="Verdana" w:cs="Arial"/>
        </w:rPr>
        <w:t xml:space="preserve">Users can report tweets they believe are trying to mislead voters — such as disinformation related to the date or location of polling stations; or fake claims about identity requirements for being able to vote — by tapping on the arrow menu of the suspicious tweet and selecting the ‘report tweet’ option and then choosing: ‘It’s misleading about voting’. </w:t>
      </w:r>
      <w:r w:rsidRPr="005B5CB6">
        <w:rPr>
          <w:rFonts w:ascii="Verdana" w:eastAsia="Arial" w:hAnsi="Verdana" w:cs="Arial"/>
          <w:color w:val="1155CC"/>
        </w:rPr>
        <w:t xml:space="preserve"> </w:t>
      </w:r>
    </w:p>
    <w:p w:rsidR="00FB0B24" w:rsidRPr="005B5CB6" w:rsidP="00A72806">
      <w:pPr>
        <w:spacing w:after="34" w:line="236" w:lineRule="auto"/>
        <w:ind w:left="19" w:right="844" w:hanging="10"/>
        <w:jc w:val="both"/>
        <w:rPr>
          <w:rFonts w:ascii="Verdana" w:hAnsi="Verdana"/>
        </w:rPr>
      </w:pPr>
      <w:r>
        <w:fldChar w:fldCharType="begin"/>
      </w:r>
      <w:r>
        <w:instrText xml:space="preserve"> HYPERLINK "https://techcrunch.com/2019/04/24/twitter-to-offer-report-option-for-misleading-election-tweets/" </w:instrText>
      </w:r>
      <w:r>
        <w:fldChar w:fldCharType="separate"/>
      </w:r>
      <w:r w:rsidRPr="005B5CB6" w:rsidR="00A72806">
        <w:rPr>
          <w:rFonts w:ascii="Verdana" w:eastAsia="Arial" w:hAnsi="Verdana" w:cs="Arial"/>
          <w:color w:val="1155CC"/>
          <w:u w:val="single" w:color="1155CC"/>
        </w:rPr>
        <w:t>https://techcrunch.com/2019/04/24/twitter-to-offer-report-option-for-misleading-election-tweets/</w:t>
      </w:r>
      <w:r>
        <w:fldChar w:fldCharType="end"/>
      </w:r>
      <w:r>
        <w:fldChar w:fldCharType="begin"/>
      </w:r>
      <w:r>
        <w:instrText xml:space="preserve"> HYPERLINK "https://techcrunch.com/2019/04/24/twitter-to-offer-report-option-for-misleading-election-tweets/" </w:instrText>
      </w:r>
      <w:r>
        <w:fldChar w:fldCharType="separate"/>
      </w:r>
      <w:r w:rsidRPr="005B5CB6" w:rsidR="00A72806">
        <w:rPr>
          <w:rFonts w:ascii="Verdana" w:eastAsia="Arial" w:hAnsi="Verdana" w:cs="Arial"/>
        </w:rPr>
        <w:t xml:space="preserve"> </w:t>
      </w:r>
      <w:r>
        <w:fldChar w:fldCharType="end"/>
      </w:r>
      <w:r w:rsidRPr="005B5CB6" w:rsidR="00A72806">
        <w:rPr>
          <w:rFonts w:ascii="Verdana" w:eastAsia="Arial" w:hAnsi="Verdana" w:cs="Arial"/>
          <w:color w:val="1155CC"/>
        </w:rPr>
        <w:t xml:space="preserve"> </w:t>
      </w:r>
      <w:r w:rsidRPr="005B5CB6" w:rsidR="00A72806">
        <w:rPr>
          <w:rFonts w:ascii="Verdana" w:eastAsia="Arial" w:hAnsi="Verdana" w:cs="Arial"/>
          <w:vertAlign w:val="superscript"/>
        </w:rPr>
        <w:t>30</w:t>
      </w:r>
      <w:r w:rsidRPr="005B5CB6" w:rsidR="00A72806">
        <w:rPr>
          <w:rFonts w:ascii="Verdana" w:eastAsia="Arial" w:hAnsi="Verdana" w:cs="Arial"/>
        </w:rPr>
        <w:t xml:space="preserve"> E.g. The Elusive Backfire Effect: Mass Attitudes’ Steadfast Factual Adherence (Wood, T. &amp; Porter, </w:t>
      </w:r>
    </w:p>
    <w:p w:rsidR="00FB0B24" w:rsidRPr="005B5CB6" w:rsidP="00A72806">
      <w:pPr>
        <w:spacing w:after="34" w:line="236" w:lineRule="auto"/>
        <w:ind w:left="19" w:right="844" w:hanging="10"/>
        <w:jc w:val="both"/>
        <w:rPr>
          <w:rFonts w:ascii="Verdana" w:hAnsi="Verdana"/>
        </w:rPr>
      </w:pPr>
      <w:r w:rsidRPr="005B5CB6">
        <w:rPr>
          <w:rFonts w:ascii="Verdana" w:eastAsia="Arial" w:hAnsi="Verdana" w:cs="Arial"/>
        </w:rPr>
        <w:t xml:space="preserve">E. Polit Behav, 2018); Processing political misinformation: comprehending the Trump phenomenon </w:t>
      </w:r>
    </w:p>
    <w:p w:rsidR="00FB0B24" w:rsidRPr="005B5CB6" w:rsidP="00A72806">
      <w:pPr>
        <w:spacing w:after="34" w:line="236" w:lineRule="auto"/>
        <w:ind w:left="19" w:right="844" w:hanging="10"/>
        <w:jc w:val="both"/>
        <w:rPr>
          <w:rFonts w:ascii="Verdana" w:hAnsi="Verdana"/>
        </w:rPr>
      </w:pPr>
      <w:r w:rsidRPr="005B5CB6">
        <w:rPr>
          <w:rFonts w:ascii="Verdana" w:eastAsia="Arial" w:hAnsi="Verdana" w:cs="Arial"/>
        </w:rPr>
        <w:t xml:space="preserve">(Swire et. al., The Royal Society Publishing, March 4, 2017); Taking Fact-Checks Literally But Not Seriously? The Effects of Journalistic Fact-Checking on Factual Beliefs and Candidate Favorability Nyhan, B., Porter, E., Reifler, J. et al. Polit Behav (2019). </w:t>
      </w:r>
    </w:p>
    <w:p w:rsidR="00FB0B24" w:rsidRPr="005B5CB6" w:rsidP="00A72806">
      <w:pPr>
        <w:spacing w:after="238" w:line="347" w:lineRule="auto"/>
        <w:ind w:left="23" w:right="11" w:hanging="8"/>
        <w:jc w:val="both"/>
        <w:rPr>
          <w:rFonts w:ascii="Verdana" w:hAnsi="Verdana"/>
        </w:rPr>
      </w:pPr>
      <w:r w:rsidRPr="005B5CB6">
        <w:rPr>
          <w:rFonts w:ascii="Verdana" w:eastAsia="Verdana" w:hAnsi="Verdana" w:cs="Verdana"/>
        </w:rPr>
        <w:t xml:space="preserve">corrections right on their own pages, television stations on their own airwaves; platforms should provide the same service to their users.   </w:t>
      </w:r>
    </w:p>
    <w:p w:rsidR="00FB0B24" w:rsidRPr="005B5CB6" w:rsidP="00A72806">
      <w:pPr>
        <w:spacing w:after="182" w:line="395" w:lineRule="auto"/>
        <w:ind w:left="25" w:right="718" w:hanging="10"/>
        <w:jc w:val="both"/>
        <w:rPr>
          <w:rFonts w:ascii="Verdana" w:hAnsi="Verdana"/>
        </w:rPr>
      </w:pPr>
      <w:r w:rsidRPr="005B5CB6">
        <w:rPr>
          <w:rFonts w:ascii="Verdana" w:eastAsia="Verdana" w:hAnsi="Verdana" w:cs="Verdana"/>
          <w:color w:val="0B0C0C"/>
        </w:rPr>
        <w:t xml:space="preserve">Avaaz’s proposal to ‘Correct the Record’ has been </w:t>
      </w:r>
      <w:r>
        <w:fldChar w:fldCharType="begin"/>
      </w:r>
      <w:r>
        <w:instrText xml:space="preserve"> HYPERLINK "https://time.com/5540995/correct-the-record-polling-fake-news/" </w:instrText>
      </w:r>
      <w:r>
        <w:fldChar w:fldCharType="separate"/>
      </w:r>
      <w:r w:rsidRPr="005B5CB6">
        <w:rPr>
          <w:rFonts w:ascii="Verdana" w:eastAsia="Verdana" w:hAnsi="Verdana" w:cs="Verdana"/>
          <w:color w:val="1155CC"/>
          <w:u w:val="single" w:color="1155CC"/>
        </w:rPr>
        <w:t>endorsed by EU Security</w:t>
      </w:r>
      <w:r>
        <w:fldChar w:fldCharType="end"/>
      </w:r>
      <w:r>
        <w:fldChar w:fldCharType="begin"/>
      </w:r>
      <w:r>
        <w:instrText xml:space="preserve"> HYPERLINK "https://time.com/5540995/correct-the-record-polling-fake-news/" </w:instrText>
      </w:r>
      <w:r>
        <w:fldChar w:fldCharType="separate"/>
      </w:r>
      <w:r w:rsidRPr="005B5CB6">
        <w:rPr>
          <w:rFonts w:ascii="Verdana" w:eastAsia="Verdana" w:hAnsi="Verdana" w:cs="Verdana"/>
          <w:color w:val="1155CC"/>
        </w:rPr>
        <w:t xml:space="preserve"> </w:t>
      </w:r>
      <w:r>
        <w:fldChar w:fldCharType="end"/>
      </w:r>
      <w:r>
        <w:fldChar w:fldCharType="begin"/>
      </w:r>
      <w:r>
        <w:instrText xml:space="preserve"> HYPERLINK "https://time.com/5540995/correct-the-record-polling-fake-news/" </w:instrText>
      </w:r>
      <w:r>
        <w:fldChar w:fldCharType="separate"/>
      </w:r>
      <w:r w:rsidRPr="005B5CB6">
        <w:rPr>
          <w:rFonts w:ascii="Verdana" w:eastAsia="Verdana" w:hAnsi="Verdana" w:cs="Verdana"/>
          <w:color w:val="1155CC"/>
          <w:u w:val="single" w:color="1155CC"/>
        </w:rPr>
        <w:t>Commissione</w:t>
      </w:r>
      <w:r>
        <w:fldChar w:fldCharType="end"/>
      </w:r>
      <w:r>
        <w:fldChar w:fldCharType="begin"/>
      </w:r>
      <w:r>
        <w:instrText xml:space="preserve"> HYPERLINK "https://time.com/5540995/correct-the-record-polling-fake-news/" </w:instrText>
      </w:r>
      <w:r>
        <w:fldChar w:fldCharType="separate"/>
      </w:r>
      <w:r w:rsidRPr="005B5CB6">
        <w:rPr>
          <w:rFonts w:ascii="Verdana" w:eastAsia="Verdana" w:hAnsi="Verdana" w:cs="Verdana"/>
          <w:color w:val="1155CC"/>
          <w:u w:val="single" w:color="1155CC"/>
        </w:rPr>
        <w:t>r</w:t>
      </w:r>
      <w:r>
        <w:fldChar w:fldCharType="end"/>
      </w:r>
      <w:r>
        <w:fldChar w:fldCharType="begin"/>
      </w:r>
      <w:r>
        <w:instrText xml:space="preserve"> HYPERLINK "https://time.com/5540995/correct-the-record-polling-fake-news/" </w:instrText>
      </w:r>
      <w:r>
        <w:fldChar w:fldCharType="separate"/>
      </w:r>
      <w:r w:rsidRPr="005B5CB6">
        <w:rPr>
          <w:rFonts w:ascii="Verdana" w:eastAsia="Verdana" w:hAnsi="Verdana" w:cs="Verdana"/>
          <w:color w:val="1155CC"/>
        </w:rPr>
        <w:t xml:space="preserve"> </w:t>
      </w:r>
      <w:r>
        <w:fldChar w:fldCharType="end"/>
      </w:r>
      <w:r>
        <w:fldChar w:fldCharType="begin"/>
      </w:r>
      <w:r>
        <w:instrText xml:space="preserve"> HYPERLINK "https://time.com/5540995/correct-the-record-polling-fake-news/" </w:instrText>
      </w:r>
      <w:r>
        <w:fldChar w:fldCharType="separate"/>
      </w:r>
      <w:r w:rsidRPr="005B5CB6">
        <w:rPr>
          <w:rFonts w:ascii="Verdana" w:eastAsia="Verdana" w:hAnsi="Verdana" w:cs="Verdana"/>
          <w:color w:val="1155CC"/>
          <w:u w:val="single" w:color="1155CC"/>
        </w:rPr>
        <w:t>Julian Kin</w:t>
      </w:r>
      <w:r>
        <w:fldChar w:fldCharType="end"/>
      </w:r>
      <w:r>
        <w:fldChar w:fldCharType="begin"/>
      </w:r>
      <w:r>
        <w:instrText xml:space="preserve"> HYPERLINK "https://time.com/5540995/correct-the-record-polling-fake-news/" </w:instrText>
      </w:r>
      <w:r>
        <w:fldChar w:fldCharType="separate"/>
      </w:r>
      <w:r w:rsidRPr="005B5CB6">
        <w:rPr>
          <w:rFonts w:ascii="Verdana" w:eastAsia="Verdana" w:hAnsi="Verdana" w:cs="Verdana"/>
          <w:color w:val="1155CC"/>
          <w:u w:val="single" w:color="1155CC"/>
        </w:rPr>
        <w:t>g</w:t>
      </w:r>
      <w:r>
        <w:fldChar w:fldCharType="end"/>
      </w:r>
      <w:r>
        <w:fldChar w:fldCharType="begin"/>
      </w:r>
      <w:r>
        <w:instrText xml:space="preserve"> HYPERLINK "https://time.com/5540995/correct-the-record-polling-fake-news/" </w:instrText>
      </w:r>
      <w:r>
        <w:fldChar w:fldCharType="separate"/>
      </w:r>
      <w:r w:rsidRPr="005B5CB6">
        <w:rPr>
          <w:rFonts w:ascii="Verdana" w:eastAsia="Verdana" w:hAnsi="Verdana" w:cs="Verdana"/>
          <w:color w:val="0B0C0C"/>
        </w:rPr>
        <w:t xml:space="preserve"> </w:t>
      </w:r>
      <w:r>
        <w:fldChar w:fldCharType="end"/>
      </w:r>
      <w:r>
        <w:fldChar w:fldCharType="begin"/>
      </w:r>
      <w:r>
        <w:instrText xml:space="preserve"> HYPERLINK "https://time.com/5540995/correct-the-record-polling-fake-news/" </w:instrText>
      </w:r>
      <w:r>
        <w:fldChar w:fldCharType="separate"/>
      </w:r>
      <w:r w:rsidRPr="005B5CB6">
        <w:rPr>
          <w:rFonts w:ascii="Verdana" w:eastAsia="Verdana" w:hAnsi="Verdana" w:cs="Verdana"/>
          <w:color w:val="0B0C0C"/>
        </w:rPr>
        <w:t>w</w:t>
      </w:r>
      <w:r>
        <w:fldChar w:fldCharType="end"/>
      </w:r>
      <w:r w:rsidRPr="005B5CB6">
        <w:rPr>
          <w:rFonts w:ascii="Verdana" w:eastAsia="Verdana" w:hAnsi="Verdana" w:cs="Verdana"/>
          <w:color w:val="0B0C0C"/>
        </w:rPr>
        <w:t xml:space="preserve">ho said, “We need rapid corrections which are given the same prominence and circulation as the original fake news. </w:t>
      </w:r>
      <w:r>
        <w:fldChar w:fldCharType="begin"/>
      </w:r>
      <w:r>
        <w:instrText xml:space="preserve"> HYPERLINK "https://time.com/5540995/correct-the-record-polling-fake-news/" </w:instrText>
      </w:r>
      <w:r>
        <w:fldChar w:fldCharType="separate"/>
      </w:r>
      <w:r w:rsidRPr="005B5CB6">
        <w:rPr>
          <w:rFonts w:ascii="Verdana" w:eastAsia="Verdana" w:hAnsi="Verdana" w:cs="Verdana"/>
          <w:color w:val="1155CC"/>
          <w:u w:val="single" w:color="1155CC"/>
        </w:rPr>
        <w:t>TIME magazine</w:t>
      </w:r>
      <w:r>
        <w:fldChar w:fldCharType="end"/>
      </w:r>
      <w:r>
        <w:fldChar w:fldCharType="begin"/>
      </w:r>
      <w:r>
        <w:instrText xml:space="preserve"> HYPERLINK "https://time.com/5540995/correct-the-record-polling-fake-news/"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called Avaaz’s solution a “radical new proposal that could curb fake news on social media.”</w:t>
      </w:r>
      <w:r w:rsidRPr="005B5CB6">
        <w:rPr>
          <w:rFonts w:ascii="Verdana" w:eastAsia="Verdana" w:hAnsi="Verdana" w:cs="Verdana"/>
          <w:color w:val="0B0C0C"/>
        </w:rPr>
        <w:t xml:space="preserve"> </w:t>
      </w:r>
      <w:r w:rsidRPr="005B5CB6">
        <w:rPr>
          <w:rFonts w:ascii="Verdana" w:eastAsia="Verdana" w:hAnsi="Verdana" w:cs="Verdana"/>
        </w:rPr>
        <w:t xml:space="preserve"> </w:t>
      </w:r>
    </w:p>
    <w:p w:rsidR="00FB0B24" w:rsidRPr="005B5CB6" w:rsidP="00A72806">
      <w:pPr>
        <w:spacing w:after="301" w:line="286" w:lineRule="auto"/>
        <w:ind w:left="25" w:right="718" w:hanging="10"/>
        <w:jc w:val="both"/>
        <w:rPr>
          <w:rFonts w:ascii="Verdana" w:hAnsi="Verdana"/>
        </w:rPr>
      </w:pPr>
      <w:r w:rsidRPr="005B5CB6">
        <w:rPr>
          <w:rFonts w:ascii="Verdana" w:eastAsia="Verdana" w:hAnsi="Verdana" w:cs="Verdana"/>
          <w:color w:val="0B0C0C"/>
        </w:rPr>
        <w:t xml:space="preserve">Correct the Record is a six-step process, that would be implemented by all platforms with interactive content sharing, commenting, or posting facilities. The steps are: </w:t>
      </w:r>
      <w:r w:rsidRPr="005B5CB6">
        <w:rPr>
          <w:rFonts w:ascii="Verdana" w:eastAsia="Verdana" w:hAnsi="Verdana" w:cs="Verdana"/>
        </w:rPr>
        <w:t xml:space="preserve"> </w:t>
      </w:r>
    </w:p>
    <w:p w:rsidR="00FB0B24" w:rsidRPr="005B5CB6" w:rsidP="00575F14">
      <w:pPr>
        <w:numPr>
          <w:ilvl w:val="0"/>
          <w:numId w:val="228"/>
        </w:numPr>
        <w:spacing w:after="363" w:line="250" w:lineRule="auto"/>
        <w:ind w:right="707" w:hanging="360"/>
        <w:jc w:val="both"/>
        <w:rPr>
          <w:rFonts w:ascii="Verdana" w:hAnsi="Verdana"/>
        </w:rPr>
      </w:pPr>
      <w:r w:rsidRPr="005B5CB6">
        <w:rPr>
          <w:rFonts w:ascii="Verdana" w:eastAsia="Verdana" w:hAnsi="Verdana" w:cs="Verdana"/>
          <w:color w:val="0B0C0C"/>
        </w:rPr>
        <w:t xml:space="preserve">DEFINE: </w:t>
      </w:r>
      <w:r w:rsidRPr="005B5CB6">
        <w:rPr>
          <w:rFonts w:ascii="Verdana" w:eastAsia="Verdana" w:hAnsi="Verdana" w:cs="Verdana"/>
        </w:rPr>
        <w:t xml:space="preserve">The obligation to correct the record would be triggered where:  </w:t>
      </w:r>
    </w:p>
    <w:p w:rsidR="00FB0B24" w:rsidRPr="005B5CB6" w:rsidP="00575F14">
      <w:pPr>
        <w:numPr>
          <w:ilvl w:val="0"/>
          <w:numId w:val="228"/>
        </w:numPr>
        <w:spacing w:after="256" w:line="280" w:lineRule="auto"/>
        <w:ind w:right="707" w:hanging="360"/>
        <w:jc w:val="both"/>
        <w:rPr>
          <w:rFonts w:ascii="Verdana" w:hAnsi="Verdana"/>
        </w:rPr>
      </w:pPr>
      <w:r w:rsidRPr="005B5CB6">
        <w:rPr>
          <w:rFonts w:ascii="Verdana" w:eastAsia="Verdana" w:hAnsi="Verdana" w:cs="Verdana"/>
        </w:rPr>
        <w:t xml:space="preserve">Independent fact checkers verify that content is false or misleading; ●  A significant number of people -- e.g. 10,000 -- viewed the content </w:t>
      </w:r>
      <w:r w:rsidRPr="005B5CB6">
        <w:rPr>
          <w:rFonts w:ascii="Verdana" w:eastAsia="Verdana" w:hAnsi="Verdana" w:cs="Verdana"/>
          <w:color w:val="0B0C0C"/>
        </w:rPr>
        <w:t xml:space="preserve">● DETECT:  </w:t>
      </w:r>
      <w:r w:rsidRPr="005B5CB6">
        <w:rPr>
          <w:rFonts w:ascii="Verdana" w:eastAsia="Verdana" w:hAnsi="Verdana" w:cs="Verdana"/>
        </w:rPr>
        <w:t xml:space="preserve"> </w:t>
      </w:r>
    </w:p>
    <w:p w:rsidR="00FB0B24" w:rsidRPr="005B5CB6" w:rsidP="00575F14">
      <w:pPr>
        <w:numPr>
          <w:ilvl w:val="0"/>
          <w:numId w:val="228"/>
        </w:numPr>
        <w:spacing w:after="31" w:line="250" w:lineRule="auto"/>
        <w:ind w:right="707" w:hanging="360"/>
        <w:jc w:val="both"/>
        <w:rPr>
          <w:rFonts w:ascii="Verdana" w:hAnsi="Verdana"/>
        </w:rPr>
      </w:pPr>
      <w:r w:rsidRPr="005B5CB6">
        <w:rPr>
          <w:rFonts w:ascii="Verdana" w:eastAsia="Verdana" w:hAnsi="Verdana" w:cs="Verdana"/>
        </w:rPr>
        <w:t xml:space="preserve">Proactively use technology such as AI to detect potential disinformation with significant reach that could be flagged for factcheckers;  </w:t>
      </w:r>
    </w:p>
    <w:p w:rsidR="00FB0B24" w:rsidRPr="005B5CB6" w:rsidP="00575F14">
      <w:pPr>
        <w:numPr>
          <w:ilvl w:val="0"/>
          <w:numId w:val="228"/>
        </w:numPr>
        <w:spacing w:after="34" w:line="250" w:lineRule="auto"/>
        <w:ind w:right="707" w:hanging="360"/>
        <w:jc w:val="both"/>
        <w:rPr>
          <w:rFonts w:ascii="Verdana" w:hAnsi="Verdana"/>
        </w:rPr>
      </w:pPr>
      <w:r w:rsidRPr="005B5CB6">
        <w:rPr>
          <w:rFonts w:ascii="Verdana" w:eastAsia="Verdana" w:hAnsi="Verdana" w:cs="Verdana"/>
        </w:rPr>
        <w:t xml:space="preserve">Deploy an accessible and prominent mechanism for users to report disinformation;  </w:t>
      </w:r>
    </w:p>
    <w:p w:rsidR="00FB0B24" w:rsidRPr="005B5CB6" w:rsidP="00575F14">
      <w:pPr>
        <w:numPr>
          <w:ilvl w:val="0"/>
          <w:numId w:val="228"/>
        </w:numPr>
        <w:spacing w:after="29" w:line="250" w:lineRule="auto"/>
        <w:ind w:right="707" w:hanging="360"/>
        <w:jc w:val="both"/>
        <w:rPr>
          <w:rFonts w:ascii="Verdana" w:hAnsi="Verdana"/>
        </w:rPr>
      </w:pPr>
      <w:r w:rsidRPr="005B5CB6">
        <w:rPr>
          <w:rFonts w:ascii="Verdana" w:eastAsia="Verdana" w:hAnsi="Verdana" w:cs="Verdana"/>
        </w:rPr>
        <w:t xml:space="preserve">Provide independent fact checkers with access to content that has reached e.g. 10,000 or more people.   </w:t>
      </w:r>
    </w:p>
    <w:p w:rsidR="00FB0B24" w:rsidRPr="005B5CB6" w:rsidP="00A72806">
      <w:pPr>
        <w:spacing w:after="238"/>
        <w:ind w:left="736"/>
        <w:jc w:val="both"/>
        <w:rPr>
          <w:rFonts w:ascii="Verdana" w:hAnsi="Verdana"/>
        </w:rPr>
      </w:pPr>
      <w:r w:rsidRPr="005B5CB6">
        <w:rPr>
          <w:rFonts w:ascii="Verdana" w:eastAsia="Verdana" w:hAnsi="Verdana" w:cs="Verdana"/>
          <w:color w:val="0B0C0C"/>
        </w:rPr>
        <w:t xml:space="preserve"> </w:t>
      </w:r>
      <w:r w:rsidRPr="005B5CB6">
        <w:rPr>
          <w:rFonts w:ascii="Verdana" w:eastAsia="Verdana" w:hAnsi="Verdana" w:cs="Verdana"/>
        </w:rPr>
        <w:t xml:space="preserve"> </w:t>
      </w:r>
    </w:p>
    <w:p w:rsidR="00FB0B24" w:rsidRPr="005B5CB6" w:rsidP="00575F14">
      <w:pPr>
        <w:numPr>
          <w:ilvl w:val="0"/>
          <w:numId w:val="228"/>
        </w:numPr>
        <w:spacing w:after="208" w:line="286" w:lineRule="auto"/>
        <w:ind w:right="707" w:hanging="360"/>
        <w:jc w:val="both"/>
        <w:rPr>
          <w:rFonts w:ascii="Verdana" w:hAnsi="Verdana"/>
        </w:rPr>
      </w:pPr>
      <w:r w:rsidRPr="005B5CB6">
        <w:rPr>
          <w:rFonts w:ascii="Verdana" w:eastAsia="Verdana" w:hAnsi="Verdana" w:cs="Verdana"/>
          <w:color w:val="0B0C0C"/>
        </w:rPr>
        <w:t xml:space="preserve">VERIFY: Platforms must work with independent, third-party, qualified fact checkers to determine whether reported content is disinformation with sufficient speed to curtail its spread.  </w:t>
      </w:r>
      <w:r w:rsidRPr="005B5CB6">
        <w:rPr>
          <w:rFonts w:ascii="Verdana" w:eastAsia="Verdana" w:hAnsi="Verdana" w:cs="Verdana"/>
        </w:rPr>
        <w:t xml:space="preserve"> </w:t>
      </w:r>
    </w:p>
    <w:p w:rsidR="00FB0B24" w:rsidRPr="005B5CB6" w:rsidP="00575F14">
      <w:pPr>
        <w:numPr>
          <w:ilvl w:val="0"/>
          <w:numId w:val="228"/>
        </w:numPr>
        <w:spacing w:after="208" w:line="283" w:lineRule="auto"/>
        <w:ind w:right="707" w:hanging="360"/>
        <w:jc w:val="both"/>
        <w:rPr>
          <w:rFonts w:ascii="Verdana" w:hAnsi="Verdana"/>
        </w:rPr>
      </w:pPr>
      <w:r w:rsidRPr="005B5CB6">
        <w:rPr>
          <w:rFonts w:ascii="Verdana" w:eastAsia="Verdana" w:hAnsi="Verdana" w:cs="Verdana"/>
          <w:color w:val="0B0C0C"/>
        </w:rPr>
        <w:t xml:space="preserve">ALERT: Each user exposed to verified disinformation should be notified immediately using the platform’s most visible notification standard.  </w:t>
      </w:r>
      <w:r w:rsidRPr="005B5CB6">
        <w:rPr>
          <w:rFonts w:ascii="Verdana" w:eastAsia="Verdana" w:hAnsi="Verdana" w:cs="Verdana"/>
        </w:rPr>
        <w:t xml:space="preserve"> </w:t>
      </w:r>
    </w:p>
    <w:p w:rsidR="00FB0B24" w:rsidRPr="005B5CB6" w:rsidP="00575F14">
      <w:pPr>
        <w:numPr>
          <w:ilvl w:val="0"/>
          <w:numId w:val="228"/>
        </w:numPr>
        <w:spacing w:after="301" w:line="286" w:lineRule="auto"/>
        <w:ind w:right="707" w:hanging="360"/>
        <w:jc w:val="both"/>
        <w:rPr>
          <w:rFonts w:ascii="Verdana" w:hAnsi="Verdana"/>
        </w:rPr>
      </w:pPr>
      <w:r w:rsidRPr="005B5CB6">
        <w:rPr>
          <w:rFonts w:ascii="Verdana" w:eastAsia="Verdana" w:hAnsi="Verdana" w:cs="Verdana"/>
          <w:color w:val="0B0C0C"/>
        </w:rPr>
        <w:t xml:space="preserve">CORRECT: Each user exposed to disinformation should receive a correction that is of at least equal prominence to the original content and that follows best practices, which could include:  </w:t>
      </w:r>
      <w:r w:rsidRPr="005B5CB6">
        <w:rPr>
          <w:rFonts w:ascii="Verdana" w:eastAsia="Verdana" w:hAnsi="Verdana" w:cs="Verdana"/>
        </w:rPr>
        <w:t xml:space="preserve"> </w:t>
      </w:r>
    </w:p>
    <w:p w:rsidR="00FB0B24" w:rsidRPr="005B5CB6" w:rsidP="00575F14">
      <w:pPr>
        <w:numPr>
          <w:ilvl w:val="1"/>
          <w:numId w:val="228"/>
        </w:numPr>
        <w:spacing w:after="9" w:line="286" w:lineRule="auto"/>
        <w:ind w:right="718" w:hanging="360"/>
        <w:jc w:val="both"/>
        <w:rPr>
          <w:rFonts w:ascii="Verdana" w:hAnsi="Verdana"/>
        </w:rPr>
      </w:pPr>
      <w:r w:rsidRPr="005B5CB6">
        <w:rPr>
          <w:rFonts w:ascii="Verdana" w:eastAsia="Verdana" w:hAnsi="Verdana" w:cs="Verdana"/>
          <w:color w:val="0B0C0C"/>
        </w:rPr>
        <w:t xml:space="preserve">Offering reasoned alternative explanation, keeping the user’s worldview in mind;  </w:t>
      </w:r>
      <w:r w:rsidRPr="005B5CB6">
        <w:rPr>
          <w:rFonts w:ascii="Verdana" w:eastAsia="Verdana" w:hAnsi="Verdana" w:cs="Verdana"/>
        </w:rPr>
        <w:t xml:space="preserve"> </w:t>
      </w:r>
    </w:p>
    <w:p w:rsidR="00FB0B24" w:rsidRPr="005B5CB6" w:rsidP="00575F14">
      <w:pPr>
        <w:numPr>
          <w:ilvl w:val="1"/>
          <w:numId w:val="228"/>
        </w:numPr>
        <w:spacing w:after="2" w:line="286" w:lineRule="auto"/>
        <w:ind w:right="718" w:hanging="360"/>
        <w:jc w:val="both"/>
        <w:rPr>
          <w:rFonts w:ascii="Verdana" w:hAnsi="Verdana"/>
        </w:rPr>
      </w:pPr>
      <w:r w:rsidRPr="005B5CB6">
        <w:rPr>
          <w:rFonts w:ascii="Verdana" w:eastAsia="Verdana" w:hAnsi="Verdana" w:cs="Verdana"/>
          <w:color w:val="0B0C0C"/>
        </w:rPr>
        <w:t xml:space="preserve">Emphasising factual information while avoiding, whenever possible, repeating the original misinformation;  </w:t>
      </w:r>
      <w:r w:rsidRPr="005B5CB6">
        <w:rPr>
          <w:rFonts w:ascii="Verdana" w:eastAsia="Verdana" w:hAnsi="Verdana" w:cs="Verdana"/>
        </w:rPr>
        <w:t xml:space="preserve"> </w:t>
      </w:r>
    </w:p>
    <w:p w:rsidR="00FB0B24" w:rsidRPr="005B5CB6" w:rsidP="00575F14">
      <w:pPr>
        <w:numPr>
          <w:ilvl w:val="1"/>
          <w:numId w:val="228"/>
        </w:numPr>
        <w:spacing w:after="12" w:line="286" w:lineRule="auto"/>
        <w:ind w:right="718" w:hanging="360"/>
        <w:jc w:val="both"/>
        <w:rPr>
          <w:rFonts w:ascii="Verdana" w:hAnsi="Verdana"/>
        </w:rPr>
      </w:pPr>
      <w:r w:rsidRPr="005B5CB6">
        <w:rPr>
          <w:rFonts w:ascii="Verdana" w:eastAsia="Verdana" w:hAnsi="Verdana" w:cs="Verdana"/>
          <w:color w:val="0B0C0C"/>
        </w:rPr>
        <w:t xml:space="preserve">Citing endorsement by sources the user is likely to trust. </w:t>
      </w:r>
      <w:r w:rsidRPr="005B5CB6">
        <w:rPr>
          <w:rFonts w:ascii="Verdana" w:eastAsia="Verdana" w:hAnsi="Verdana" w:cs="Verdana"/>
        </w:rPr>
        <w:t xml:space="preserve"> </w:t>
      </w:r>
    </w:p>
    <w:p w:rsidR="00FB0B24" w:rsidRPr="005B5CB6" w:rsidP="00575F14">
      <w:pPr>
        <w:numPr>
          <w:ilvl w:val="1"/>
          <w:numId w:val="228"/>
        </w:numPr>
        <w:spacing w:after="231" w:line="286" w:lineRule="auto"/>
        <w:ind w:right="718" w:hanging="360"/>
        <w:jc w:val="both"/>
        <w:rPr>
          <w:rFonts w:ascii="Verdana" w:hAnsi="Verdana"/>
        </w:rPr>
      </w:pPr>
      <w:r w:rsidRPr="005B5CB6">
        <w:rPr>
          <w:rFonts w:ascii="Verdana" w:eastAsia="Verdana" w:hAnsi="Verdana" w:cs="Verdana"/>
          <w:color w:val="0B0C0C"/>
        </w:rPr>
        <w:t xml:space="preserve">For an illustration of corrections that could be deployed on Facebook, see the following page. </w:t>
      </w:r>
      <w:r w:rsidRPr="005B5CB6">
        <w:rPr>
          <w:rFonts w:ascii="Verdana" w:eastAsia="Verdana" w:hAnsi="Verdana" w:cs="Verdana"/>
        </w:rPr>
        <w:t xml:space="preserve"> </w:t>
      </w:r>
    </w:p>
    <w:p w:rsidR="00FB0B24" w:rsidRPr="005B5CB6" w:rsidP="00A72806">
      <w:pPr>
        <w:spacing w:after="240" w:line="286" w:lineRule="auto"/>
        <w:ind w:left="826" w:right="718" w:hanging="451"/>
        <w:jc w:val="both"/>
        <w:rPr>
          <w:rFonts w:ascii="Verdana" w:hAnsi="Verdana"/>
        </w:rPr>
      </w:pPr>
      <w:r w:rsidRPr="005B5CB6">
        <w:rPr>
          <w:rFonts w:ascii="Verdana" w:eastAsia="Verdana" w:hAnsi="Verdana" w:cs="Verdana"/>
          <w:color w:val="0B0C0C"/>
        </w:rPr>
        <w:t xml:space="preserve">6.   CURTAIL: Online platforms should, within a reasonable time after receiving a report from an independent fact-checker regarding disinformation with significant reach, take steps to curtail its further spread. Such steps shall include: </w:t>
      </w:r>
      <w:r w:rsidRPr="005B5CB6">
        <w:rPr>
          <w:rFonts w:ascii="Verdana" w:eastAsia="Verdana" w:hAnsi="Verdana" w:cs="Verdana"/>
        </w:rPr>
        <w:t xml:space="preserve"> </w:t>
      </w:r>
    </w:p>
    <w:p w:rsidR="00FB0B24" w:rsidRPr="005B5CB6" w:rsidP="00575F14">
      <w:pPr>
        <w:numPr>
          <w:ilvl w:val="0"/>
          <w:numId w:val="229"/>
        </w:numPr>
        <w:spacing w:after="2" w:line="286" w:lineRule="auto"/>
        <w:ind w:right="718" w:hanging="360"/>
        <w:jc w:val="both"/>
        <w:rPr>
          <w:rFonts w:ascii="Verdana" w:hAnsi="Verdana"/>
        </w:rPr>
      </w:pPr>
      <w:r w:rsidRPr="005B5CB6">
        <w:rPr>
          <w:rFonts w:ascii="Verdana" w:eastAsia="Verdana" w:hAnsi="Verdana" w:cs="Verdana"/>
          <w:color w:val="0B0C0C"/>
        </w:rPr>
        <w:t xml:space="preserve">Disabling forwarding of the disinformation content to more than one user at a time, on messaging services or when applicable; </w:t>
      </w:r>
      <w:r w:rsidRPr="005B5CB6">
        <w:rPr>
          <w:rFonts w:ascii="Verdana" w:eastAsia="Verdana" w:hAnsi="Verdana" w:cs="Verdana"/>
        </w:rPr>
        <w:t xml:space="preserve"> </w:t>
      </w:r>
    </w:p>
    <w:p w:rsidR="00FB0B24" w:rsidRPr="005B5CB6" w:rsidP="00575F14">
      <w:pPr>
        <w:numPr>
          <w:ilvl w:val="0"/>
          <w:numId w:val="229"/>
        </w:numPr>
        <w:spacing w:after="0" w:line="286" w:lineRule="auto"/>
        <w:ind w:right="718" w:hanging="360"/>
        <w:jc w:val="both"/>
        <w:rPr>
          <w:rFonts w:ascii="Verdana" w:hAnsi="Verdana"/>
        </w:rPr>
      </w:pPr>
      <w:r w:rsidRPr="005B5CB6">
        <w:rPr>
          <w:rFonts w:ascii="Verdana" w:eastAsia="Verdana" w:hAnsi="Verdana" w:cs="Verdana"/>
          <w:color w:val="0B0C0C"/>
        </w:rPr>
        <w:t xml:space="preserve">Labeling said content, including messages on messaging services, as containing verified disinformation and retaining that label when the content or message is shared, forwarded, or passed along in any other manner;  </w:t>
      </w:r>
      <w:r w:rsidRPr="005B5CB6">
        <w:rPr>
          <w:rFonts w:ascii="Verdana" w:eastAsia="Verdana" w:hAnsi="Verdana" w:cs="Verdana"/>
        </w:rPr>
        <w:t xml:space="preserve"> </w:t>
      </w:r>
    </w:p>
    <w:p w:rsidR="00FB0B24" w:rsidRPr="005B5CB6" w:rsidP="00575F14">
      <w:pPr>
        <w:numPr>
          <w:ilvl w:val="0"/>
          <w:numId w:val="229"/>
        </w:numPr>
        <w:spacing w:after="2" w:line="286" w:lineRule="auto"/>
        <w:ind w:right="718" w:hanging="360"/>
        <w:jc w:val="both"/>
        <w:rPr>
          <w:rFonts w:ascii="Verdana" w:hAnsi="Verdana"/>
        </w:rPr>
      </w:pPr>
      <w:r w:rsidRPr="005B5CB6">
        <w:rPr>
          <w:rFonts w:ascii="Verdana" w:eastAsia="Verdana" w:hAnsi="Verdana" w:cs="Verdana"/>
          <w:color w:val="0B0C0C"/>
        </w:rPr>
        <w:t xml:space="preserve">Significantly decreasing or eliminating the prominence and reach given to the disinformation by the online platform's algorithm; and </w:t>
      </w:r>
      <w:r w:rsidRPr="005B5CB6">
        <w:rPr>
          <w:rFonts w:ascii="Verdana" w:eastAsia="Verdana" w:hAnsi="Verdana" w:cs="Verdana"/>
        </w:rPr>
        <w:t xml:space="preserve"> </w:t>
      </w:r>
    </w:p>
    <w:p w:rsidR="00FB0B24" w:rsidRPr="005B5CB6" w:rsidP="00575F14">
      <w:pPr>
        <w:numPr>
          <w:ilvl w:val="0"/>
          <w:numId w:val="229"/>
        </w:numPr>
        <w:spacing w:after="1" w:line="286" w:lineRule="auto"/>
        <w:ind w:right="718" w:hanging="360"/>
        <w:jc w:val="both"/>
        <w:rPr>
          <w:rFonts w:ascii="Verdana" w:hAnsi="Verdana"/>
        </w:rPr>
      </w:pPr>
      <w:r w:rsidRPr="005B5CB6">
        <w:rPr>
          <w:rFonts w:ascii="Verdana" w:eastAsia="Verdana" w:hAnsi="Verdana" w:cs="Verdana"/>
          <w:color w:val="0B0C0C"/>
        </w:rPr>
        <w:t xml:space="preserve">Showing the original creator of the content’s name when said content is forwarded.  </w:t>
      </w:r>
      <w:r w:rsidRPr="005B5CB6">
        <w:rPr>
          <w:rFonts w:ascii="Verdana" w:eastAsia="Verdana" w:hAnsi="Verdana" w:cs="Verdana"/>
        </w:rPr>
        <w:t xml:space="preserve"> </w:t>
      </w:r>
    </w:p>
    <w:p w:rsidR="00FB0B24" w:rsidRPr="005B5CB6" w:rsidP="00A72806">
      <w:pPr>
        <w:spacing w:after="301" w:line="286" w:lineRule="auto"/>
        <w:ind w:left="26" w:right="718" w:hanging="10"/>
        <w:jc w:val="both"/>
        <w:rPr>
          <w:rFonts w:ascii="Verdana" w:hAnsi="Verdana"/>
        </w:rPr>
      </w:pPr>
      <w:r w:rsidRPr="005B5CB6">
        <w:rPr>
          <w:rFonts w:ascii="Verdana" w:eastAsia="Verdana" w:hAnsi="Verdana" w:cs="Verdana"/>
          <w:color w:val="0B0C0C"/>
        </w:rPr>
        <w:t>Correct the Record would also be line with the Cairncross Review into sustainability of high-quality journalism. One of its recommendations was that platforms should “nudge people towards reading news of high quality.”</w:t>
      </w:r>
      <w:r w:rsidRPr="005B5CB6">
        <w:rPr>
          <w:rFonts w:ascii="Verdana" w:eastAsia="Verdana" w:hAnsi="Verdana" w:cs="Verdana"/>
          <w:color w:val="0B0C0C"/>
          <w:vertAlign w:val="superscript"/>
        </w:rPr>
        <w:t>31</w:t>
      </w:r>
      <w:r w:rsidRPr="005B5CB6">
        <w:rPr>
          <w:rFonts w:ascii="Verdana" w:eastAsia="Verdana" w:hAnsi="Verdana" w:cs="Verdana"/>
          <w:color w:val="0B0C0C"/>
        </w:rPr>
        <w:t xml:space="preserve">  </w:t>
      </w:r>
      <w:r w:rsidRPr="005B5CB6">
        <w:rPr>
          <w:rFonts w:ascii="Verdana" w:eastAsia="Verdana" w:hAnsi="Verdana" w:cs="Verdana"/>
        </w:rPr>
        <w:t xml:space="preserve"> </w:t>
      </w:r>
    </w:p>
    <w:p w:rsidR="00FB0B24" w:rsidRPr="005B5CB6" w:rsidP="00A72806">
      <w:pPr>
        <w:spacing w:after="2451" w:line="286" w:lineRule="auto"/>
        <w:ind w:left="25" w:right="718" w:hanging="10"/>
        <w:jc w:val="both"/>
        <w:rPr>
          <w:rFonts w:ascii="Verdana" w:hAnsi="Verdana"/>
        </w:rPr>
      </w:pPr>
      <w:r w:rsidRPr="005B5CB6">
        <w:rPr>
          <w:rFonts w:ascii="Verdana" w:eastAsia="Verdana" w:hAnsi="Verdana" w:cs="Verdana"/>
          <w:color w:val="0B0C0C"/>
        </w:rPr>
        <w:t xml:space="preserve">Avaaz has commissioned an independent academic review of the efficacy of correct the record, and will be happy to supply this as an addendum to this submission upon its publication this later year. </w:t>
      </w: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7185" name="Group 58718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27" name="Shape 63632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67" style="height:0.6pt;mso-position-horizontal-relative:char;mso-position-vertical-relative:line;width:2in" coordsize="18288,76">
                <v:shape id="_x0000_s1368"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84"/>
        <w:ind w:left="15"/>
        <w:jc w:val="both"/>
        <w:rPr>
          <w:rFonts w:ascii="Verdana" w:hAnsi="Verdana"/>
        </w:rPr>
      </w:pPr>
      <w:r w:rsidRPr="005B5CB6">
        <w:rPr>
          <w:rFonts w:ascii="Verdana" w:eastAsia="Arial" w:hAnsi="Verdana" w:cs="Arial"/>
          <w:u w:val="single" w:color="1155CC"/>
        </w:rPr>
        <w:t>31</w:t>
      </w:r>
      <w:r w:rsidRPr="005B5CB6">
        <w:rPr>
          <w:rFonts w:ascii="Verdana" w:eastAsia="Arial" w:hAnsi="Verdana" w:cs="Arial"/>
          <w:color w:val="1155CC"/>
        </w:rPr>
        <w:t xml:space="preserve"> </w:t>
      </w:r>
    </w:p>
    <w:p w:rsidR="00FB0B24" w:rsidRPr="005B5CB6" w:rsidP="00A72806">
      <w:pPr>
        <w:spacing w:after="0"/>
        <w:ind w:left="15" w:right="378"/>
        <w:jc w:val="both"/>
        <w:rPr>
          <w:rFonts w:ascii="Verdana" w:hAnsi="Verdana"/>
        </w:rPr>
      </w:pPr>
      <w:r>
        <w:fldChar w:fldCharType="begin"/>
      </w:r>
      <w:r>
        <w:instrText xml:space="preserve"> HYPERLINK "https://assets.publishing.service.gov.uk/government/uploads/system/uploads/attachment_data/file/779882" </w:instrText>
      </w:r>
      <w:r>
        <w:fldChar w:fldCharType="separate"/>
      </w:r>
      <w:r w:rsidRPr="005B5CB6" w:rsidR="00A72806">
        <w:rPr>
          <w:rFonts w:ascii="Verdana" w:eastAsia="Arial" w:hAnsi="Verdana" w:cs="Arial"/>
          <w:color w:val="0563C1"/>
          <w:u w:val="single" w:color="1155CC"/>
        </w:rPr>
        <w:t xml:space="preserve">https://assets.publishing.service.gov.uk/government/uploads/system/uploads/attachment_data/file/77988 </w:t>
      </w:r>
      <w:r>
        <w:fldChar w:fldCharType="end"/>
      </w:r>
      <w:r>
        <w:fldChar w:fldCharType="begin"/>
      </w:r>
      <w:r>
        <w:instrText xml:space="preserve"> HYPERLINK "https://assets.publishing.service.gov.uk/government/uploads/system/uploads/attachment_data/file/779882" </w:instrText>
      </w:r>
      <w:r>
        <w:fldChar w:fldCharType="separate"/>
      </w:r>
      <w:r w:rsidRPr="005B5CB6" w:rsidR="00A72806">
        <w:rPr>
          <w:rFonts w:ascii="Verdana" w:eastAsia="Arial" w:hAnsi="Verdana" w:cs="Arial"/>
          <w:color w:val="0563C1"/>
          <w:u w:val="single" w:color="1155CC"/>
        </w:rPr>
        <w:t>2</w:t>
      </w:r>
      <w:r>
        <w:fldChar w:fldCharType="end"/>
      </w:r>
      <w:r>
        <w:fldChar w:fldCharType="begin"/>
      </w:r>
      <w:r>
        <w:instrText xml:space="preserve"> HYPERLINK "https://assets.publishing.service.gov.uk/government/uploads/system/uploads/attachment_data/file/779882/021919_DCMS_Cairncross_Review_.pdf" </w:instrText>
      </w:r>
      <w:r>
        <w:fldChar w:fldCharType="separate"/>
      </w:r>
      <w:r w:rsidRPr="005B5CB6" w:rsidR="00A72806">
        <w:rPr>
          <w:rFonts w:ascii="Verdana" w:eastAsia="Arial" w:hAnsi="Verdana" w:cs="Arial"/>
          <w:color w:val="0563C1"/>
          <w:u w:val="single" w:color="1155CC"/>
        </w:rPr>
        <w:t xml:space="preserve"> </w:t>
      </w:r>
      <w:r>
        <w:fldChar w:fldCharType="end"/>
      </w:r>
      <w:r>
        <w:fldChar w:fldCharType="begin"/>
      </w:r>
      <w:r>
        <w:instrText xml:space="preserve"> HYPERLINK "https://assets.publishing.service.gov.uk/government/uploads/system/uploads/attachment_data/file/779882/021919_DCMS_Cairncross_Review_.pdf" </w:instrText>
      </w:r>
      <w:r>
        <w:fldChar w:fldCharType="separate"/>
      </w:r>
      <w:r w:rsidRPr="005B5CB6" w:rsidR="00A72806">
        <w:rPr>
          <w:rFonts w:ascii="Verdana" w:eastAsia="Arial" w:hAnsi="Verdana" w:cs="Arial"/>
          <w:color w:val="1155CC"/>
          <w:u w:val="single" w:color="1155CC"/>
        </w:rPr>
        <w:t>/021919_DCMS_Cairncross_Review_.pd</w:t>
      </w:r>
      <w:r>
        <w:fldChar w:fldCharType="end"/>
      </w:r>
      <w:r>
        <w:fldChar w:fldCharType="begin"/>
      </w:r>
      <w:r>
        <w:instrText xml:space="preserve"> HYPERLINK "https://assets.publishing.service.gov.uk/government/uploads/system/uploads/attachment_data/file/779882/021919_DCMS_Cairncross_Review_.pdf" </w:instrText>
      </w:r>
      <w:r>
        <w:fldChar w:fldCharType="separate"/>
      </w:r>
      <w:r w:rsidRPr="005B5CB6" w:rsidR="00A72806">
        <w:rPr>
          <w:rFonts w:ascii="Verdana" w:eastAsia="Arial" w:hAnsi="Verdana" w:cs="Arial"/>
          <w:color w:val="1155CC"/>
          <w:u w:val="single" w:color="1155CC"/>
        </w:rPr>
        <w:t>f</w:t>
      </w:r>
      <w:r>
        <w:fldChar w:fldCharType="end"/>
      </w:r>
      <w:r>
        <w:fldChar w:fldCharType="begin"/>
      </w:r>
      <w:r>
        <w:instrText xml:space="preserve"> HYPERLINK "https://assets.publishing.service.gov.uk/government/uploads/system/uploads/attachment_data/file/779882/021919_DCMS_Cairncross_Review_.pdf" </w:instrText>
      </w:r>
      <w:r>
        <w:fldChar w:fldCharType="separate"/>
      </w:r>
      <w:r w:rsidRPr="005B5CB6" w:rsidR="00A72806">
        <w:rPr>
          <w:rFonts w:ascii="Verdana" w:eastAsia="Arial" w:hAnsi="Verdana" w:cs="Arial"/>
        </w:rPr>
        <w:t xml:space="preserve">  </w:t>
      </w:r>
      <w:r>
        <w:fldChar w:fldCharType="end"/>
      </w:r>
      <w:r w:rsidRPr="005B5CB6" w:rsidR="00A72806">
        <w:rPr>
          <w:rFonts w:ascii="Verdana" w:eastAsia="Arial" w:hAnsi="Verdana" w:cs="Arial"/>
          <w:color w:val="1155CC"/>
        </w:rPr>
        <w:t xml:space="preserve"> </w:t>
      </w:r>
    </w:p>
    <w:p w:rsidR="00FB0B24" w:rsidRPr="005B5CB6" w:rsidP="00A72806">
      <w:pPr>
        <w:spacing w:after="0"/>
        <w:ind w:left="45"/>
        <w:jc w:val="both"/>
        <w:rPr>
          <w:rFonts w:ascii="Verdana" w:hAnsi="Verdana"/>
        </w:rPr>
      </w:pPr>
      <w:r w:rsidRPr="005B5CB6">
        <w:rPr>
          <w:rFonts w:ascii="Verdana" w:hAnsi="Verdana"/>
          <w:noProof/>
        </w:rPr>
        <w:drawing>
          <wp:inline distT="0" distB="0" distL="0" distR="0">
            <wp:extent cx="5943600" cy="9096375"/>
            <wp:effectExtent l="0" t="0" r="0" b="0"/>
            <wp:docPr id="38653" name="Picture 38653"/>
            <wp:cNvGraphicFramePr/>
            <a:graphic xmlns:a="http://schemas.openxmlformats.org/drawingml/2006/main">
              <a:graphicData uri="http://schemas.openxmlformats.org/drawingml/2006/picture">
                <pic:pic xmlns:pic="http://schemas.openxmlformats.org/drawingml/2006/picture">
                  <pic:nvPicPr>
                    <pic:cNvPr id="38653" name="Picture 38653"/>
                    <pic:cNvPicPr/>
                  </pic:nvPicPr>
                  <pic:blipFill>
                    <a:blip xmlns:r="http://schemas.openxmlformats.org/officeDocument/2006/relationships" r:embed="rId392"/>
                    <a:stretch>
                      <a:fillRect/>
                    </a:stretch>
                  </pic:blipFill>
                  <pic:spPr>
                    <a:xfrm>
                      <a:off x="0" y="0"/>
                      <a:ext cx="5943600" cy="9096375"/>
                    </a:xfrm>
                    <a:prstGeom prst="rect">
                      <a:avLst/>
                    </a:prstGeom>
                  </pic:spPr>
                </pic:pic>
              </a:graphicData>
            </a:graphic>
          </wp:inline>
        </w:drawing>
      </w:r>
      <w:r w:rsidRPr="005B5CB6">
        <w:rPr>
          <w:rFonts w:ascii="Verdana" w:eastAsia="Verdana" w:hAnsi="Verdana" w:cs="Verdana"/>
          <w:color w:val="0B0C0C"/>
        </w:rPr>
        <w:t xml:space="preserve"> </w:t>
      </w:r>
      <w:r w:rsidRPr="005B5CB6">
        <w:rPr>
          <w:rFonts w:ascii="Verdana" w:eastAsia="Verdana" w:hAnsi="Verdana" w:cs="Verdana"/>
        </w:rPr>
        <w:t xml:space="preserve"> </w:t>
      </w:r>
    </w:p>
    <w:p w:rsidR="00FB0B24" w:rsidRPr="005B5CB6" w:rsidP="00A72806">
      <w:pPr>
        <w:spacing w:after="109" w:line="408" w:lineRule="auto"/>
        <w:ind w:left="10" w:right="466" w:hanging="10"/>
        <w:jc w:val="both"/>
        <w:rPr>
          <w:rFonts w:ascii="Verdana" w:hAnsi="Verdana"/>
        </w:rPr>
      </w:pPr>
      <w:r w:rsidRPr="005B5CB6">
        <w:rPr>
          <w:rFonts w:ascii="Verdana" w:eastAsia="Verdana" w:hAnsi="Verdana" w:cs="Verdana"/>
        </w:rPr>
        <w:t xml:space="preserve">Moderation </w:t>
      </w:r>
      <w:r w:rsidRPr="005B5CB6">
        <w:rPr>
          <w:rFonts w:ascii="Verdana" w:eastAsia="Verdana" w:hAnsi="Verdana" w:cs="Verdana"/>
          <w:i/>
        </w:rPr>
        <w:t xml:space="preserve">11. How could the moderation processes of large technology companies be improved to better tackle abuse and misinformation, as well as helping public debate flourish?  </w:t>
      </w:r>
      <w:r w:rsidRPr="005B5CB6">
        <w:rPr>
          <w:rFonts w:ascii="Verdana" w:eastAsia="Verdana" w:hAnsi="Verdana" w:cs="Verdana"/>
        </w:rPr>
        <w:t xml:space="preserve"> </w:t>
      </w:r>
    </w:p>
    <w:p w:rsidR="00FB0B24" w:rsidRPr="005B5CB6" w:rsidP="00A72806">
      <w:pPr>
        <w:spacing w:after="259" w:line="265" w:lineRule="auto"/>
        <w:ind w:left="25" w:right="691" w:hanging="10"/>
        <w:jc w:val="both"/>
        <w:rPr>
          <w:rFonts w:ascii="Verdana" w:hAnsi="Verdana"/>
        </w:rPr>
      </w:pPr>
      <w:r w:rsidRPr="005B5CB6">
        <w:rPr>
          <w:rFonts w:ascii="Verdana" w:eastAsia="Verdana" w:hAnsi="Verdana" w:cs="Verdana"/>
          <w:b/>
          <w:color w:val="0B0C0C"/>
        </w:rPr>
        <w:t xml:space="preserve">The issues </w:t>
      </w:r>
      <w:r w:rsidRPr="005B5CB6">
        <w:rPr>
          <w:rFonts w:ascii="Verdana" w:eastAsia="Verdana" w:hAnsi="Verdana" w:cs="Verdana"/>
        </w:rPr>
        <w:t xml:space="preserve"> </w:t>
      </w:r>
    </w:p>
    <w:p w:rsidR="00FB0B24" w:rsidRPr="005B5CB6" w:rsidP="00A72806">
      <w:pPr>
        <w:spacing w:after="241" w:line="286" w:lineRule="auto"/>
        <w:ind w:left="25" w:right="718" w:hanging="10"/>
        <w:jc w:val="both"/>
        <w:rPr>
          <w:rFonts w:ascii="Verdana" w:hAnsi="Verdana"/>
        </w:rPr>
      </w:pPr>
      <w:r w:rsidRPr="005B5CB6">
        <w:rPr>
          <w:rFonts w:ascii="Verdana" w:eastAsia="Verdana" w:hAnsi="Verdana" w:cs="Verdana"/>
          <w:color w:val="0B0C0C"/>
        </w:rPr>
        <w:t>A piece of content can have multiple aspects. At their worst, services like Facebook can be used not only to distort elections but also to promote hate and division. Social media-fueled conflict has flared in India, Sri Lanka and elsewhere. The UN said Facebook played a “determining role”</w:t>
      </w:r>
      <w:r>
        <w:rPr>
          <w:rFonts w:ascii="Verdana" w:eastAsia="Verdana" w:hAnsi="Verdana" w:cs="Verdana"/>
          <w:color w:val="0B0C0C"/>
          <w:vertAlign w:val="superscript"/>
        </w:rPr>
        <w:footnoteReference w:id="338"/>
      </w:r>
      <w:r w:rsidRPr="005B5CB6">
        <w:rPr>
          <w:rFonts w:ascii="Verdana" w:eastAsia="Verdana" w:hAnsi="Verdana" w:cs="Verdana"/>
          <w:color w:val="0B0C0C"/>
        </w:rPr>
        <w:t xml:space="preserve"> in the Myanmar genocide raising the stakes of what happens on social media. If a piece of content is in breach of the law, for example in breach of the Public Order Act 1986 or contrary to The Criminal Justice and Public Order Act 1994 by including expressions of racial hatred - correcting the record may be insufficient. In such cases social media platforms must be proactive in referring it for investigation by the relevant authorities.  </w:t>
      </w:r>
      <w:r w:rsidRPr="005B5CB6">
        <w:rPr>
          <w:rFonts w:ascii="Verdana" w:eastAsia="Verdana" w:hAnsi="Verdana" w:cs="Verdana"/>
        </w:rPr>
        <w:t xml:space="preserve"> </w:t>
      </w:r>
    </w:p>
    <w:p w:rsidR="00FB0B24" w:rsidRPr="005B5CB6" w:rsidP="00A72806">
      <w:pPr>
        <w:spacing w:after="31" w:line="250" w:lineRule="auto"/>
        <w:ind w:left="23" w:right="664" w:hanging="8"/>
        <w:jc w:val="both"/>
        <w:rPr>
          <w:rFonts w:ascii="Verdana" w:hAnsi="Verdana"/>
        </w:rPr>
      </w:pPr>
      <w:r w:rsidRPr="005B5CB6">
        <w:rPr>
          <w:rFonts w:ascii="Verdana" w:eastAsia="Verdana" w:hAnsi="Verdana" w:cs="Verdana"/>
        </w:rPr>
        <w:t xml:space="preserve">Avaaz’s research into hate speech on social media ahead of the 2019 EU elections as well as in other tense hotspots like Assam in India, found pages using wedge issues or dog whistle posts and questions to bait their members into responding in the comment threads. This led to greater engagement on their pages with members incentivised to give their views.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31" w:line="250" w:lineRule="auto"/>
        <w:ind w:left="23" w:right="550" w:hanging="8"/>
        <w:jc w:val="both"/>
        <w:rPr>
          <w:rFonts w:ascii="Verdana" w:hAnsi="Verdana"/>
        </w:rPr>
      </w:pPr>
      <w:r w:rsidRPr="005B5CB6">
        <w:rPr>
          <w:rFonts w:ascii="Verdana" w:eastAsia="Verdana" w:hAnsi="Verdana" w:cs="Verdana"/>
        </w:rPr>
        <w:t xml:space="preserve">These long comment threads represented a kind of wild west because unless flagged, Facebook’s AI fails to detect hate speech in comment threads. And the likelihood of these comments getting flagged is very low given these pages largely have like-minded people who might share similar views.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29" w:line="250" w:lineRule="auto"/>
        <w:ind w:left="23" w:right="447" w:hanging="8"/>
        <w:jc w:val="both"/>
        <w:rPr>
          <w:rFonts w:ascii="Verdana" w:hAnsi="Verdana"/>
        </w:rPr>
      </w:pPr>
      <w:r w:rsidRPr="005B5CB6">
        <w:rPr>
          <w:rFonts w:ascii="Verdana" w:eastAsia="Verdana" w:hAnsi="Verdana" w:cs="Verdana"/>
        </w:rPr>
        <w:t xml:space="preserve">Page administrators, for better or worse, do need to play an editorial role and a moderating role by laying out clear guidelines for engagement on the page and flagging hate speech when they see it. But they are currently incentivised to do the exact opposite - encourage highly triggering debate that increases page engagement as they face no sanction from Facebook or regulators for not doing so.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A72806">
      <w:pPr>
        <w:spacing w:after="38" w:line="250" w:lineRule="auto"/>
        <w:ind w:left="11" w:hanging="10"/>
        <w:jc w:val="both"/>
        <w:rPr>
          <w:rFonts w:ascii="Verdana" w:hAnsi="Verdana"/>
        </w:rPr>
      </w:pPr>
      <w:r w:rsidRPr="005B5CB6">
        <w:rPr>
          <w:rFonts w:ascii="Verdana" w:eastAsia="Verdana" w:hAnsi="Verdana" w:cs="Verdana"/>
          <w:b/>
        </w:rPr>
        <w:t xml:space="preserve">The Evidence </w:t>
      </w:r>
      <w:r w:rsidRPr="005B5CB6">
        <w:rPr>
          <w:rFonts w:ascii="Verdana" w:eastAsia="Verdana" w:hAnsi="Verdana" w:cs="Verdana"/>
        </w:rPr>
        <w:t xml:space="preserve"> </w:t>
      </w:r>
    </w:p>
    <w:p w:rsidR="00FB0B24" w:rsidRPr="005B5CB6" w:rsidP="00A72806">
      <w:pPr>
        <w:spacing w:after="27"/>
        <w:ind w:left="1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35" w:line="250" w:lineRule="auto"/>
        <w:ind w:left="11" w:hanging="10"/>
        <w:jc w:val="both"/>
        <w:rPr>
          <w:rFonts w:ascii="Verdana" w:hAnsi="Verdana"/>
        </w:rPr>
      </w:pPr>
      <w:r w:rsidRPr="005B5CB6">
        <w:rPr>
          <w:rFonts w:ascii="Verdana" w:eastAsia="Verdana" w:hAnsi="Verdana" w:cs="Verdana"/>
          <w:b/>
        </w:rPr>
        <w:t xml:space="preserve">United Kingdom  </w:t>
      </w:r>
    </w:p>
    <w:p w:rsidR="00FB0B24" w:rsidRPr="005B5CB6" w:rsidP="00A72806">
      <w:pPr>
        <w:spacing w:after="38"/>
        <w:ind w:left="15"/>
        <w:jc w:val="both"/>
        <w:rPr>
          <w:rFonts w:ascii="Verdana" w:hAnsi="Verdana"/>
        </w:rPr>
      </w:pP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7564" name="Group 58756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29" name="Shape 63632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69" style="height:0.6pt;mso-position-horizontal-relative:char;mso-position-vertical-relative:line;width:2in" coordsize="18288,76">
                <v:shape id="_x0000_s1370"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29" w:line="250" w:lineRule="auto"/>
        <w:ind w:left="23" w:right="11" w:hanging="8"/>
        <w:jc w:val="both"/>
        <w:rPr>
          <w:rFonts w:ascii="Verdana" w:hAnsi="Verdana"/>
        </w:rPr>
      </w:pPr>
      <w:r w:rsidRPr="005B5CB6">
        <w:rPr>
          <w:rFonts w:ascii="Verdana" w:eastAsia="Verdana" w:hAnsi="Verdana" w:cs="Verdana"/>
        </w:rPr>
        <w:t xml:space="preserve">In our report ahead of the EU election we saw examples using frightening and polarising imagery in clear breach of the platform’s own terms and conditions.   </w:t>
      </w:r>
    </w:p>
    <w:p w:rsidR="00FB0B24" w:rsidRPr="005B5CB6" w:rsidP="00A72806">
      <w:pPr>
        <w:spacing w:after="29"/>
        <w:ind w:left="14"/>
        <w:jc w:val="both"/>
        <w:rPr>
          <w:rFonts w:ascii="Verdana" w:hAnsi="Verdana"/>
        </w:rPr>
      </w:pPr>
      <w:r w:rsidRPr="005B5CB6">
        <w:rPr>
          <w:rFonts w:ascii="Verdana" w:eastAsia="Verdana" w:hAnsi="Verdana" w:cs="Verdana"/>
        </w:rPr>
        <w:t xml:space="preserve">  </w:t>
      </w:r>
    </w:p>
    <w:p w:rsidR="00FB0B24" w:rsidRPr="005B5CB6" w:rsidP="00A72806">
      <w:pPr>
        <w:spacing w:after="29" w:line="250" w:lineRule="auto"/>
        <w:ind w:left="23" w:right="670" w:hanging="8"/>
        <w:jc w:val="both"/>
        <w:rPr>
          <w:rFonts w:ascii="Verdana" w:hAnsi="Verdana"/>
        </w:rPr>
      </w:pPr>
      <w:r w:rsidRPr="005B5CB6">
        <w:rPr>
          <w:rFonts w:ascii="Verdana" w:eastAsia="Verdana" w:hAnsi="Verdana" w:cs="Verdana"/>
        </w:rPr>
        <w:t xml:space="preserve">One example we saw the image was used in a  “Sargon of Akkad (Carl Benjamin) Discussion Group,” and was used to contextualise and link to a (now removed) blog post claiming that “A billion Muslims want Sharia Law”. This imagery was removed after we reported it.  </w:t>
      </w:r>
    </w:p>
    <w:p w:rsidR="00FB0B24" w:rsidRPr="005B5CB6" w:rsidP="00A72806">
      <w:pPr>
        <w:spacing w:after="0"/>
        <w:ind w:left="14"/>
        <w:jc w:val="both"/>
        <w:rPr>
          <w:rFonts w:ascii="Verdana" w:hAnsi="Verdana"/>
        </w:rPr>
      </w:pPr>
      <w:r w:rsidRPr="005B5CB6">
        <w:rPr>
          <w:rFonts w:ascii="Verdana" w:eastAsia="Verdana" w:hAnsi="Verdana" w:cs="Verdana"/>
        </w:rPr>
        <w:t xml:space="preserve">   </w:t>
      </w:r>
    </w:p>
    <w:p w:rsidR="00FB0B24" w:rsidRPr="005B5CB6" w:rsidP="00A72806">
      <w:pPr>
        <w:spacing w:after="60"/>
        <w:ind w:left="1230"/>
        <w:jc w:val="both"/>
        <w:rPr>
          <w:rFonts w:ascii="Verdana" w:hAnsi="Verdana"/>
        </w:rPr>
      </w:pPr>
      <w:r w:rsidRPr="005B5CB6">
        <w:rPr>
          <w:rFonts w:ascii="Verdana" w:hAnsi="Verdana"/>
          <w:noProof/>
        </w:rPr>
        <w:drawing>
          <wp:inline distT="0" distB="0" distL="0" distR="0">
            <wp:extent cx="4210050" cy="3215005"/>
            <wp:effectExtent l="0" t="0" r="0" b="0"/>
            <wp:docPr id="38760" name="Picture 38760"/>
            <wp:cNvGraphicFramePr/>
            <a:graphic xmlns:a="http://schemas.openxmlformats.org/drawingml/2006/main">
              <a:graphicData uri="http://schemas.openxmlformats.org/drawingml/2006/picture">
                <pic:pic xmlns:pic="http://schemas.openxmlformats.org/drawingml/2006/picture">
                  <pic:nvPicPr>
                    <pic:cNvPr id="38760" name="Picture 38760"/>
                    <pic:cNvPicPr/>
                  </pic:nvPicPr>
                  <pic:blipFill>
                    <a:blip xmlns:r="http://schemas.openxmlformats.org/officeDocument/2006/relationships" r:embed="rId393"/>
                    <a:stretch>
                      <a:fillRect/>
                    </a:stretch>
                  </pic:blipFill>
                  <pic:spPr>
                    <a:xfrm>
                      <a:off x="0" y="0"/>
                      <a:ext cx="4210050" cy="3215005"/>
                    </a:xfrm>
                    <a:prstGeom prst="rect">
                      <a:avLst/>
                    </a:prstGeom>
                  </pic:spPr>
                </pic:pic>
              </a:graphicData>
            </a:graphic>
          </wp:inline>
        </w:drawing>
      </w:r>
    </w:p>
    <w:p w:rsidR="00FB0B24" w:rsidRPr="005B5CB6" w:rsidP="00A72806">
      <w:pPr>
        <w:spacing w:after="36" w:line="249" w:lineRule="auto"/>
        <w:ind w:left="9" w:right="827" w:hanging="10"/>
        <w:jc w:val="both"/>
        <w:rPr>
          <w:rFonts w:ascii="Verdana" w:hAnsi="Verdana"/>
        </w:rPr>
      </w:pPr>
      <w:r w:rsidRPr="005B5CB6">
        <w:rPr>
          <w:rFonts w:ascii="Verdana" w:eastAsia="Verdana" w:hAnsi="Verdana" w:cs="Verdana"/>
          <w:b/>
          <w:i/>
        </w:rPr>
        <w:t>Screenshot of an article as it appeared on Facebook, showing the victim of an execution – redacted by committee staff</w:t>
      </w:r>
      <w:r w:rsidRPr="005B5CB6">
        <w:rPr>
          <w:rFonts w:ascii="Verdana" w:eastAsia="Verdana" w:hAnsi="Verdana" w:cs="Verdana"/>
          <w:b/>
        </w:rPr>
        <w:t xml:space="preserve"> </w:t>
      </w:r>
    </w:p>
    <w:p w:rsidR="00FB0B24" w:rsidRPr="005B5CB6" w:rsidP="00A72806">
      <w:pPr>
        <w:spacing w:after="33" w:line="250" w:lineRule="auto"/>
        <w:ind w:left="23" w:right="11" w:hanging="8"/>
        <w:jc w:val="both"/>
        <w:rPr>
          <w:rFonts w:ascii="Verdana" w:hAnsi="Verdana"/>
        </w:rPr>
      </w:pPr>
      <w:r w:rsidRPr="005B5CB6">
        <w:rPr>
          <w:rFonts w:ascii="Verdana" w:eastAsia="Verdana" w:hAnsi="Verdana" w:cs="Verdana"/>
        </w:rPr>
        <w:t xml:space="preserve">Image recorded 18 May 2019  </w:t>
      </w:r>
    </w:p>
    <w:p w:rsidR="00FB0B24" w:rsidRPr="005B5CB6" w:rsidP="00A72806">
      <w:pPr>
        <w:spacing w:after="27"/>
        <w:ind w:left="14"/>
        <w:jc w:val="both"/>
        <w:rPr>
          <w:rFonts w:ascii="Verdana" w:hAnsi="Verdana"/>
        </w:rPr>
      </w:pPr>
      <w:r w:rsidRPr="005B5CB6">
        <w:rPr>
          <w:rFonts w:ascii="Verdana" w:eastAsia="Verdana" w:hAnsi="Verdana" w:cs="Verdana"/>
        </w:rPr>
        <w:t xml:space="preserve">  </w:t>
      </w:r>
    </w:p>
    <w:p w:rsidR="00FB0B24" w:rsidRPr="005B5CB6" w:rsidP="00A72806">
      <w:pPr>
        <w:spacing w:after="29" w:line="250" w:lineRule="auto"/>
        <w:ind w:left="23" w:right="588" w:hanging="8"/>
        <w:jc w:val="both"/>
        <w:rPr>
          <w:rFonts w:ascii="Verdana" w:hAnsi="Verdana"/>
        </w:rPr>
      </w:pPr>
      <w:r w:rsidRPr="005B5CB6">
        <w:rPr>
          <w:rFonts w:ascii="Verdana" w:eastAsia="Verdana" w:hAnsi="Verdana" w:cs="Verdana"/>
        </w:rPr>
        <w:t xml:space="preserve">With this type of example in mind we would also, again, draw attention to Facebook's announcement on 24 September that they have effectively thrown in the towel in regards to misinformation and hate speech when its perpetrators claim political intent. The group was created to promote the views and postings of an individual who then stood as a politician for a party in the South West of England, Carl Benjamin.  Again we agree freedom of speech is of crucial importance but the solutions set out in our submission would not prevent any politician from speaking their mind, it will simply be subject to independent fact checking, with a correction published alongside.  </w:t>
      </w:r>
    </w:p>
    <w:p w:rsidR="00FB0B24" w:rsidRPr="005B5CB6" w:rsidP="00A72806">
      <w:pPr>
        <w:spacing w:after="29"/>
        <w:ind w:left="14"/>
        <w:jc w:val="both"/>
        <w:rPr>
          <w:rFonts w:ascii="Verdana" w:hAnsi="Verdana"/>
        </w:rPr>
      </w:pPr>
      <w:r w:rsidRPr="005B5CB6">
        <w:rPr>
          <w:rFonts w:ascii="Verdana" w:eastAsia="Verdana" w:hAnsi="Verdana" w:cs="Verdana"/>
        </w:rPr>
        <w:t xml:space="preserve">  </w:t>
      </w:r>
    </w:p>
    <w:p w:rsidR="00FB0B24" w:rsidRPr="005B5CB6" w:rsidP="00A72806">
      <w:pPr>
        <w:spacing w:after="33" w:line="250" w:lineRule="auto"/>
        <w:ind w:left="11" w:hanging="10"/>
        <w:jc w:val="both"/>
        <w:rPr>
          <w:rFonts w:ascii="Verdana" w:hAnsi="Verdana"/>
        </w:rPr>
      </w:pPr>
      <w:r w:rsidRPr="005B5CB6">
        <w:rPr>
          <w:rFonts w:ascii="Verdana" w:eastAsia="Verdana" w:hAnsi="Verdana" w:cs="Verdana"/>
          <w:b/>
        </w:rPr>
        <w:t xml:space="preserve">Technology and democratic engagement   </w:t>
      </w:r>
    </w:p>
    <w:p w:rsidR="00FB0B24" w:rsidRPr="005B5CB6" w:rsidP="00A72806">
      <w:pPr>
        <w:spacing w:after="0"/>
        <w:ind w:left="14"/>
        <w:jc w:val="both"/>
        <w:rPr>
          <w:rFonts w:ascii="Verdana" w:hAnsi="Verdana"/>
        </w:rPr>
      </w:pPr>
      <w:r w:rsidRPr="005B5CB6">
        <w:rPr>
          <w:rFonts w:ascii="Verdana" w:eastAsia="Verdana" w:hAnsi="Verdana" w:cs="Verdana"/>
        </w:rPr>
        <w:t xml:space="preserve">  </w:t>
      </w:r>
    </w:p>
    <w:p w:rsidR="00FB0B24" w:rsidRPr="005B5CB6" w:rsidP="00575F14">
      <w:pPr>
        <w:numPr>
          <w:ilvl w:val="0"/>
          <w:numId w:val="230"/>
        </w:numPr>
        <w:spacing w:after="30" w:line="249" w:lineRule="auto"/>
        <w:ind w:right="82" w:hanging="367"/>
        <w:jc w:val="both"/>
        <w:rPr>
          <w:rFonts w:ascii="Verdana" w:hAnsi="Verdana"/>
        </w:rPr>
      </w:pPr>
      <w:r w:rsidRPr="005B5CB6">
        <w:rPr>
          <w:rFonts w:ascii="Verdana" w:eastAsia="Verdana" w:hAnsi="Verdana" w:cs="Verdana"/>
          <w:i/>
        </w:rPr>
        <w:t xml:space="preserve">How could the Government better support the positive work of civil society organisations using technology to facilitate engagement with democratic processes?  </w:t>
      </w:r>
      <w:r w:rsidRPr="005B5CB6">
        <w:rPr>
          <w:rFonts w:ascii="Verdana" w:eastAsia="Verdana" w:hAnsi="Verdana" w:cs="Verdana"/>
        </w:rPr>
        <w:t xml:space="preserve">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29" w:line="250" w:lineRule="auto"/>
        <w:ind w:left="23" w:right="11" w:hanging="8"/>
        <w:jc w:val="both"/>
        <w:rPr>
          <w:rFonts w:ascii="Verdana" w:hAnsi="Verdana"/>
        </w:rPr>
      </w:pPr>
      <w:r w:rsidRPr="005B5CB6">
        <w:rPr>
          <w:rFonts w:ascii="Verdana" w:eastAsia="Verdana" w:hAnsi="Verdana" w:cs="Verdana"/>
        </w:rPr>
        <w:t xml:space="preserve">Please see Avaaz’s own positive use of technology to facilitate engagement with democratic processes in our answer to question 14 below.  </w:t>
      </w:r>
    </w:p>
    <w:p w:rsidR="00FB0B24" w:rsidRPr="005B5CB6" w:rsidP="00A72806">
      <w:pPr>
        <w:spacing w:after="27"/>
        <w:ind w:left="15"/>
        <w:jc w:val="both"/>
        <w:rPr>
          <w:rFonts w:ascii="Verdana" w:hAnsi="Verdana"/>
        </w:rPr>
      </w:pPr>
      <w:r w:rsidRPr="005B5CB6">
        <w:rPr>
          <w:rFonts w:ascii="Verdana" w:eastAsia="Verdana" w:hAnsi="Verdana" w:cs="Verdana"/>
        </w:rPr>
        <w:t xml:space="preserve">  </w:t>
      </w:r>
    </w:p>
    <w:p w:rsidR="00FB0B24" w:rsidRPr="005B5CB6" w:rsidP="00575F14">
      <w:pPr>
        <w:numPr>
          <w:ilvl w:val="0"/>
          <w:numId w:val="230"/>
        </w:numPr>
        <w:spacing w:after="31" w:line="249" w:lineRule="auto"/>
        <w:ind w:right="82" w:hanging="367"/>
        <w:jc w:val="both"/>
        <w:rPr>
          <w:rFonts w:ascii="Verdana" w:hAnsi="Verdana"/>
        </w:rPr>
      </w:pPr>
      <w:r w:rsidRPr="005B5CB6">
        <w:rPr>
          <w:rFonts w:ascii="Verdana" w:eastAsia="Verdana" w:hAnsi="Verdana" w:cs="Verdana"/>
          <w:i/>
        </w:rPr>
        <w:t xml:space="preserve">How can elected representatives use technology to engage with the public in local and national decision making? What can Parliament and Government do to better use technology to support democratic engagement and ensure the efficacy of the democratic process?  </w:t>
      </w:r>
      <w:r w:rsidRPr="005B5CB6">
        <w:rPr>
          <w:rFonts w:ascii="Verdana" w:eastAsia="Verdana" w:hAnsi="Verdana" w:cs="Verdana"/>
        </w:rPr>
        <w:t xml:space="preserve"> </w:t>
      </w:r>
    </w:p>
    <w:p w:rsidR="00FB0B24" w:rsidRPr="005B5CB6" w:rsidP="00A72806">
      <w:pPr>
        <w:spacing w:after="25"/>
        <w:ind w:left="15"/>
        <w:jc w:val="both"/>
        <w:rPr>
          <w:rFonts w:ascii="Verdana" w:hAnsi="Verdana"/>
        </w:rPr>
      </w:pPr>
      <w:r w:rsidRPr="005B5CB6">
        <w:rPr>
          <w:rFonts w:ascii="Verdana" w:eastAsia="Verdana" w:hAnsi="Verdana" w:cs="Verdana"/>
          <w:i/>
        </w:rPr>
        <w:t xml:space="preserve"> </w:t>
      </w:r>
      <w:r w:rsidRPr="005B5CB6">
        <w:rPr>
          <w:rFonts w:ascii="Verdana" w:eastAsia="Verdana" w:hAnsi="Verdana" w:cs="Verdana"/>
        </w:rPr>
        <w:t xml:space="preserve"> </w:t>
      </w:r>
    </w:p>
    <w:p w:rsidR="00FB0B24" w:rsidRPr="005B5CB6" w:rsidP="00575F14">
      <w:pPr>
        <w:numPr>
          <w:ilvl w:val="0"/>
          <w:numId w:val="230"/>
        </w:numPr>
        <w:spacing w:after="27" w:line="249" w:lineRule="auto"/>
        <w:ind w:right="82" w:hanging="367"/>
        <w:jc w:val="both"/>
        <w:rPr>
          <w:rFonts w:ascii="Verdana" w:hAnsi="Verdana"/>
        </w:rPr>
      </w:pPr>
      <w:r w:rsidRPr="005B5CB6">
        <w:rPr>
          <w:rFonts w:ascii="Verdana" w:eastAsia="Verdana" w:hAnsi="Verdana" w:cs="Verdana"/>
          <w:i/>
        </w:rPr>
        <w:t xml:space="preserve">What positive examples are there of technology being used to enhance democracy? </w:t>
      </w:r>
      <w:r w:rsidRPr="005B5CB6">
        <w:rPr>
          <w:rFonts w:ascii="Verdana" w:eastAsia="Verdana" w:hAnsi="Verdana" w:cs="Verdana"/>
        </w:rPr>
        <w:t xml:space="preserve"> </w:t>
      </w:r>
    </w:p>
    <w:p w:rsidR="00FB0B24" w:rsidRPr="005B5CB6" w:rsidP="00A72806">
      <w:pPr>
        <w:spacing w:after="29"/>
        <w:ind w:left="15"/>
        <w:jc w:val="both"/>
        <w:rPr>
          <w:rFonts w:ascii="Verdana" w:hAnsi="Verdana"/>
        </w:rPr>
      </w:pPr>
      <w:r w:rsidRPr="005B5CB6">
        <w:rPr>
          <w:rFonts w:ascii="Verdana" w:eastAsia="Verdana" w:hAnsi="Verdana" w:cs="Verdana"/>
          <w:i/>
        </w:rPr>
        <w:t xml:space="preserve"> </w:t>
      </w:r>
      <w:r w:rsidRPr="005B5CB6">
        <w:rPr>
          <w:rFonts w:ascii="Verdana" w:eastAsia="Verdana" w:hAnsi="Verdana" w:cs="Verdana"/>
        </w:rPr>
        <w:t xml:space="preserve"> </w:t>
      </w:r>
    </w:p>
    <w:p w:rsidR="00FB0B24" w:rsidRPr="005B5CB6" w:rsidP="00A72806">
      <w:pPr>
        <w:spacing w:after="31" w:line="250" w:lineRule="auto"/>
        <w:ind w:left="23" w:right="269" w:hanging="8"/>
        <w:jc w:val="both"/>
        <w:rPr>
          <w:rFonts w:ascii="Verdana" w:hAnsi="Verdana"/>
        </w:rPr>
      </w:pPr>
      <w:r w:rsidRPr="005B5CB6">
        <w:rPr>
          <w:rFonts w:ascii="Verdana" w:eastAsia="Verdana" w:hAnsi="Verdana" w:cs="Verdana"/>
        </w:rPr>
        <w:t xml:space="preserve">Avaaz has used the power of the internet to build a progressive community of citizens around the world. Our campaigns bring together people with common values who reject the old divides of geography, race, ethnicity, religion and want equality and rights for all people everywhere. Over 50 million members globally have participated in Avaaz campaigns.   </w:t>
      </w:r>
    </w:p>
    <w:p w:rsidR="00FB0B24" w:rsidRPr="005B5CB6" w:rsidP="00A72806">
      <w:pPr>
        <w:spacing w:after="27"/>
        <w:ind w:left="14"/>
        <w:jc w:val="both"/>
        <w:rPr>
          <w:rFonts w:ascii="Verdana" w:hAnsi="Verdana"/>
        </w:rPr>
      </w:pPr>
      <w:r w:rsidRPr="005B5CB6">
        <w:rPr>
          <w:rFonts w:ascii="Verdana" w:eastAsia="Verdana" w:hAnsi="Verdana" w:cs="Verdana"/>
        </w:rPr>
        <w:t xml:space="preserve">  </w:t>
      </w:r>
    </w:p>
    <w:p w:rsidR="00FB0B24" w:rsidRPr="005B5CB6" w:rsidP="00A72806">
      <w:pPr>
        <w:spacing w:after="34" w:line="250" w:lineRule="auto"/>
        <w:ind w:left="23" w:right="688" w:hanging="8"/>
        <w:jc w:val="both"/>
        <w:rPr>
          <w:rFonts w:ascii="Verdana" w:hAnsi="Verdana"/>
        </w:rPr>
      </w:pPr>
      <w:r w:rsidRPr="005B5CB6">
        <w:rPr>
          <w:rFonts w:ascii="Verdana" w:eastAsia="Verdana" w:hAnsi="Verdana" w:cs="Verdana"/>
        </w:rPr>
        <w:t xml:space="preserve">We’ve been highly successful in creating this global community using technology.  </w:t>
      </w:r>
    </w:p>
    <w:p w:rsidR="00FB0B24" w:rsidRPr="005B5CB6" w:rsidP="00A72806">
      <w:pPr>
        <w:spacing w:after="29" w:line="250" w:lineRule="auto"/>
        <w:ind w:left="23" w:right="432" w:hanging="8"/>
        <w:jc w:val="both"/>
        <w:rPr>
          <w:rFonts w:ascii="Verdana" w:hAnsi="Verdana"/>
        </w:rPr>
      </w:pPr>
      <w:r w:rsidRPr="005B5CB6">
        <w:rPr>
          <w:rFonts w:ascii="Verdana" w:eastAsia="Verdana" w:hAnsi="Verdana" w:cs="Verdana"/>
        </w:rPr>
        <w:t xml:space="preserve">Previous international citizens' groups and social movements have had to build a constituency for each separate issue, year by year and country by country, in order to reach a scale that could make a difference.   </w:t>
      </w:r>
    </w:p>
    <w:p w:rsidR="00FB0B24" w:rsidRPr="005B5CB6" w:rsidP="00A72806">
      <w:pPr>
        <w:spacing w:after="29"/>
        <w:ind w:left="14"/>
        <w:jc w:val="both"/>
        <w:rPr>
          <w:rFonts w:ascii="Verdana" w:hAnsi="Verdana"/>
        </w:rPr>
      </w:pP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31" w:line="250" w:lineRule="auto"/>
        <w:ind w:left="23" w:right="642" w:hanging="8"/>
        <w:jc w:val="both"/>
        <w:rPr>
          <w:rFonts w:ascii="Verdana" w:hAnsi="Verdana"/>
        </w:rPr>
      </w:pPr>
      <w:r w:rsidRPr="005B5CB6">
        <w:rPr>
          <w:rFonts w:ascii="Verdana" w:eastAsia="Verdana" w:hAnsi="Verdana" w:cs="Verdana"/>
        </w:rPr>
        <w:t xml:space="preserve">Today, thanks to new technology and a rising ethic of global interdependence, that constraint no longer applies. Avaaz has a single, global team with a mandate to work on any issue of public concern--allowing campaigns of extraordinary nimbleness, flexibility, focus, and scale.   </w:t>
      </w:r>
    </w:p>
    <w:p w:rsidR="00FB0B24" w:rsidRPr="005B5CB6" w:rsidP="00A72806">
      <w:pPr>
        <w:spacing w:after="29"/>
        <w:ind w:left="14"/>
        <w:jc w:val="both"/>
        <w:rPr>
          <w:rFonts w:ascii="Verdana" w:hAnsi="Verdana"/>
        </w:rPr>
      </w:pPr>
      <w:r w:rsidRPr="005B5CB6">
        <w:rPr>
          <w:rFonts w:ascii="Verdana" w:eastAsia="Verdana" w:hAnsi="Verdana" w:cs="Verdana"/>
        </w:rPr>
        <w:t xml:space="preserve">  </w:t>
      </w:r>
    </w:p>
    <w:p w:rsidR="00FB0B24" w:rsidRPr="005B5CB6" w:rsidP="00A72806">
      <w:pPr>
        <w:spacing w:after="31" w:line="250" w:lineRule="auto"/>
        <w:ind w:left="23" w:right="610" w:hanging="8"/>
        <w:jc w:val="both"/>
        <w:rPr>
          <w:rFonts w:ascii="Verdana" w:hAnsi="Verdana"/>
        </w:rPr>
      </w:pPr>
      <w:r w:rsidRPr="005B5CB6">
        <w:rPr>
          <w:rFonts w:ascii="Verdana" w:eastAsia="Verdana" w:hAnsi="Verdana" w:cs="Verdana"/>
        </w:rPr>
        <w:t xml:space="preserve">Avaaz's online community can act like a megaphone to call attention to new issues; a lightning rod to channel broad public concern into a specific, targeted campaign; a fire truck to rush an effective response to a sudden, urgent emergency; and a stem cell that grows into whatever form of advocacy or work is best suited to meet an urgent need.  </w:t>
      </w:r>
    </w:p>
    <w:p w:rsidR="00FB0B24" w:rsidRPr="005B5CB6" w:rsidP="00A72806">
      <w:pPr>
        <w:spacing w:after="27"/>
        <w:ind w:left="14"/>
        <w:jc w:val="both"/>
        <w:rPr>
          <w:rFonts w:ascii="Verdana" w:hAnsi="Verdana"/>
        </w:rPr>
      </w:pPr>
      <w:r w:rsidRPr="005B5CB6">
        <w:rPr>
          <w:rFonts w:ascii="Verdana" w:eastAsia="Verdana" w:hAnsi="Verdana" w:cs="Verdana"/>
        </w:rPr>
        <w:t xml:space="preserve">  </w:t>
      </w:r>
    </w:p>
    <w:p w:rsidR="00FB0B24" w:rsidRPr="005B5CB6" w:rsidP="00A72806">
      <w:pPr>
        <w:spacing w:after="29" w:line="250" w:lineRule="auto"/>
        <w:ind w:left="23" w:right="507" w:hanging="8"/>
        <w:jc w:val="both"/>
        <w:rPr>
          <w:rFonts w:ascii="Verdana" w:hAnsi="Verdana"/>
        </w:rPr>
      </w:pPr>
      <w:r w:rsidRPr="005B5CB6">
        <w:rPr>
          <w:rFonts w:ascii="Verdana" w:eastAsia="Verdana" w:hAnsi="Verdana" w:cs="Verdana"/>
        </w:rPr>
        <w:t xml:space="preserve">Technology has also made it easier for a member-funded model of fundraising that keeps us independent and accountable. Because Avaaz is wholly memberfunded, democratic accountability is in our DNA. No corporate sponsor or government backer can insist that Avaaz shift its priorities to suit some external agenda—we simply don't accept funds from governments or corporations.  </w:t>
      </w:r>
    </w:p>
    <w:p w:rsidR="00FB0B24" w:rsidRPr="005B5CB6" w:rsidP="00A72806">
      <w:pPr>
        <w:spacing w:after="29"/>
        <w:ind w:left="15"/>
        <w:jc w:val="both"/>
        <w:rPr>
          <w:rFonts w:ascii="Verdana" w:hAnsi="Verdana"/>
        </w:rPr>
      </w:pPr>
      <w:r w:rsidRPr="005B5CB6">
        <w:rPr>
          <w:rFonts w:ascii="Verdana" w:eastAsia="Verdana" w:hAnsi="Verdana" w:cs="Verdana"/>
          <w:color w:val="38761D"/>
        </w:rPr>
        <w:t xml:space="preserve"> </w:t>
      </w:r>
      <w:r w:rsidRPr="005B5CB6">
        <w:rPr>
          <w:rFonts w:ascii="Verdana" w:eastAsia="Verdana" w:hAnsi="Verdana" w:cs="Verdana"/>
        </w:rPr>
        <w:t xml:space="preserve"> </w:t>
      </w:r>
    </w:p>
    <w:p w:rsidR="00FB0B24" w:rsidRPr="005B5CB6" w:rsidP="00A72806">
      <w:pPr>
        <w:spacing w:after="29" w:line="250" w:lineRule="auto"/>
        <w:ind w:left="23" w:right="709" w:hanging="8"/>
        <w:jc w:val="both"/>
        <w:rPr>
          <w:rFonts w:ascii="Verdana" w:hAnsi="Verdana"/>
        </w:rPr>
      </w:pPr>
      <w:r w:rsidRPr="005B5CB6">
        <w:rPr>
          <w:rFonts w:ascii="Verdana" w:eastAsia="Verdana" w:hAnsi="Verdana" w:cs="Verdana"/>
        </w:rPr>
        <w:t xml:space="preserve">People who join the Avaaz community through a fundraising campaign or a petition go on to take action on another issue, and then another. This is a source of great hope: that our dreams rhyme, and that, together, we can build the bridge from the world we have to the world we all want.  </w:t>
      </w:r>
    </w:p>
    <w:p w:rsidR="00FB0B24" w:rsidRPr="005B5CB6" w:rsidP="00A72806">
      <w:pPr>
        <w:spacing w:after="27"/>
        <w:ind w:left="14"/>
        <w:jc w:val="both"/>
        <w:rPr>
          <w:rFonts w:ascii="Verdana" w:hAnsi="Verdana"/>
        </w:rPr>
      </w:pPr>
      <w:r w:rsidRPr="005B5CB6">
        <w:rPr>
          <w:rFonts w:ascii="Verdana" w:eastAsia="Verdana" w:hAnsi="Verdana" w:cs="Verdana"/>
        </w:rPr>
        <w:t xml:space="preserve">  </w:t>
      </w:r>
    </w:p>
    <w:p w:rsidR="00FB0B24" w:rsidRPr="005B5CB6" w:rsidP="00A72806">
      <w:pPr>
        <w:spacing w:after="29"/>
        <w:ind w:left="14"/>
        <w:jc w:val="both"/>
        <w:rPr>
          <w:rFonts w:ascii="Verdana" w:hAnsi="Verdana"/>
        </w:rPr>
      </w:pPr>
      <w:r w:rsidRPr="005B5CB6">
        <w:rPr>
          <w:rFonts w:ascii="Verdana" w:eastAsia="Verdana" w:hAnsi="Verdana" w:cs="Verdana"/>
        </w:rPr>
        <w:t xml:space="preserve">  </w:t>
      </w:r>
    </w:p>
    <w:p w:rsidR="00FB0B24" w:rsidRPr="005B5CB6" w:rsidP="00A72806">
      <w:pPr>
        <w:spacing w:after="5" w:line="346" w:lineRule="auto"/>
        <w:ind w:left="23" w:right="523" w:hanging="8"/>
        <w:jc w:val="both"/>
        <w:rPr>
          <w:rFonts w:ascii="Verdana" w:hAnsi="Verdana"/>
        </w:rPr>
      </w:pPr>
      <w:r w:rsidRPr="005B5CB6">
        <w:rPr>
          <w:rFonts w:ascii="Verdana" w:eastAsia="Verdana" w:hAnsi="Verdana" w:cs="Verdana"/>
          <w:b/>
        </w:rPr>
        <w:t xml:space="preserve">Please see Annex 1 below called </w:t>
      </w:r>
      <w:r w:rsidRPr="005B5CB6">
        <w:rPr>
          <w:rFonts w:ascii="Verdana" w:eastAsia="Verdana" w:hAnsi="Verdana" w:cs="Verdana"/>
          <w:b/>
          <w:u w:val="single" w:color="000000"/>
        </w:rPr>
        <w:t>Fake news, real stories.</w:t>
      </w:r>
      <w:r w:rsidRPr="005B5CB6">
        <w:rPr>
          <w:rFonts w:ascii="Verdana" w:eastAsia="Verdana" w:hAnsi="Verdana" w:cs="Verdana"/>
        </w:rPr>
        <w:t xml:space="preserve"> These are the stories of people who have experienced personal pain and trauma because of </w:t>
      </w:r>
      <w:r w:rsidRPr="005B5CB6">
        <w:rPr>
          <w:rFonts w:ascii="Verdana" w:eastAsia="Verdana" w:hAnsi="Verdana" w:cs="Verdana"/>
        </w:rPr>
        <w:t xml:space="preserve">disinformation. They have given Avaaz consent to share their personal stories with the media and lawmakers.  </w:t>
      </w:r>
    </w:p>
    <w:p w:rsidR="00FB0B24" w:rsidRPr="005B5CB6" w:rsidP="00A72806">
      <w:pPr>
        <w:spacing w:after="24"/>
        <w:ind w:left="15"/>
        <w:jc w:val="both"/>
        <w:rPr>
          <w:rFonts w:ascii="Verdana" w:hAnsi="Verdana"/>
        </w:rPr>
      </w:pPr>
      <w:r w:rsidRPr="005B5CB6">
        <w:rPr>
          <w:rFonts w:ascii="Verdana" w:eastAsia="Verdana" w:hAnsi="Verdana" w:cs="Verdana"/>
        </w:rPr>
        <w:t xml:space="preserve">  </w:t>
      </w:r>
    </w:p>
    <w:p w:rsidR="00FB0B24" w:rsidRPr="005B5CB6" w:rsidP="00A72806">
      <w:pPr>
        <w:spacing w:after="35" w:line="250" w:lineRule="auto"/>
        <w:ind w:left="11" w:hanging="10"/>
        <w:jc w:val="both"/>
        <w:rPr>
          <w:rFonts w:ascii="Verdana" w:hAnsi="Verdana"/>
        </w:rPr>
      </w:pPr>
      <w:r w:rsidRPr="005B5CB6">
        <w:rPr>
          <w:rFonts w:ascii="Verdana" w:eastAsia="Verdana" w:hAnsi="Verdana" w:cs="Verdana"/>
        </w:rPr>
        <w:t xml:space="preserve">  </w:t>
      </w:r>
      <w:r w:rsidRPr="005B5CB6">
        <w:rPr>
          <w:rFonts w:ascii="Verdana" w:eastAsia="Verdana" w:hAnsi="Verdana" w:cs="Verdana"/>
          <w:b/>
        </w:rPr>
        <w:t xml:space="preserve">Annex 1: </w:t>
      </w: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eastAsia="Verdana" w:hAnsi="Verdana" w:cs="Verdana"/>
        </w:rPr>
        <w:t xml:space="preserve">  </w:t>
      </w:r>
    </w:p>
    <w:p w:rsidR="00FB0B24" w:rsidRPr="005B5CB6" w:rsidP="00A72806">
      <w:pPr>
        <w:spacing w:after="0"/>
        <w:ind w:right="221"/>
        <w:jc w:val="both"/>
        <w:rPr>
          <w:rFonts w:ascii="Verdana" w:hAnsi="Verdana"/>
        </w:rPr>
      </w:pPr>
      <w:r w:rsidRPr="005B5CB6">
        <w:rPr>
          <w:rFonts w:ascii="Verdana" w:hAnsi="Verdana"/>
          <w:noProof/>
        </w:rPr>
        <w:drawing>
          <wp:inline distT="0" distB="0" distL="0" distR="0">
            <wp:extent cx="5943599" cy="3962400"/>
            <wp:effectExtent l="0" t="0" r="0" b="0"/>
            <wp:docPr id="38863" name="Picture 38863"/>
            <wp:cNvGraphicFramePr/>
            <a:graphic xmlns:a="http://schemas.openxmlformats.org/drawingml/2006/main">
              <a:graphicData uri="http://schemas.openxmlformats.org/drawingml/2006/picture">
                <pic:pic xmlns:pic="http://schemas.openxmlformats.org/drawingml/2006/picture">
                  <pic:nvPicPr>
                    <pic:cNvPr id="38863" name="Picture 38863"/>
                    <pic:cNvPicPr/>
                  </pic:nvPicPr>
                  <pic:blipFill>
                    <a:blip xmlns:r="http://schemas.openxmlformats.org/officeDocument/2006/relationships" r:embed="rId394"/>
                    <a:stretch>
                      <a:fillRect/>
                    </a:stretch>
                  </pic:blipFill>
                  <pic:spPr>
                    <a:xfrm>
                      <a:off x="0" y="0"/>
                      <a:ext cx="5943599" cy="3962400"/>
                    </a:xfrm>
                    <a:prstGeom prst="rect">
                      <a:avLst/>
                    </a:prstGeom>
                  </pic:spPr>
                </pic:pic>
              </a:graphicData>
            </a:graphic>
          </wp:inline>
        </w:drawing>
      </w:r>
      <w:r w:rsidRPr="005B5CB6">
        <w:rPr>
          <w:rFonts w:ascii="Verdana" w:eastAsia="Verdana" w:hAnsi="Verdana" w:cs="Verdana"/>
        </w:rPr>
        <w:t xml:space="preserve">  </w:t>
      </w:r>
    </w:p>
    <w:p w:rsidR="00FB0B24" w:rsidRPr="005B5CB6" w:rsidP="00A72806">
      <w:pPr>
        <w:spacing w:after="33" w:line="249" w:lineRule="auto"/>
        <w:ind w:left="10" w:hanging="10"/>
        <w:jc w:val="both"/>
        <w:rPr>
          <w:rFonts w:ascii="Verdana" w:hAnsi="Verdana"/>
        </w:rPr>
      </w:pPr>
      <w:r w:rsidRPr="005B5CB6">
        <w:rPr>
          <w:rFonts w:ascii="Verdana" w:eastAsia="Verdana" w:hAnsi="Verdana" w:cs="Verdana"/>
          <w:i/>
        </w:rPr>
        <w:t xml:space="preserve">Disinformation Survivors: Ethan Lindenberger, Tun Khin and Jessikka Aro </w:t>
      </w:r>
      <w:r w:rsidRPr="005B5CB6">
        <w:rPr>
          <w:rFonts w:ascii="Verdana" w:eastAsia="Verdana" w:hAnsi="Verdana" w:cs="Verdana"/>
        </w:rPr>
        <w:t xml:space="preserve"> </w:t>
      </w:r>
    </w:p>
    <w:p w:rsidR="00FB0B24" w:rsidRPr="005B5CB6" w:rsidP="00A72806">
      <w:pPr>
        <w:spacing w:after="24"/>
        <w:ind w:left="15"/>
        <w:jc w:val="both"/>
        <w:rPr>
          <w:rFonts w:ascii="Verdana" w:hAnsi="Verdana"/>
        </w:rPr>
      </w:pPr>
      <w:r w:rsidRPr="005B5CB6">
        <w:rPr>
          <w:rFonts w:ascii="Verdana" w:eastAsia="Verdana" w:hAnsi="Verdana" w:cs="Verdana"/>
        </w:rPr>
        <w:t xml:space="preserve">  </w:t>
      </w:r>
    </w:p>
    <w:p w:rsidR="00FB0B24" w:rsidRPr="005B5CB6" w:rsidP="00A72806">
      <w:pPr>
        <w:spacing w:after="35" w:line="249" w:lineRule="auto"/>
        <w:ind w:left="10" w:right="12" w:hanging="9"/>
        <w:jc w:val="both"/>
        <w:rPr>
          <w:rFonts w:ascii="Verdana" w:hAnsi="Verdana"/>
        </w:rPr>
      </w:pPr>
      <w:r w:rsidRPr="005B5CB6">
        <w:rPr>
          <w:rFonts w:ascii="Verdana" w:eastAsia="Verdana" w:hAnsi="Verdana" w:cs="Verdana"/>
        </w:rPr>
        <w:t xml:space="preserve">As part of Avaaz’s advocacy efforts against disinformation, we took survivors of disinformation to meet top executives at Twitter, Facebook, Google and YouTube at their offices in California, USA. When the survivors spoke about how their lives were completely transformed by disinformation, the executives could not ignore the human dimension of this problem anymore. Other disinformation survivors, who could not travel to San Francisco, shared their stories in a letter addressed to the platform executives. Some of their stories can be found below: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5" w:line="345" w:lineRule="auto"/>
        <w:ind w:left="10" w:right="716" w:hanging="9"/>
        <w:jc w:val="both"/>
        <w:rPr>
          <w:rFonts w:ascii="Verdana" w:hAnsi="Verdana"/>
        </w:rPr>
      </w:pPr>
      <w:r w:rsidRPr="005B5CB6">
        <w:rPr>
          <w:rFonts w:ascii="Verdana" w:eastAsia="Verdana" w:hAnsi="Verdana" w:cs="Verdana"/>
        </w:rPr>
        <w:t>“I,</w:t>
      </w:r>
      <w:r w:rsidRPr="005B5CB6">
        <w:rPr>
          <w:rFonts w:ascii="Verdana" w:eastAsia="Verdana" w:hAnsi="Verdana" w:cs="Verdana"/>
          <w:b/>
        </w:rPr>
        <w:t xml:space="preserve"> Lenny Pozner</w:t>
      </w:r>
      <w:r w:rsidRPr="005B5CB6">
        <w:rPr>
          <w:rFonts w:ascii="Verdana" w:eastAsia="Verdana" w:hAnsi="Verdana" w:cs="Verdana"/>
        </w:rPr>
        <w:t xml:space="preserve">, lost my beautiful 6-year old son Noah during the </w:t>
      </w:r>
      <w:r w:rsidRPr="005B5CB6">
        <w:rPr>
          <w:rFonts w:ascii="Verdana" w:eastAsia="Verdana" w:hAnsi="Verdana" w:cs="Verdana"/>
          <w:b/>
        </w:rPr>
        <w:t xml:space="preserve">Sandy Hook shooting. </w:t>
      </w:r>
      <w:r w:rsidRPr="005B5CB6">
        <w:rPr>
          <w:rFonts w:ascii="Verdana" w:eastAsia="Verdana" w:hAnsi="Verdana" w:cs="Verdana"/>
        </w:rPr>
        <w:t xml:space="preserve">That pain alone was unfathomable, yet I and my family were forced to relive that pain as </w:t>
      </w:r>
      <w:r w:rsidRPr="005B5CB6">
        <w:rPr>
          <w:rFonts w:ascii="Verdana" w:eastAsia="Verdana" w:hAnsi="Verdana" w:cs="Verdana"/>
          <w:b/>
        </w:rPr>
        <w:t xml:space="preserve">viral fake news stories and hoaxes </w:t>
      </w:r>
      <w:r w:rsidRPr="005B5CB6">
        <w:rPr>
          <w:rFonts w:ascii="Verdana" w:eastAsia="Verdana" w:hAnsi="Verdana" w:cs="Verdana"/>
        </w:rPr>
        <w:t xml:space="preserve">on Twitter, YouTube, Facebook and Instagram claimed we were actors who had staged the death of our own son. I founded the HONR Network, which supports the victims of mass casualty violence as well as the targets of online hate speech and harassment. </w:t>
      </w:r>
      <w:r w:rsidRPr="005B5CB6">
        <w:rPr>
          <w:rFonts w:ascii="Verdana" w:eastAsia="Verdana" w:hAnsi="Verdana" w:cs="Verdana"/>
        </w:rPr>
        <w:t xml:space="preserve">These hateful lies need to stop.” Lenny, who is the target of online hate and death threats until today, has to stay in hiding to protect his life and his family.  </w:t>
      </w:r>
    </w:p>
    <w:p w:rsidR="00FB0B24" w:rsidRPr="005B5CB6" w:rsidP="00A72806">
      <w:pPr>
        <w:spacing w:after="29"/>
        <w:ind w:left="14"/>
        <w:jc w:val="both"/>
        <w:rPr>
          <w:rFonts w:ascii="Verdana" w:hAnsi="Verdana"/>
        </w:rPr>
      </w:pPr>
      <w:r w:rsidRPr="005B5CB6">
        <w:rPr>
          <w:rFonts w:ascii="Verdana" w:eastAsia="Verdana" w:hAnsi="Verdana" w:cs="Verdana"/>
        </w:rPr>
        <w:t xml:space="preserve">  </w:t>
      </w:r>
    </w:p>
    <w:p w:rsidR="00FB0B24" w:rsidRPr="005B5CB6" w:rsidP="00A72806">
      <w:pPr>
        <w:spacing w:after="71" w:line="344" w:lineRule="auto"/>
        <w:ind w:left="10" w:right="715" w:hanging="9"/>
        <w:jc w:val="both"/>
        <w:rPr>
          <w:rFonts w:ascii="Verdana" w:hAnsi="Verdana"/>
        </w:rPr>
      </w:pPr>
      <w:r w:rsidRPr="005B5CB6">
        <w:rPr>
          <w:rFonts w:ascii="Verdana" w:eastAsia="Verdana" w:hAnsi="Verdana" w:cs="Verdana"/>
        </w:rPr>
        <w:t xml:space="preserve">“As civil society leaders from </w:t>
      </w:r>
      <w:r w:rsidRPr="005B5CB6">
        <w:rPr>
          <w:rFonts w:ascii="Verdana" w:eastAsia="Verdana" w:hAnsi="Verdana" w:cs="Verdana"/>
          <w:b/>
        </w:rPr>
        <w:t>Myanmar</w:t>
      </w:r>
      <w:r w:rsidRPr="005B5CB6">
        <w:rPr>
          <w:rFonts w:ascii="Verdana" w:eastAsia="Verdana" w:hAnsi="Verdana" w:cs="Verdana"/>
        </w:rPr>
        <w:t xml:space="preserve">, I, </w:t>
      </w:r>
      <w:r w:rsidRPr="005B5CB6">
        <w:rPr>
          <w:rFonts w:ascii="Verdana" w:eastAsia="Verdana" w:hAnsi="Verdana" w:cs="Verdana"/>
          <w:b/>
        </w:rPr>
        <w:t>Tun Khin</w:t>
      </w:r>
      <w:r w:rsidRPr="005B5CB6">
        <w:rPr>
          <w:rFonts w:ascii="Verdana" w:eastAsia="Verdana" w:hAnsi="Verdana" w:cs="Verdana"/>
        </w:rPr>
        <w:t xml:space="preserve">, and I, </w:t>
      </w:r>
      <w:r w:rsidRPr="005B5CB6">
        <w:rPr>
          <w:rFonts w:ascii="Verdana" w:eastAsia="Verdana" w:hAnsi="Verdana" w:cs="Verdana"/>
          <w:b/>
        </w:rPr>
        <w:t>Aung Kyaw Moe</w:t>
      </w:r>
      <w:r w:rsidRPr="005B5CB6">
        <w:rPr>
          <w:rFonts w:ascii="Verdana" w:eastAsia="Verdana" w:hAnsi="Verdana" w:cs="Verdana"/>
        </w:rPr>
        <w:t xml:space="preserve">, watched </w:t>
      </w:r>
      <w:r w:rsidRPr="005B5CB6">
        <w:rPr>
          <w:rFonts w:ascii="Verdana" w:eastAsia="Verdana" w:hAnsi="Verdana" w:cs="Verdana"/>
          <w:b/>
        </w:rPr>
        <w:t xml:space="preserve">our country descend into genocide and murderous violence </w:t>
      </w:r>
      <w:r w:rsidRPr="005B5CB6">
        <w:rPr>
          <w:rFonts w:ascii="Verdana" w:eastAsia="Verdana" w:hAnsi="Verdana" w:cs="Verdana"/>
        </w:rPr>
        <w:t xml:space="preserve">- with thousands upon thousands of innocent victims burned, hacked and raped to death. </w:t>
      </w:r>
      <w:r w:rsidRPr="005B5CB6">
        <w:rPr>
          <w:rFonts w:ascii="Verdana" w:eastAsia="Verdana" w:hAnsi="Verdana" w:cs="Verdana"/>
          <w:b/>
        </w:rPr>
        <w:t xml:space="preserve">Much of the hate and fear festered on social media platforms, and disinformation remains equally as dangerous. </w:t>
      </w:r>
      <w:r w:rsidRPr="005B5CB6">
        <w:rPr>
          <w:rFonts w:ascii="Verdana" w:eastAsia="Verdana" w:hAnsi="Verdana" w:cs="Verdana"/>
        </w:rPr>
        <w:t xml:space="preserve">This status quo is not stable - and we watch in fear for our community and our families, as we see the possibility of renewed violence.” After meeting with Tun Khin, </w:t>
      </w:r>
      <w:r>
        <w:fldChar w:fldCharType="begin"/>
      </w:r>
      <w:r>
        <w:instrText xml:space="preserve"> HYPERLINK "https://www.theguardian.com/world/2019/may/16/myanmar-army-chiefs-twitter-account-suspended-over-anti-rohingya-hate-speech" </w:instrText>
      </w:r>
      <w:r>
        <w:fldChar w:fldCharType="separate"/>
      </w:r>
      <w:r w:rsidRPr="005B5CB6">
        <w:rPr>
          <w:rFonts w:ascii="Verdana" w:eastAsia="Verdana" w:hAnsi="Verdana" w:cs="Verdana"/>
          <w:color w:val="1155CC"/>
          <w:u w:val="single" w:color="1155CC"/>
        </w:rPr>
        <w:t>Twitter</w:t>
      </w:r>
      <w:r>
        <w:fldChar w:fldCharType="end"/>
      </w:r>
      <w:r>
        <w:fldChar w:fldCharType="begin"/>
      </w:r>
      <w:r>
        <w:instrText xml:space="preserve"> HYPERLINK "https://www.theguardian.com/world/2019/may/16/myanmar-army-chiefs-twitter-account-suspended-over-anti-rohingya-hate-speech" </w:instrText>
      </w:r>
      <w:r>
        <w:fldChar w:fldCharType="separate"/>
      </w:r>
      <w:r w:rsidRPr="005B5CB6">
        <w:rPr>
          <w:rFonts w:ascii="Verdana" w:eastAsia="Verdana" w:hAnsi="Verdana" w:cs="Verdana"/>
          <w:color w:val="1155CC"/>
          <w:u w:val="single" w:color="1155CC"/>
        </w:rPr>
        <w:t xml:space="preserve"> banned</w:t>
      </w:r>
      <w:r>
        <w:fldChar w:fldCharType="end"/>
      </w:r>
      <w:r>
        <w:fldChar w:fldCharType="begin"/>
      </w:r>
      <w:r>
        <w:instrText xml:space="preserve"> HYPERLINK "https://www.theguardian.com/world/2019/may/16/myanmar-army-chiefs-twitter-account-suspended-over-anti-rohingya-hate-speech" </w:instrText>
      </w:r>
      <w:r>
        <w:fldChar w:fldCharType="separate"/>
      </w:r>
      <w:r w:rsidRPr="005B5CB6">
        <w:rPr>
          <w:rFonts w:ascii="Verdana" w:eastAsia="Verdana" w:hAnsi="Verdana" w:cs="Verdana"/>
          <w:color w:val="1155CC"/>
          <w:u w:val="single" w:color="1155CC"/>
        </w:rPr>
        <w:t xml:space="preserve"> Min</w:t>
      </w:r>
      <w:r>
        <w:fldChar w:fldCharType="end"/>
      </w:r>
      <w:r>
        <w:fldChar w:fldCharType="begin"/>
      </w:r>
      <w:r>
        <w:instrText xml:space="preserve"> HYPERLINK "https://www.theguardian.com/world/2019/may/16/myanmar-army-chiefs-twitter-account-suspended-over-anti-rohingya-hate-speech" </w:instrText>
      </w:r>
      <w:r>
        <w:fldChar w:fldCharType="separate"/>
      </w:r>
      <w:r w:rsidRPr="005B5CB6">
        <w:rPr>
          <w:rFonts w:ascii="Verdana" w:eastAsia="Verdana" w:hAnsi="Verdana" w:cs="Verdana"/>
          <w:color w:val="1155CC"/>
          <w:u w:val="single" w:color="1155CC"/>
        </w:rPr>
        <w:t xml:space="preserve"> Aun</w:t>
      </w:r>
      <w:r>
        <w:fldChar w:fldCharType="end"/>
      </w:r>
      <w:r>
        <w:fldChar w:fldCharType="begin"/>
      </w:r>
      <w:r>
        <w:instrText xml:space="preserve"> HYPERLINK "https://www.theguardian.com/world/2019/may/16/myanmar-army-chiefs-twitter-account-suspended-over-anti-rohingya-hate-speech" </w:instrText>
      </w:r>
      <w:r>
        <w:fldChar w:fldCharType="separate"/>
      </w:r>
      <w:r w:rsidRPr="005B5CB6">
        <w:rPr>
          <w:rFonts w:ascii="Verdana" w:eastAsia="Verdana" w:hAnsi="Verdana" w:cs="Verdana"/>
          <w:color w:val="1155CC"/>
          <w:u w:val="single" w:color="1155CC"/>
        </w:rPr>
        <w:t>g</w:t>
      </w:r>
      <w:r>
        <w:fldChar w:fldCharType="end"/>
      </w:r>
      <w:r>
        <w:fldChar w:fldCharType="begin"/>
      </w:r>
      <w:r>
        <w:instrText xml:space="preserve"> HYPERLINK "https://www.theguardian.com/world/2019/may/16/myanmar-army-chiefs-twitter-account-suspended-over-anti-rohingya-hate-speech" </w:instrText>
      </w:r>
      <w:r>
        <w:fldChar w:fldCharType="separate"/>
      </w:r>
      <w:r w:rsidRPr="005B5CB6">
        <w:rPr>
          <w:rFonts w:ascii="Verdana" w:eastAsia="Verdana" w:hAnsi="Verdana" w:cs="Verdana"/>
          <w:color w:val="1155CC"/>
        </w:rPr>
        <w:t xml:space="preserve"> </w:t>
      </w:r>
      <w:r>
        <w:fldChar w:fldCharType="end"/>
      </w:r>
      <w:r>
        <w:fldChar w:fldCharType="begin"/>
      </w:r>
      <w:r>
        <w:instrText xml:space="preserve"> HYPERLINK "https://www.theguardian.com/world/2019/may/16/myanmar-army-chiefs-twitter-account-suspended-over-anti-rohingya-hate-speech" </w:instrText>
      </w:r>
      <w:r>
        <w:fldChar w:fldCharType="separate"/>
      </w:r>
      <w:r w:rsidRPr="005B5CB6">
        <w:rPr>
          <w:rFonts w:ascii="Verdana" w:eastAsia="Verdana" w:hAnsi="Verdana" w:cs="Verdana"/>
          <w:color w:val="1155CC"/>
          <w:u w:val="single" w:color="1155CC"/>
        </w:rPr>
        <w:t>Hlaing</w:t>
      </w:r>
      <w:r>
        <w:fldChar w:fldCharType="end"/>
      </w:r>
      <w:r>
        <w:fldChar w:fldCharType="begin"/>
      </w:r>
      <w:r>
        <w:instrText xml:space="preserve"> HYPERLINK "https://www.theguardian.com/world/2019/may/16/myanmar-army-chiefs-twitter-account-suspended-over-anti-rohingya-hate-speech"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considered the mastermind of the genocide - because of hate speech. This campaign of targeted hate was boosted by fake accounts.</w:t>
      </w:r>
      <w:r>
        <w:rPr>
          <w:rFonts w:ascii="Verdana" w:eastAsia="Verdana" w:hAnsi="Verdana" w:cs="Verdana"/>
          <w:vertAlign w:val="superscript"/>
        </w:rPr>
        <w:footnoteReference w:id="339"/>
      </w:r>
      <w:r w:rsidRPr="005B5CB6">
        <w:rPr>
          <w:rFonts w:ascii="Verdana" w:eastAsia="Verdana" w:hAnsi="Verdana" w:cs="Verdana"/>
        </w:rPr>
        <w:t xml:space="preserve">  </w:t>
      </w:r>
    </w:p>
    <w:p w:rsidR="00FB0B24" w:rsidRPr="005B5CB6" w:rsidP="00A72806">
      <w:pPr>
        <w:spacing w:after="29"/>
        <w:ind w:left="15"/>
        <w:jc w:val="both"/>
        <w:rPr>
          <w:rFonts w:ascii="Verdana" w:hAnsi="Verdana"/>
        </w:rPr>
      </w:pPr>
      <w:r w:rsidRPr="005B5CB6">
        <w:rPr>
          <w:rFonts w:ascii="Verdana" w:eastAsia="Verdana" w:hAnsi="Verdana" w:cs="Verdana"/>
        </w:rPr>
        <w:t xml:space="preserve">  </w:t>
      </w:r>
    </w:p>
    <w:p w:rsidR="00FB0B24" w:rsidRPr="005B5CB6" w:rsidP="00A72806">
      <w:pPr>
        <w:spacing w:after="5" w:line="345" w:lineRule="auto"/>
        <w:ind w:left="10" w:right="714" w:hanging="9"/>
        <w:jc w:val="both"/>
        <w:rPr>
          <w:rFonts w:ascii="Verdana" w:hAnsi="Verdana"/>
        </w:rPr>
      </w:pPr>
      <w:r w:rsidRPr="005B5CB6">
        <w:rPr>
          <w:rFonts w:ascii="Verdana" w:eastAsia="Verdana" w:hAnsi="Verdana" w:cs="Verdana"/>
        </w:rPr>
        <w:t xml:space="preserve">“I, </w:t>
      </w:r>
      <w:r w:rsidRPr="005B5CB6">
        <w:rPr>
          <w:rFonts w:ascii="Verdana" w:eastAsia="Verdana" w:hAnsi="Verdana" w:cs="Verdana"/>
          <w:b/>
        </w:rPr>
        <w:t>Tim Jacks</w:t>
      </w:r>
      <w:r w:rsidRPr="005B5CB6">
        <w:rPr>
          <w:rFonts w:ascii="Verdana" w:eastAsia="Verdana" w:hAnsi="Verdana" w:cs="Verdana"/>
        </w:rPr>
        <w:t xml:space="preserve">, had to see my </w:t>
      </w:r>
      <w:r w:rsidRPr="005B5CB6">
        <w:rPr>
          <w:rFonts w:ascii="Verdana" w:eastAsia="Verdana" w:hAnsi="Verdana" w:cs="Verdana"/>
          <w:b/>
        </w:rPr>
        <w:t>daughter Maggie</w:t>
      </w:r>
      <w:r w:rsidRPr="005B5CB6">
        <w:rPr>
          <w:rFonts w:ascii="Verdana" w:eastAsia="Verdana" w:hAnsi="Verdana" w:cs="Verdana"/>
        </w:rPr>
        <w:t xml:space="preserve"> isolated in our home instead of leaving on a long-expected vacation during her leukemia treatment. She was exposed to measles during a routine clinic visit, and for weeks we waited for evidence that she had contracted this terrible illness. Thanks to the poor choices of parents who are the target of </w:t>
      </w:r>
      <w:r w:rsidRPr="005B5CB6">
        <w:rPr>
          <w:rFonts w:ascii="Verdana" w:eastAsia="Verdana" w:hAnsi="Verdana" w:cs="Verdana"/>
          <w:b/>
        </w:rPr>
        <w:t>misinformation around vaccinations</w:t>
      </w:r>
      <w:r w:rsidRPr="005B5CB6">
        <w:rPr>
          <w:rFonts w:ascii="Verdana" w:eastAsia="Verdana" w:hAnsi="Verdana" w:cs="Verdana"/>
        </w:rPr>
        <w:t xml:space="preserve">, my daughter was denied a chance to briefly live a normal life during her time as a cancer patient.”   </w:t>
      </w:r>
    </w:p>
    <w:p w:rsidR="00FB0B24" w:rsidRPr="005B5CB6" w:rsidP="00A72806">
      <w:pPr>
        <w:spacing w:after="240"/>
        <w:ind w:left="735"/>
        <w:jc w:val="both"/>
        <w:rPr>
          <w:rFonts w:ascii="Verdana" w:hAnsi="Verdana"/>
        </w:rPr>
      </w:pPr>
      <w:r w:rsidRPr="005B5CB6">
        <w:rPr>
          <w:rFonts w:ascii="Verdana" w:eastAsia="Verdana" w:hAnsi="Verdana" w:cs="Verdana"/>
        </w:rPr>
        <w:t xml:space="preserve">  </w:t>
      </w:r>
    </w:p>
    <w:p w:rsidR="00FB0B24" w:rsidRPr="005B5CB6" w:rsidP="00A72806">
      <w:pPr>
        <w:spacing w:after="0"/>
        <w:ind w:left="15"/>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88783" name="Group 58878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31" name="Shape 63633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71" style="height:0.6pt;mso-position-horizontal-relative:char;mso-position-vertical-relative:line;width:2in" coordsize="18288,76">
                <v:shape id="_x0000_s1372"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A72806">
      <w:pPr>
        <w:spacing w:after="5" w:line="345" w:lineRule="auto"/>
        <w:ind w:left="10" w:right="715" w:hanging="9"/>
        <w:jc w:val="both"/>
        <w:rPr>
          <w:rFonts w:ascii="Verdana" w:hAnsi="Verdana"/>
        </w:rPr>
      </w:pPr>
      <w:r w:rsidRPr="005B5CB6">
        <w:rPr>
          <w:rFonts w:ascii="Verdana" w:eastAsia="Verdana" w:hAnsi="Verdana" w:cs="Verdana"/>
          <w:b/>
        </w:rPr>
        <w:t>Ethan Lindenberger</w:t>
      </w:r>
      <w:r w:rsidRPr="005B5CB6">
        <w:rPr>
          <w:rFonts w:ascii="Verdana" w:eastAsia="Verdana" w:hAnsi="Verdana" w:cs="Verdana"/>
        </w:rPr>
        <w:t xml:space="preserve">, an 18-year-old student who defied his anti-vaccine parents to get vaccinated, said: “My siblings and I were never vaccinated because </w:t>
      </w:r>
      <w:r w:rsidRPr="005B5CB6">
        <w:rPr>
          <w:rFonts w:ascii="Verdana" w:eastAsia="Verdana" w:hAnsi="Verdana" w:cs="Verdana"/>
          <w:b/>
        </w:rPr>
        <w:t xml:space="preserve">antivaxx disinformation </w:t>
      </w:r>
      <w:r w:rsidRPr="005B5CB6">
        <w:rPr>
          <w:rFonts w:ascii="Verdana" w:eastAsia="Verdana" w:hAnsi="Verdana" w:cs="Verdana"/>
        </w:rPr>
        <w:t xml:space="preserve">continues to swamp my parents’ newsfeed, confusing my family’s decision-making. My mother loves me, she cares deeply for our family, but she is a target of disinformation pages that are designed to misinform her and fill her with fear - putting us all at risk.”  </w:t>
      </w:r>
    </w:p>
    <w:p w:rsidR="00FB0B24" w:rsidRPr="005B5CB6" w:rsidP="00A72806">
      <w:pPr>
        <w:spacing w:after="29"/>
        <w:ind w:left="735"/>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A72806">
      <w:pPr>
        <w:spacing w:after="5" w:line="345" w:lineRule="auto"/>
        <w:ind w:left="10" w:right="715" w:hanging="9"/>
        <w:jc w:val="both"/>
        <w:rPr>
          <w:rFonts w:ascii="Verdana" w:hAnsi="Verdana"/>
        </w:rPr>
      </w:pPr>
      <w:r w:rsidRPr="005B5CB6">
        <w:rPr>
          <w:rFonts w:ascii="Verdana" w:eastAsia="Verdana" w:hAnsi="Verdana" w:cs="Verdana"/>
        </w:rPr>
        <w:t xml:space="preserve">The political use of disinformation also has a human face. </w:t>
      </w:r>
      <w:r w:rsidRPr="005B5CB6">
        <w:rPr>
          <w:rFonts w:ascii="Verdana" w:eastAsia="Verdana" w:hAnsi="Verdana" w:cs="Verdana"/>
          <w:b/>
        </w:rPr>
        <w:t>Jean Wyllys, an elected MP from Brazil,</w:t>
      </w:r>
      <w:r w:rsidRPr="005B5CB6">
        <w:rPr>
          <w:rFonts w:ascii="Verdana" w:eastAsia="Verdana" w:hAnsi="Verdana" w:cs="Verdana"/>
        </w:rPr>
        <w:t xml:space="preserve"> had to flee his country and give up on his mandate because of serious death threats aimed at him and his family. “</w:t>
      </w:r>
      <w:r w:rsidRPr="005B5CB6">
        <w:rPr>
          <w:rFonts w:ascii="Verdana" w:eastAsia="Verdana" w:hAnsi="Verdana" w:cs="Verdana"/>
          <w:b/>
        </w:rPr>
        <w:t xml:space="preserve">The threats were motivated by fake news largely spread on social media, claiming, among </w:t>
      </w:r>
      <w:r w:rsidRPr="005B5CB6">
        <w:rPr>
          <w:rFonts w:ascii="Verdana" w:eastAsia="Verdana" w:hAnsi="Verdana" w:cs="Verdana"/>
          <w:b/>
        </w:rPr>
        <w:t>other things, that I was a paedophile</w:t>
      </w:r>
      <w:r w:rsidRPr="005B5CB6">
        <w:rPr>
          <w:rFonts w:ascii="Verdana" w:eastAsia="Verdana" w:hAnsi="Verdana" w:cs="Verdana"/>
        </w:rPr>
        <w:t xml:space="preserve"> trying to impose “mandatory homosexuality”.”  </w:t>
      </w:r>
    </w:p>
    <w:p w:rsidR="00FB0B24" w:rsidRPr="005B5CB6" w:rsidP="00A72806">
      <w:pPr>
        <w:spacing w:after="29"/>
        <w:ind w:left="735"/>
        <w:jc w:val="both"/>
        <w:rPr>
          <w:rFonts w:ascii="Verdana" w:hAnsi="Verdana"/>
        </w:rPr>
      </w:pPr>
      <w:r w:rsidRPr="005B5CB6">
        <w:rPr>
          <w:rFonts w:ascii="Verdana" w:eastAsia="Verdana" w:hAnsi="Verdana" w:cs="Verdana"/>
        </w:rPr>
        <w:t xml:space="preserve">  </w:t>
      </w:r>
    </w:p>
    <w:p w:rsidR="00FB0B24" w:rsidRPr="005B5CB6" w:rsidP="00A72806">
      <w:pPr>
        <w:spacing w:after="5" w:line="345" w:lineRule="auto"/>
        <w:ind w:left="10" w:right="716" w:hanging="9"/>
        <w:jc w:val="both"/>
        <w:rPr>
          <w:rFonts w:ascii="Verdana" w:hAnsi="Verdana"/>
        </w:rPr>
      </w:pPr>
      <w:r w:rsidRPr="005B5CB6">
        <w:rPr>
          <w:rFonts w:ascii="Verdana" w:eastAsia="Verdana" w:hAnsi="Verdana" w:cs="Verdana"/>
          <w:b/>
        </w:rPr>
        <w:t>Jessikka Aro</w:t>
      </w:r>
      <w:r w:rsidRPr="005B5CB6">
        <w:rPr>
          <w:rFonts w:ascii="Verdana" w:eastAsia="Verdana" w:hAnsi="Verdana" w:cs="Verdana"/>
        </w:rPr>
        <w:t xml:space="preserve">, a journalist who </w:t>
      </w:r>
      <w:r w:rsidRPr="005B5CB6">
        <w:rPr>
          <w:rFonts w:ascii="Verdana" w:eastAsia="Verdana" w:hAnsi="Verdana" w:cs="Verdana"/>
          <w:b/>
        </w:rPr>
        <w:t xml:space="preserve">investigated Russian troll farms, </w:t>
      </w:r>
      <w:r w:rsidRPr="005B5CB6">
        <w:rPr>
          <w:rFonts w:ascii="Verdana" w:eastAsia="Verdana" w:hAnsi="Verdana" w:cs="Verdana"/>
        </w:rPr>
        <w:t>also became a victim of disinformation aimed at silencing her.</w:t>
      </w:r>
      <w:r w:rsidRPr="005B5CB6">
        <w:rPr>
          <w:rFonts w:ascii="Verdana" w:eastAsia="Verdana" w:hAnsi="Verdana" w:cs="Verdana"/>
          <w:b/>
        </w:rPr>
        <w:t xml:space="preserve"> </w:t>
      </w:r>
      <w:r w:rsidRPr="005B5CB6">
        <w:rPr>
          <w:rFonts w:ascii="Verdana" w:eastAsia="Verdana" w:hAnsi="Verdana" w:cs="Verdana"/>
        </w:rPr>
        <w:t xml:space="preserve">“I am now a </w:t>
      </w:r>
      <w:r w:rsidRPr="005B5CB6">
        <w:rPr>
          <w:rFonts w:ascii="Verdana" w:eastAsia="Verdana" w:hAnsi="Verdana" w:cs="Verdana"/>
          <w:b/>
        </w:rPr>
        <w:t>constant victim of disinformation, death threats and harassment</w:t>
      </w:r>
      <w:r w:rsidRPr="005B5CB6">
        <w:rPr>
          <w:rFonts w:ascii="Verdana" w:eastAsia="Verdana" w:hAnsi="Verdana" w:cs="Verdana"/>
        </w:rPr>
        <w:t xml:space="preserve">. From being called an agent, to being accused of being a criminal NATO drug-dealer, I am being attacked. But this is not just about me: all of Europe, the US and many other regions are under threat, and as a journalist, it strikes me how little you are doing to protect free citizens and democracies.”  </w:t>
      </w:r>
    </w:p>
    <w:p w:rsidR="00FB0B24" w:rsidRPr="005B5CB6" w:rsidP="00A72806">
      <w:pPr>
        <w:jc w:val="both"/>
        <w:rPr>
          <w:rFonts w:ascii="Verdana" w:hAnsi="Verdana"/>
        </w:rPr>
        <w:sectPr w:rsidSect="00EC193F">
          <w:headerReference w:type="even" r:id="rId395"/>
          <w:headerReference w:type="default" r:id="rId396"/>
          <w:footerReference w:type="even" r:id="rId397"/>
          <w:footerReference w:type="default" r:id="rId398"/>
          <w:headerReference w:type="first" r:id="rId399"/>
          <w:footerReference w:type="first" r:id="rId400"/>
          <w:pgSz w:w="12240" w:h="15840"/>
          <w:pgMar w:top="1434" w:right="1065" w:bottom="28" w:left="1425" w:header="629" w:footer="719" w:gutter="0"/>
          <w:cols w:space="720"/>
        </w:sectPr>
      </w:pPr>
    </w:p>
    <w:p w:rsidR="00FB0B24" w:rsidRPr="005B5CB6" w:rsidP="00A1624B">
      <w:pPr>
        <w:pStyle w:val="Heading1"/>
        <w:rPr>
          <w:sz w:val="22"/>
        </w:rPr>
      </w:pPr>
      <w:bookmarkStart w:id="65" w:name="_Toc44517753"/>
      <w:r w:rsidRPr="005B5CB6">
        <w:rPr>
          <w:sz w:val="22"/>
        </w:rPr>
        <w:t>Dr Jennifer Cobbe – written evidence (DAD0074)</w:t>
      </w:r>
      <w:bookmarkEnd w:id="65"/>
      <w:r w:rsidRPr="005B5CB6">
        <w:rPr>
          <w:sz w:val="22"/>
        </w:rPr>
        <w:t xml:space="preserve"> </w:t>
      </w:r>
    </w:p>
    <w:p w:rsidR="00FB0B24" w:rsidRPr="005B5CB6" w:rsidP="00CF6BAD">
      <w:pPr>
        <w:spacing w:after="17"/>
        <w:jc w:val="both"/>
        <w:rPr>
          <w:rFonts w:ascii="Verdana" w:hAnsi="Verdana"/>
        </w:rPr>
      </w:pPr>
      <w:r w:rsidRPr="005B5CB6">
        <w:rPr>
          <w:rFonts w:ascii="Verdana" w:eastAsia="Verdana" w:hAnsi="Verdana" w:cs="Verdana"/>
        </w:rPr>
        <w:t xml:space="preserve"> </w:t>
      </w:r>
    </w:p>
    <w:p w:rsidR="00FB0B24" w:rsidRPr="005B5CB6" w:rsidP="00575F14">
      <w:pPr>
        <w:numPr>
          <w:ilvl w:val="0"/>
          <w:numId w:val="231"/>
        </w:numPr>
        <w:spacing w:after="30" w:line="250" w:lineRule="auto"/>
        <w:ind w:right="11" w:hanging="360"/>
        <w:jc w:val="both"/>
        <w:rPr>
          <w:rFonts w:ascii="Verdana" w:hAnsi="Verdana"/>
        </w:rPr>
      </w:pPr>
      <w:r w:rsidRPr="005B5CB6">
        <w:rPr>
          <w:rFonts w:ascii="Verdana" w:eastAsia="Verdana" w:hAnsi="Verdana" w:cs="Verdana"/>
        </w:rPr>
        <w:t>This submission, based on my research on the potential regulation of online content personalisation</w:t>
      </w:r>
      <w:r>
        <w:rPr>
          <w:rFonts w:ascii="Verdana" w:eastAsia="Verdana" w:hAnsi="Verdana" w:cs="Verdana"/>
          <w:vertAlign w:val="superscript"/>
        </w:rPr>
        <w:footnoteReference w:id="340"/>
      </w:r>
      <w:r w:rsidRPr="005B5CB6">
        <w:rPr>
          <w:rFonts w:ascii="Verdana" w:eastAsia="Verdana" w:hAnsi="Verdana" w:cs="Verdana"/>
        </w:rPr>
        <w:t xml:space="preserve">, responds to question 2 in the Committee’s call for evidence.  </w:t>
      </w:r>
    </w:p>
    <w:p w:rsidR="00FB0B24" w:rsidRPr="005B5CB6" w:rsidP="00CF6BAD">
      <w:pPr>
        <w:spacing w:after="19"/>
        <w:jc w:val="both"/>
        <w:rPr>
          <w:rFonts w:ascii="Verdana" w:hAnsi="Verdana"/>
        </w:rPr>
      </w:pPr>
      <w:r w:rsidRPr="005B5CB6">
        <w:rPr>
          <w:rFonts w:ascii="Verdana" w:eastAsia="Verdana" w:hAnsi="Verdana" w:cs="Verdana"/>
        </w:rPr>
        <w:t xml:space="preserve"> </w:t>
      </w:r>
    </w:p>
    <w:p w:rsidR="00FB0B24" w:rsidRPr="005B5CB6" w:rsidP="00CF6BAD">
      <w:pPr>
        <w:spacing w:after="26" w:line="250" w:lineRule="auto"/>
        <w:ind w:left="11" w:hanging="10"/>
        <w:jc w:val="both"/>
        <w:rPr>
          <w:rFonts w:ascii="Verdana" w:hAnsi="Verdana"/>
        </w:rPr>
      </w:pPr>
      <w:r w:rsidRPr="005B5CB6">
        <w:rPr>
          <w:rFonts w:ascii="Verdana" w:eastAsia="Verdana" w:hAnsi="Verdana" w:cs="Verdana"/>
          <w:b/>
        </w:rPr>
        <w:t xml:space="preserve">Background </w:t>
      </w:r>
    </w:p>
    <w:p w:rsidR="00FB0B24" w:rsidRPr="005B5CB6" w:rsidP="00CF6BAD">
      <w:pPr>
        <w:spacing w:after="17"/>
        <w:ind w:left="360"/>
        <w:jc w:val="both"/>
        <w:rPr>
          <w:rFonts w:ascii="Verdana" w:hAnsi="Verdana"/>
        </w:rPr>
      </w:pPr>
      <w:r w:rsidRPr="005B5CB6">
        <w:rPr>
          <w:rFonts w:ascii="Verdana" w:eastAsia="Verdana" w:hAnsi="Verdana" w:cs="Verdana"/>
        </w:rPr>
        <w:t xml:space="preserve"> </w:t>
      </w:r>
    </w:p>
    <w:p w:rsidR="00FB0B24" w:rsidRPr="005B5CB6" w:rsidP="00575F14">
      <w:pPr>
        <w:numPr>
          <w:ilvl w:val="0"/>
          <w:numId w:val="231"/>
        </w:numPr>
        <w:spacing w:after="52" w:line="250" w:lineRule="auto"/>
        <w:ind w:right="11" w:hanging="360"/>
        <w:jc w:val="both"/>
        <w:rPr>
          <w:rFonts w:ascii="Verdana" w:hAnsi="Verdana"/>
        </w:rPr>
      </w:pPr>
      <w:r w:rsidRPr="005B5CB6">
        <w:rPr>
          <w:rFonts w:ascii="Verdana" w:eastAsia="Verdana" w:hAnsi="Verdana" w:cs="Verdana"/>
        </w:rPr>
        <w:t>The past two decades has seen the emergence and growth of digital platforms</w:t>
      </w:r>
      <w:r>
        <w:rPr>
          <w:rFonts w:ascii="Verdana" w:eastAsia="Verdana" w:hAnsi="Verdana" w:cs="Verdana"/>
          <w:vertAlign w:val="superscript"/>
        </w:rPr>
        <w:footnoteReference w:id="341"/>
      </w:r>
      <w:r w:rsidRPr="005B5CB6">
        <w:rPr>
          <w:rFonts w:ascii="Verdana" w:eastAsia="Verdana" w:hAnsi="Verdana" w:cs="Verdana"/>
        </w:rPr>
        <w:t>, positioning themselves at the centre of ‘multi-sided markets’</w:t>
      </w:r>
      <w:r>
        <w:rPr>
          <w:rFonts w:ascii="Verdana" w:eastAsia="Verdana" w:hAnsi="Verdana" w:cs="Verdana"/>
          <w:vertAlign w:val="superscript"/>
        </w:rPr>
        <w:footnoteReference w:id="342"/>
      </w:r>
      <w:r w:rsidRPr="005B5CB6">
        <w:rPr>
          <w:rFonts w:ascii="Verdana" w:eastAsia="Verdana" w:hAnsi="Verdana" w:cs="Verdana"/>
        </w:rPr>
        <w:t>; intermediaries between individuals, businesses, organisations, governments, politicians, the public, and so on. In law, they are typically considered to be providers of information society services</w:t>
      </w:r>
      <w:r>
        <w:rPr>
          <w:rFonts w:ascii="Verdana" w:eastAsia="Verdana" w:hAnsi="Verdana" w:cs="Verdana"/>
          <w:vertAlign w:val="superscript"/>
        </w:rPr>
        <w:footnoteReference w:id="343"/>
      </w:r>
      <w:r w:rsidRPr="005B5CB6">
        <w:rPr>
          <w:rFonts w:ascii="Verdana" w:eastAsia="Verdana" w:hAnsi="Verdana" w:cs="Verdana"/>
        </w:rPr>
        <w:t xml:space="preserve"> (‘service providers’</w:t>
      </w:r>
      <w:r>
        <w:rPr>
          <w:rFonts w:ascii="Verdana" w:eastAsia="Verdana" w:hAnsi="Verdana" w:cs="Verdana"/>
          <w:vertAlign w:val="superscript"/>
        </w:rPr>
        <w:footnoteReference w:id="344"/>
      </w:r>
      <w:r w:rsidRPr="005B5CB6">
        <w:rPr>
          <w:rFonts w:ascii="Verdana" w:eastAsia="Verdana" w:hAnsi="Verdana" w:cs="Verdana"/>
        </w:rPr>
        <w:t>). Primarily, social platforms derive their revenue from advertising; they are, in effect, advertising companies. User behaviour is tracked and data is gathered and analysed so as to predict future user behaviours and interests, personalise services, facilitate behaviourally-targeted advertising, and grow user engagement, revenue, and market position. The design and deployment of algorithms on social platforms must be understood in the context of the business models of those platforms (variously characterised as being part of the ‘surveillance economy’</w:t>
      </w:r>
      <w:r>
        <w:rPr>
          <w:rFonts w:ascii="Verdana" w:eastAsia="Verdana" w:hAnsi="Verdana" w:cs="Verdana"/>
          <w:vertAlign w:val="superscript"/>
        </w:rPr>
        <w:footnoteReference w:id="345"/>
      </w:r>
      <w:r w:rsidRPr="005B5CB6">
        <w:rPr>
          <w:rFonts w:ascii="Verdana" w:eastAsia="Verdana" w:hAnsi="Verdana" w:cs="Verdana"/>
        </w:rPr>
        <w:t xml:space="preserve"> or the ‘attention economy’</w:t>
      </w:r>
      <w:r>
        <w:rPr>
          <w:rFonts w:ascii="Verdana" w:eastAsia="Verdana" w:hAnsi="Verdana" w:cs="Verdana"/>
          <w:vertAlign w:val="superscript"/>
        </w:rPr>
        <w:footnoteReference w:id="346"/>
      </w:r>
      <w:r w:rsidRPr="005B5CB6">
        <w:rPr>
          <w:rFonts w:ascii="Verdana" w:eastAsia="Verdana" w:hAnsi="Verdana" w:cs="Verdana"/>
        </w:rPr>
        <w:t xml:space="preserve">). </w:t>
      </w:r>
    </w:p>
    <w:p w:rsidR="00FB0B24" w:rsidRPr="005B5CB6" w:rsidP="00CF6BAD">
      <w:pPr>
        <w:spacing w:after="17"/>
        <w:ind w:left="360"/>
        <w:jc w:val="both"/>
        <w:rPr>
          <w:rFonts w:ascii="Verdana" w:hAnsi="Verdana"/>
        </w:rPr>
      </w:pPr>
      <w:r w:rsidRPr="005B5CB6">
        <w:rPr>
          <w:rFonts w:ascii="Verdana" w:eastAsia="Verdana" w:hAnsi="Verdana" w:cs="Verdana"/>
        </w:rPr>
        <w:t xml:space="preserve"> </w:t>
      </w:r>
    </w:p>
    <w:p w:rsidR="00FB0B24" w:rsidRPr="005B5CB6" w:rsidP="00575F14">
      <w:pPr>
        <w:numPr>
          <w:ilvl w:val="0"/>
          <w:numId w:val="231"/>
        </w:numPr>
        <w:spacing w:after="594" w:line="250" w:lineRule="auto"/>
        <w:ind w:right="11" w:hanging="360"/>
        <w:jc w:val="both"/>
        <w:rPr>
          <w:rFonts w:ascii="Verdana" w:hAnsi="Verdana"/>
        </w:rPr>
      </w:pPr>
      <w:r w:rsidRPr="005B5CB6">
        <w:rPr>
          <w:rFonts w:ascii="Verdana" w:eastAsia="Verdana" w:hAnsi="Verdana" w:cs="Verdana"/>
        </w:rPr>
        <w:t xml:space="preserve">The function of algorithmic content delivery (whether through feeds of content, such as Facebook’s News Feed or Twitter’s timeline, or through recommendations or other forms of algorithmic delivery) is to keep users engaged with the platform. ‘Engagement’ can come in various forms – viewing content, uploading content, scrolling through feeds of content, and so on. Engagement is itself pursued to increase the value of advertising by growing and maintaining the audience for that advertising. Algorithmic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88118" name="Group 58811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333" name="Shape 63633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73" style="height:0.72pt;mso-position-horizontal-relative:char;mso-position-vertical-relative:line;width:2in" coordsize="18288,91">
                <v:shape id="_x0000_s1374"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personalisation therefore plays an indirect but key role in the development and maintenance of social platforms’ revenue streams. </w:t>
      </w:r>
    </w:p>
    <w:p w:rsidR="00FB0B24" w:rsidRPr="005B5CB6" w:rsidP="00CF6BAD">
      <w:pPr>
        <w:spacing w:after="17"/>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231"/>
        </w:numPr>
        <w:spacing w:after="52" w:line="250" w:lineRule="auto"/>
        <w:ind w:right="11" w:hanging="360"/>
        <w:jc w:val="both"/>
        <w:rPr>
          <w:rFonts w:ascii="Verdana" w:hAnsi="Verdana"/>
        </w:rPr>
      </w:pPr>
      <w:r w:rsidRPr="005B5CB6">
        <w:rPr>
          <w:rFonts w:ascii="Verdana" w:eastAsia="Verdana" w:hAnsi="Verdana" w:cs="Verdana"/>
        </w:rPr>
        <w:t>At a technical level, there are currently two main approaches to algorithmic personalisation, both using recommender systems: content-based filtering and collaborative filtering</w:t>
      </w:r>
      <w:r>
        <w:rPr>
          <w:rFonts w:ascii="Verdana" w:eastAsia="Verdana" w:hAnsi="Verdana" w:cs="Verdana"/>
          <w:vertAlign w:val="superscript"/>
        </w:rPr>
        <w:footnoteReference w:id="347"/>
      </w:r>
      <w:r w:rsidRPr="005B5CB6">
        <w:rPr>
          <w:rFonts w:ascii="Verdana" w:eastAsia="Verdana" w:hAnsi="Verdana" w:cs="Verdana"/>
        </w:rPr>
        <w:t>. Both approaches often involve the use of machine learning, which produces statistical models trained on (usually large) datasets and can spot correlations and patterns from which to make predictions and draw inferences</w:t>
      </w:r>
      <w:r>
        <w:rPr>
          <w:rFonts w:ascii="Verdana" w:eastAsia="Verdana" w:hAnsi="Verdana" w:cs="Verdana"/>
          <w:vertAlign w:val="superscript"/>
        </w:rPr>
        <w:footnoteReference w:id="348"/>
      </w:r>
      <w:r w:rsidRPr="005B5CB6">
        <w:rPr>
          <w:rFonts w:ascii="Verdana" w:eastAsia="Verdana" w:hAnsi="Verdana" w:cs="Verdana"/>
        </w:rPr>
        <w:t>. Content-based filtering systems recommend content based on similarity to content previously consumed by the user (for example, ‘picture X has a similar title to previously viewed pictures Y and Z’). Collaborative filtering systems recommend content based on what similar users have consumed (for example, ‘people A, B, and C like this; a similar person D might also like this’). Both involve filtering content so as to show to users only that which is determined by the platform to be relevant, appropriate, interesting, and so on. Some platforms make use of hybrid approaches, combining features of both methods of filtering</w:t>
      </w:r>
      <w:r>
        <w:rPr>
          <w:rFonts w:ascii="Verdana" w:eastAsia="Verdana" w:hAnsi="Verdana" w:cs="Verdana"/>
          <w:vertAlign w:val="superscript"/>
        </w:rPr>
        <w:footnoteReference w:id="349"/>
      </w:r>
      <w:r w:rsidRPr="005B5CB6">
        <w:rPr>
          <w:rFonts w:ascii="Verdana" w:eastAsia="Verdana" w:hAnsi="Verdana" w:cs="Verdana"/>
        </w:rPr>
        <w:t xml:space="preserve">. </w:t>
      </w:r>
    </w:p>
    <w:p w:rsidR="00FB0B24" w:rsidRPr="005B5CB6" w:rsidP="00CF6BAD">
      <w:pPr>
        <w:spacing w:after="17"/>
        <w:jc w:val="both"/>
        <w:rPr>
          <w:rFonts w:ascii="Verdana" w:hAnsi="Verdana"/>
        </w:rPr>
      </w:pPr>
      <w:r w:rsidRPr="005B5CB6">
        <w:rPr>
          <w:rFonts w:ascii="Verdana" w:eastAsia="Verdana" w:hAnsi="Verdana" w:cs="Verdana"/>
        </w:rPr>
        <w:t xml:space="preserve"> </w:t>
      </w:r>
    </w:p>
    <w:p w:rsidR="00FB0B24" w:rsidRPr="005B5CB6" w:rsidP="00575F14">
      <w:pPr>
        <w:numPr>
          <w:ilvl w:val="0"/>
          <w:numId w:val="231"/>
        </w:numPr>
        <w:spacing w:after="5" w:line="250" w:lineRule="auto"/>
        <w:ind w:right="11" w:hanging="360"/>
        <w:jc w:val="both"/>
        <w:rPr>
          <w:rFonts w:ascii="Verdana" w:hAnsi="Verdana"/>
        </w:rPr>
      </w:pPr>
      <w:r w:rsidRPr="005B5CB6">
        <w:rPr>
          <w:rFonts w:ascii="Verdana" w:eastAsia="Verdana" w:hAnsi="Verdana" w:cs="Verdana"/>
        </w:rPr>
        <w:t>Algorithmic content personalisation using recommender systems plays a central role across the most popular websites and platforms on the internet</w:t>
      </w:r>
      <w:r>
        <w:rPr>
          <w:rFonts w:ascii="Verdana" w:eastAsia="Verdana" w:hAnsi="Verdana" w:cs="Verdana"/>
          <w:vertAlign w:val="superscript"/>
        </w:rPr>
        <w:footnoteReference w:id="350"/>
      </w:r>
      <w:r w:rsidRPr="005B5CB6">
        <w:rPr>
          <w:rFonts w:ascii="Verdana" w:eastAsia="Verdana" w:hAnsi="Verdana" w:cs="Verdana"/>
        </w:rPr>
        <w:t xml:space="preserve">, for the primary benefit of platforms themselves. For example, on Google, recommender systems are used for various purposes, including to personalise search results to show links that bring revenue to Google. On sites like YouTube, Facebook, Reddit, Twitter, or Instagram, recommender systems provide a personalised feed of content for each user so as to keep them engaging with that platform and drive ad revenue. Netflix uses recommender systems to present a personalised library of film and TV to users as well as recommendations for further viewing so as to keep users watching and subscribing. Amazon uses a recommender system to respond to predicted user desires in order to induce them to buy products from Amazon rather than elsewhere.  </w:t>
      </w:r>
    </w:p>
    <w:p w:rsidR="00FB0B24" w:rsidRPr="005B5CB6" w:rsidP="00CF6BAD">
      <w:pPr>
        <w:spacing w:after="17"/>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231"/>
        </w:numPr>
        <w:spacing w:after="74" w:line="250" w:lineRule="auto"/>
        <w:ind w:right="11" w:hanging="360"/>
        <w:jc w:val="both"/>
        <w:rPr>
          <w:rFonts w:ascii="Verdana" w:hAnsi="Verdana"/>
        </w:rPr>
      </w:pPr>
      <w:r w:rsidRPr="005B5CB6">
        <w:rPr>
          <w:rFonts w:ascii="Verdana" w:eastAsia="Verdana" w:hAnsi="Verdana" w:cs="Verdana"/>
        </w:rPr>
        <w:t xml:space="preserve">While the use of recommender systems is often touted as a means of personalising services so as to benefit users, it is ultimately done to serve the interests of the platforms themselves – to encourage users to stay engaged with the platform in question (whether to consume content, to provide content, to make a purchase, and so on), to bring revenue, and to build market position. One study of the use of recommender systems shows that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89515" name="Group 58951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335" name="Shape 63633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75" style="height:0.72pt;mso-position-horizontal-relative:char;mso-position-vertical-relative:line;width:2in" coordsize="18288,91">
                <v:shape id="_x0000_s1376"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CF6BAD">
      <w:pPr>
        <w:spacing w:after="53" w:line="250" w:lineRule="auto"/>
        <w:ind w:left="368" w:right="11" w:hanging="8"/>
        <w:jc w:val="both"/>
        <w:rPr>
          <w:rFonts w:ascii="Verdana" w:hAnsi="Verdana"/>
        </w:rPr>
      </w:pPr>
      <w:r w:rsidRPr="005B5CB6">
        <w:rPr>
          <w:rFonts w:ascii="Verdana" w:eastAsia="Verdana" w:hAnsi="Verdana" w:cs="Verdana"/>
        </w:rPr>
        <w:t>they are often intended to ‘hook’ people, leading to the conclusion that they are essentially employed as ‘traps’</w:t>
      </w:r>
      <w:r>
        <w:rPr>
          <w:rFonts w:ascii="Verdana" w:eastAsia="Verdana" w:hAnsi="Verdana" w:cs="Verdana"/>
          <w:vertAlign w:val="superscript"/>
        </w:rPr>
        <w:footnoteReference w:id="351"/>
      </w:r>
      <w:r w:rsidRPr="005B5CB6">
        <w:rPr>
          <w:rFonts w:ascii="Verdana" w:eastAsia="Verdana" w:hAnsi="Verdana" w:cs="Verdana"/>
        </w:rPr>
        <w:t>.  Other work produced by YouTube</w:t>
      </w:r>
      <w:r>
        <w:rPr>
          <w:rFonts w:ascii="Verdana" w:eastAsia="Verdana" w:hAnsi="Verdana" w:cs="Verdana"/>
          <w:vertAlign w:val="superscript"/>
        </w:rPr>
        <w:footnoteReference w:id="352"/>
      </w:r>
      <w:r w:rsidRPr="005B5CB6">
        <w:rPr>
          <w:rFonts w:ascii="Verdana" w:eastAsia="Verdana" w:hAnsi="Verdana" w:cs="Verdana"/>
        </w:rPr>
        <w:t>, Netflix</w:t>
      </w:r>
      <w:r>
        <w:rPr>
          <w:rFonts w:ascii="Verdana" w:eastAsia="Verdana" w:hAnsi="Verdana" w:cs="Verdana"/>
          <w:vertAlign w:val="superscript"/>
        </w:rPr>
        <w:footnoteReference w:id="353"/>
      </w:r>
      <w:r w:rsidRPr="005B5CB6">
        <w:rPr>
          <w:rFonts w:ascii="Verdana" w:eastAsia="Verdana" w:hAnsi="Verdana" w:cs="Verdana"/>
        </w:rPr>
        <w:t>, and Yahoo and the website Etsy</w:t>
      </w:r>
      <w:r>
        <w:rPr>
          <w:rFonts w:ascii="Verdana" w:eastAsia="Verdana" w:hAnsi="Verdana" w:cs="Verdana"/>
          <w:vertAlign w:val="superscript"/>
        </w:rPr>
        <w:footnoteReference w:id="354"/>
      </w:r>
      <w:r w:rsidRPr="005B5CB6">
        <w:rPr>
          <w:rFonts w:ascii="Verdana" w:eastAsia="Verdana" w:hAnsi="Verdana" w:cs="Verdana"/>
        </w:rPr>
        <w:t xml:space="preserve"> confirms the view that algorithmic personalisation is fundamentally about engagement in pursuit of profit. As a result of this prioritisation, around 80 per cent of Netflix viewing hours come through their recommender systems; around 20 percent from the search function</w:t>
      </w:r>
      <w:r>
        <w:rPr>
          <w:rFonts w:ascii="Verdana" w:eastAsia="Verdana" w:hAnsi="Verdana" w:cs="Verdana"/>
          <w:vertAlign w:val="superscript"/>
        </w:rPr>
        <w:footnoteReference w:id="355"/>
      </w:r>
      <w:r w:rsidRPr="005B5CB6">
        <w:rPr>
          <w:rFonts w:ascii="Verdana" w:eastAsia="Verdana" w:hAnsi="Verdana" w:cs="Verdana"/>
        </w:rPr>
        <w:t>. Around 70 per cent of YouTube video views similarly comes from its recommender systems</w:t>
      </w:r>
      <w:r>
        <w:rPr>
          <w:rFonts w:ascii="Verdana" w:eastAsia="Verdana" w:hAnsi="Verdana" w:cs="Verdana"/>
          <w:vertAlign w:val="superscript"/>
        </w:rPr>
        <w:footnoteReference w:id="356"/>
      </w:r>
      <w:r w:rsidRPr="005B5CB6">
        <w:rPr>
          <w:rFonts w:ascii="Verdana" w:eastAsia="Verdana" w:hAnsi="Verdana" w:cs="Verdana"/>
        </w:rPr>
        <w:t xml:space="preserve">.  </w:t>
      </w:r>
    </w:p>
    <w:p w:rsidR="00FB0B24" w:rsidRPr="005B5CB6" w:rsidP="00CF6BAD">
      <w:pPr>
        <w:spacing w:after="17"/>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231"/>
        </w:numPr>
        <w:spacing w:after="5" w:line="250" w:lineRule="auto"/>
        <w:ind w:right="11" w:hanging="360"/>
        <w:jc w:val="both"/>
        <w:rPr>
          <w:rFonts w:ascii="Verdana" w:hAnsi="Verdana"/>
        </w:rPr>
      </w:pPr>
      <w:r w:rsidRPr="005B5CB6">
        <w:rPr>
          <w:rFonts w:ascii="Verdana" w:eastAsia="Verdana" w:hAnsi="Verdana" w:cs="Verdana"/>
        </w:rPr>
        <w:t xml:space="preserve">Understood in this way, the use of algorithms by social platforms is not so much about personalisation, as about showing people the content that the platform predicts will result in the greatest engagement. That is to say, rather than showing people what they want to see, algorithmic personalisation shows people what the platform wants them to see. The effect of widespread recommending of content by social platforms is that much online space is constructed by algorithmic systems. While, of course, television and the mass media have long contributed to collective understanding of the world, this was never as personalised, never as involved in mediating communications between individuals, and never as embedded so deeply in constructing the everyday reality of millions of people. </w:t>
      </w:r>
    </w:p>
    <w:p w:rsidR="00FB0B24" w:rsidRPr="005B5CB6" w:rsidP="00CF6BAD">
      <w:pPr>
        <w:spacing w:after="17"/>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11" w:hanging="10"/>
        <w:jc w:val="both"/>
        <w:rPr>
          <w:rFonts w:ascii="Verdana" w:hAnsi="Verdana"/>
        </w:rPr>
      </w:pPr>
      <w:r w:rsidRPr="005B5CB6">
        <w:rPr>
          <w:rFonts w:ascii="Verdana" w:eastAsia="Verdana" w:hAnsi="Verdana" w:cs="Verdana"/>
          <w:b/>
        </w:rPr>
        <w:t xml:space="preserve">How have the design of algorithms used by social media platforms shaped democratic debate?  </w:t>
      </w:r>
    </w:p>
    <w:p w:rsidR="00FB0B24" w:rsidRPr="005B5CB6" w:rsidP="00CF6BAD">
      <w:pPr>
        <w:spacing w:after="17"/>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31"/>
        </w:numPr>
        <w:spacing w:after="5" w:line="250" w:lineRule="auto"/>
        <w:ind w:right="11" w:hanging="360"/>
        <w:jc w:val="both"/>
        <w:rPr>
          <w:rFonts w:ascii="Verdana" w:hAnsi="Verdana"/>
        </w:rPr>
      </w:pPr>
      <w:r w:rsidRPr="005B5CB6">
        <w:rPr>
          <w:rFonts w:ascii="Verdana" w:eastAsia="Verdana" w:hAnsi="Verdana" w:cs="Verdana"/>
        </w:rPr>
        <w:t>Social platforms’ content delivery algorithms are by design prioritised to disseminate content that increases engagement in pursuit of revenue and, ultimately, market position (indeed, algorithmic personalisation plays major role in the dominance of platforms like Facebook</w:t>
      </w:r>
      <w:r>
        <w:rPr>
          <w:rFonts w:ascii="Verdana" w:eastAsia="Verdana" w:hAnsi="Verdana" w:cs="Verdana"/>
          <w:vertAlign w:val="superscript"/>
        </w:rPr>
        <w:footnoteReference w:id="357"/>
      </w:r>
      <w:r w:rsidRPr="005B5CB6">
        <w:rPr>
          <w:rFonts w:ascii="Verdana" w:eastAsia="Verdana" w:hAnsi="Verdana" w:cs="Verdana"/>
        </w:rPr>
        <w:t xml:space="preserve">). The result of the prioritisation of engagement in the design of content personalisation algorithms is that online spaces become distorted. Though these algorithms are content-neutral in theory – in that they typically don’t make any value judgement about the content itself – the prioritisation of engagement means that, in practice, they prioritise content that is shocking, controversial, or extreme. This content therefore becomes disseminated to a wider audience, while more mundane content is given less priority. A hypothetical analogy is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88368" name="Group 58836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337" name="Shape 63633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77" style="height:0.72pt;mso-position-horizontal-relative:char;mso-position-vertical-relative:line;width:2in" coordsize="18288,91">
                <v:shape id="_x0000_s137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that if the offline world was constructed by algorithms prioritising engagement, and those algorithms realised that people are prone to rubbernecking, then everything would be car crashes.  </w:t>
      </w:r>
    </w:p>
    <w:p w:rsidR="00FB0B24" w:rsidRPr="005B5CB6" w:rsidP="00CF6BAD">
      <w:pPr>
        <w:spacing w:after="17"/>
        <w:jc w:val="both"/>
        <w:rPr>
          <w:rFonts w:ascii="Verdana" w:hAnsi="Verdana"/>
        </w:rPr>
      </w:pPr>
      <w:r w:rsidRPr="005B5CB6">
        <w:rPr>
          <w:rFonts w:ascii="Verdana" w:eastAsia="Verdana" w:hAnsi="Verdana" w:cs="Verdana"/>
        </w:rPr>
        <w:t xml:space="preserve"> </w:t>
      </w:r>
    </w:p>
    <w:p w:rsidR="00FB0B24" w:rsidRPr="005B5CB6" w:rsidP="00575F14">
      <w:pPr>
        <w:numPr>
          <w:ilvl w:val="0"/>
          <w:numId w:val="231"/>
        </w:numPr>
        <w:spacing w:after="5" w:line="250" w:lineRule="auto"/>
        <w:ind w:right="11" w:hanging="360"/>
        <w:jc w:val="both"/>
        <w:rPr>
          <w:rFonts w:ascii="Verdana" w:hAnsi="Verdana"/>
        </w:rPr>
      </w:pPr>
      <w:r w:rsidRPr="005B5CB6">
        <w:rPr>
          <w:rFonts w:ascii="Verdana" w:eastAsia="Verdana" w:hAnsi="Verdana" w:cs="Verdana"/>
        </w:rPr>
        <w:t xml:space="preserve">When it comes to the impact of recommending on democratic debate, it’s important to understand that, in many cases, content isn’t itself a problem. If a conspiracy theory video is seen by ten people, for example, then that is unlikely in and of itself to be a public policy issue. However, if the audience for that content is artificially amplified by disseminating it to millions of people, and if that video is systematically placed alongside other, similar content also promoting the same conspiracy theory, then that potentially is a public policy issue. Audience and context are therefore arguably more important issues than individual items of content themselves. Algorithmic content personalisation using recommender systems provides potentially problematic content with both of these things. </w:t>
      </w:r>
    </w:p>
    <w:p w:rsidR="00FB0B24" w:rsidRPr="005B5CB6" w:rsidP="00CF6BAD">
      <w:pPr>
        <w:spacing w:after="7"/>
        <w:ind w:left="720"/>
        <w:jc w:val="both"/>
        <w:rPr>
          <w:rFonts w:ascii="Verdana" w:hAnsi="Verdana"/>
        </w:rPr>
      </w:pPr>
      <w:r w:rsidRPr="005B5CB6">
        <w:rPr>
          <w:rFonts w:ascii="Verdana" w:eastAsia="Verdana" w:hAnsi="Verdana" w:cs="Verdana"/>
        </w:rPr>
        <w:t xml:space="preserve"> </w:t>
      </w:r>
    </w:p>
    <w:p w:rsidR="00FB0B24" w:rsidRPr="005B5CB6" w:rsidP="00CF6BAD">
      <w:pPr>
        <w:spacing w:after="74" w:line="250" w:lineRule="auto"/>
        <w:ind w:left="375" w:right="11" w:hanging="360"/>
        <w:jc w:val="both"/>
        <w:rPr>
          <w:rFonts w:ascii="Verdana" w:hAnsi="Verdana"/>
        </w:rPr>
      </w:pPr>
      <w:r w:rsidRPr="005B5CB6">
        <w:rPr>
          <w:rFonts w:ascii="Verdana" w:eastAsia="Verdana" w:hAnsi="Verdana" w:cs="Verdana"/>
        </w:rPr>
        <w:t>10.Academic research</w:t>
      </w:r>
      <w:r w:rsidRPr="005B5CB6">
        <w:rPr>
          <w:rFonts w:ascii="Verdana" w:eastAsia="Verdana" w:hAnsi="Verdana" w:cs="Verdana"/>
          <w:vertAlign w:val="superscript"/>
        </w:rPr>
        <w:t>19</w:t>
      </w:r>
      <w:r w:rsidRPr="005B5CB6">
        <w:rPr>
          <w:rFonts w:ascii="Verdana" w:eastAsia="Verdana" w:hAnsi="Verdana" w:cs="Verdana"/>
        </w:rPr>
        <w:t xml:space="preserve"> and journalistic investigations</w:t>
      </w:r>
      <w:r w:rsidRPr="005B5CB6">
        <w:rPr>
          <w:rFonts w:ascii="Verdana" w:eastAsia="Verdana" w:hAnsi="Verdana" w:cs="Verdana"/>
          <w:vertAlign w:val="superscript"/>
        </w:rPr>
        <w:t>20</w:t>
      </w:r>
      <w:r w:rsidRPr="005B5CB6">
        <w:rPr>
          <w:rFonts w:ascii="Verdana" w:eastAsia="Verdana" w:hAnsi="Verdana" w:cs="Verdana"/>
        </w:rPr>
        <w:t xml:space="preserve"> have repeatedly produced evidence indicating that the prioritisation of engagement metrics (such as views, likes, and shares) over others has resulted in recommending playing a major role in the spread of material promoting violent extremism, disinformation, and conspiracy theories</w:t>
      </w:r>
      <w:r w:rsidRPr="005B5CB6">
        <w:rPr>
          <w:rFonts w:ascii="Verdana" w:eastAsia="Verdana" w:hAnsi="Verdana" w:cs="Verdana"/>
          <w:vertAlign w:val="superscript"/>
        </w:rPr>
        <w:t>21</w:t>
      </w:r>
      <w:r w:rsidRPr="005B5CB6">
        <w:rPr>
          <w:rFonts w:ascii="Verdana" w:eastAsia="Verdana" w:hAnsi="Verdana" w:cs="Verdana"/>
        </w:rPr>
        <w:t xml:space="preserve">. This can work in several ways. For instance, material or an extreme or controversial nature may be systematically promoted alongside other content of a similar nature, and recommended to users that may otherwise not have viewed it. Alternatively,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88637" name="Group 58863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339" name="Shape 63633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79" style="height:0.72pt;mso-position-horizontal-relative:char;mso-position-vertical-relative:line;width:2in" coordsize="18288,91">
                <v:shape id="_x0000_s1380"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CF6BAD">
      <w:pPr>
        <w:spacing w:after="28" w:line="249" w:lineRule="auto"/>
        <w:ind w:left="-2" w:hanging="10"/>
        <w:jc w:val="both"/>
        <w:rPr>
          <w:rFonts w:ascii="Verdana" w:hAnsi="Verdana"/>
        </w:rPr>
      </w:pPr>
      <w:r w:rsidRPr="005B5CB6">
        <w:rPr>
          <w:rFonts w:ascii="Verdana" w:eastAsia="Verdana" w:hAnsi="Verdana" w:cs="Verdana"/>
          <w:vertAlign w:val="superscript"/>
        </w:rPr>
        <w:t>19</w:t>
      </w:r>
      <w:r w:rsidRPr="005B5CB6">
        <w:rPr>
          <w:rFonts w:ascii="Verdana" w:eastAsia="Verdana" w:hAnsi="Verdana" w:cs="Verdana"/>
        </w:rPr>
        <w:t xml:space="preserve"> For example, Zoë Beery (2019) 'How YouTube reactionaries are breaking the news media', </w:t>
      </w:r>
      <w:r w:rsidRPr="005B5CB6">
        <w:rPr>
          <w:rFonts w:ascii="Verdana" w:eastAsia="Verdana" w:hAnsi="Verdana" w:cs="Verdana"/>
          <w:i/>
        </w:rPr>
        <w:t xml:space="preserve">Columbia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i/>
        </w:rPr>
        <w:t>Journalism Review</w:t>
      </w:r>
      <w:r w:rsidRPr="005B5CB6">
        <w:rPr>
          <w:rFonts w:ascii="Verdana" w:eastAsia="Verdana" w:hAnsi="Verdana" w:cs="Verdana"/>
        </w:rPr>
        <w:t xml:space="preserve"> [</w:t>
      </w:r>
      <w:r>
        <w:fldChar w:fldCharType="begin"/>
      </w:r>
      <w:r>
        <w:instrText xml:space="preserve"> HYPERLINK "https://www.cjr.org/analysis/youtube-breaking-news.php" </w:instrText>
      </w:r>
      <w:r>
        <w:fldChar w:fldCharType="separate"/>
      </w:r>
      <w:r w:rsidRPr="005B5CB6">
        <w:rPr>
          <w:rFonts w:ascii="Verdana" w:eastAsia="Verdana" w:hAnsi="Verdana" w:cs="Verdana"/>
          <w:color w:val="0563C1"/>
          <w:u w:val="single" w:color="0563C1"/>
        </w:rPr>
        <w:t>https://www.cjr.org/analysis/youtube-breaking-news.php</w:t>
      </w:r>
      <w:r>
        <w:fldChar w:fldCharType="end"/>
      </w:r>
      <w:r>
        <w:fldChar w:fldCharType="begin"/>
      </w:r>
      <w:r>
        <w:instrText xml:space="preserve"> HYPERLINK "https://www.cjr.org/analysis/youtube-breaking-news.php"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Jessie Daniels (2018) 'The Algorithmic Rise of the "Alt-Right"', </w:t>
      </w:r>
      <w:r w:rsidRPr="005B5CB6">
        <w:rPr>
          <w:rFonts w:ascii="Verdana" w:eastAsia="Verdana" w:hAnsi="Verdana" w:cs="Verdana"/>
          <w:i/>
        </w:rPr>
        <w:t>Contexts</w:t>
      </w:r>
      <w:r w:rsidRPr="005B5CB6">
        <w:rPr>
          <w:rFonts w:ascii="Verdana" w:eastAsia="Verdana" w:hAnsi="Verdana" w:cs="Verdana"/>
        </w:rPr>
        <w:t xml:space="preserve">, 17(1) </w:t>
      </w:r>
    </w:p>
    <w:p w:rsidR="00FB0B24" w:rsidRPr="005B5CB6" w:rsidP="00CF6BAD">
      <w:pPr>
        <w:spacing w:after="3" w:line="249" w:lineRule="auto"/>
        <w:ind w:left="-4" w:hanging="10"/>
        <w:jc w:val="both"/>
        <w:rPr>
          <w:rFonts w:ascii="Verdana" w:hAnsi="Verdana"/>
        </w:rPr>
      </w:pPr>
      <w:r>
        <w:fldChar w:fldCharType="begin"/>
      </w:r>
      <w:r>
        <w:instrText xml:space="preserve"> HYPERLINK "https://journals.sagepub.com/doi/10.1177/1536504218766547" </w:instrText>
      </w:r>
      <w:r>
        <w:fldChar w:fldCharType="separate"/>
      </w:r>
      <w:r w:rsidRPr="005B5CB6" w:rsidR="00A72806">
        <w:rPr>
          <w:rFonts w:ascii="Verdana" w:eastAsia="Verdana" w:hAnsi="Verdana" w:cs="Verdana"/>
        </w:rPr>
        <w:t>[</w:t>
      </w:r>
      <w:r>
        <w:fldChar w:fldCharType="end"/>
      </w:r>
      <w:r>
        <w:fldChar w:fldCharType="begin"/>
      </w:r>
      <w:r>
        <w:instrText xml:space="preserve"> HYPERLINK "https://journals.sagepub.com/doi/10.1177/1536504218766547" </w:instrText>
      </w:r>
      <w:r>
        <w:fldChar w:fldCharType="separate"/>
      </w:r>
      <w:r w:rsidRPr="005B5CB6" w:rsidR="00A72806">
        <w:rPr>
          <w:rFonts w:ascii="Verdana" w:eastAsia="Verdana" w:hAnsi="Verdana" w:cs="Verdana"/>
          <w:color w:val="0563C1"/>
          <w:u w:val="single" w:color="0563C1"/>
        </w:rPr>
        <w:t>https://journals.sagepub.com/doi/10.1177/1536504218766547</w:t>
      </w:r>
      <w:r>
        <w:fldChar w:fldCharType="end"/>
      </w:r>
      <w:r>
        <w:fldChar w:fldCharType="begin"/>
      </w:r>
      <w:r>
        <w:instrText xml:space="preserve"> HYPERLINK "https://journals.sagepub.com/doi/10.1177/1536504218766547"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Samantha Bradshaw and Phillip N Howard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(2018) ‘Why Does Junk News Spread So Quickly Across Social Media? Algorithms, Advertising and Exposure in Public Life’, </w:t>
      </w:r>
      <w:r w:rsidRPr="005B5CB6">
        <w:rPr>
          <w:rFonts w:ascii="Verdana" w:eastAsia="Verdana" w:hAnsi="Verdana" w:cs="Verdana"/>
          <w:i/>
        </w:rPr>
        <w:t>Oxford Internet Institute / Knight Foundation</w:t>
      </w:r>
      <w:r w:rsidRPr="005B5CB6">
        <w:rPr>
          <w:rFonts w:ascii="Verdana" w:eastAsia="Verdana" w:hAnsi="Verdana" w:cs="Verdana"/>
        </w:rPr>
        <w:t xml:space="preserve"> [</w:t>
      </w:r>
      <w:r>
        <w:fldChar w:fldCharType="begin"/>
      </w:r>
      <w:r>
        <w:instrText xml:space="preserve"> HYPERLINK "https://comprop.oii.ox.ac.uk/research/working-papers/why-does-junk-news-spread-so-quickly-across-social-media/" </w:instrText>
      </w:r>
      <w:r>
        <w:fldChar w:fldCharType="separate"/>
      </w:r>
      <w:r w:rsidRPr="005B5CB6">
        <w:rPr>
          <w:rFonts w:ascii="Verdana" w:eastAsia="Verdana" w:hAnsi="Verdana" w:cs="Verdana"/>
          <w:color w:val="0563C1"/>
          <w:u w:val="single" w:color="0563C1"/>
        </w:rPr>
        <w:t>https://comprop.oii.ox.ac.uk/research/working</w:t>
      </w:r>
      <w:r>
        <w:fldChar w:fldCharType="end"/>
      </w:r>
      <w:r>
        <w:fldChar w:fldCharType="begin"/>
      </w:r>
      <w:r>
        <w:instrText xml:space="preserve"> HYPERLINK "https://comprop.oii.ox.ac.uk/research/working-papers/why-does-junk-news-spread-so-quickly-across-social-media/" </w:instrText>
      </w:r>
      <w:r>
        <w:fldChar w:fldCharType="separate"/>
      </w:r>
      <w:r w:rsidRPr="005B5CB6">
        <w:rPr>
          <w:rFonts w:ascii="Verdana" w:eastAsia="Verdana" w:hAnsi="Verdana" w:cs="Verdana"/>
          <w:color w:val="0563C1"/>
          <w:u w:val="single" w:color="0563C1"/>
        </w:rPr>
        <w:t>papers/why-does-junk-news-spread-so-quickly-across-social-media/</w:t>
      </w:r>
      <w:r>
        <w:fldChar w:fldCharType="end"/>
      </w:r>
      <w:r>
        <w:fldChar w:fldCharType="begin"/>
      </w:r>
      <w:r>
        <w:instrText xml:space="preserve"> HYPERLINK "https://comprop.oii.ox.ac.uk/research/working-papers/why-does-junk-news-spread-so-quickly-across-social-media/"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Jonas Kaiser (2018) 'How YouTube helps to unite the Right', </w:t>
      </w:r>
      <w:r w:rsidRPr="005B5CB6">
        <w:rPr>
          <w:rFonts w:ascii="Verdana" w:eastAsia="Verdana" w:hAnsi="Verdana" w:cs="Verdana"/>
          <w:i/>
        </w:rPr>
        <w:t>Alexander von Humboldt Institute for Internet and Society - Digital Society Blog</w:t>
      </w:r>
      <w:r w:rsidRPr="005B5CB6">
        <w:rPr>
          <w:rFonts w:ascii="Verdana" w:eastAsia="Verdana" w:hAnsi="Verdana" w:cs="Verdana"/>
        </w:rPr>
        <w:t xml:space="preserve"> </w:t>
      </w:r>
      <w:r>
        <w:fldChar w:fldCharType="begin"/>
      </w:r>
      <w:r>
        <w:instrText xml:space="preserve"> HYPERLINK "https://www.hiig.de/en/how-youtube-helps-to-unite-the-right" </w:instrText>
      </w:r>
      <w:r>
        <w:fldChar w:fldCharType="separate"/>
      </w:r>
      <w:r w:rsidRPr="005B5CB6">
        <w:rPr>
          <w:rFonts w:ascii="Verdana" w:eastAsia="Verdana" w:hAnsi="Verdana" w:cs="Verdana"/>
        </w:rPr>
        <w:t>[</w:t>
      </w:r>
      <w:r>
        <w:fldChar w:fldCharType="end"/>
      </w:r>
      <w:r>
        <w:fldChar w:fldCharType="begin"/>
      </w:r>
      <w:r>
        <w:instrText xml:space="preserve"> HYPERLINK "https://www.hiig.de/en/how-youtube-helps-to-unite-the-right" </w:instrText>
      </w:r>
      <w:r>
        <w:fldChar w:fldCharType="separate"/>
      </w:r>
      <w:r w:rsidRPr="005B5CB6">
        <w:rPr>
          <w:rFonts w:ascii="Verdana" w:eastAsia="Verdana" w:hAnsi="Verdana" w:cs="Verdana"/>
          <w:color w:val="0563C1"/>
          <w:u w:val="single" w:color="0563C1"/>
        </w:rPr>
        <w:t>https://www.hiig.de/en/how-youtube-helps-to-unite-the-right</w:t>
      </w:r>
      <w:r>
        <w:fldChar w:fldCharType="end"/>
      </w:r>
      <w:r>
        <w:fldChar w:fldCharType="begin"/>
      </w:r>
      <w:r>
        <w:instrText xml:space="preserve"> HYPERLINK "https://www.hiig.de/en/how-youtube-helps-to-unite-the-right"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Adrienne Massanari (2017) ‘#Gamergate and The Fappening: How Reddit is algorithm, governance, and culture support toxic technocultures’, </w:t>
      </w:r>
      <w:r w:rsidRPr="005B5CB6">
        <w:rPr>
          <w:rFonts w:ascii="Verdana" w:eastAsia="Verdana" w:hAnsi="Verdana" w:cs="Verdana"/>
          <w:i/>
        </w:rPr>
        <w:t>new media &amp; society</w:t>
      </w:r>
      <w:r w:rsidRPr="005B5CB6">
        <w:rPr>
          <w:rFonts w:ascii="Verdana" w:eastAsia="Verdana" w:hAnsi="Verdana" w:cs="Verdana"/>
        </w:rPr>
        <w:t>, 19(3), pp.329-346 [</w:t>
      </w:r>
      <w:r>
        <w:fldChar w:fldCharType="begin"/>
      </w:r>
      <w:r>
        <w:instrText xml:space="preserve"> HYPERLINK "https://journals.sagepub.com/doi/abs/10.1177/1461444815608807" </w:instrText>
      </w:r>
      <w:r>
        <w:fldChar w:fldCharType="separate"/>
      </w:r>
      <w:r w:rsidRPr="005B5CB6">
        <w:rPr>
          <w:rFonts w:ascii="Verdana" w:eastAsia="Verdana" w:hAnsi="Verdana" w:cs="Verdana"/>
          <w:color w:val="0563C1"/>
          <w:u w:val="single" w:color="0563C1"/>
        </w:rPr>
        <w:t>https://journals.sagepub.com/doi/abs/10.1177/1461444815608807</w:t>
      </w:r>
      <w:r>
        <w:fldChar w:fldCharType="end"/>
      </w:r>
      <w:r>
        <w:fldChar w:fldCharType="begin"/>
      </w:r>
      <w:r>
        <w:instrText xml:space="preserve"> HYPERLINK "https://journals.sagepub.com/doi/abs/10.1177/1461444815608807"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Derek O'Callaghan, Derek Greene, Maura Conway, Joe Carthy, Pádraig Cunningham (2014) ‘Down the (White) Rabbit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Hole: The Extreme Right and Online Recommender Systems’, </w:t>
      </w:r>
      <w:r w:rsidRPr="005B5CB6">
        <w:rPr>
          <w:rFonts w:ascii="Verdana" w:eastAsia="Verdana" w:hAnsi="Verdana" w:cs="Verdana"/>
          <w:i/>
        </w:rPr>
        <w:t>Social Science Computer Review</w:t>
      </w:r>
      <w:r w:rsidRPr="005B5CB6">
        <w:rPr>
          <w:rFonts w:ascii="Verdana" w:eastAsia="Verdana" w:hAnsi="Verdana" w:cs="Verdana"/>
        </w:rPr>
        <w:t>, 33(4), pp.459478 [</w:t>
      </w:r>
      <w:r>
        <w:fldChar w:fldCharType="begin"/>
      </w:r>
      <w:r>
        <w:instrText xml:space="preserve"> HYPERLINK "https://journals.sagepub.com/doi/abs/10.1177/0894439314555329?journalCode=ssce" </w:instrText>
      </w:r>
      <w:r>
        <w:fldChar w:fldCharType="separate"/>
      </w:r>
      <w:r w:rsidRPr="005B5CB6">
        <w:rPr>
          <w:rFonts w:ascii="Verdana" w:eastAsia="Verdana" w:hAnsi="Verdana" w:cs="Verdana"/>
          <w:color w:val="0563C1"/>
          <w:u w:val="single" w:color="0563C1"/>
        </w:rPr>
        <w:t>https://journals.sagepub.com/doi/abs/10.1177/0894439314555329?journalCode=ssce</w:t>
      </w:r>
      <w:r>
        <w:fldChar w:fldCharType="end"/>
      </w:r>
      <w:r>
        <w:fldChar w:fldCharType="begin"/>
      </w:r>
      <w:r>
        <w:instrText xml:space="preserve"> HYPERLINK "https://journals.sagepub.com/doi/abs/10.1177/0894439314555329?journalCode=ssce"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vertAlign w:val="superscript"/>
        </w:rPr>
        <w:t>20</w:t>
      </w:r>
      <w:r w:rsidRPr="005B5CB6">
        <w:rPr>
          <w:rFonts w:ascii="Verdana" w:eastAsia="Verdana" w:hAnsi="Verdana" w:cs="Verdana"/>
        </w:rPr>
        <w:t xml:space="preserve"> For example, Renee DiResta (2019) 'How Amazon's Algorithms Curated a Dystopian Bookstore', </w:t>
      </w:r>
      <w:r w:rsidRPr="005B5CB6">
        <w:rPr>
          <w:rFonts w:ascii="Verdana" w:eastAsia="Verdana" w:hAnsi="Verdana" w:cs="Verdana"/>
          <w:i/>
        </w:rPr>
        <w:t xml:space="preserve">Wired </w:t>
      </w:r>
      <w:r>
        <w:fldChar w:fldCharType="begin"/>
      </w:r>
      <w:r>
        <w:instrText xml:space="preserve"> HYPERLINK "https://www.wired.com/story/amazon-and-the-spread-of-health-misinformation" </w:instrText>
      </w:r>
      <w:r>
        <w:fldChar w:fldCharType="separate"/>
      </w:r>
      <w:r w:rsidRPr="005B5CB6">
        <w:rPr>
          <w:rFonts w:ascii="Verdana" w:eastAsia="Verdana" w:hAnsi="Verdana" w:cs="Verdana"/>
        </w:rPr>
        <w:t>[</w:t>
      </w:r>
      <w:r>
        <w:fldChar w:fldCharType="end"/>
      </w:r>
      <w:r>
        <w:fldChar w:fldCharType="begin"/>
      </w:r>
      <w:r>
        <w:instrText xml:space="preserve"> HYPERLINK "https://www.wired.com/story/amazon-and-the-spread-of-health-misinformation" </w:instrText>
      </w:r>
      <w:r>
        <w:fldChar w:fldCharType="separate"/>
      </w:r>
      <w:r w:rsidRPr="005B5CB6">
        <w:rPr>
          <w:rFonts w:ascii="Verdana" w:eastAsia="Verdana" w:hAnsi="Verdana" w:cs="Verdana"/>
          <w:color w:val="0563C1"/>
          <w:u w:val="single" w:color="0563C1"/>
        </w:rPr>
        <w:t>https://www.wired.com/story/amazon-and-the-spread-of-health-misinformation</w:t>
      </w:r>
      <w:r>
        <w:fldChar w:fldCharType="end"/>
      </w:r>
      <w:r>
        <w:fldChar w:fldCharType="begin"/>
      </w:r>
      <w:r>
        <w:instrText xml:space="preserve"> HYPERLINK "https://www.wired.com/story/amazon-and-the-spread-of-health-misinformation"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Paul Lewis (2018) ''Fiction is outperforming reality': how YouTube's algorithm distorts truth', </w:t>
      </w:r>
      <w:r w:rsidRPr="005B5CB6">
        <w:rPr>
          <w:rFonts w:ascii="Verdana" w:eastAsia="Verdana" w:hAnsi="Verdana" w:cs="Verdana"/>
          <w:i/>
        </w:rPr>
        <w:t>The Guardian</w:t>
      </w:r>
      <w:r w:rsidRPr="005B5CB6">
        <w:rPr>
          <w:rFonts w:ascii="Verdana" w:eastAsia="Verdana" w:hAnsi="Verdana" w:cs="Verdana"/>
        </w:rPr>
        <w:t xml:space="preserve"> </w:t>
      </w:r>
    </w:p>
    <w:p w:rsidR="00FB0B24" w:rsidRPr="005B5CB6" w:rsidP="00CF6BAD">
      <w:pPr>
        <w:spacing w:after="4" w:line="249" w:lineRule="auto"/>
        <w:ind w:left="-2" w:hanging="10"/>
        <w:jc w:val="both"/>
        <w:rPr>
          <w:rFonts w:ascii="Verdana" w:hAnsi="Verdana"/>
        </w:rPr>
      </w:pPr>
      <w:r>
        <w:fldChar w:fldCharType="begin"/>
      </w:r>
      <w:r>
        <w:instrText xml:space="preserve"> HYPERLINK "https://www.theguardian.com/technology/2018/feb/02/how-youtubes-algorithm-distorts-truth" </w:instrText>
      </w:r>
      <w:r>
        <w:fldChar w:fldCharType="separate"/>
      </w:r>
      <w:r w:rsidRPr="005B5CB6" w:rsidR="00A72806">
        <w:rPr>
          <w:rFonts w:ascii="Verdana" w:eastAsia="Verdana" w:hAnsi="Verdana" w:cs="Verdana"/>
        </w:rPr>
        <w:t>[</w:t>
      </w:r>
      <w:r>
        <w:fldChar w:fldCharType="end"/>
      </w:r>
      <w:r>
        <w:fldChar w:fldCharType="begin"/>
      </w:r>
      <w:r>
        <w:instrText xml:space="preserve"> HYPERLINK "https://www.theguardian.com/technology/2018/feb/02/how-youtubes-algorithm-distorts-truth" </w:instrText>
      </w:r>
      <w:r>
        <w:fldChar w:fldCharType="separate"/>
      </w:r>
      <w:r w:rsidRPr="005B5CB6" w:rsidR="00A72806">
        <w:rPr>
          <w:rFonts w:ascii="Verdana" w:eastAsia="Verdana" w:hAnsi="Verdana" w:cs="Verdana"/>
          <w:color w:val="0563C1"/>
          <w:u w:val="single" w:color="0563C1"/>
        </w:rPr>
        <w:t>https://www.theguardian.com/technology/2018/feb/02/how-youtubes-algorithm-distorts-truth</w:t>
      </w:r>
      <w:r>
        <w:fldChar w:fldCharType="end"/>
      </w:r>
      <w:r>
        <w:fldChar w:fldCharType="begin"/>
      </w:r>
      <w:r>
        <w:instrText xml:space="preserve"> HYPERLINK "https://www.theguardian.com/technology/2018/feb/02/how-youtubes-algorithm-distorts-truth"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Caroline O'Donovan, Charlie Warzel, Logan McDonald, Brian Clifton, and Max Woolf (2019) 'We Followed YouTube's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Recommendation Algorithm Down The Rabbit Hole', </w:t>
      </w:r>
      <w:r w:rsidRPr="005B5CB6">
        <w:rPr>
          <w:rFonts w:ascii="Verdana" w:eastAsia="Verdana" w:hAnsi="Verdana" w:cs="Verdana"/>
          <w:i/>
        </w:rPr>
        <w:t>Buzzfeed News</w:t>
      </w:r>
      <w:r w:rsidRPr="005B5CB6">
        <w:rPr>
          <w:rFonts w:ascii="Verdana" w:eastAsia="Verdana" w:hAnsi="Verdana" w:cs="Verdana"/>
        </w:rPr>
        <w:t xml:space="preserve"> </w:t>
      </w:r>
    </w:p>
    <w:p w:rsidR="00FB0B24" w:rsidRPr="005B5CB6" w:rsidP="00CF6BAD">
      <w:pPr>
        <w:spacing w:after="3" w:line="249" w:lineRule="auto"/>
        <w:ind w:left="-4" w:hanging="10"/>
        <w:jc w:val="both"/>
        <w:rPr>
          <w:rFonts w:ascii="Verdana" w:hAnsi="Verdana"/>
        </w:rPr>
      </w:pPr>
      <w:r>
        <w:fldChar w:fldCharType="begin"/>
      </w:r>
      <w:r>
        <w:instrText xml:space="preserve"> HYPERLINK "https://www.buzzfeednews.com/article/carolineodonovan/down-youtubes-recommendation-rabbithole" </w:instrText>
      </w:r>
      <w:r>
        <w:fldChar w:fldCharType="separate"/>
      </w:r>
      <w:r w:rsidRPr="005B5CB6" w:rsidR="00A72806">
        <w:rPr>
          <w:rFonts w:ascii="Verdana" w:eastAsia="Verdana" w:hAnsi="Verdana" w:cs="Verdana"/>
        </w:rPr>
        <w:t>[</w:t>
      </w:r>
      <w:r>
        <w:fldChar w:fldCharType="end"/>
      </w:r>
      <w:r>
        <w:fldChar w:fldCharType="begin"/>
      </w:r>
      <w:r>
        <w:instrText xml:space="preserve"> HYPERLINK "https://www.buzzfeednews.com/article/carolineodonovan/down-youtubes-recommendation-rabbithole" </w:instrText>
      </w:r>
      <w:r>
        <w:fldChar w:fldCharType="separate"/>
      </w:r>
      <w:r w:rsidRPr="005B5CB6" w:rsidR="00A72806">
        <w:rPr>
          <w:rFonts w:ascii="Verdana" w:eastAsia="Verdana" w:hAnsi="Verdana" w:cs="Verdana"/>
          <w:color w:val="0563C1"/>
          <w:u w:val="single" w:color="0563C1"/>
        </w:rPr>
        <w:t>https://www.buzzfeednews.com/article/carolineodonovan/down-youtubes-recommendation-rabbithole</w:t>
      </w:r>
      <w:r>
        <w:fldChar w:fldCharType="end"/>
      </w:r>
      <w:r>
        <w:fldChar w:fldCharType="begin"/>
      </w:r>
      <w:r>
        <w:instrText xml:space="preserve"> HYPERLINK "https://www.buzzfeednews.com/article/carolineodonovan/down-youtubes-recommendation-rabbithole"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John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C Paolillo (2018) ‘The Flat Earth Phenomenon on YouTube’, </w:t>
      </w:r>
      <w:r w:rsidRPr="005B5CB6">
        <w:rPr>
          <w:rFonts w:ascii="Verdana" w:eastAsia="Verdana" w:hAnsi="Verdana" w:cs="Verdana"/>
          <w:i/>
        </w:rPr>
        <w:t>First Monday</w:t>
      </w:r>
      <w:r w:rsidRPr="005B5CB6">
        <w:rPr>
          <w:rFonts w:ascii="Verdana" w:eastAsia="Verdana" w:hAnsi="Verdana" w:cs="Verdana"/>
        </w:rPr>
        <w:t xml:space="preserve">, 23(12) </w:t>
      </w:r>
    </w:p>
    <w:p w:rsidR="00FB0B24" w:rsidRPr="005B5CB6" w:rsidP="00CF6BAD">
      <w:pPr>
        <w:spacing w:after="3" w:line="249" w:lineRule="auto"/>
        <w:ind w:left="-4" w:hanging="10"/>
        <w:jc w:val="both"/>
        <w:rPr>
          <w:rFonts w:ascii="Verdana" w:hAnsi="Verdana"/>
        </w:rPr>
      </w:pPr>
      <w:r>
        <w:fldChar w:fldCharType="begin"/>
      </w:r>
      <w:r>
        <w:instrText xml:space="preserve"> HYPERLINK "https://firstmonday.org/ojs/index.php/fm/article/view/8251/7693" </w:instrText>
      </w:r>
      <w:r>
        <w:fldChar w:fldCharType="separate"/>
      </w:r>
      <w:r w:rsidRPr="005B5CB6" w:rsidR="00A72806">
        <w:rPr>
          <w:rFonts w:ascii="Verdana" w:eastAsia="Verdana" w:hAnsi="Verdana" w:cs="Verdana"/>
        </w:rPr>
        <w:t>[</w:t>
      </w:r>
      <w:r>
        <w:fldChar w:fldCharType="end"/>
      </w:r>
      <w:r>
        <w:fldChar w:fldCharType="begin"/>
      </w:r>
      <w:r>
        <w:instrText xml:space="preserve"> HYPERLINK "https://firstmonday.org/ojs/index.php/fm/article/view/8251/7693" </w:instrText>
      </w:r>
      <w:r>
        <w:fldChar w:fldCharType="separate"/>
      </w:r>
      <w:r w:rsidRPr="005B5CB6" w:rsidR="00A72806">
        <w:rPr>
          <w:rFonts w:ascii="Verdana" w:eastAsia="Verdana" w:hAnsi="Verdana" w:cs="Verdana"/>
          <w:color w:val="0563C1"/>
          <w:u w:val="single" w:color="0563C1"/>
        </w:rPr>
        <w:t>https://firstmonday.org/ojs/index.php/fm/article/view/8251/7693</w:t>
      </w:r>
      <w:r>
        <w:fldChar w:fldCharType="end"/>
      </w:r>
      <w:r>
        <w:fldChar w:fldCharType="begin"/>
      </w:r>
      <w:r>
        <w:instrText xml:space="preserve"> HYPERLINK "https://firstmonday.org/ojs/index.php/fm/article/view/8251/7693"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Matt Reynolds (2019) 'Think Facebook has an anti-vaxxer problem? You should see Amazon', </w:t>
      </w:r>
      <w:r w:rsidRPr="005B5CB6" w:rsidR="00A72806">
        <w:rPr>
          <w:rFonts w:ascii="Verdana" w:eastAsia="Verdana" w:hAnsi="Verdana" w:cs="Verdana"/>
          <w:i/>
        </w:rPr>
        <w:t>Wired</w:t>
      </w:r>
      <w:r w:rsidRPr="005B5CB6" w:rsidR="00A72806">
        <w:rPr>
          <w:rFonts w:ascii="Verdana" w:eastAsia="Verdana" w:hAnsi="Verdana" w:cs="Verdana"/>
        </w:rPr>
        <w:t xml:space="preserve"> [</w:t>
      </w:r>
      <w:r>
        <w:fldChar w:fldCharType="begin"/>
      </w:r>
      <w:r>
        <w:instrText xml:space="preserve"> HYPERLINK "https://www.wired.co.uk/article/facebook-anti-vaccine-disinformation" </w:instrText>
      </w:r>
      <w:r>
        <w:fldChar w:fldCharType="separate"/>
      </w:r>
      <w:r w:rsidRPr="005B5CB6" w:rsidR="00A72806">
        <w:rPr>
          <w:rFonts w:ascii="Verdana" w:eastAsia="Verdana" w:hAnsi="Verdana" w:cs="Verdana"/>
          <w:color w:val="0563C1"/>
          <w:u w:val="single" w:color="0563C1"/>
        </w:rPr>
        <w:t>https://www.wired.co.uk/article/facebook-anti</w:t>
      </w:r>
      <w:r>
        <w:fldChar w:fldCharType="end"/>
      </w:r>
      <w:r>
        <w:fldChar w:fldCharType="begin"/>
      </w:r>
      <w:r>
        <w:instrText xml:space="preserve"> HYPERLINK "https://www.wired.co.uk/article/facebook-anti-vaccine-disinformation" </w:instrText>
      </w:r>
      <w:r>
        <w:fldChar w:fldCharType="separate"/>
      </w:r>
      <w:r w:rsidRPr="005B5CB6" w:rsidR="00A72806">
        <w:rPr>
          <w:rFonts w:ascii="Verdana" w:eastAsia="Verdana" w:hAnsi="Verdana" w:cs="Verdana"/>
          <w:color w:val="0563C1"/>
          <w:u w:val="single" w:color="0563C1"/>
        </w:rPr>
        <w:t>vaccine-disinformation</w:t>
      </w:r>
      <w:r>
        <w:fldChar w:fldCharType="end"/>
      </w:r>
      <w:r>
        <w:fldChar w:fldCharType="begin"/>
      </w:r>
      <w:r>
        <w:instrText xml:space="preserve"> HYPERLINK "https://www.wired.co.uk/article/facebook-anti-vaccine-disinformation"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Kelly Weill (2018) 'How YouTube Built a Radicalization Machine for the Far-Right', </w:t>
      </w:r>
      <w:r w:rsidRPr="005B5CB6" w:rsidR="00A72806">
        <w:rPr>
          <w:rFonts w:ascii="Verdana" w:eastAsia="Verdana" w:hAnsi="Verdana" w:cs="Verdana"/>
          <w:i/>
        </w:rPr>
        <w:t>The Daily Beast</w:t>
      </w:r>
      <w:r w:rsidRPr="005B5CB6" w:rsidR="00A72806">
        <w:rPr>
          <w:rFonts w:ascii="Verdana" w:eastAsia="Verdana" w:hAnsi="Verdana" w:cs="Verdana"/>
        </w:rPr>
        <w:t xml:space="preserve"> [</w:t>
      </w:r>
      <w:r>
        <w:fldChar w:fldCharType="begin"/>
      </w:r>
      <w:r>
        <w:instrText xml:space="preserve"> HYPERLINK "https://www.thedailybeast.com/how-youtube-pulled-these-men-down-a-vortex-of-far-right-hate" </w:instrText>
      </w:r>
      <w:r>
        <w:fldChar w:fldCharType="separate"/>
      </w:r>
      <w:r w:rsidRPr="005B5CB6" w:rsidR="00A72806">
        <w:rPr>
          <w:rFonts w:ascii="Verdana" w:eastAsia="Verdana" w:hAnsi="Verdana" w:cs="Verdana"/>
          <w:color w:val="0563C1"/>
          <w:u w:val="single" w:color="0563C1"/>
        </w:rPr>
        <w:t>https://www.thedailybeast.com/how-youtube-pulled-these-men-down-a-vortex-of-far-right-hate</w:t>
      </w:r>
      <w:r>
        <w:fldChar w:fldCharType="end"/>
      </w:r>
      <w:r>
        <w:fldChar w:fldCharType="begin"/>
      </w:r>
      <w:r>
        <w:instrText xml:space="preserve"> HYPERLINK "https://www.thedailybeast.com/how-youtube-pulled-these-men-down-a-vortex-of-far-right-hate"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w:t>
      </w:r>
    </w:p>
    <w:p w:rsidR="00FB0B24" w:rsidRPr="005B5CB6" w:rsidP="00CF6BAD">
      <w:pPr>
        <w:spacing w:after="3" w:line="249" w:lineRule="auto"/>
        <w:ind w:left="-4" w:hanging="10"/>
        <w:jc w:val="both"/>
        <w:rPr>
          <w:rFonts w:ascii="Verdana" w:hAnsi="Verdana"/>
        </w:rPr>
      </w:pPr>
      <w:r w:rsidRPr="005B5CB6">
        <w:rPr>
          <w:rFonts w:ascii="Verdana" w:eastAsia="Verdana" w:hAnsi="Verdana" w:cs="Verdana"/>
        </w:rPr>
        <w:t xml:space="preserve">Julia Carrie Wong (2019) 'How Facebook and YouTube help spread anti-vaxxer propaganda', </w:t>
      </w:r>
      <w:r w:rsidRPr="005B5CB6">
        <w:rPr>
          <w:rFonts w:ascii="Verdana" w:eastAsia="Verdana" w:hAnsi="Verdana" w:cs="Verdana"/>
          <w:i/>
        </w:rPr>
        <w:t>The Guardian</w:t>
      </w:r>
      <w:r w:rsidRPr="005B5CB6">
        <w:rPr>
          <w:rFonts w:ascii="Verdana" w:eastAsia="Verdana" w:hAnsi="Verdana" w:cs="Verdana"/>
        </w:rPr>
        <w:t xml:space="preserve"> </w:t>
      </w:r>
      <w:r>
        <w:fldChar w:fldCharType="begin"/>
      </w:r>
      <w:r>
        <w:instrText xml:space="preserve"> HYPERLINK "https://www.theguardian.com/media/2019/feb/01/facebook-youtube-anti-vaccination-misinformation-social-media" </w:instrText>
      </w:r>
      <w:r>
        <w:fldChar w:fldCharType="separate"/>
      </w:r>
      <w:r w:rsidRPr="005B5CB6">
        <w:rPr>
          <w:rFonts w:ascii="Verdana" w:eastAsia="Verdana" w:hAnsi="Verdana" w:cs="Verdana"/>
        </w:rPr>
        <w:t>[</w:t>
      </w:r>
      <w:r>
        <w:fldChar w:fldCharType="end"/>
      </w:r>
      <w:r>
        <w:fldChar w:fldCharType="begin"/>
      </w:r>
      <w:r>
        <w:instrText xml:space="preserve"> HYPERLINK "https://www.theguardian.com/media/2019/feb/01/facebook-youtube-anti-vaccination-misinformation-social-media" </w:instrText>
      </w:r>
      <w:r>
        <w:fldChar w:fldCharType="separate"/>
      </w:r>
      <w:r w:rsidRPr="005B5CB6">
        <w:rPr>
          <w:rFonts w:ascii="Verdana" w:eastAsia="Verdana" w:hAnsi="Verdana" w:cs="Verdana"/>
          <w:color w:val="0563C1"/>
          <w:u w:val="single" w:color="0563C1"/>
        </w:rPr>
        <w:t>https://www.theguardian.com/media/2019/feb/01/facebook-youtube-anti-vaccination-misinformation-social</w:t>
      </w:r>
      <w:r>
        <w:fldChar w:fldCharType="end"/>
      </w:r>
      <w:r>
        <w:fldChar w:fldCharType="begin"/>
      </w:r>
      <w:r>
        <w:instrText xml:space="preserve"> HYPERLINK "https://www.theguardian.com/media/2019/feb/01/facebook-youtube-anti-vaccination-misinformation-social-media" </w:instrText>
      </w:r>
      <w:r>
        <w:fldChar w:fldCharType="separate"/>
      </w:r>
      <w:r w:rsidRPr="005B5CB6">
        <w:rPr>
          <w:rFonts w:ascii="Verdana" w:eastAsia="Verdana" w:hAnsi="Verdana" w:cs="Verdana"/>
          <w:color w:val="0563C1"/>
          <w:u w:val="single" w:color="0563C1"/>
        </w:rPr>
        <w:t>media</w:t>
      </w:r>
      <w:r>
        <w:fldChar w:fldCharType="end"/>
      </w:r>
      <w:r>
        <w:fldChar w:fldCharType="begin"/>
      </w:r>
      <w:r>
        <w:instrText xml:space="preserve"> HYPERLINK "https://www.theguardian.com/media/2019/feb/01/facebook-youtube-anti-vaccination-misinformation-social-media"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575F14">
      <w:pPr>
        <w:numPr>
          <w:ilvl w:val="0"/>
          <w:numId w:val="232"/>
        </w:numPr>
        <w:spacing w:after="4" w:line="249" w:lineRule="auto"/>
        <w:ind w:hanging="187"/>
        <w:jc w:val="both"/>
        <w:rPr>
          <w:rFonts w:ascii="Verdana" w:hAnsi="Verdana"/>
        </w:rPr>
      </w:pPr>
      <w:r w:rsidRPr="005B5CB6">
        <w:rPr>
          <w:rFonts w:ascii="Verdana" w:eastAsia="Verdana" w:hAnsi="Verdana" w:cs="Verdana"/>
        </w:rPr>
        <w:t>For a review of the literature, see Jennifer Cobbe and Jatinder Singh, ‘Regulating Recommending: Motivations, Considerations, and Principles’ [</w:t>
      </w:r>
      <w:r>
        <w:fldChar w:fldCharType="begin"/>
      </w:r>
      <w:r>
        <w:instrText xml:space="preserve"> HYPERLINK "https://ssrn.com/abstract=3371830" </w:instrText>
      </w:r>
      <w:r>
        <w:fldChar w:fldCharType="separate"/>
      </w:r>
      <w:r w:rsidRPr="005B5CB6">
        <w:rPr>
          <w:rFonts w:ascii="Verdana" w:eastAsia="Verdana" w:hAnsi="Verdana" w:cs="Verdana"/>
          <w:color w:val="0563C1"/>
          <w:u w:val="single" w:color="0563C1"/>
        </w:rPr>
        <w:t>https://ssrn.com/abstract=3371830</w:t>
      </w:r>
      <w:r>
        <w:fldChar w:fldCharType="end"/>
      </w:r>
      <w:r>
        <w:fldChar w:fldCharType="begin"/>
      </w:r>
      <w:r>
        <w:instrText xml:space="preserve"> HYPERLINK "https://ssrn.com/abstract=3371830"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pp.20-28. </w:t>
      </w:r>
    </w:p>
    <w:p w:rsidR="00FB0B24" w:rsidRPr="005B5CB6" w:rsidP="00CF6BAD">
      <w:pPr>
        <w:spacing w:after="51" w:line="250" w:lineRule="auto"/>
        <w:ind w:left="368" w:right="11" w:hanging="8"/>
        <w:jc w:val="both"/>
        <w:rPr>
          <w:rFonts w:ascii="Verdana" w:hAnsi="Verdana"/>
        </w:rPr>
      </w:pPr>
      <w:r w:rsidRPr="005B5CB6">
        <w:rPr>
          <w:rFonts w:ascii="Verdana" w:eastAsia="Verdana" w:hAnsi="Verdana" w:cs="Verdana"/>
        </w:rPr>
        <w:t>content that debunks conspiracy theories or challenges extremism can become drowned out by content promoting those things. For example, earlier in 2019, a pro-vaccination charity was forced to leave YouTube because antivaccine conspiracy theory videos were repeatedly being promoted alongside their own content</w:t>
      </w:r>
      <w:r w:rsidRPr="005B5CB6">
        <w:rPr>
          <w:rFonts w:ascii="Verdana" w:eastAsia="Verdana" w:hAnsi="Verdana" w:cs="Verdana"/>
          <w:vertAlign w:val="superscript"/>
        </w:rPr>
        <w:t>22</w:t>
      </w:r>
      <w:r w:rsidRPr="005B5CB6">
        <w:rPr>
          <w:rFonts w:ascii="Verdana" w:eastAsia="Verdana" w:hAnsi="Verdana" w:cs="Verdana"/>
        </w:rPr>
        <w:t>. Indeed, it appears that seeding ‘counter-messages’ (content intended to counter disinformation, conspiracy theories, and so on) may merely result in the very content they are intended to ‘counter’ being recommended alongside them, thereby potentially increasing its exposure</w:t>
      </w:r>
      <w:r w:rsidRPr="005B5CB6">
        <w:rPr>
          <w:rFonts w:ascii="Verdana" w:eastAsia="Verdana" w:hAnsi="Verdana" w:cs="Verdana"/>
          <w:vertAlign w:val="superscript"/>
        </w:rPr>
        <w:t>23</w:t>
      </w:r>
      <w:r w:rsidRPr="005B5CB6">
        <w:rPr>
          <w:rFonts w:ascii="Verdana" w:eastAsia="Verdana" w:hAnsi="Verdana" w:cs="Verdana"/>
        </w:rPr>
        <w:t xml:space="preserve"> </w:t>
      </w:r>
    </w:p>
    <w:p w:rsidR="00FB0B24" w:rsidRPr="005B5CB6" w:rsidP="00CF6BAD">
      <w:pPr>
        <w:spacing w:after="17"/>
        <w:jc w:val="both"/>
        <w:rPr>
          <w:rFonts w:ascii="Verdana" w:hAnsi="Verdana"/>
        </w:rPr>
      </w:pPr>
      <w:r w:rsidRPr="005B5CB6">
        <w:rPr>
          <w:rFonts w:ascii="Verdana" w:eastAsia="Verdana" w:hAnsi="Verdana" w:cs="Verdana"/>
        </w:rPr>
        <w:t xml:space="preserve"> </w:t>
      </w:r>
    </w:p>
    <w:p w:rsidR="00FB0B24" w:rsidRPr="005B5CB6" w:rsidP="00CF6BAD">
      <w:pPr>
        <w:spacing w:after="551" w:line="250" w:lineRule="auto"/>
        <w:ind w:left="375" w:right="11" w:hanging="360"/>
        <w:jc w:val="both"/>
        <w:rPr>
          <w:rFonts w:ascii="Verdana" w:hAnsi="Verdana"/>
        </w:rPr>
      </w:pPr>
      <w:r w:rsidRPr="005B5CB6">
        <w:rPr>
          <w:rFonts w:ascii="Verdana" w:eastAsia="Verdana" w:hAnsi="Verdana" w:cs="Verdana"/>
        </w:rPr>
        <w:t>11.There is some evidence that algorithmic personalisation on social platforms contributes to an increase in the polarisation and fragmentation of the content seen by users</w:t>
      </w:r>
      <w:r w:rsidRPr="005B5CB6">
        <w:rPr>
          <w:rFonts w:ascii="Verdana" w:eastAsia="Verdana" w:hAnsi="Verdana" w:cs="Verdana"/>
          <w:vertAlign w:val="superscript"/>
        </w:rPr>
        <w:t>24</w:t>
      </w:r>
      <w:r w:rsidRPr="005B5CB6">
        <w:rPr>
          <w:rFonts w:ascii="Verdana" w:eastAsia="Verdana" w:hAnsi="Verdana" w:cs="Verdana"/>
        </w:rPr>
        <w:t xml:space="preserve"> (although this does not appear to be the case with personalisation on news media websites</w:t>
      </w:r>
      <w:r w:rsidRPr="005B5CB6">
        <w:rPr>
          <w:rFonts w:ascii="Verdana" w:eastAsia="Verdana" w:hAnsi="Verdana" w:cs="Verdana"/>
          <w:vertAlign w:val="superscript"/>
        </w:rPr>
        <w:t>25</w:t>
      </w:r>
      <w:r w:rsidRPr="005B5CB6">
        <w:rPr>
          <w:rFonts w:ascii="Verdana" w:eastAsia="Verdana" w:hAnsi="Verdana" w:cs="Verdana"/>
        </w:rPr>
        <w:t xml:space="preserve">). It is not clear to what extent this is a result of the operation of the platforms’ algorithms themselves or as a result of natural human psychological biases. Evidence suggests that the polarising and fragmenting effect of social platforms may be a combination of the design of personalisation algorithms and these human biases. However, the extent of the influence of each factor is unclear, and there is also evidence of polarisation and fragmentation on platforms that do not use algorithmic personalisation. It is also unclear whether increasingly polarised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90094" name="Group 59009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343" name="Shape 63634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81" style="height:0.72pt;mso-position-horizontal-relative:char;mso-position-vertical-relative:line;width:2in" coordsize="18288,91">
                <v:shape id="_x0000_s1382"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232"/>
        </w:numPr>
        <w:spacing w:after="3" w:line="249" w:lineRule="auto"/>
        <w:ind w:hanging="187"/>
        <w:jc w:val="both"/>
        <w:rPr>
          <w:rFonts w:ascii="Verdana" w:hAnsi="Verdana"/>
        </w:rPr>
      </w:pPr>
      <w:r w:rsidRPr="005B5CB6">
        <w:rPr>
          <w:rFonts w:ascii="Verdana" w:eastAsia="Verdana" w:hAnsi="Verdana" w:cs="Verdana"/>
        </w:rPr>
        <w:t xml:space="preserve">Brandy Zadrozny (2019) 'Drowned out by the algorithm: Vaccination advocates struggle to be heard online', </w:t>
      </w:r>
      <w:r w:rsidRPr="005B5CB6">
        <w:rPr>
          <w:rFonts w:ascii="Verdana" w:eastAsia="Verdana" w:hAnsi="Verdana" w:cs="Verdana"/>
          <w:i/>
        </w:rPr>
        <w:t>NBC News</w:t>
      </w:r>
      <w:r w:rsidRPr="005B5CB6">
        <w:rPr>
          <w:rFonts w:ascii="Verdana" w:eastAsia="Verdana" w:hAnsi="Verdana" w:cs="Verdana"/>
        </w:rPr>
        <w:t xml:space="preserve"> [</w:t>
      </w:r>
      <w:r>
        <w:fldChar w:fldCharType="begin"/>
      </w:r>
      <w:r>
        <w:instrText xml:space="preserve"> HYPERLINK "https://www.nbcnews.com/tech/tech-news/drowned-out-algorithm-pro-vaccination-advocates-struggle-be-heard-online-n976321" </w:instrText>
      </w:r>
      <w:r>
        <w:fldChar w:fldCharType="separate"/>
      </w:r>
      <w:r w:rsidRPr="005B5CB6">
        <w:rPr>
          <w:rFonts w:ascii="Verdana" w:eastAsia="Verdana" w:hAnsi="Verdana" w:cs="Verdana"/>
          <w:color w:val="0563C1"/>
          <w:u w:val="single" w:color="0563C1"/>
        </w:rPr>
        <w:t>https://www.nbcnews.com/tech/tech-</w:t>
      </w:r>
      <w:r w:rsidRPr="005B5CB6">
        <w:rPr>
          <w:rFonts w:ascii="Verdana" w:eastAsia="Verdana" w:hAnsi="Verdana" w:cs="Verdana"/>
          <w:color w:val="0563C1"/>
          <w:u w:val="single" w:color="0563C1"/>
        </w:rPr>
        <w:t>news/drowned-out-algorithm-pro-vaccination-advocates</w:t>
      </w:r>
      <w:r>
        <w:fldChar w:fldCharType="end"/>
      </w:r>
      <w:r>
        <w:fldChar w:fldCharType="begin"/>
      </w:r>
      <w:r>
        <w:instrText xml:space="preserve"> HYPERLINK "https://www.nbcnews.com/tech/tech-news/drowned-out-algorithm-pro-vaccination-advocates-struggle-be-heard-online-n976321" </w:instrText>
      </w:r>
      <w:r>
        <w:fldChar w:fldCharType="separate"/>
      </w:r>
      <w:r w:rsidRPr="005B5CB6">
        <w:rPr>
          <w:rFonts w:ascii="Verdana" w:eastAsia="Verdana" w:hAnsi="Verdana" w:cs="Verdana"/>
          <w:color w:val="0563C1"/>
          <w:u w:val="single" w:color="0563C1"/>
        </w:rPr>
        <w:t>struggle-be-heard-online-n976321</w:t>
      </w:r>
      <w:r>
        <w:fldChar w:fldCharType="end"/>
      </w:r>
      <w:r>
        <w:fldChar w:fldCharType="begin"/>
      </w:r>
      <w:r>
        <w:instrText xml:space="preserve"> HYPERLINK "https://www.nbcnews.com/tech/tech-news/drowned-out-algorithm-pro-vaccination-advocates-struggle-be-heard-online-n976321"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575F14">
      <w:pPr>
        <w:numPr>
          <w:ilvl w:val="0"/>
          <w:numId w:val="232"/>
        </w:numPr>
        <w:spacing w:after="4" w:line="249" w:lineRule="auto"/>
        <w:ind w:hanging="187"/>
        <w:jc w:val="both"/>
        <w:rPr>
          <w:rFonts w:ascii="Verdana" w:hAnsi="Verdana"/>
        </w:rPr>
      </w:pPr>
      <w:r w:rsidRPr="005B5CB6">
        <w:rPr>
          <w:rFonts w:ascii="Verdana" w:eastAsia="Verdana" w:hAnsi="Verdana" w:cs="Verdana"/>
        </w:rPr>
        <w:t xml:space="preserve">Josephine B Schmitt, Diana Rieger, Olivia Rutkowski, and Julian Ernst (2018), ‘Counter-messages as Prevention or Promotion of Extremism?! The Potential Role of YouTube’, </w:t>
      </w:r>
      <w:r w:rsidRPr="005B5CB6">
        <w:rPr>
          <w:rFonts w:ascii="Verdana" w:eastAsia="Verdana" w:hAnsi="Verdana" w:cs="Verdana"/>
          <w:i/>
        </w:rPr>
        <w:t>Journal of Communications</w:t>
      </w:r>
      <w:r w:rsidRPr="005B5CB6">
        <w:rPr>
          <w:rFonts w:ascii="Verdana" w:eastAsia="Verdana" w:hAnsi="Verdana" w:cs="Verdana"/>
        </w:rPr>
        <w:t xml:space="preserve">, 68 </w:t>
      </w:r>
      <w:r>
        <w:fldChar w:fldCharType="begin"/>
      </w:r>
      <w:r>
        <w:instrText xml:space="preserve"> HYPERLINK "https://academic.oup.com/joc/article/68/4/780/5042003" </w:instrText>
      </w:r>
      <w:r>
        <w:fldChar w:fldCharType="separate"/>
      </w:r>
      <w:r w:rsidRPr="005B5CB6">
        <w:rPr>
          <w:rFonts w:ascii="Verdana" w:eastAsia="Verdana" w:hAnsi="Verdana" w:cs="Verdana"/>
        </w:rPr>
        <w:t>[</w:t>
      </w:r>
      <w:r>
        <w:fldChar w:fldCharType="end"/>
      </w:r>
      <w:r>
        <w:fldChar w:fldCharType="begin"/>
      </w:r>
      <w:r>
        <w:instrText xml:space="preserve"> HYPERLINK "https://academic.oup.com/joc/article/68/4/780/5042003" </w:instrText>
      </w:r>
      <w:r>
        <w:fldChar w:fldCharType="separate"/>
      </w:r>
      <w:r w:rsidRPr="005B5CB6">
        <w:rPr>
          <w:rFonts w:ascii="Verdana" w:eastAsia="Verdana" w:hAnsi="Verdana" w:cs="Verdana"/>
          <w:color w:val="0563C1"/>
          <w:u w:val="single" w:color="0563C1"/>
        </w:rPr>
        <w:t>https://academic.oup.com/joc/article/68/4/780/5042003</w:t>
      </w:r>
      <w:r>
        <w:fldChar w:fldCharType="end"/>
      </w:r>
      <w:r>
        <w:fldChar w:fldCharType="begin"/>
      </w:r>
      <w:r>
        <w:instrText xml:space="preserve"> HYPERLINK "https://academic.oup.com/joc/article/68/4/780/5042003"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575F14">
      <w:pPr>
        <w:numPr>
          <w:ilvl w:val="0"/>
          <w:numId w:val="232"/>
        </w:numPr>
        <w:spacing w:after="4" w:line="249" w:lineRule="auto"/>
        <w:ind w:hanging="187"/>
        <w:jc w:val="both"/>
        <w:rPr>
          <w:rFonts w:ascii="Verdana" w:hAnsi="Verdana"/>
        </w:rPr>
      </w:pPr>
      <w:r w:rsidRPr="005B5CB6">
        <w:rPr>
          <w:rFonts w:ascii="Verdana" w:eastAsia="Verdana" w:hAnsi="Verdana" w:cs="Verdana"/>
        </w:rPr>
        <w:t xml:space="preserve">Jianshu Weng, Ee Peng Lim, Jing Jiang, and Qi He (2010) 'Twitterrank: Finding topic-sensitive influential </w:t>
      </w:r>
    </w:p>
    <w:p w:rsidR="00FB0B24" w:rsidRPr="005B5CB6" w:rsidP="00CF6BAD">
      <w:pPr>
        <w:spacing w:after="3" w:line="249" w:lineRule="auto"/>
        <w:ind w:left="-4" w:hanging="10"/>
        <w:jc w:val="both"/>
        <w:rPr>
          <w:rFonts w:ascii="Verdana" w:hAnsi="Verdana"/>
        </w:rPr>
      </w:pPr>
      <w:r w:rsidRPr="005B5CB6">
        <w:rPr>
          <w:rFonts w:ascii="Verdana" w:eastAsia="Verdana" w:hAnsi="Verdana" w:cs="Verdana"/>
        </w:rPr>
        <w:t xml:space="preserve">Twitterers', </w:t>
      </w:r>
      <w:r w:rsidRPr="005B5CB6">
        <w:rPr>
          <w:rFonts w:ascii="Verdana" w:eastAsia="Verdana" w:hAnsi="Verdana" w:cs="Verdana"/>
          <w:i/>
        </w:rPr>
        <w:t>Proceedings of the Third ACM International Conference on Web Search &amp; Data Mining: February 36, 2010, New York</w:t>
      </w:r>
      <w:r w:rsidRPr="005B5CB6">
        <w:rPr>
          <w:rFonts w:ascii="Verdana" w:eastAsia="Verdana" w:hAnsi="Verdana" w:cs="Verdana"/>
        </w:rPr>
        <w:t>, pp. 261-270 [</w:t>
      </w:r>
      <w:r>
        <w:fldChar w:fldCharType="begin"/>
      </w:r>
      <w:r>
        <w:instrText xml:space="preserve"> HYPERLINK "https://dl.acm.org/citation.cfm?id=1718520" </w:instrText>
      </w:r>
      <w:r>
        <w:fldChar w:fldCharType="separate"/>
      </w:r>
      <w:r w:rsidRPr="005B5CB6">
        <w:rPr>
          <w:rFonts w:ascii="Verdana" w:eastAsia="Verdana" w:hAnsi="Verdana" w:cs="Verdana"/>
          <w:color w:val="0563C1"/>
          <w:u w:val="single" w:color="0563C1"/>
        </w:rPr>
        <w:t>https://dl.acm.org/citation.cfm?id=1718520</w:t>
      </w:r>
      <w:r>
        <w:fldChar w:fldCharType="end"/>
      </w:r>
      <w:r>
        <w:fldChar w:fldCharType="begin"/>
      </w:r>
      <w:r>
        <w:instrText xml:space="preserve"> HYPERLINK "https://dl.acm.org/citation.cfm?id=1718520"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M D Conover, J Ratkiewicz, M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Francisco, B Goncalves, A Flammini, and F Menczer (2011) 'Political Polarization on Twitter', </w:t>
      </w:r>
      <w:r w:rsidRPr="005B5CB6">
        <w:rPr>
          <w:rFonts w:ascii="Verdana" w:eastAsia="Verdana" w:hAnsi="Verdana" w:cs="Verdana"/>
          <w:i/>
        </w:rPr>
        <w:t>Proceedings of the Fifth International AAAI Conference on Weblogs and Social Media</w:t>
      </w:r>
      <w:r w:rsidRPr="005B5CB6">
        <w:rPr>
          <w:rFonts w:ascii="Verdana" w:eastAsia="Verdana" w:hAnsi="Verdana" w:cs="Verdana"/>
        </w:rPr>
        <w:t xml:space="preserve"> </w:t>
      </w:r>
    </w:p>
    <w:p w:rsidR="00FB0B24" w:rsidRPr="005B5CB6" w:rsidP="00CF6BAD">
      <w:pPr>
        <w:spacing w:after="4" w:line="249" w:lineRule="auto"/>
        <w:ind w:left="-2" w:hanging="10"/>
        <w:jc w:val="both"/>
        <w:rPr>
          <w:rFonts w:ascii="Verdana" w:hAnsi="Verdana"/>
        </w:rPr>
      </w:pPr>
      <w:r>
        <w:fldChar w:fldCharType="begin"/>
      </w:r>
      <w:r>
        <w:instrText xml:space="preserve"> HYPERLINK "https://www.aaai.org/ocs/index.php/ICWSM/ICWSM11/paper/viewFile/2847/3275" </w:instrText>
      </w:r>
      <w:r>
        <w:fldChar w:fldCharType="separate"/>
      </w:r>
      <w:r w:rsidRPr="005B5CB6" w:rsidR="00A72806">
        <w:rPr>
          <w:rFonts w:ascii="Verdana" w:eastAsia="Verdana" w:hAnsi="Verdana" w:cs="Verdana"/>
        </w:rPr>
        <w:t>[</w:t>
      </w:r>
      <w:r>
        <w:fldChar w:fldCharType="end"/>
      </w:r>
      <w:r>
        <w:fldChar w:fldCharType="begin"/>
      </w:r>
      <w:r>
        <w:instrText xml:space="preserve"> HYPERLINK "https://www.aaai.org/ocs/index.php/ICWSM/ICWSM11/paper/viewFile/2847/3275" </w:instrText>
      </w:r>
      <w:r>
        <w:fldChar w:fldCharType="separate"/>
      </w:r>
      <w:r w:rsidRPr="005B5CB6" w:rsidR="00A72806">
        <w:rPr>
          <w:rFonts w:ascii="Verdana" w:eastAsia="Verdana" w:hAnsi="Verdana" w:cs="Verdana"/>
          <w:color w:val="0563C1"/>
          <w:u w:val="single" w:color="0563C1"/>
        </w:rPr>
        <w:t>https://www.aaai.org/ocs/index.php/ICWSM/ICWSM11/paper/viewFile/2847/3275</w:t>
      </w:r>
      <w:r>
        <w:fldChar w:fldCharType="end"/>
      </w:r>
      <w:r>
        <w:fldChar w:fldCharType="begin"/>
      </w:r>
      <w:r>
        <w:instrText xml:space="preserve"> HYPERLINK "https://www.aaai.org/ocs/index.php/ICWSM/ICWSM11/paper/viewFile/2847/3275"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Antoine Boutet, Hyoungshick Kim, and Eiko Yoneki (2012) 'What’s in Twitter: I know what parties are popular and who you are supporting now!’, </w:t>
      </w:r>
      <w:r w:rsidRPr="005B5CB6" w:rsidR="00A72806">
        <w:rPr>
          <w:rFonts w:ascii="Verdana" w:eastAsia="Verdana" w:hAnsi="Verdana" w:cs="Verdana"/>
          <w:i/>
        </w:rPr>
        <w:t>Proceedings of the 2012 International Conference on Advances in Social Networks Analysis and Mining</w:t>
      </w:r>
      <w:r w:rsidRPr="005B5CB6" w:rsidR="00A72806">
        <w:rPr>
          <w:rFonts w:ascii="Verdana" w:eastAsia="Verdana" w:hAnsi="Verdana" w:cs="Verdana"/>
        </w:rPr>
        <w:t>, pp.132–129 [</w:t>
      </w:r>
      <w:r>
        <w:fldChar w:fldCharType="begin"/>
      </w:r>
      <w:r>
        <w:instrText xml:space="preserve"> HYPERLINK "https://ieeexplore.ieee.org/document/6425772" </w:instrText>
      </w:r>
      <w:r>
        <w:fldChar w:fldCharType="separate"/>
      </w:r>
      <w:r w:rsidRPr="005B5CB6" w:rsidR="00A72806">
        <w:rPr>
          <w:rFonts w:ascii="Verdana" w:eastAsia="Verdana" w:hAnsi="Verdana" w:cs="Verdana"/>
          <w:color w:val="0563C1"/>
          <w:u w:val="single" w:color="0563C1"/>
        </w:rPr>
        <w:t>https://ieeexplore.ieee.org/document/6425772</w:t>
      </w:r>
      <w:r>
        <w:fldChar w:fldCharType="end"/>
      </w:r>
      <w:r>
        <w:fldChar w:fldCharType="begin"/>
      </w:r>
      <w:r>
        <w:instrText xml:space="preserve"> HYPERLINK "https://ieeexplore.ieee.org/document/6425772"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Robert Faris, Hal Roberts, Bruce Etling, Nikki Bourassa, Ethan Zuckerman, and Yochai Benkler (2017) 'Partizanship, Propaganda, and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Disinformation: Online Media and the 2016 U.S. Presidential Election', </w:t>
      </w:r>
      <w:r w:rsidRPr="005B5CB6">
        <w:rPr>
          <w:rFonts w:ascii="Verdana" w:eastAsia="Verdana" w:hAnsi="Verdana" w:cs="Verdana"/>
          <w:i/>
        </w:rPr>
        <w:t xml:space="preserve">Berkman Klein Center for Internet &amp;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i/>
        </w:rPr>
        <w:t>Society Research Publication No. 2017-6</w:t>
      </w:r>
      <w:r w:rsidRPr="005B5CB6">
        <w:rPr>
          <w:rFonts w:ascii="Verdana" w:eastAsia="Verdana" w:hAnsi="Verdana" w:cs="Verdana"/>
        </w:rPr>
        <w:t>, p.71 [</w:t>
      </w:r>
      <w:r>
        <w:fldChar w:fldCharType="begin"/>
      </w:r>
      <w:r>
        <w:instrText xml:space="preserve"> HYPERLINK "https://cyber.harvard.edu/publications/2017/08/mediacloud" </w:instrText>
      </w:r>
      <w:r>
        <w:fldChar w:fldCharType="separate"/>
      </w:r>
      <w:r w:rsidRPr="005B5CB6">
        <w:rPr>
          <w:rFonts w:ascii="Verdana" w:eastAsia="Verdana" w:hAnsi="Verdana" w:cs="Verdana"/>
          <w:color w:val="0563C1"/>
          <w:u w:val="single" w:color="0563C1"/>
        </w:rPr>
        <w:t>https://cyber.harvard.edu/publications/2017/08/mediacloud</w:t>
      </w:r>
      <w:r>
        <w:fldChar w:fldCharType="end"/>
      </w:r>
      <w:r>
        <w:fldChar w:fldCharType="begin"/>
      </w:r>
      <w:r>
        <w:instrText xml:space="preserve"> HYPERLINK "https://cyber.harvard.edu/publications/2017/08/mediacloud"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Elanor Colleoni, Alessandro Rozza, and Adam Arvidsson (2014) 'Echo Chamber or Public Sphere? Predicting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Political Orientation and Measuring Political Homophily in Twitter Using Big Data', </w:t>
      </w:r>
      <w:r w:rsidRPr="005B5CB6">
        <w:rPr>
          <w:rFonts w:ascii="Verdana" w:eastAsia="Verdana" w:hAnsi="Verdana" w:cs="Verdana"/>
          <w:i/>
        </w:rPr>
        <w:t>Journal of Communication</w:t>
      </w:r>
      <w:r w:rsidRPr="005B5CB6">
        <w:rPr>
          <w:rFonts w:ascii="Verdana" w:eastAsia="Verdana" w:hAnsi="Verdana" w:cs="Verdana"/>
        </w:rPr>
        <w:t>, 64, pp.317-332 [</w:t>
      </w:r>
      <w:r>
        <w:fldChar w:fldCharType="begin"/>
      </w:r>
      <w:r>
        <w:instrText xml:space="preserve"> HYPERLINK "https://onlinelibrary.wiley.com/doi/10.1111/jcom.12084" </w:instrText>
      </w:r>
      <w:r>
        <w:fldChar w:fldCharType="separate"/>
      </w:r>
      <w:r w:rsidRPr="005B5CB6">
        <w:rPr>
          <w:rFonts w:ascii="Verdana" w:eastAsia="Verdana" w:hAnsi="Verdana" w:cs="Verdana"/>
          <w:color w:val="0563C1"/>
          <w:u w:val="single" w:color="0563C1"/>
        </w:rPr>
        <w:t>https://onlinelibrary.wiley.com/doi/10.1111/jcom.12084</w:t>
      </w:r>
      <w:r>
        <w:fldChar w:fldCharType="end"/>
      </w:r>
      <w:r>
        <w:fldChar w:fldCharType="begin"/>
      </w:r>
      <w:r>
        <w:instrText xml:space="preserve"> HYPERLINK "https://onlinelibrary.wiley.com/doi/10.1111/jcom.12084"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Eytan Bakshy, Solomon Messing, and Lada A Adamic (2015) ‘Exposure to ideologically diverse news and opinion on Facebook’, </w:t>
      </w:r>
      <w:r w:rsidRPr="005B5CB6">
        <w:rPr>
          <w:rFonts w:ascii="Verdana" w:eastAsia="Verdana" w:hAnsi="Verdana" w:cs="Verdana"/>
          <w:i/>
        </w:rPr>
        <w:t>Science</w:t>
      </w:r>
      <w:r w:rsidRPr="005B5CB6">
        <w:rPr>
          <w:rFonts w:ascii="Verdana" w:eastAsia="Verdana" w:hAnsi="Verdana" w:cs="Verdana"/>
        </w:rPr>
        <w:t>, 348(6239) [</w:t>
      </w:r>
      <w:r>
        <w:fldChar w:fldCharType="begin"/>
      </w:r>
      <w:r>
        <w:instrText xml:space="preserve"> HYPERLINK "https://science.sciencemag.org/content/348/6239/1130" </w:instrText>
      </w:r>
      <w:r>
        <w:fldChar w:fldCharType="separate"/>
      </w:r>
      <w:r w:rsidRPr="005B5CB6">
        <w:rPr>
          <w:rFonts w:ascii="Verdana" w:eastAsia="Verdana" w:hAnsi="Verdana" w:cs="Verdana"/>
          <w:color w:val="0563C1"/>
          <w:u w:val="single" w:color="0563C1"/>
        </w:rPr>
        <w:t>https://science.sciencemag.org/content/348/6239/1130</w:t>
      </w:r>
      <w:r>
        <w:fldChar w:fldCharType="end"/>
      </w:r>
      <w:r>
        <w:fldChar w:fldCharType="begin"/>
      </w:r>
      <w:r>
        <w:instrText xml:space="preserve"> HYPERLINK "https://science.sciencemag.org/content/348/6239/1130"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Seth Flaxman, Shared Goel, Justin M Rao (2016) ‘Filter Bubbles, Echo Chambers, and Online News Consumption’, </w:t>
      </w:r>
      <w:r w:rsidRPr="005B5CB6">
        <w:rPr>
          <w:rFonts w:ascii="Verdana" w:eastAsia="Verdana" w:hAnsi="Verdana" w:cs="Verdana"/>
          <w:i/>
        </w:rPr>
        <w:t>Public Opinion Quarterly</w:t>
      </w:r>
      <w:r w:rsidRPr="005B5CB6">
        <w:rPr>
          <w:rFonts w:ascii="Verdana" w:eastAsia="Verdana" w:hAnsi="Verdana" w:cs="Verdana"/>
        </w:rPr>
        <w:t xml:space="preserve">, 80(S1) </w:t>
      </w:r>
      <w:r>
        <w:fldChar w:fldCharType="begin"/>
      </w:r>
      <w:r>
        <w:instrText xml:space="preserve"> HYPERLINK "https://academic.oup.com/poq/article/80/S1/298/2223402" </w:instrText>
      </w:r>
      <w:r>
        <w:fldChar w:fldCharType="separate"/>
      </w:r>
      <w:r w:rsidRPr="005B5CB6">
        <w:rPr>
          <w:rFonts w:ascii="Verdana" w:eastAsia="Verdana" w:hAnsi="Verdana" w:cs="Verdana"/>
        </w:rPr>
        <w:t>[</w:t>
      </w:r>
      <w:r>
        <w:fldChar w:fldCharType="end"/>
      </w:r>
      <w:r>
        <w:fldChar w:fldCharType="begin"/>
      </w:r>
      <w:r>
        <w:instrText xml:space="preserve"> HYPERLINK "https://academic.oup.com/poq/article/80/S1/298/2223402" </w:instrText>
      </w:r>
      <w:r>
        <w:fldChar w:fldCharType="separate"/>
      </w:r>
      <w:r w:rsidRPr="005B5CB6">
        <w:rPr>
          <w:rFonts w:ascii="Verdana" w:eastAsia="Verdana" w:hAnsi="Verdana" w:cs="Verdana"/>
          <w:color w:val="0563C1"/>
          <w:u w:val="single" w:color="0563C1"/>
        </w:rPr>
        <w:t>https://academic.oup.com/poq/article/80/S1/298/2223402</w:t>
      </w:r>
      <w:r>
        <w:fldChar w:fldCharType="end"/>
      </w:r>
      <w:r>
        <w:fldChar w:fldCharType="begin"/>
      </w:r>
      <w:r>
        <w:instrText xml:space="preserve"> HYPERLINK "https://academic.oup.com/poq/article/80/S1/298/2223402"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vertAlign w:val="superscript"/>
        </w:rPr>
        <w:t>25</w:t>
      </w:r>
      <w:r w:rsidRPr="005B5CB6">
        <w:rPr>
          <w:rFonts w:ascii="Verdana" w:eastAsia="Verdana" w:hAnsi="Verdana" w:cs="Verdana"/>
        </w:rPr>
        <w:t xml:space="preserve"> Richard Fletcher and Rasmus Kleis Nielsen (2017) ‘Are News Audiences Increasingly Fragmented? A CrossNational Comparative Analysis of Cross-Platform News Audience Fragmentation and Duplication’</w:t>
      </w:r>
      <w:r w:rsidRPr="005B5CB6">
        <w:rPr>
          <w:rFonts w:ascii="Verdana" w:eastAsia="Verdana" w:hAnsi="Verdana" w:cs="Verdana"/>
          <w:i/>
        </w:rPr>
        <w:t xml:space="preserve">, Journal of </w:t>
      </w:r>
    </w:p>
    <w:p w:rsidR="00FB0B24" w:rsidRPr="005B5CB6" w:rsidP="00CF6BAD">
      <w:pPr>
        <w:spacing w:after="3" w:line="249" w:lineRule="auto"/>
        <w:ind w:left="-4" w:hanging="10"/>
        <w:jc w:val="both"/>
        <w:rPr>
          <w:rFonts w:ascii="Verdana" w:hAnsi="Verdana"/>
        </w:rPr>
      </w:pPr>
      <w:r w:rsidRPr="005B5CB6">
        <w:rPr>
          <w:rFonts w:ascii="Verdana" w:eastAsia="Verdana" w:hAnsi="Verdana" w:cs="Verdana"/>
          <w:i/>
        </w:rPr>
        <w:t>Communication</w:t>
      </w:r>
      <w:r w:rsidRPr="005B5CB6">
        <w:rPr>
          <w:rFonts w:ascii="Verdana" w:eastAsia="Verdana" w:hAnsi="Verdana" w:cs="Verdana"/>
        </w:rPr>
        <w:t>, 67(4) [</w:t>
      </w:r>
      <w:r>
        <w:fldChar w:fldCharType="begin"/>
      </w:r>
      <w:r>
        <w:instrText xml:space="preserve"> HYPERLINK "https://onlinelibrary.wiley.com/doi/abs/10.1111/jcom.12315" </w:instrText>
      </w:r>
      <w:r>
        <w:fldChar w:fldCharType="separate"/>
      </w:r>
      <w:r w:rsidRPr="005B5CB6">
        <w:rPr>
          <w:rFonts w:ascii="Verdana" w:eastAsia="Verdana" w:hAnsi="Verdana" w:cs="Verdana"/>
          <w:color w:val="0563C1"/>
          <w:u w:val="single" w:color="0563C1"/>
        </w:rPr>
        <w:t>https://onlinelibrary.wiley.com/doi/abs/10.1111/jcom.12315</w:t>
      </w:r>
      <w:r>
        <w:fldChar w:fldCharType="end"/>
      </w:r>
      <w:r>
        <w:fldChar w:fldCharType="begin"/>
      </w:r>
      <w:r>
        <w:instrText xml:space="preserve"> HYPERLINK "https://onlinelibrary.wiley.com/doi/abs/10.1111/jcom.12315"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see also Frederik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Zuiderveen Borgesius, Damian Trilling, Judith Moeller, Balázs Bodó, Clas H. de Vreese, and Natalie Helberger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(2015) ‘Should We Worry About Filter Bubbles?’, </w:t>
      </w:r>
      <w:r w:rsidRPr="005B5CB6">
        <w:rPr>
          <w:rFonts w:ascii="Verdana" w:eastAsia="Verdana" w:hAnsi="Verdana" w:cs="Verdana"/>
          <w:i/>
        </w:rPr>
        <w:t>Internet Policy Review</w:t>
      </w:r>
      <w:r w:rsidRPr="005B5CB6">
        <w:rPr>
          <w:rFonts w:ascii="Verdana" w:eastAsia="Verdana" w:hAnsi="Verdana" w:cs="Verdana"/>
        </w:rPr>
        <w:t xml:space="preserve">, 5(1a), pp.3-5 </w:t>
      </w:r>
    </w:p>
    <w:p w:rsidR="00FB0B24" w:rsidRPr="005B5CB6" w:rsidP="00CF6BAD">
      <w:pPr>
        <w:spacing w:after="4" w:line="249" w:lineRule="auto"/>
        <w:ind w:left="-2" w:hanging="10"/>
        <w:jc w:val="both"/>
        <w:rPr>
          <w:rFonts w:ascii="Verdana" w:hAnsi="Verdana"/>
        </w:rPr>
      </w:pPr>
      <w:r>
        <w:fldChar w:fldCharType="begin"/>
      </w:r>
      <w:r>
        <w:instrText xml:space="preserve"> HYPERLINK "https://policyreview.info/articles/analysis/should-we-worry-about-filter-bubbles" </w:instrText>
      </w:r>
      <w:r>
        <w:fldChar w:fldCharType="separate"/>
      </w:r>
      <w:r w:rsidRPr="005B5CB6" w:rsidR="00A72806">
        <w:rPr>
          <w:rFonts w:ascii="Verdana" w:eastAsia="Verdana" w:hAnsi="Verdana" w:cs="Verdana"/>
        </w:rPr>
        <w:t>[</w:t>
      </w:r>
      <w:r>
        <w:fldChar w:fldCharType="end"/>
      </w:r>
      <w:r>
        <w:fldChar w:fldCharType="begin"/>
      </w:r>
      <w:r>
        <w:instrText xml:space="preserve"> HYPERLINK "https://policyreview.info/articles/analysis/should-we-worry-about-filter-bubbles" </w:instrText>
      </w:r>
      <w:r>
        <w:fldChar w:fldCharType="separate"/>
      </w:r>
      <w:r w:rsidRPr="005B5CB6" w:rsidR="00A72806">
        <w:rPr>
          <w:rFonts w:ascii="Verdana" w:eastAsia="Verdana" w:hAnsi="Verdana" w:cs="Verdana"/>
          <w:color w:val="0563C1"/>
          <w:u w:val="single" w:color="0563C1"/>
        </w:rPr>
        <w:t>https://policyreview.info/articles/analysis/should-we-worry-about-filter-bubbles</w:t>
      </w:r>
      <w:r>
        <w:fldChar w:fldCharType="end"/>
      </w:r>
      <w:r>
        <w:fldChar w:fldCharType="begin"/>
      </w:r>
      <w:r>
        <w:instrText xml:space="preserve"> HYPERLINK "https://policyreview.info/articles/analysis/should-we-worry-about-filter-bubbles"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Judith Möller, Damian Trilling, Natali Helberger, and Bram van Es (2018) ‘Do not blame it on the algorithm: an empirical assessment of multiple recommender systems and their impact on content diversity’, </w:t>
      </w:r>
      <w:r w:rsidRPr="005B5CB6" w:rsidR="00A72806">
        <w:rPr>
          <w:rFonts w:ascii="Verdana" w:eastAsia="Verdana" w:hAnsi="Verdana" w:cs="Verdana"/>
          <w:i/>
        </w:rPr>
        <w:t xml:space="preserve">Information, </w:t>
      </w:r>
      <w:r w:rsidRPr="005B5CB6" w:rsidR="00A72806">
        <w:rPr>
          <w:rFonts w:ascii="Verdana" w:eastAsia="Verdana" w:hAnsi="Verdana" w:cs="Verdana"/>
          <w:i/>
        </w:rPr>
        <w:t>Communication &amp; Society</w:t>
      </w:r>
      <w:r w:rsidRPr="005B5CB6" w:rsidR="00A72806">
        <w:rPr>
          <w:rFonts w:ascii="Verdana" w:eastAsia="Verdana" w:hAnsi="Verdana" w:cs="Verdana"/>
        </w:rPr>
        <w:t>, 21(7), pp.959-977 [</w:t>
      </w:r>
      <w:r>
        <w:fldChar w:fldCharType="begin"/>
      </w:r>
      <w:r>
        <w:instrText xml:space="preserve"> HYPERLINK "https://www.tandfonline.com/doi/full/10.1080/1369118X.2018.1444076" </w:instrText>
      </w:r>
      <w:r>
        <w:fldChar w:fldCharType="separate"/>
      </w:r>
      <w:r w:rsidRPr="005B5CB6" w:rsidR="00A72806">
        <w:rPr>
          <w:rFonts w:ascii="Verdana" w:eastAsia="Verdana" w:hAnsi="Verdana" w:cs="Verdana"/>
          <w:color w:val="0563C1"/>
          <w:u w:val="single" w:color="0563C1"/>
        </w:rPr>
        <w:t>https://www.tandfonline.com/doi/full/10.1080/1369118X.2018.1444076</w:t>
      </w:r>
      <w:r>
        <w:fldChar w:fldCharType="end"/>
      </w:r>
      <w:r>
        <w:fldChar w:fldCharType="begin"/>
      </w:r>
      <w:r>
        <w:instrText xml:space="preserve"> HYPERLINK "https://www.tandfonline.com/doi/full/10.1080/1369118X.2018.1444076"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Mario Haim, Andreas Graefe, and Hans-Bernd Brosius (2018) ‘Burst of the Filter Bubble?’, Digital Journalism, 6(3), pp.330-343 [</w:t>
      </w:r>
      <w:r>
        <w:fldChar w:fldCharType="begin"/>
      </w:r>
      <w:r>
        <w:instrText xml:space="preserve"> HYPERLINK "https://www.tandfonline.com/doi/abs/10.1080/21670811.2017.1338145" </w:instrText>
      </w:r>
      <w:r>
        <w:fldChar w:fldCharType="separate"/>
      </w:r>
      <w:r w:rsidRPr="005B5CB6" w:rsidR="00A72806">
        <w:rPr>
          <w:rFonts w:ascii="Verdana" w:eastAsia="Verdana" w:hAnsi="Verdana" w:cs="Verdana"/>
          <w:color w:val="0563C1"/>
          <w:u w:val="single" w:color="0563C1"/>
        </w:rPr>
        <w:t>https://www.tandfonline.com/doi/abs/10.1080/21670811.2017.1338145</w:t>
      </w:r>
      <w:r>
        <w:fldChar w:fldCharType="end"/>
      </w:r>
      <w:r>
        <w:fldChar w:fldCharType="begin"/>
      </w:r>
      <w:r>
        <w:instrText xml:space="preserve"> HYPERLINK "https://www.tandfonline.com/doi/abs/10.1080/21670811.2017.1338145"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content results in increased polarisation of users’ political views, or contributes to increased polarisation of public debate more generally. </w:t>
      </w:r>
    </w:p>
    <w:p w:rsidR="00FB0B24" w:rsidRPr="005B5CB6" w:rsidP="00CF6BAD">
      <w:pPr>
        <w:spacing w:after="17"/>
        <w:jc w:val="both"/>
        <w:rPr>
          <w:rFonts w:ascii="Verdana" w:hAnsi="Verdana"/>
        </w:rPr>
      </w:pPr>
      <w:r w:rsidRPr="005B5CB6">
        <w:rPr>
          <w:rFonts w:ascii="Verdana" w:eastAsia="Verdana" w:hAnsi="Verdana" w:cs="Verdana"/>
        </w:rPr>
        <w:t xml:space="preserve"> </w:t>
      </w:r>
    </w:p>
    <w:p w:rsidR="00FB0B24" w:rsidRPr="005B5CB6" w:rsidP="00CF6BAD">
      <w:pPr>
        <w:spacing w:after="54" w:line="250" w:lineRule="auto"/>
        <w:ind w:left="375" w:right="11" w:hanging="360"/>
        <w:jc w:val="both"/>
        <w:rPr>
          <w:rFonts w:ascii="Verdana" w:hAnsi="Verdana"/>
        </w:rPr>
      </w:pPr>
      <w:r w:rsidRPr="005B5CB6">
        <w:rPr>
          <w:rFonts w:ascii="Verdana" w:eastAsia="Verdana" w:hAnsi="Verdana" w:cs="Verdana"/>
        </w:rPr>
        <w:t>12.The metrics and rankings underpinning algorithmic personalisation can often be easily manipulated by automated accounts (i.e. bots). By artificially inflating these metrics – such as views, likes, shares, and so on – networks of bots working together (‘botnets’) can artificially inflate the content’s apparent ability to keep users engaged, thereby leading the recommender system to disseminate that content more widely. This is usually undertaken for commercial or political purposes</w:t>
      </w:r>
      <w:r w:rsidRPr="005B5CB6">
        <w:rPr>
          <w:rFonts w:ascii="Verdana" w:eastAsia="Verdana" w:hAnsi="Verdana" w:cs="Verdana"/>
          <w:vertAlign w:val="superscript"/>
        </w:rPr>
        <w:t>26</w:t>
      </w:r>
      <w:r w:rsidRPr="005B5CB6">
        <w:rPr>
          <w:rFonts w:ascii="Verdana" w:eastAsia="Verdana" w:hAnsi="Verdana" w:cs="Verdana"/>
        </w:rPr>
        <w:t>. The widespread use of bots in relation to political content, in particular, has been repeatedly observed across electoral cycles in multiple countries</w:t>
      </w:r>
      <w:r w:rsidRPr="005B5CB6">
        <w:rPr>
          <w:rFonts w:ascii="Verdana" w:eastAsia="Verdana" w:hAnsi="Verdana" w:cs="Verdana"/>
          <w:vertAlign w:val="superscript"/>
        </w:rPr>
        <w:t>27</w:t>
      </w:r>
      <w:r w:rsidRPr="005B5CB6">
        <w:rPr>
          <w:rFonts w:ascii="Verdana" w:eastAsia="Verdana" w:hAnsi="Verdana" w:cs="Verdana"/>
        </w:rPr>
        <w:t xml:space="preserve">. </w:t>
      </w:r>
    </w:p>
    <w:p w:rsidR="00FB0B24" w:rsidRPr="005B5CB6" w:rsidP="00CF6BAD">
      <w:pPr>
        <w:spacing w:after="19"/>
        <w:ind w:left="72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11" w:hanging="10"/>
        <w:jc w:val="both"/>
        <w:rPr>
          <w:rFonts w:ascii="Verdana" w:hAnsi="Verdana"/>
        </w:rPr>
      </w:pPr>
      <w:r w:rsidRPr="005B5CB6">
        <w:rPr>
          <w:rFonts w:ascii="Verdana" w:eastAsia="Verdana" w:hAnsi="Verdana" w:cs="Verdana"/>
          <w:b/>
        </w:rPr>
        <w:t>To what extent should there be greater accountability for the design of these algorithms?</w:t>
      </w:r>
      <w:r w:rsidRPr="005B5CB6">
        <w:rPr>
          <w:rFonts w:ascii="Verdana" w:eastAsia="Verdana" w:hAnsi="Verdana" w:cs="Verdana"/>
        </w:rPr>
        <w:t xml:space="preserve"> </w:t>
      </w:r>
    </w:p>
    <w:p w:rsidR="00FB0B24" w:rsidRPr="005B5CB6" w:rsidP="00CF6BAD">
      <w:pPr>
        <w:spacing w:after="13"/>
        <w:ind w:left="720"/>
        <w:jc w:val="both"/>
        <w:rPr>
          <w:rFonts w:ascii="Verdana" w:hAnsi="Verdana"/>
        </w:rPr>
      </w:pPr>
      <w:r w:rsidRPr="005B5CB6">
        <w:rPr>
          <w:rFonts w:ascii="Verdana" w:eastAsia="Verdana" w:hAnsi="Verdana" w:cs="Verdana"/>
        </w:rPr>
        <w:t xml:space="preserve"> </w:t>
      </w:r>
    </w:p>
    <w:p w:rsidR="00FB0B24" w:rsidRPr="005B5CB6" w:rsidP="00CF6BAD">
      <w:pPr>
        <w:spacing w:after="65" w:line="250" w:lineRule="auto"/>
        <w:ind w:left="375" w:right="11" w:hanging="360"/>
        <w:jc w:val="both"/>
        <w:rPr>
          <w:rFonts w:ascii="Verdana" w:hAnsi="Verdana"/>
        </w:rPr>
      </w:pPr>
      <w:r w:rsidRPr="005B5CB6">
        <w:rPr>
          <w:rFonts w:ascii="Verdana" w:eastAsia="Verdana" w:hAnsi="Verdana" w:cs="Verdana"/>
        </w:rPr>
        <w:t>13.Several legal frameworks are relevant in this area. E-Commerce Directive</w:t>
      </w:r>
      <w:r>
        <w:rPr>
          <w:rFonts w:ascii="Verdana" w:eastAsia="Verdana" w:hAnsi="Verdana" w:cs="Verdana"/>
          <w:vertAlign w:val="superscript"/>
        </w:rPr>
        <w:footnoteReference w:id="358"/>
      </w:r>
      <w:r w:rsidRPr="005B5CB6">
        <w:rPr>
          <w:rFonts w:ascii="Verdana" w:eastAsia="Verdana" w:hAnsi="Verdana" w:cs="Verdana"/>
        </w:rPr>
        <w:t xml:space="preserve"> provides qualified protection from liability for providers of information society services, including social platforms (note that the availability of liability protections for service providers who use algorithmic personalisation is contested</w:t>
      </w:r>
      <w:r>
        <w:rPr>
          <w:rFonts w:ascii="Verdana" w:eastAsia="Verdana" w:hAnsi="Verdana" w:cs="Verdana"/>
          <w:vertAlign w:val="superscript"/>
        </w:rPr>
        <w:footnoteReference w:id="359"/>
      </w:r>
      <w:r w:rsidRPr="005B5CB6">
        <w:rPr>
          <w:rFonts w:ascii="Verdana" w:eastAsia="Verdana" w:hAnsi="Verdana" w:cs="Verdana"/>
        </w:rPr>
        <w:t>). Due to the significant quantity of personal data processed in algorithmic personalisation, the General Data Protection Regulation (GDPR) will also apply. The recent Platform-to-Business Regulation</w:t>
      </w:r>
      <w:r>
        <w:rPr>
          <w:rFonts w:ascii="Verdana" w:eastAsia="Verdana" w:hAnsi="Verdana" w:cs="Verdana"/>
          <w:vertAlign w:val="superscript"/>
        </w:rPr>
        <w:footnoteReference w:id="360"/>
      </w:r>
      <w:r w:rsidRPr="005B5CB6">
        <w:rPr>
          <w:rFonts w:ascii="Verdana" w:eastAsia="Verdana" w:hAnsi="Verdana" w:cs="Verdana"/>
        </w:rPr>
        <w:t xml:space="preserve"> will be relevant where platforms are involved in promoting goods and services to users. However, none of these frameworks place requirements on platforms for the design of their recommender systems in relation to the content they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589724" name="Group 58972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351" name="Shape 63635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83" style="height:0.72pt;mso-position-horizontal-relative:char;mso-position-vertical-relative:line;width:2in" coordsize="18288,91">
                <v:shape id="_x0000_s1384"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233"/>
        </w:numPr>
        <w:spacing w:after="4" w:line="249" w:lineRule="auto"/>
        <w:ind w:hanging="187"/>
        <w:jc w:val="both"/>
        <w:rPr>
          <w:rFonts w:ascii="Verdana" w:hAnsi="Verdana"/>
        </w:rPr>
      </w:pPr>
      <w:r w:rsidRPr="005B5CB6">
        <w:rPr>
          <w:rFonts w:ascii="Verdana" w:eastAsia="Verdana" w:hAnsi="Verdana" w:cs="Verdana"/>
        </w:rPr>
        <w:t>Mark Leiser (2016) ‘AstroTurfing, 'CyberTurfing' and other online persuasion campaigns’,</w:t>
      </w:r>
      <w:r w:rsidRPr="005B5CB6">
        <w:rPr>
          <w:rFonts w:ascii="Verdana" w:eastAsia="Verdana" w:hAnsi="Verdana" w:cs="Verdana"/>
          <w:i/>
        </w:rPr>
        <w:t xml:space="preserve"> European Journal of Law and Technology</w:t>
      </w:r>
      <w:r w:rsidRPr="005B5CB6">
        <w:rPr>
          <w:rFonts w:ascii="Verdana" w:eastAsia="Verdana" w:hAnsi="Verdana" w:cs="Verdana"/>
        </w:rPr>
        <w:t>, 7(1) [</w:t>
      </w:r>
      <w:r>
        <w:fldChar w:fldCharType="begin"/>
      </w:r>
      <w:r>
        <w:instrText xml:space="preserve"> HYPERLINK "http://ejlt.org/article/view/501" </w:instrText>
      </w:r>
      <w:r>
        <w:fldChar w:fldCharType="separate"/>
      </w:r>
      <w:r w:rsidRPr="005B5CB6">
        <w:rPr>
          <w:rFonts w:ascii="Verdana" w:eastAsia="Verdana" w:hAnsi="Verdana" w:cs="Verdana"/>
          <w:color w:val="0563C1"/>
          <w:u w:val="single" w:color="0563C1"/>
        </w:rPr>
        <w:t>http://ejlt.org/article/view/501</w:t>
      </w:r>
      <w:r>
        <w:fldChar w:fldCharType="end"/>
      </w:r>
      <w:r>
        <w:fldChar w:fldCharType="begin"/>
      </w:r>
      <w:r>
        <w:instrText xml:space="preserve"> HYPERLINK "http://ejlt.org/article/view/501"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575F14">
      <w:pPr>
        <w:numPr>
          <w:ilvl w:val="0"/>
          <w:numId w:val="233"/>
        </w:numPr>
        <w:spacing w:after="4" w:line="249" w:lineRule="auto"/>
        <w:ind w:hanging="187"/>
        <w:jc w:val="both"/>
        <w:rPr>
          <w:rFonts w:ascii="Verdana" w:hAnsi="Verdana"/>
        </w:rPr>
      </w:pPr>
      <w:r w:rsidRPr="005B5CB6">
        <w:rPr>
          <w:rFonts w:ascii="Verdana" w:eastAsia="Verdana" w:hAnsi="Verdana" w:cs="Verdana"/>
        </w:rPr>
        <w:t>Mark Leiser (2016) ‘AstroTurfing, 'CyberTurfing' and other online persuasion campaigns’,</w:t>
      </w:r>
      <w:r w:rsidRPr="005B5CB6">
        <w:rPr>
          <w:rFonts w:ascii="Verdana" w:eastAsia="Verdana" w:hAnsi="Verdana" w:cs="Verdana"/>
          <w:i/>
        </w:rPr>
        <w:t xml:space="preserve"> European Journal of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i/>
        </w:rPr>
        <w:t>Law and Technology</w:t>
      </w:r>
      <w:r w:rsidRPr="005B5CB6">
        <w:rPr>
          <w:rFonts w:ascii="Verdana" w:eastAsia="Verdana" w:hAnsi="Verdana" w:cs="Verdana"/>
        </w:rPr>
        <w:t>, 7(1) [</w:t>
      </w:r>
      <w:r>
        <w:fldChar w:fldCharType="begin"/>
      </w:r>
      <w:r>
        <w:instrText xml:space="preserve"> HYPERLINK "http://ejlt.org/article/view/501" </w:instrText>
      </w:r>
      <w:r>
        <w:fldChar w:fldCharType="separate"/>
      </w:r>
      <w:r w:rsidRPr="005B5CB6">
        <w:rPr>
          <w:rFonts w:ascii="Verdana" w:eastAsia="Verdana" w:hAnsi="Verdana" w:cs="Verdana"/>
          <w:color w:val="0563C1"/>
          <w:u w:val="single" w:color="0563C1"/>
        </w:rPr>
        <w:t>http://ejlt.org/article/view/501</w:t>
      </w:r>
      <w:r>
        <w:fldChar w:fldCharType="end"/>
      </w:r>
      <w:r>
        <w:fldChar w:fldCharType="begin"/>
      </w:r>
      <w:r>
        <w:instrText xml:space="preserve"> HYPERLINK "http://ejlt.org/article/view/501"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for a review of the literature, see Rose Marie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Santini, Larissa Agostini, Carlos Eduardo Barros, Danilo Carvalho, Rafael Centeno de Rezende, Debora G Salles, Kenzo Seto, Camyla Terra, and Giulia Tuccy (2018) </w:t>
      </w:r>
      <w:r w:rsidRPr="005B5CB6">
        <w:rPr>
          <w:rFonts w:ascii="Verdana" w:eastAsia="Verdana" w:hAnsi="Verdana" w:cs="Verdana"/>
        </w:rPr>
        <w:t xml:space="preserve">‘Software Power as Soft Power: A literature review on computational propaganda and political process’, </w:t>
      </w:r>
      <w:r w:rsidRPr="005B5CB6">
        <w:rPr>
          <w:rFonts w:ascii="Verdana" w:eastAsia="Verdana" w:hAnsi="Verdana" w:cs="Verdana"/>
          <w:i/>
        </w:rPr>
        <w:t>PArtecipazione e COnflitto</w:t>
      </w:r>
      <w:r w:rsidRPr="005B5CB6">
        <w:rPr>
          <w:rFonts w:ascii="Verdana" w:eastAsia="Verdana" w:hAnsi="Verdana" w:cs="Verdana"/>
        </w:rPr>
        <w:t>, 11(2) [</w:t>
      </w:r>
      <w:r>
        <w:fldChar w:fldCharType="begin"/>
      </w:r>
      <w:r>
        <w:instrText xml:space="preserve"> HYPERLINK "http://siba-ese.unisalento.it/index.php/paco/article/view/19546" </w:instrText>
      </w:r>
      <w:r>
        <w:fldChar w:fldCharType="separate"/>
      </w:r>
      <w:r w:rsidRPr="005B5CB6">
        <w:rPr>
          <w:rFonts w:ascii="Verdana" w:eastAsia="Verdana" w:hAnsi="Verdana" w:cs="Verdana"/>
          <w:color w:val="0563C1"/>
          <w:u w:val="single" w:color="0563C1"/>
        </w:rPr>
        <w:t>http://siba</w:t>
      </w:r>
      <w:r>
        <w:fldChar w:fldCharType="end"/>
      </w:r>
      <w:r>
        <w:fldChar w:fldCharType="begin"/>
      </w:r>
      <w:r>
        <w:instrText xml:space="preserve"> HYPERLINK "http://siba-ese.unisalento.it/index.php/paco/article/view/19546" </w:instrText>
      </w:r>
      <w:r>
        <w:fldChar w:fldCharType="separate"/>
      </w:r>
      <w:r w:rsidRPr="005B5CB6">
        <w:rPr>
          <w:rFonts w:ascii="Verdana" w:eastAsia="Verdana" w:hAnsi="Verdana" w:cs="Verdana"/>
          <w:color w:val="0563C1"/>
          <w:u w:val="single" w:color="0563C1"/>
        </w:rPr>
        <w:t>ese.unisalento.it/index.php/paco/article/view/19546</w:t>
      </w:r>
      <w:r>
        <w:fldChar w:fldCharType="end"/>
      </w:r>
      <w:r>
        <w:fldChar w:fldCharType="begin"/>
      </w:r>
      <w:r>
        <w:instrText xml:space="preserve"> HYPERLINK "http://siba-ese.unisalento.it/index.php/paco/article/view/19546"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see also Samantha Bradshaw and Phillip N Howard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(2017) ‘Troops, Trolls and Troublemakers: A Global Inventory of Organized Social Media Manipulation’,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i/>
        </w:rPr>
        <w:t>Computational Propaganda Research Project Working paper no 2017.12</w:t>
      </w:r>
      <w:r w:rsidRPr="005B5CB6">
        <w:rPr>
          <w:rFonts w:ascii="Verdana" w:eastAsia="Verdana" w:hAnsi="Verdana" w:cs="Verdana"/>
        </w:rPr>
        <w:t xml:space="preserve">, Oxford Internet Institute </w:t>
      </w:r>
      <w:r>
        <w:fldChar w:fldCharType="begin"/>
      </w:r>
      <w:r>
        <w:instrText xml:space="preserve"> HYPERLINK "https://comprop.oii.ox.ac.uk/research/troops-trolls-and-trouble-makers-a-global-inventory-of-organized-social-media-manipulation/" </w:instrText>
      </w:r>
      <w:r>
        <w:fldChar w:fldCharType="separate"/>
      </w:r>
      <w:r w:rsidRPr="005B5CB6">
        <w:rPr>
          <w:rFonts w:ascii="Verdana" w:eastAsia="Verdana" w:hAnsi="Verdana" w:cs="Verdana"/>
        </w:rPr>
        <w:t>[</w:t>
      </w:r>
      <w:r>
        <w:fldChar w:fldCharType="end"/>
      </w:r>
      <w:r>
        <w:fldChar w:fldCharType="begin"/>
      </w:r>
      <w:r>
        <w:instrText xml:space="preserve"> HYPERLINK "https://comprop.oii.ox.ac.uk/research/troops-trolls-and-trouble-makers-a-global-inventory-of-organized-social-media-manipulation/" </w:instrText>
      </w:r>
      <w:r>
        <w:fldChar w:fldCharType="separate"/>
      </w:r>
      <w:r w:rsidRPr="005B5CB6">
        <w:rPr>
          <w:rFonts w:ascii="Verdana" w:eastAsia="Verdana" w:hAnsi="Verdana" w:cs="Verdana"/>
          <w:color w:val="0563C1"/>
          <w:u w:val="single" w:color="0563C1"/>
        </w:rPr>
        <w:t>https://comprop.oii.ox.ac.uk/research/troops-trolls-and-trouble-makers-a-global-inventory-of-organized</w:t>
      </w:r>
      <w:r>
        <w:fldChar w:fldCharType="end"/>
      </w:r>
      <w:r>
        <w:fldChar w:fldCharType="begin"/>
      </w:r>
      <w:r>
        <w:instrText xml:space="preserve"> HYPERLINK "https://comprop.oii.ox.ac.uk/research/troops-trolls-and-trouble-makers-a-global-inventory-of-organized-social-media-manipulation/" </w:instrText>
      </w:r>
      <w:r>
        <w:fldChar w:fldCharType="separate"/>
      </w:r>
      <w:r w:rsidRPr="005B5CB6">
        <w:rPr>
          <w:rFonts w:ascii="Verdana" w:eastAsia="Verdana" w:hAnsi="Verdana" w:cs="Verdana"/>
          <w:color w:val="0563C1"/>
          <w:u w:val="single" w:color="0563C1"/>
        </w:rPr>
        <w:t>social-media-manipulation/</w:t>
      </w:r>
      <w:r>
        <w:fldChar w:fldCharType="end"/>
      </w:r>
      <w:r>
        <w:fldChar w:fldCharType="begin"/>
      </w:r>
      <w:r>
        <w:instrText xml:space="preserve"> HYPERLINK "https://comprop.oii.ox.ac.uk/research/troops-trolls-and-trouble-makers-a-global-inventory-of-organized-social-media-manipulation/"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Bence Kollyani, Philip N Howard, and Samuel C Woolley (2016) ‘Bots and Automation over Twitter during the U.S. Election’, </w:t>
      </w:r>
      <w:r w:rsidRPr="005B5CB6">
        <w:rPr>
          <w:rFonts w:ascii="Verdana" w:eastAsia="Verdana" w:hAnsi="Verdana" w:cs="Verdana"/>
          <w:i/>
        </w:rPr>
        <w:t>Data Memo 2016.4. Oxford, UK: Project on Computational Propaganda</w:t>
      </w:r>
      <w:r w:rsidRPr="005B5CB6">
        <w:rPr>
          <w:rFonts w:ascii="Verdana" w:eastAsia="Verdana" w:hAnsi="Verdana" w:cs="Verdana"/>
        </w:rPr>
        <w:t xml:space="preserve"> [</w:t>
      </w:r>
      <w:r>
        <w:fldChar w:fldCharType="begin"/>
      </w:r>
      <w:r>
        <w:instrText xml:space="preserve"> HYPERLINK "https://comprop.oii.ox.ac.uk/research/working-papers/bots-and-automation-over-twitter-during-the-u-s-election/" </w:instrText>
      </w:r>
      <w:r>
        <w:fldChar w:fldCharType="separate"/>
      </w:r>
      <w:r w:rsidRPr="005B5CB6">
        <w:rPr>
          <w:rFonts w:ascii="Verdana" w:eastAsia="Verdana" w:hAnsi="Verdana" w:cs="Verdana"/>
          <w:color w:val="0563C1"/>
          <w:u w:val="single" w:color="0563C1"/>
        </w:rPr>
        <w:t>https://comprop.oii.ox.ac.uk/research/working-papers/bots-and-automation-over-twitter-during</w:t>
      </w:r>
      <w:r>
        <w:fldChar w:fldCharType="end"/>
      </w:r>
      <w:r>
        <w:fldChar w:fldCharType="begin"/>
      </w:r>
      <w:r>
        <w:instrText xml:space="preserve"> HYPERLINK "https://comprop.oii.ox.ac.uk/research/working-papers/bots-and-automation-over-twitter-during-the-u-s-election/" </w:instrText>
      </w:r>
      <w:r>
        <w:fldChar w:fldCharType="separate"/>
      </w:r>
      <w:r w:rsidRPr="005B5CB6">
        <w:rPr>
          <w:rFonts w:ascii="Verdana" w:eastAsia="Verdana" w:hAnsi="Verdana" w:cs="Verdana"/>
          <w:color w:val="0563C1"/>
          <w:u w:val="single" w:color="0563C1"/>
        </w:rPr>
        <w:t>the-u-s-election/</w:t>
      </w:r>
      <w:r>
        <w:fldChar w:fldCharType="end"/>
      </w:r>
      <w:r>
        <w:fldChar w:fldCharType="begin"/>
      </w:r>
      <w:r>
        <w:instrText xml:space="preserve"> HYPERLINK "https://comprop.oii.ox.ac.uk/research/working-papers/bots-and-automation-over-twitter-during-the-u-s-election/"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Emilio Ferrara (2017) ‘Disinformation and Social Bot Operations in the Run Up to the 2017 French Presidential Election’, </w:t>
      </w:r>
      <w:r w:rsidRPr="005B5CB6">
        <w:rPr>
          <w:rFonts w:ascii="Verdana" w:eastAsia="Verdana" w:hAnsi="Verdana" w:cs="Verdana"/>
          <w:i/>
        </w:rPr>
        <w:t>First Monday</w:t>
      </w:r>
      <w:r w:rsidRPr="005B5CB6">
        <w:rPr>
          <w:rFonts w:ascii="Verdana" w:eastAsia="Verdana" w:hAnsi="Verdana" w:cs="Verdana"/>
        </w:rPr>
        <w:t xml:space="preserve"> [</w:t>
      </w:r>
      <w:r>
        <w:fldChar w:fldCharType="begin"/>
      </w:r>
      <w:r>
        <w:instrText xml:space="preserve"> HYPERLINK "https://firstmonday.org/ojs/index.php/fm/article/view/8005/6516" </w:instrText>
      </w:r>
      <w:r>
        <w:fldChar w:fldCharType="separate"/>
      </w:r>
      <w:r w:rsidRPr="005B5CB6">
        <w:rPr>
          <w:rFonts w:ascii="Verdana" w:eastAsia="Verdana" w:hAnsi="Verdana" w:cs="Verdana"/>
          <w:color w:val="0563C1"/>
          <w:u w:val="single" w:color="0563C1"/>
        </w:rPr>
        <w:t>https://firstmonday.org/ojs/index.php/fm/article/view/8005/6516</w:t>
      </w:r>
      <w:r>
        <w:fldChar w:fldCharType="end"/>
      </w:r>
      <w:r>
        <w:fldChar w:fldCharType="begin"/>
      </w:r>
      <w:r>
        <w:instrText xml:space="preserve"> HYPERLINK "https://firstmonday.org/ojs/index.php/fm/article/view/8005/6516"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Alessandro Bessi and Emilio Ferrara (2016) ‘Social bots distort the 2016 U.S. Presidential election online discussion’, </w:t>
      </w:r>
      <w:r w:rsidRPr="005B5CB6">
        <w:rPr>
          <w:rFonts w:ascii="Verdana" w:eastAsia="Verdana" w:hAnsi="Verdana" w:cs="Verdana"/>
          <w:i/>
        </w:rPr>
        <w:t>First Monday</w:t>
      </w:r>
      <w:r w:rsidRPr="005B5CB6">
        <w:rPr>
          <w:rFonts w:ascii="Verdana" w:eastAsia="Verdana" w:hAnsi="Verdana" w:cs="Verdana"/>
        </w:rPr>
        <w:t>, 21(11) [</w:t>
      </w:r>
      <w:r>
        <w:fldChar w:fldCharType="begin"/>
      </w:r>
      <w:r>
        <w:instrText xml:space="preserve"> HYPERLINK "https://firstmonday.org/article/view/7090/5653" </w:instrText>
      </w:r>
      <w:r>
        <w:fldChar w:fldCharType="separate"/>
      </w:r>
      <w:r w:rsidRPr="005B5CB6">
        <w:rPr>
          <w:rFonts w:ascii="Verdana" w:eastAsia="Verdana" w:hAnsi="Verdana" w:cs="Verdana"/>
          <w:color w:val="0563C1"/>
          <w:u w:val="single" w:color="0563C1"/>
        </w:rPr>
        <w:t>https://firstmonday.org/article/view/7090/5653</w:t>
      </w:r>
      <w:r>
        <w:fldChar w:fldCharType="end"/>
      </w:r>
      <w:r>
        <w:fldChar w:fldCharType="begin"/>
      </w:r>
      <w:r>
        <w:instrText xml:space="preserve"> HYPERLINK "https://firstmonday.org/article/view/7090/5653"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Muhammad Nihal Hussein, Serpil Tokdemir, Nitin Agarwal, and Samer Al-Khateeb (2018) ‘Analyzing Disinformation and Crowd Manipulation Tactics on YouTube’, </w:t>
      </w:r>
      <w:r w:rsidRPr="005B5CB6">
        <w:rPr>
          <w:rFonts w:ascii="Verdana" w:eastAsia="Verdana" w:hAnsi="Verdana" w:cs="Verdana"/>
          <w:i/>
        </w:rPr>
        <w:t>2018 IEEE/ACM International Conference on Advances in Social Networks Analysis and Mining (ASONAM)</w:t>
      </w:r>
      <w:r w:rsidRPr="005B5CB6">
        <w:rPr>
          <w:rFonts w:ascii="Verdana" w:eastAsia="Verdana" w:hAnsi="Verdana" w:cs="Verdana"/>
        </w:rPr>
        <w:t xml:space="preserve"> [</w:t>
      </w:r>
      <w:r>
        <w:fldChar w:fldCharType="begin"/>
      </w:r>
      <w:r>
        <w:instrText xml:space="preserve"> HYPERLINK "https://ieeexplore.ieee.org/document/8508766" </w:instrText>
      </w:r>
      <w:r>
        <w:fldChar w:fldCharType="separate"/>
      </w:r>
      <w:r w:rsidRPr="005B5CB6">
        <w:rPr>
          <w:rFonts w:ascii="Verdana" w:eastAsia="Verdana" w:hAnsi="Verdana" w:cs="Verdana"/>
          <w:color w:val="0563C1"/>
          <w:u w:val="single" w:color="0563C1"/>
        </w:rPr>
        <w:t>https://ieeexplore.ieee.org/document/8508766</w:t>
      </w:r>
      <w:r>
        <w:fldChar w:fldCharType="end"/>
      </w:r>
      <w:r>
        <w:fldChar w:fldCharType="begin"/>
      </w:r>
      <w:r>
        <w:instrText xml:space="preserve"> HYPERLINK "https://ieeexplore.ieee.org/document/8508766"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CF6BAD">
      <w:pPr>
        <w:spacing w:after="26" w:line="250" w:lineRule="auto"/>
        <w:ind w:left="368" w:right="11" w:hanging="8"/>
        <w:jc w:val="both"/>
        <w:rPr>
          <w:rFonts w:ascii="Verdana" w:hAnsi="Verdana"/>
        </w:rPr>
      </w:pPr>
      <w:r w:rsidRPr="005B5CB6">
        <w:rPr>
          <w:rFonts w:ascii="Verdana" w:eastAsia="Verdana" w:hAnsi="Verdana" w:cs="Verdana"/>
        </w:rPr>
        <w:t>disseminate that would address the impact of algorithmic personalisation on democratic debate. The control over the flow of information provided by algorithmic personalisation not only plays a significant role in the profitmaking practices of platforms, but also gives those platforms significant influence over online discussion</w:t>
      </w:r>
      <w:r w:rsidRPr="005B5CB6">
        <w:rPr>
          <w:rFonts w:ascii="Verdana" w:eastAsia="Verdana" w:hAnsi="Verdana" w:cs="Verdana"/>
          <w:vertAlign w:val="superscript"/>
        </w:rPr>
        <w:t>31</w:t>
      </w:r>
      <w:r w:rsidRPr="005B5CB6">
        <w:rPr>
          <w:rFonts w:ascii="Verdana" w:eastAsia="Verdana" w:hAnsi="Verdana" w:cs="Verdana"/>
        </w:rPr>
        <w:t xml:space="preserve">. These benefits for platforms should come with responsibilities and requirements. </w:t>
      </w:r>
    </w:p>
    <w:p w:rsidR="00FB0B24" w:rsidRPr="005B5CB6" w:rsidP="00CF6BAD">
      <w:pPr>
        <w:spacing w:after="0"/>
        <w:ind w:left="721"/>
        <w:jc w:val="both"/>
        <w:rPr>
          <w:rFonts w:ascii="Verdana" w:hAnsi="Verdana"/>
        </w:rPr>
      </w:pPr>
      <w:r w:rsidRPr="005B5CB6">
        <w:rPr>
          <w:rFonts w:ascii="Verdana" w:eastAsia="Verdana" w:hAnsi="Verdana" w:cs="Verdana"/>
        </w:rPr>
        <w:t xml:space="preserve"> </w:t>
      </w:r>
    </w:p>
    <w:p w:rsidR="00FB0B24" w:rsidRPr="005B5CB6" w:rsidP="00CF6BAD">
      <w:pPr>
        <w:spacing w:after="2613" w:line="250" w:lineRule="auto"/>
        <w:ind w:left="375" w:right="11" w:hanging="360"/>
        <w:jc w:val="both"/>
        <w:rPr>
          <w:rFonts w:ascii="Verdana" w:hAnsi="Verdana"/>
        </w:rPr>
      </w:pPr>
      <w:r w:rsidRPr="005B5CB6">
        <w:rPr>
          <w:rFonts w:ascii="Verdana" w:eastAsia="Verdana" w:hAnsi="Verdana" w:cs="Verdana"/>
        </w:rPr>
        <w:t>14.My work has proposed several principles that should underpin regulation for the responsible use of recommender systems by social platforms</w:t>
      </w:r>
      <w:r w:rsidRPr="005B5CB6">
        <w:rPr>
          <w:rFonts w:ascii="Verdana" w:eastAsia="Verdana" w:hAnsi="Verdana" w:cs="Verdana"/>
          <w:vertAlign w:val="superscript"/>
        </w:rPr>
        <w:t>32</w:t>
      </w:r>
      <w:r w:rsidRPr="005B5CB6">
        <w:rPr>
          <w:rFonts w:ascii="Verdana" w:eastAsia="Verdana" w:hAnsi="Verdana" w:cs="Verdana"/>
        </w:rPr>
        <w:t xml:space="preserve">. To briefly summarise, platforms should, at minimum, have responsibilities to reduce the quantity of algorithmically disseminated content that is considered to be harmful to public debate in some way (for example, far right extremism, conspiracy theories, and so on), but is not itself illegal. Down-ranking content in this way would not require social platforms to </w:t>
      </w:r>
      <w:r w:rsidRPr="005B5CB6">
        <w:rPr>
          <w:rFonts w:ascii="Verdana" w:eastAsia="Verdana" w:hAnsi="Verdana" w:cs="Verdana"/>
          <w:i/>
        </w:rPr>
        <w:t>remove</w:t>
      </w:r>
      <w:r w:rsidRPr="005B5CB6">
        <w:rPr>
          <w:rFonts w:ascii="Verdana" w:eastAsia="Verdana" w:hAnsi="Verdana" w:cs="Verdana"/>
        </w:rPr>
        <w:t xml:space="preserve"> such content. However, it could go a significant way towards reducing the impact of that material by making it less likely that it reaches a larger audience and is placed alongside other, similar content. In fulfilment of this responsibility, platforms should keep records of what material has been promoted and make information about algorithmically-disseminated content available so as to help inform users and facilitate oversight. Additionally, algorithmic personalisation by recommender systems should be opt-in, users should be able to exercise a minimum level of control over personalisation, and optingout again should be easy. Oversight should take a collaborative, dialoguebased form rather than a zero-tolerance approach, recognising that compliance is difficult due to the volume of information processed by service providers.  </w:t>
      </w:r>
      <w:r w:rsidRPr="005B5CB6">
        <w:rPr>
          <w:rFonts w:ascii="Verdana" w:hAnsi="Verdana"/>
          <w:noProof/>
        </w:rPr>
        <mc:AlternateContent>
          <mc:Choice Requires="wpg">
            <w:drawing>
              <wp:inline distT="0" distB="0" distL="0" distR="0">
                <wp:extent cx="1828800" cy="9144"/>
                <wp:effectExtent l="0" t="0" r="0" b="0"/>
                <wp:docPr id="589383" name="Group 58938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357" name="Shape 63635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85" style="height:0.72pt;mso-position-horizontal-relative:char;mso-position-vertical-relative:line;width:2in" coordsize="18288,91">
                <v:shape id="_x0000_s1386"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vertAlign w:val="superscript"/>
        </w:rPr>
        <w:t>31</w:t>
      </w:r>
      <w:r w:rsidRPr="005B5CB6">
        <w:rPr>
          <w:rFonts w:ascii="Verdana" w:eastAsia="Verdana" w:hAnsi="Verdana" w:cs="Verdana"/>
        </w:rPr>
        <w:t xml:space="preserve"> Zeynep Tufekci (2016), ‘As the Pirates Become CEOs: The Closing of the Open Internet’, </w:t>
      </w:r>
      <w:r w:rsidRPr="005B5CB6">
        <w:rPr>
          <w:rFonts w:ascii="Verdana" w:eastAsia="Verdana" w:hAnsi="Verdana" w:cs="Verdana"/>
          <w:i/>
        </w:rPr>
        <w:t xml:space="preserve">Dædalus, the </w:t>
      </w:r>
    </w:p>
    <w:p w:rsidR="00FB0B24" w:rsidRPr="005B5CB6" w:rsidP="00CF6BAD">
      <w:pPr>
        <w:spacing w:after="3" w:line="249" w:lineRule="auto"/>
        <w:ind w:left="-4" w:hanging="10"/>
        <w:jc w:val="both"/>
        <w:rPr>
          <w:rFonts w:ascii="Verdana" w:hAnsi="Verdana"/>
        </w:rPr>
      </w:pPr>
      <w:r w:rsidRPr="005B5CB6">
        <w:rPr>
          <w:rFonts w:ascii="Verdana" w:eastAsia="Verdana" w:hAnsi="Verdana" w:cs="Verdana"/>
          <w:i/>
        </w:rPr>
        <w:t>Journal of the American Academy of Arts &amp; Sciences</w:t>
      </w:r>
      <w:r w:rsidRPr="005B5CB6">
        <w:rPr>
          <w:rFonts w:ascii="Verdana" w:eastAsia="Verdana" w:hAnsi="Verdana" w:cs="Verdana"/>
        </w:rPr>
        <w:t xml:space="preserve">, 145(1), p.74 </w:t>
      </w:r>
    </w:p>
    <w:p w:rsidR="00FB0B24" w:rsidRPr="005B5CB6" w:rsidP="00CF6BAD">
      <w:pPr>
        <w:spacing w:after="3" w:line="249" w:lineRule="auto"/>
        <w:ind w:left="-4" w:hanging="10"/>
        <w:jc w:val="both"/>
        <w:rPr>
          <w:rFonts w:ascii="Verdana" w:hAnsi="Verdana"/>
        </w:rPr>
      </w:pPr>
      <w:r>
        <w:fldChar w:fldCharType="begin"/>
      </w:r>
      <w:r>
        <w:instrText xml:space="preserve"> HYPERLINK "https://www.mitpressjournals.org/doi/abs/10.1162/DAED_a_00366?journalCode=daed" </w:instrText>
      </w:r>
      <w:r>
        <w:fldChar w:fldCharType="separate"/>
      </w:r>
      <w:r w:rsidRPr="005B5CB6" w:rsidR="00A72806">
        <w:rPr>
          <w:rFonts w:ascii="Verdana" w:eastAsia="Verdana" w:hAnsi="Verdana" w:cs="Verdana"/>
        </w:rPr>
        <w:t>[</w:t>
      </w:r>
      <w:r>
        <w:fldChar w:fldCharType="end"/>
      </w:r>
      <w:r>
        <w:fldChar w:fldCharType="begin"/>
      </w:r>
      <w:r>
        <w:instrText xml:space="preserve"> HYPERLINK "https://www.mitpressjournals.org/doi/abs/10.1162/DAED_a_00366?journalCode=daed" </w:instrText>
      </w:r>
      <w:r>
        <w:fldChar w:fldCharType="separate"/>
      </w:r>
      <w:r w:rsidRPr="005B5CB6" w:rsidR="00A72806">
        <w:rPr>
          <w:rFonts w:ascii="Verdana" w:eastAsia="Verdana" w:hAnsi="Verdana" w:cs="Verdana"/>
          <w:color w:val="0563C1"/>
          <w:u w:val="single" w:color="0563C1"/>
        </w:rPr>
        <w:t>https://www.mitpressjournals.org/doi/abs/10.1162/DAED_a_00366?journalCode=daed</w:t>
      </w:r>
      <w:r>
        <w:fldChar w:fldCharType="end"/>
      </w:r>
      <w:r>
        <w:fldChar w:fldCharType="begin"/>
      </w:r>
      <w:r>
        <w:instrText xml:space="preserve"> HYPERLINK "https://www.mitpressjournals.org/doi/abs/10.1162/DAED_a_00366?journalCode=daed"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w:t>
      </w:r>
      <w:r w:rsidRPr="005B5CB6" w:rsidR="00A72806">
        <w:rPr>
          <w:rFonts w:ascii="Verdana" w:eastAsia="Verdana" w:hAnsi="Verdana" w:cs="Verdana"/>
          <w:color w:val="0563C1"/>
          <w:u w:val="single" w:color="0563C1"/>
        </w:rPr>
        <w:t xml:space="preserve"> </w:t>
      </w:r>
      <w:r w:rsidRPr="005B5CB6" w:rsidR="00A72806">
        <w:rPr>
          <w:rFonts w:ascii="Verdana" w:eastAsia="Verdana" w:hAnsi="Verdana" w:cs="Verdana"/>
        </w:rPr>
        <w:t xml:space="preserve">Natascha Just and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Michael Latzer (2017) ‘Governance by algorithms: reality construction by algorithmic selection on the Internet’, </w:t>
      </w:r>
      <w:r w:rsidRPr="005B5CB6">
        <w:rPr>
          <w:rFonts w:ascii="Verdana" w:eastAsia="Verdana" w:hAnsi="Verdana" w:cs="Verdana"/>
          <w:i/>
        </w:rPr>
        <w:t xml:space="preserve">Media, Culture &amp; Society, </w:t>
      </w:r>
      <w:r w:rsidRPr="005B5CB6">
        <w:rPr>
          <w:rFonts w:ascii="Verdana" w:eastAsia="Verdana" w:hAnsi="Verdana" w:cs="Verdana"/>
        </w:rPr>
        <w:t xml:space="preserve">39(2), pp.238-258 </w:t>
      </w:r>
    </w:p>
    <w:p w:rsidR="00FB0B24" w:rsidRPr="005B5CB6" w:rsidP="00CF6BAD">
      <w:pPr>
        <w:spacing w:after="3" w:line="249" w:lineRule="auto"/>
        <w:ind w:left="-4" w:hanging="10"/>
        <w:jc w:val="both"/>
        <w:rPr>
          <w:rFonts w:ascii="Verdana" w:hAnsi="Verdana"/>
        </w:rPr>
      </w:pPr>
      <w:r>
        <w:fldChar w:fldCharType="begin"/>
      </w:r>
      <w:r>
        <w:instrText xml:space="preserve"> HYPERLINK "https://journals.sagepub.com/doi/abs/10.1177/0163443716643157?journalCode=mcsa" </w:instrText>
      </w:r>
      <w:r>
        <w:fldChar w:fldCharType="separate"/>
      </w:r>
      <w:r w:rsidRPr="005B5CB6" w:rsidR="00A72806">
        <w:rPr>
          <w:rFonts w:ascii="Verdana" w:eastAsia="Verdana" w:hAnsi="Verdana" w:cs="Verdana"/>
        </w:rPr>
        <w:t>[</w:t>
      </w:r>
      <w:r>
        <w:fldChar w:fldCharType="end"/>
      </w:r>
      <w:r>
        <w:fldChar w:fldCharType="begin"/>
      </w:r>
      <w:r>
        <w:instrText xml:space="preserve"> HYPERLINK "https://journals.sagepub.com/doi/abs/10.1177/0163443716643157?journalCode=mcsa" </w:instrText>
      </w:r>
      <w:r>
        <w:fldChar w:fldCharType="separate"/>
      </w:r>
      <w:r w:rsidRPr="005B5CB6" w:rsidR="00A72806">
        <w:rPr>
          <w:rFonts w:ascii="Verdana" w:eastAsia="Verdana" w:hAnsi="Verdana" w:cs="Verdana"/>
          <w:color w:val="0563C1"/>
          <w:u w:val="single" w:color="0563C1"/>
        </w:rPr>
        <w:t>https://journals.sagepub.com/doi/abs/10.1177/0163443716643157?journalCode=mcsa</w:t>
      </w:r>
      <w:r>
        <w:fldChar w:fldCharType="end"/>
      </w:r>
      <w:r>
        <w:fldChar w:fldCharType="begin"/>
      </w:r>
      <w:r>
        <w:instrText xml:space="preserve"> HYPERLINK "https://journals.sagepub.com/doi/abs/10.1177/0163443716643157?journalCode=mcsa"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James G Webster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(2010) ‘User Information Regimes: How Social Media Shape Patterns of Consumption’, </w:t>
      </w:r>
      <w:r w:rsidRPr="005B5CB6">
        <w:rPr>
          <w:rFonts w:ascii="Verdana" w:eastAsia="Verdana" w:hAnsi="Verdana" w:cs="Verdana"/>
          <w:i/>
        </w:rPr>
        <w:t>Northwestern University Law Review</w:t>
      </w:r>
      <w:r w:rsidRPr="005B5CB6">
        <w:rPr>
          <w:rFonts w:ascii="Verdana" w:eastAsia="Verdana" w:hAnsi="Verdana" w:cs="Verdana"/>
        </w:rPr>
        <w:t xml:space="preserve">, 104(2); Zeynep Tufekci (2015) ‘Algorithmic Harms Beyond Facebook and Google: Emergent Challenges of Computational Agency’, </w:t>
      </w:r>
      <w:r w:rsidRPr="005B5CB6">
        <w:rPr>
          <w:rFonts w:ascii="Verdana" w:eastAsia="Verdana" w:hAnsi="Verdana" w:cs="Verdana"/>
          <w:i/>
        </w:rPr>
        <w:t>Colorado Technology Law Journal</w:t>
      </w:r>
      <w:r w:rsidRPr="005B5CB6">
        <w:rPr>
          <w:rFonts w:ascii="Verdana" w:eastAsia="Verdana" w:hAnsi="Verdana" w:cs="Verdana"/>
        </w:rPr>
        <w:t xml:space="preserve">, 13, pp.207-208. </w:t>
      </w:r>
    </w:p>
    <w:p w:rsidR="00FB0B24" w:rsidRPr="005B5CB6" w:rsidP="00CF6BAD">
      <w:pPr>
        <w:spacing w:after="4" w:line="249" w:lineRule="auto"/>
        <w:ind w:left="-2" w:hanging="10"/>
        <w:jc w:val="both"/>
        <w:rPr>
          <w:rFonts w:ascii="Verdana" w:hAnsi="Verdana"/>
        </w:rPr>
      </w:pPr>
      <w:r>
        <w:fldChar w:fldCharType="begin"/>
      </w:r>
      <w:r>
        <w:instrText xml:space="preserve"> HYPERLINK "https://ctlj.colorado.edu/wp-content/uploads/2015/08/Tufekci-final.pdf" </w:instrText>
      </w:r>
      <w:r>
        <w:fldChar w:fldCharType="separate"/>
      </w:r>
      <w:r w:rsidRPr="005B5CB6" w:rsidR="00A72806">
        <w:rPr>
          <w:rFonts w:ascii="Verdana" w:eastAsia="Verdana" w:hAnsi="Verdana" w:cs="Verdana"/>
        </w:rPr>
        <w:t>[</w:t>
      </w:r>
      <w:r>
        <w:fldChar w:fldCharType="end"/>
      </w:r>
      <w:r>
        <w:fldChar w:fldCharType="begin"/>
      </w:r>
      <w:r>
        <w:instrText xml:space="preserve"> HYPERLINK "https://ctlj.colorado.edu/wp-content/uploads/2015/08/Tufekci-final.pdf" </w:instrText>
      </w:r>
      <w:r>
        <w:fldChar w:fldCharType="separate"/>
      </w:r>
      <w:r w:rsidRPr="005B5CB6" w:rsidR="00A72806">
        <w:rPr>
          <w:rFonts w:ascii="Verdana" w:eastAsia="Verdana" w:hAnsi="Verdana" w:cs="Verdana"/>
          <w:color w:val="0563C1"/>
          <w:u w:val="single" w:color="0563C1"/>
        </w:rPr>
        <w:t>https://ctlj.colorado.edu/wp-content/uploads/2015/08/Tufekci-final.pdf</w:t>
      </w:r>
      <w:r>
        <w:fldChar w:fldCharType="end"/>
      </w:r>
      <w:r>
        <w:fldChar w:fldCharType="begin"/>
      </w:r>
      <w:r>
        <w:instrText xml:space="preserve"> HYPERLINK "https://ctlj.colorado.edu/wp-content/uploads/2015/08/Tufekci-final.pdf"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Taina Bucher (2012) 'Want to be on top? Algorithmic power and the threat of invisibility on Facebook', </w:t>
      </w:r>
      <w:r w:rsidRPr="005B5CB6" w:rsidR="00A72806">
        <w:rPr>
          <w:rFonts w:ascii="Verdana" w:eastAsia="Verdana" w:hAnsi="Verdana" w:cs="Verdana"/>
          <w:i/>
        </w:rPr>
        <w:t>New Media &amp; Society</w:t>
      </w:r>
      <w:r w:rsidRPr="005B5CB6" w:rsidR="00A72806">
        <w:rPr>
          <w:rFonts w:ascii="Verdana" w:eastAsia="Verdana" w:hAnsi="Verdana" w:cs="Verdana"/>
        </w:rPr>
        <w:t xml:space="preserve">, 14(7), pp.1164-1180 </w:t>
      </w:r>
      <w:r>
        <w:fldChar w:fldCharType="begin"/>
      </w:r>
      <w:r>
        <w:instrText xml:space="preserve"> HYPERLINK "https://journals.sagepub.com/doi/abs/10.1177/1461444812440159" </w:instrText>
      </w:r>
      <w:r>
        <w:fldChar w:fldCharType="separate"/>
      </w:r>
      <w:r w:rsidRPr="005B5CB6" w:rsidR="00A72806">
        <w:rPr>
          <w:rFonts w:ascii="Verdana" w:eastAsia="Verdana" w:hAnsi="Verdana" w:cs="Verdana"/>
        </w:rPr>
        <w:t>[</w:t>
      </w:r>
      <w:r>
        <w:fldChar w:fldCharType="end"/>
      </w:r>
      <w:r>
        <w:fldChar w:fldCharType="begin"/>
      </w:r>
      <w:r>
        <w:instrText xml:space="preserve"> HYPERLINK "https://journals.sagepub.com/doi/abs/10.1177/1461444812440159" </w:instrText>
      </w:r>
      <w:r>
        <w:fldChar w:fldCharType="separate"/>
      </w:r>
      <w:r w:rsidRPr="005B5CB6" w:rsidR="00A72806">
        <w:rPr>
          <w:rFonts w:ascii="Verdana" w:eastAsia="Verdana" w:hAnsi="Verdana" w:cs="Verdana"/>
          <w:color w:val="0563C1"/>
          <w:u w:val="single" w:color="0563C1"/>
        </w:rPr>
        <w:t>https://journals.sagepub.com/doi/abs/10.1177/1461444812440159</w:t>
      </w:r>
      <w:r>
        <w:fldChar w:fldCharType="end"/>
      </w:r>
      <w:r>
        <w:fldChar w:fldCharType="begin"/>
      </w:r>
      <w:r>
        <w:instrText xml:space="preserve"> HYPERLINK "https://journals.sagepub.com/doi/abs/10.1177/1461444812440159"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Taina Bucher (2017) 'The algorithmic imaginary: exploring the ordinary affects of Facebook algorithms', </w:t>
      </w:r>
      <w:r w:rsidRPr="005B5CB6" w:rsidR="00A72806">
        <w:rPr>
          <w:rFonts w:ascii="Verdana" w:eastAsia="Verdana" w:hAnsi="Verdana" w:cs="Verdana"/>
          <w:i/>
        </w:rPr>
        <w:t>Information, Communication &amp; Society</w:t>
      </w:r>
      <w:r w:rsidRPr="005B5CB6" w:rsidR="00A72806">
        <w:rPr>
          <w:rFonts w:ascii="Verdana" w:eastAsia="Verdana" w:hAnsi="Verdana" w:cs="Verdana"/>
        </w:rPr>
        <w:t>, 20(1), pp.30-44 [</w:t>
      </w:r>
      <w:r>
        <w:fldChar w:fldCharType="begin"/>
      </w:r>
      <w:r>
        <w:instrText xml:space="preserve"> HYPERLINK "https://www.tandfonline.com/doi/abs/10.1080/1369118X.2016.1154086" </w:instrText>
      </w:r>
      <w:r>
        <w:fldChar w:fldCharType="separate"/>
      </w:r>
      <w:r w:rsidRPr="005B5CB6" w:rsidR="00A72806">
        <w:rPr>
          <w:rFonts w:ascii="Verdana" w:eastAsia="Verdana" w:hAnsi="Verdana" w:cs="Verdana"/>
          <w:color w:val="0563C1"/>
          <w:u w:val="single" w:color="0563C1"/>
        </w:rPr>
        <w:t>https://www.tandfonline.com/doi/abs/10.1080/1369118X.2016.1154086</w:t>
      </w:r>
      <w:r>
        <w:fldChar w:fldCharType="end"/>
      </w:r>
      <w:r>
        <w:fldChar w:fldCharType="begin"/>
      </w:r>
      <w:r>
        <w:instrText xml:space="preserve"> HYPERLINK "https://www.tandfonline.com/doi/abs/10.1080/1369118X.2016.1154086"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vertAlign w:val="superscript"/>
        </w:rPr>
        <w:t>32</w:t>
      </w:r>
      <w:r w:rsidRPr="005B5CB6">
        <w:rPr>
          <w:rFonts w:ascii="Verdana" w:eastAsia="Verdana" w:hAnsi="Verdana" w:cs="Verdana"/>
        </w:rPr>
        <w:t xml:space="preserve"> For elaboration on these principles, see Jennifer Cobbe and Jatinder Singh, ‘Regulating Recommending: Motivations, Considerations, and Principles’ [</w:t>
      </w:r>
      <w:r>
        <w:fldChar w:fldCharType="begin"/>
      </w:r>
      <w:r>
        <w:instrText xml:space="preserve"> HYPERLINK "https://ssrn.com/abstract=3371830" </w:instrText>
      </w:r>
      <w:r>
        <w:fldChar w:fldCharType="separate"/>
      </w:r>
      <w:r w:rsidRPr="005B5CB6">
        <w:rPr>
          <w:rFonts w:ascii="Verdana" w:eastAsia="Verdana" w:hAnsi="Verdana" w:cs="Verdana"/>
          <w:color w:val="0563C1"/>
          <w:u w:val="single" w:color="0563C1"/>
        </w:rPr>
        <w:t>https://ssrn.com/abstract=3371830</w:t>
      </w:r>
      <w:r>
        <w:fldChar w:fldCharType="end"/>
      </w:r>
      <w:r>
        <w:fldChar w:fldCharType="begin"/>
      </w:r>
      <w:r>
        <w:instrText xml:space="preserve"> HYPERLINK "https://ssrn.com/abstract=3371830"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pp.34-43. </w:t>
      </w:r>
    </w:p>
    <w:p w:rsidR="00FB0B24" w:rsidRPr="005B5CB6" w:rsidP="00CF6BAD">
      <w:pPr>
        <w:jc w:val="both"/>
        <w:rPr>
          <w:rFonts w:ascii="Verdana" w:hAnsi="Verdana"/>
        </w:rPr>
        <w:sectPr w:rsidSect="00962753">
          <w:headerReference w:type="even" r:id="rId401"/>
          <w:headerReference w:type="default" r:id="rId402"/>
          <w:footerReference w:type="even" r:id="rId403"/>
          <w:footerReference w:type="default" r:id="rId404"/>
          <w:headerReference w:type="first" r:id="rId405"/>
          <w:footerReference w:type="first" r:id="rId406"/>
          <w:pgSz w:w="11906" w:h="16838"/>
          <w:pgMar w:top="1492" w:right="1436" w:bottom="1440" w:left="1440" w:header="720" w:footer="399" w:gutter="0"/>
          <w:cols w:space="720"/>
        </w:sectPr>
      </w:pPr>
    </w:p>
    <w:p w:rsidR="00FB0B24" w:rsidRPr="005B5CB6" w:rsidP="00A1624B">
      <w:pPr>
        <w:pStyle w:val="Heading1"/>
        <w:rPr>
          <w:sz w:val="22"/>
        </w:rPr>
      </w:pPr>
      <w:bookmarkStart w:id="66" w:name="_Toc44517754"/>
      <w:r w:rsidRPr="005B5CB6">
        <w:rPr>
          <w:sz w:val="22"/>
        </w:rPr>
        <w:t>Dr Patrícia Rossini and Dr Antonis Kalogeropoulos – written evidence (DAD0075)</w:t>
      </w:r>
      <w:bookmarkEnd w:id="66"/>
      <w:r w:rsidRPr="005B5CB6">
        <w:rPr>
          <w:sz w:val="22"/>
        </w:rPr>
        <w:t xml:space="preserve"> </w:t>
      </w:r>
    </w:p>
    <w:p w:rsidR="00FB0B24" w:rsidRPr="005B5CB6" w:rsidP="00CF6BAD">
      <w:pPr>
        <w:spacing w:after="17"/>
        <w:jc w:val="both"/>
        <w:rPr>
          <w:rFonts w:ascii="Verdana" w:hAnsi="Verdana"/>
        </w:rPr>
      </w:pPr>
      <w:r w:rsidRPr="005B5CB6">
        <w:rPr>
          <w:rFonts w:ascii="Verdana" w:eastAsia="Verdana" w:hAnsi="Verdana" w:cs="Verdana"/>
        </w:rPr>
        <w:t xml:space="preserve"> </w:t>
      </w:r>
    </w:p>
    <w:p w:rsidR="00FB0B24" w:rsidRPr="005B5CB6" w:rsidP="00CF6BAD">
      <w:pPr>
        <w:spacing w:after="26" w:line="249" w:lineRule="auto"/>
        <w:ind w:left="10" w:right="12" w:hanging="9"/>
        <w:jc w:val="both"/>
        <w:rPr>
          <w:rFonts w:ascii="Verdana" w:hAnsi="Verdana"/>
        </w:rPr>
      </w:pPr>
      <w:r w:rsidRPr="005B5CB6">
        <w:rPr>
          <w:rFonts w:ascii="Verdana" w:eastAsia="Verdana" w:hAnsi="Verdana" w:cs="Verdana"/>
          <w:b/>
        </w:rPr>
        <w:t xml:space="preserve">Dr Patricia Rossini </w:t>
      </w:r>
      <w:r w:rsidRPr="005B5CB6">
        <w:rPr>
          <w:rFonts w:ascii="Verdana" w:eastAsia="Verdana" w:hAnsi="Verdana" w:cs="Verdana"/>
        </w:rPr>
        <w:t xml:space="preserve">is a Derby Fellow in the Department of Communication and Media at the University of Liverpool. She is Principal Investigator on a project focused on misinformation, political discussion, and the use of mobile messaging applications funded by WhatsApp. She is also co-PI on a project funded by Twitter to develop metrics to assess conversational health, and on a project investigating the consequences of visual misinformation across 8 countries, funded by Facebook.  </w:t>
      </w:r>
    </w:p>
    <w:p w:rsidR="00FB0B24" w:rsidRPr="005B5CB6" w:rsidP="00CF6BAD">
      <w:pPr>
        <w:spacing w:after="17"/>
        <w:ind w:left="1"/>
        <w:jc w:val="both"/>
        <w:rPr>
          <w:rFonts w:ascii="Verdana" w:hAnsi="Verdana"/>
        </w:rPr>
      </w:pPr>
      <w:r w:rsidRPr="005B5CB6">
        <w:rPr>
          <w:rFonts w:ascii="Verdana" w:eastAsia="Verdana" w:hAnsi="Verdana" w:cs="Verdana"/>
        </w:rPr>
        <w:t xml:space="preserve">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b/>
        </w:rPr>
        <w:t xml:space="preserve">Dr Antonis Kalogeropoulos </w:t>
      </w:r>
      <w:r w:rsidRPr="005B5CB6">
        <w:rPr>
          <w:rFonts w:ascii="Verdana" w:eastAsia="Verdana" w:hAnsi="Verdana" w:cs="Verdana"/>
        </w:rPr>
        <w:t xml:space="preserve">is a Lecturer in the Department of Communication and Media at the University of Liverpool and a Research Associate at the Reuters Institute for the Study of Journalism at the University of Oxford. For the past four years he has been working on the Digital News Report Survey, the largest survey of news consumption patterns in the world. His research has focused on the uses of social media and messaging applications for news purposes.  </w:t>
      </w:r>
    </w:p>
    <w:p w:rsidR="00FB0B24" w:rsidRPr="005B5CB6" w:rsidP="00CF6BAD">
      <w:pPr>
        <w:spacing w:after="19"/>
        <w:ind w:left="1"/>
        <w:jc w:val="both"/>
        <w:rPr>
          <w:rFonts w:ascii="Verdana" w:hAnsi="Verdana"/>
        </w:rPr>
      </w:pPr>
      <w:r w:rsidRPr="005B5CB6">
        <w:rPr>
          <w:rFonts w:ascii="Verdana" w:eastAsia="Verdana" w:hAnsi="Verdana" w:cs="Verdana"/>
        </w:rPr>
        <w:t xml:space="preserve"> </w:t>
      </w:r>
    </w:p>
    <w:p w:rsidR="00FB0B24" w:rsidRPr="005B5CB6" w:rsidP="00CF6BAD">
      <w:pPr>
        <w:spacing w:after="0" w:line="274" w:lineRule="auto"/>
        <w:ind w:left="1" w:right="60"/>
        <w:jc w:val="both"/>
        <w:rPr>
          <w:rFonts w:ascii="Verdana" w:hAnsi="Verdana"/>
        </w:rPr>
      </w:pPr>
      <w:r w:rsidRPr="005B5CB6">
        <w:rPr>
          <w:rFonts w:ascii="Verdana" w:eastAsia="Verdana" w:hAnsi="Verdana" w:cs="Verdana"/>
          <w:b/>
          <w:i/>
        </w:rPr>
        <w:t xml:space="preserve">In respect to question 6 on the use of encrypted messaging and private groups presenting a challenge to the democratic process and question 10 on reducing the effects of misinformation on social media: </w:t>
      </w:r>
    </w:p>
    <w:p w:rsidR="00FB0B24" w:rsidRPr="005B5CB6" w:rsidP="00CF6BAD">
      <w:pPr>
        <w:spacing w:after="28"/>
        <w:ind w:left="1"/>
        <w:jc w:val="both"/>
        <w:rPr>
          <w:rFonts w:ascii="Verdana" w:hAnsi="Verdana"/>
        </w:rPr>
      </w:pPr>
      <w:r w:rsidRPr="005B5CB6">
        <w:rPr>
          <w:rFonts w:ascii="Verdana" w:eastAsia="Verdana" w:hAnsi="Verdana" w:cs="Verdana"/>
          <w:b/>
          <w:i/>
        </w:rPr>
        <w:t xml:space="preserve"> </w:t>
      </w:r>
    </w:p>
    <w:p w:rsidR="00FB0B24" w:rsidRPr="005B5CB6" w:rsidP="00575F14">
      <w:pPr>
        <w:numPr>
          <w:ilvl w:val="0"/>
          <w:numId w:val="234"/>
        </w:numPr>
        <w:spacing w:after="33" w:line="250" w:lineRule="auto"/>
        <w:ind w:hanging="595"/>
        <w:jc w:val="both"/>
        <w:rPr>
          <w:rFonts w:ascii="Verdana" w:hAnsi="Verdana"/>
        </w:rPr>
      </w:pPr>
      <w:r w:rsidRPr="005B5CB6">
        <w:rPr>
          <w:rFonts w:ascii="Verdana" w:eastAsia="Verdana" w:hAnsi="Verdana" w:cs="Verdana"/>
          <w:b/>
        </w:rPr>
        <w:t xml:space="preserve">Executive Summary </w:t>
      </w:r>
    </w:p>
    <w:p w:rsidR="00FB0B24" w:rsidRPr="005B5CB6" w:rsidP="00CF6BAD">
      <w:pPr>
        <w:spacing w:after="17"/>
        <w:ind w:left="720"/>
        <w:jc w:val="both"/>
        <w:rPr>
          <w:rFonts w:ascii="Verdana" w:hAnsi="Verdana"/>
        </w:rPr>
      </w:pPr>
      <w:r w:rsidRPr="005B5CB6">
        <w:rPr>
          <w:rFonts w:ascii="Verdana" w:eastAsia="Verdana" w:hAnsi="Verdana" w:cs="Verdana"/>
          <w:b/>
        </w:rPr>
        <w:t xml:space="preserve"> </w:t>
      </w:r>
    </w:p>
    <w:p w:rsidR="00FB0B24" w:rsidRPr="005B5CB6" w:rsidP="00575F14">
      <w:pPr>
        <w:numPr>
          <w:ilvl w:val="1"/>
          <w:numId w:val="234"/>
        </w:numPr>
        <w:spacing w:after="54" w:line="249" w:lineRule="auto"/>
        <w:ind w:left="1440" w:right="12" w:hanging="799"/>
        <w:jc w:val="both"/>
        <w:rPr>
          <w:rFonts w:ascii="Verdana" w:hAnsi="Verdana"/>
        </w:rPr>
      </w:pPr>
      <w:r w:rsidRPr="005B5CB6">
        <w:rPr>
          <w:rFonts w:ascii="Verdana" w:eastAsia="Verdana" w:hAnsi="Verdana" w:cs="Verdana"/>
        </w:rPr>
        <w:t>Private messaging applications, such as WhatsApp, are increasingly popular worldwide. WhatsApp is the leading application in this segment, with 1.5 billion users globally. In the UK, WhatsApp is the leading messaging app, used by 58% of the population — behind Facebook and YouTube, both with 79% penetration</w:t>
      </w:r>
      <w:r>
        <w:rPr>
          <w:rFonts w:ascii="Verdana" w:eastAsia="Verdana" w:hAnsi="Verdana" w:cs="Verdana"/>
          <w:vertAlign w:val="superscript"/>
        </w:rPr>
        <w:footnoteReference w:id="361"/>
      </w:r>
      <w:r w:rsidRPr="005B5CB6">
        <w:rPr>
          <w:rFonts w:ascii="Verdana" w:eastAsia="Verdana" w:hAnsi="Verdana" w:cs="Verdana"/>
        </w:rPr>
        <w:t xml:space="preserve">.  </w:t>
      </w:r>
    </w:p>
    <w:p w:rsidR="00FB0B24" w:rsidRPr="005B5CB6" w:rsidP="00575F14">
      <w:pPr>
        <w:numPr>
          <w:ilvl w:val="1"/>
          <w:numId w:val="234"/>
        </w:numPr>
        <w:spacing w:after="5" w:line="249" w:lineRule="auto"/>
        <w:ind w:left="1440" w:right="12" w:hanging="799"/>
        <w:jc w:val="both"/>
        <w:rPr>
          <w:rFonts w:ascii="Verdana" w:hAnsi="Verdana"/>
        </w:rPr>
      </w:pPr>
      <w:r w:rsidRPr="005B5CB6">
        <w:rPr>
          <w:rFonts w:ascii="Verdana" w:eastAsia="Verdana" w:hAnsi="Verdana" w:cs="Verdana"/>
        </w:rPr>
        <w:t xml:space="preserve">The popularity and the uses of these applications challenge democracy in important ways. This document focuses on two of them: threats to electoral integrity, and misinformation. </w:t>
      </w:r>
    </w:p>
    <w:p w:rsidR="00FB0B24" w:rsidRPr="005B5CB6" w:rsidP="00575F14">
      <w:pPr>
        <w:numPr>
          <w:ilvl w:val="1"/>
          <w:numId w:val="234"/>
        </w:numPr>
        <w:spacing w:after="26" w:line="249" w:lineRule="auto"/>
        <w:ind w:left="1440" w:right="12" w:hanging="799"/>
        <w:jc w:val="both"/>
        <w:rPr>
          <w:rFonts w:ascii="Verdana" w:hAnsi="Verdana"/>
        </w:rPr>
      </w:pPr>
      <w:r w:rsidRPr="005B5CB6">
        <w:rPr>
          <w:rFonts w:ascii="Verdana" w:eastAsia="Verdana" w:hAnsi="Verdana" w:cs="Verdana"/>
        </w:rPr>
        <w:t xml:space="preserve">The increased use of WhatsApp by elected representatives and political campaigns requires new regulation and more oversight, given the issues raised by elections in the Global South.  </w:t>
      </w:r>
    </w:p>
    <w:p w:rsidR="00FB0B24" w:rsidRPr="005B5CB6" w:rsidP="00575F14">
      <w:pPr>
        <w:numPr>
          <w:ilvl w:val="1"/>
          <w:numId w:val="234"/>
        </w:numPr>
        <w:spacing w:after="151" w:line="249" w:lineRule="auto"/>
        <w:ind w:left="1440" w:right="12" w:hanging="799"/>
        <w:jc w:val="both"/>
        <w:rPr>
          <w:rFonts w:ascii="Verdana" w:hAnsi="Verdana"/>
        </w:rPr>
      </w:pPr>
      <w:r w:rsidRPr="005B5CB6">
        <w:rPr>
          <w:rFonts w:ascii="Verdana" w:eastAsia="Verdana" w:hAnsi="Verdana" w:cs="Verdana"/>
        </w:rPr>
        <w:t xml:space="preserve">Messaging apps are increasingly used by the public as news sources, which despite their benefits (users report higher engagement with news stories) could be highly problematic due to the lack of context and the high volume of misinformation.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89173" name="Group 58917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6359" name="Shape 63635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87" style="height:0.6pt;mso-position-horizontal-relative:char;mso-position-vertical-relative:line;width:2in" coordsize="18288,76">
                <v:shape id="_x0000_s1388"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CF6BAD">
      <w:pPr>
        <w:spacing w:after="460"/>
        <w:jc w:val="both"/>
        <w:rPr>
          <w:rFonts w:ascii="Verdana" w:hAnsi="Verdana"/>
        </w:rPr>
      </w:pPr>
      <w:r w:rsidRPr="005B5CB6">
        <w:rPr>
          <w:rFonts w:ascii="Verdana" w:eastAsia="Arial" w:hAnsi="Verdana" w:cs="Arial"/>
        </w:rPr>
        <w:t xml:space="preserve"> </w:t>
      </w:r>
    </w:p>
    <w:p w:rsidR="00FB0B24" w:rsidRPr="005B5CB6" w:rsidP="00575F14">
      <w:pPr>
        <w:numPr>
          <w:ilvl w:val="1"/>
          <w:numId w:val="234"/>
        </w:numPr>
        <w:spacing w:after="5" w:line="249" w:lineRule="auto"/>
        <w:ind w:left="1440" w:right="12" w:hanging="799"/>
        <w:jc w:val="both"/>
        <w:rPr>
          <w:rFonts w:ascii="Verdana" w:hAnsi="Verdana"/>
        </w:rPr>
      </w:pPr>
      <w:r w:rsidRPr="005B5CB6">
        <w:rPr>
          <w:rFonts w:ascii="Verdana" w:eastAsia="Verdana" w:hAnsi="Verdana" w:cs="Verdana"/>
        </w:rPr>
        <w:t xml:space="preserve">Our first set of recommendations focus on policy and regulations to ensure accountability of elected representatives and political campaigns </w:t>
      </w:r>
      <w:r w:rsidRPr="005B5CB6">
        <w:rPr>
          <w:rFonts w:ascii="Verdana" w:eastAsia="Verdana" w:hAnsi="Verdana" w:cs="Verdana"/>
        </w:rPr>
        <w:t xml:space="preserve">using these encrypted messaging applications to communicate with the electorate. </w:t>
      </w:r>
    </w:p>
    <w:p w:rsidR="00FB0B24" w:rsidRPr="005B5CB6" w:rsidP="00575F14">
      <w:pPr>
        <w:numPr>
          <w:ilvl w:val="1"/>
          <w:numId w:val="234"/>
        </w:numPr>
        <w:spacing w:after="5" w:line="249" w:lineRule="auto"/>
        <w:ind w:left="1440" w:right="12" w:hanging="799"/>
        <w:jc w:val="both"/>
        <w:rPr>
          <w:rFonts w:ascii="Verdana" w:hAnsi="Verdana"/>
        </w:rPr>
      </w:pPr>
      <w:r w:rsidRPr="005B5CB6">
        <w:rPr>
          <w:rFonts w:ascii="Verdana" w:eastAsia="Verdana" w:hAnsi="Verdana" w:cs="Verdana"/>
        </w:rPr>
        <w:t xml:space="preserve">Our second set of recommendations provide regulators and social media platforms with solutions that could help alleviate the spread and the effects of misinformation as well as help users to navigate these spaces as news environments. Our recommendations include focusing on digital literacy campaigns, changes in the interface to facilitate the reporting of posts that spread misinformation, as well as providing more context to media and links shared. </w:t>
      </w:r>
    </w:p>
    <w:p w:rsidR="00FB0B24" w:rsidRPr="005B5CB6" w:rsidP="00CF6BAD">
      <w:pPr>
        <w:spacing w:after="28"/>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34"/>
        </w:numPr>
        <w:spacing w:after="35" w:line="250" w:lineRule="auto"/>
        <w:ind w:hanging="595"/>
        <w:jc w:val="both"/>
        <w:rPr>
          <w:rFonts w:ascii="Verdana" w:hAnsi="Verdana"/>
        </w:rPr>
      </w:pPr>
      <w:r w:rsidRPr="005B5CB6">
        <w:rPr>
          <w:rFonts w:ascii="Verdana" w:eastAsia="Verdana" w:hAnsi="Verdana" w:cs="Verdana"/>
          <w:b/>
        </w:rPr>
        <w:t xml:space="preserve">Private messaging applications and elections </w:t>
      </w:r>
    </w:p>
    <w:p w:rsidR="00FB0B24" w:rsidRPr="005B5CB6" w:rsidP="00CF6BAD">
      <w:pPr>
        <w:spacing w:after="28"/>
        <w:ind w:left="720"/>
        <w:jc w:val="both"/>
        <w:rPr>
          <w:rFonts w:ascii="Verdana" w:hAnsi="Verdana"/>
        </w:rPr>
      </w:pPr>
      <w:r w:rsidRPr="005B5CB6">
        <w:rPr>
          <w:rFonts w:ascii="Verdana" w:eastAsia="Verdana" w:hAnsi="Verdana" w:cs="Verdana"/>
          <w:b/>
        </w:rPr>
        <w:t xml:space="preserve"> </w:t>
      </w:r>
    </w:p>
    <w:p w:rsidR="00FB0B24" w:rsidRPr="005B5CB6" w:rsidP="00575F14">
      <w:pPr>
        <w:numPr>
          <w:ilvl w:val="1"/>
          <w:numId w:val="234"/>
        </w:numPr>
        <w:spacing w:after="5" w:line="268" w:lineRule="auto"/>
        <w:ind w:left="1440" w:right="12" w:hanging="799"/>
        <w:jc w:val="both"/>
        <w:rPr>
          <w:rFonts w:ascii="Verdana" w:hAnsi="Verdana"/>
        </w:rPr>
      </w:pPr>
      <w:r w:rsidRPr="005B5CB6">
        <w:rPr>
          <w:rFonts w:ascii="Verdana" w:eastAsia="Verdana" w:hAnsi="Verdana" w:cs="Verdana"/>
        </w:rPr>
        <w:t xml:space="preserve">The increasing use of private messaging apps by elected representatives, political actors and political campaigns, pose several challenges to free and fair elections in Western democracies. These challenges arise because of encrypted messaging, which pose issues for accountability and oversight, combined with mass-scale reach.  </w:t>
      </w:r>
    </w:p>
    <w:p w:rsidR="00FB0B24" w:rsidRPr="005B5CB6" w:rsidP="00575F14">
      <w:pPr>
        <w:numPr>
          <w:ilvl w:val="1"/>
          <w:numId w:val="234"/>
        </w:numPr>
        <w:spacing w:after="28" w:line="249" w:lineRule="auto"/>
        <w:ind w:left="1440" w:right="12" w:hanging="799"/>
        <w:jc w:val="both"/>
        <w:rPr>
          <w:rFonts w:ascii="Verdana" w:hAnsi="Verdana"/>
        </w:rPr>
      </w:pPr>
      <w:r w:rsidRPr="005B5CB6">
        <w:rPr>
          <w:rFonts w:ascii="Verdana" w:eastAsia="Verdana" w:hAnsi="Verdana" w:cs="Verdana"/>
        </w:rPr>
        <w:t>Recent elections in Brazil (2018), India, Indonesia, and Nigeria</w:t>
      </w:r>
      <w:r w:rsidRPr="005B5CB6">
        <w:rPr>
          <w:rFonts w:ascii="Verdana" w:eastAsia="Verdana" w:hAnsi="Verdana" w:cs="Verdana"/>
          <w:vertAlign w:val="superscript"/>
        </w:rPr>
        <w:t>2</w:t>
      </w:r>
      <w:r w:rsidRPr="005B5CB6">
        <w:rPr>
          <w:rFonts w:ascii="Verdana" w:eastAsia="Verdana" w:hAnsi="Verdana" w:cs="Verdana"/>
        </w:rPr>
        <w:t xml:space="preserve"> (2019), have raised global attention to the weaponization of WhatsApp by disinformation campaigns — the action of malicious actors who mobilize users, usually through groups, to spread false or misleading information to their own contacts.  </w:t>
      </w:r>
    </w:p>
    <w:p w:rsidR="00FB0B24" w:rsidRPr="005B5CB6" w:rsidP="00575F14">
      <w:pPr>
        <w:numPr>
          <w:ilvl w:val="1"/>
          <w:numId w:val="234"/>
        </w:numPr>
        <w:spacing w:after="26" w:line="249" w:lineRule="auto"/>
        <w:ind w:left="1440" w:right="12" w:hanging="799"/>
        <w:jc w:val="both"/>
        <w:rPr>
          <w:rFonts w:ascii="Verdana" w:hAnsi="Verdana"/>
        </w:rPr>
      </w:pPr>
      <w:r w:rsidRPr="005B5CB6">
        <w:rPr>
          <w:rFonts w:ascii="Verdana" w:eastAsia="Verdana" w:hAnsi="Verdana" w:cs="Verdana"/>
        </w:rPr>
        <w:t xml:space="preserve">Due to encryption, law enforcement in these countries faced several challenges during their elections. Issues ranged from coordinated disinformation operations in Brazil — which cannot be easily traced to political campaigns, defying electoral regulation — to acts of physical violence in India and Indonesia due to misinformation widely shared on WhatsApp. </w:t>
      </w:r>
    </w:p>
    <w:p w:rsidR="00FB0B24" w:rsidRPr="005B5CB6" w:rsidP="00575F14">
      <w:pPr>
        <w:numPr>
          <w:ilvl w:val="1"/>
          <w:numId w:val="234"/>
        </w:numPr>
        <w:spacing w:after="592" w:line="249" w:lineRule="auto"/>
        <w:ind w:left="1440" w:right="12" w:hanging="799"/>
        <w:jc w:val="both"/>
        <w:rPr>
          <w:rFonts w:ascii="Verdana" w:hAnsi="Verdana"/>
        </w:rPr>
      </w:pPr>
      <w:r w:rsidRPr="005B5CB6">
        <w:rPr>
          <w:rFonts w:ascii="Verdana" w:eastAsia="Verdana" w:hAnsi="Verdana" w:cs="Verdana"/>
        </w:rPr>
        <w:t>While WhatsApp has taken action in response to these issues by changing technical features</w:t>
      </w:r>
      <w:r w:rsidRPr="005B5CB6">
        <w:rPr>
          <w:rFonts w:ascii="Verdana" w:eastAsia="Verdana" w:hAnsi="Verdana" w:cs="Verdana"/>
          <w:vertAlign w:val="superscript"/>
        </w:rPr>
        <w:t>3</w:t>
      </w:r>
      <w:r w:rsidRPr="005B5CB6">
        <w:rPr>
          <w:rFonts w:ascii="Verdana" w:eastAsia="Verdana" w:hAnsi="Verdana" w:cs="Verdana"/>
        </w:rPr>
        <w:t xml:space="preserve">, the cases of Brazil, India and Indonesia have demonstrated that the increasing use of encrypted messaging for non-private communication, such as political campaigning, requires oversight and regulation.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90248" name="Group 59024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61" name="Shape 63636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89" style="height:0.6pt;mso-position-horizontal-relative:char;mso-position-vertical-relative:line;width:2in" coordsize="18288,76">
                <v:shape id="_x0000_s1390"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575F14">
      <w:pPr>
        <w:numPr>
          <w:ilvl w:val="0"/>
          <w:numId w:val="235"/>
        </w:numPr>
        <w:spacing w:after="4" w:line="249" w:lineRule="auto"/>
        <w:ind w:hanging="10"/>
        <w:jc w:val="both"/>
        <w:rPr>
          <w:rFonts w:ascii="Verdana" w:hAnsi="Verdana"/>
        </w:rPr>
      </w:pPr>
      <w:r w:rsidRPr="005B5CB6">
        <w:rPr>
          <w:rFonts w:ascii="Verdana" w:eastAsia="Verdana" w:hAnsi="Verdana" w:cs="Verdana"/>
        </w:rPr>
        <w:t xml:space="preserve">Hitchen, J., Hassan, I., Fisher, J.; Cheeseman, N. (2019). WhatsApp and Nigeria's 2019 Elections: Mobilising the People, Protecting the Vote. Report: Centre for Democracy &amp; Development. Available at: </w:t>
      </w:r>
    </w:p>
    <w:p w:rsidR="00FB0B24" w:rsidRPr="005B5CB6" w:rsidP="00CF6BAD">
      <w:pPr>
        <w:spacing w:after="26" w:line="249" w:lineRule="auto"/>
        <w:ind w:left="-2" w:right="380" w:hanging="10"/>
        <w:jc w:val="both"/>
        <w:rPr>
          <w:rFonts w:ascii="Verdana" w:hAnsi="Verdana"/>
        </w:rPr>
      </w:pPr>
      <w:r>
        <w:fldChar w:fldCharType="begin"/>
      </w:r>
      <w:r>
        <w:instrText xml:space="preserve"> HYPERLINK "https://www.cddwestafrica.org/wp-content/uploads/2019/07/WHATSAPP-NIGERIA-ELECTION-2019.pdf" </w:instrText>
      </w:r>
      <w:r>
        <w:fldChar w:fldCharType="separate"/>
      </w:r>
      <w:r w:rsidRPr="005B5CB6" w:rsidR="00A72806">
        <w:rPr>
          <w:rFonts w:ascii="Verdana" w:eastAsia="Verdana" w:hAnsi="Verdana" w:cs="Verdana"/>
          <w:color w:val="1155CC"/>
          <w:u w:val="single" w:color="1155CC"/>
        </w:rPr>
        <w:t>https://www.cddwestafrica.org/wp-content/uploads/2019/07/WHATSAPP-NIGERIA-ELECTION-2019.pdf</w:t>
      </w:r>
      <w:r>
        <w:fldChar w:fldCharType="end"/>
      </w:r>
      <w:r>
        <w:fldChar w:fldCharType="begin"/>
      </w:r>
      <w:r>
        <w:instrText xml:space="preserve"> HYPERLINK "https://www.cddwestafrica.org/wp-content/uploads/2019/07/WHATSAPP-NIGERIA-ELECTION-2019.pdf"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  </w:t>
      </w:r>
      <w:r w:rsidRPr="005B5CB6" w:rsidR="00A72806">
        <w:rPr>
          <w:rFonts w:ascii="Verdana" w:eastAsia="Verdana" w:hAnsi="Verdana" w:cs="Verdana"/>
          <w:vertAlign w:val="superscript"/>
        </w:rPr>
        <w:t>3</w:t>
      </w:r>
      <w:r w:rsidRPr="005B5CB6" w:rsidR="00A72806">
        <w:rPr>
          <w:rFonts w:ascii="Verdana" w:eastAsia="Verdana" w:hAnsi="Verdana" w:cs="Verdana"/>
        </w:rPr>
        <w:t xml:space="preserve"> WhatsApp (February, 2019). Stopping Abuse: How WhatsApp Fights Bulk Messaging and Automated Behavior.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Available at: </w:t>
      </w:r>
    </w:p>
    <w:p w:rsidR="00FB0B24" w:rsidRPr="005B5CB6" w:rsidP="00CF6BAD">
      <w:pPr>
        <w:spacing w:after="3" w:line="249" w:lineRule="auto"/>
        <w:ind w:left="-2" w:right="16" w:hanging="10"/>
        <w:jc w:val="both"/>
        <w:rPr>
          <w:rFonts w:ascii="Verdana" w:hAnsi="Verdana"/>
        </w:rPr>
      </w:pPr>
      <w:r>
        <w:fldChar w:fldCharType="begin"/>
      </w:r>
      <w:r>
        <w:instrText xml:space="preserve"> HYPERLINK "https://scontent.whatsapp.net/v/t61/69510151_652112781951150_6923638360331596993_n.pdf/Stopping-Abuse-white-paper.pdf" </w:instrText>
      </w:r>
      <w:r>
        <w:fldChar w:fldCharType="separate"/>
      </w:r>
      <w:r w:rsidRPr="005B5CB6" w:rsidR="00A72806">
        <w:rPr>
          <w:rFonts w:ascii="Verdana" w:eastAsia="Verdana" w:hAnsi="Verdana" w:cs="Verdana"/>
          <w:color w:val="1155CC"/>
          <w:u w:val="single" w:color="1155CC"/>
        </w:rPr>
        <w:t>https://scontent.whatsapp.net/v/t61/69510151_652112781951150_6923638360331596993_n.pdf/Stopping</w:t>
      </w:r>
      <w:r>
        <w:fldChar w:fldCharType="end"/>
      </w:r>
      <w:r>
        <w:fldChar w:fldCharType="begin"/>
      </w:r>
      <w:r>
        <w:instrText xml:space="preserve"> HYPERLINK "https://scontent.whatsapp.net/v/t61/69510151_652112781951150_6923638360331596993_n.pdf/Stopping-Abuse-white-paper.pdf" </w:instrText>
      </w:r>
      <w:r>
        <w:fldChar w:fldCharType="separate"/>
      </w:r>
      <w:r w:rsidRPr="005B5CB6" w:rsidR="00A72806">
        <w:rPr>
          <w:rFonts w:ascii="Verdana" w:eastAsia="Verdana" w:hAnsi="Verdana" w:cs="Verdana"/>
          <w:color w:val="1155CC"/>
          <w:u w:val="single" w:color="1155CC"/>
        </w:rPr>
        <w:t>Abuse-white-paper.pdf</w:t>
      </w:r>
      <w:r>
        <w:fldChar w:fldCharType="end"/>
      </w:r>
      <w:r>
        <w:fldChar w:fldCharType="begin"/>
      </w:r>
      <w:r>
        <w:instrText xml:space="preserve"> HYPERLINK "https://scontent.whatsapp.net/v/t61/69510151_652112781951150_6923638360331596993_n.pdf/Stopping-Abuse-white-paper.pdf"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 </w:t>
      </w:r>
    </w:p>
    <w:p w:rsidR="00FB0B24" w:rsidRPr="005B5CB6" w:rsidP="00CF6BAD">
      <w:pPr>
        <w:spacing w:after="460"/>
        <w:jc w:val="both"/>
        <w:rPr>
          <w:rFonts w:ascii="Verdana" w:hAnsi="Verdana"/>
        </w:rPr>
      </w:pPr>
      <w:r w:rsidRPr="005B5CB6">
        <w:rPr>
          <w:rFonts w:ascii="Verdana" w:eastAsia="Arial" w:hAnsi="Verdana" w:cs="Arial"/>
        </w:rPr>
        <w:t xml:space="preserve"> </w:t>
      </w:r>
    </w:p>
    <w:p w:rsidR="00FB0B24" w:rsidRPr="005B5CB6" w:rsidP="00575F14">
      <w:pPr>
        <w:numPr>
          <w:ilvl w:val="1"/>
          <w:numId w:val="235"/>
        </w:numPr>
        <w:spacing w:after="5" w:line="249" w:lineRule="auto"/>
        <w:ind w:left="1440" w:right="12" w:hanging="799"/>
        <w:jc w:val="both"/>
        <w:rPr>
          <w:rFonts w:ascii="Verdana" w:hAnsi="Verdana"/>
        </w:rPr>
      </w:pPr>
      <w:r w:rsidRPr="005B5CB6">
        <w:rPr>
          <w:rFonts w:ascii="Verdana" w:eastAsia="Verdana" w:hAnsi="Verdana" w:cs="Verdana"/>
        </w:rPr>
        <w:t xml:space="preserve">The case of Cambridge Analytica and the investigation about foreign interference in the 2016 Presidential elections in the United States has raised attention to how targeted advertising on social media can be abused when there is little or no oversight on how these platforms are being used in election campaigns, which led to more calls for transparency and regulation (e.g. by the EU). However, this debate so far has not included private messaging applications. </w:t>
      </w:r>
    </w:p>
    <w:p w:rsidR="00FB0B24" w:rsidRPr="005B5CB6" w:rsidP="00575F14">
      <w:pPr>
        <w:numPr>
          <w:ilvl w:val="1"/>
          <w:numId w:val="235"/>
        </w:numPr>
        <w:spacing w:after="5" w:line="249" w:lineRule="auto"/>
        <w:ind w:left="1440" w:right="12" w:hanging="799"/>
        <w:jc w:val="both"/>
        <w:rPr>
          <w:rFonts w:ascii="Verdana" w:hAnsi="Verdana"/>
        </w:rPr>
      </w:pPr>
      <w:r w:rsidRPr="005B5CB6">
        <w:rPr>
          <w:rFonts w:ascii="Verdana" w:eastAsia="Verdana" w:hAnsi="Verdana" w:cs="Verdana"/>
        </w:rPr>
        <w:t xml:space="preserve">Considering the increasing shift towards private messaging, and Facebook's intention to encrypt more of its services, there is a pressing need for a discussion about ensuring transparency and public accountability in the context of encrypted messaging applications to protect free and fair elections, as well as to prevent foreign interference and weaponization of these applications in the next electoral cycles in the UK. </w:t>
      </w:r>
    </w:p>
    <w:p w:rsidR="00FB0B24" w:rsidRPr="005B5CB6" w:rsidP="00CF6BAD">
      <w:pPr>
        <w:spacing w:after="17"/>
        <w:ind w:left="1441"/>
        <w:jc w:val="both"/>
        <w:rPr>
          <w:rFonts w:ascii="Verdana" w:hAnsi="Verdana"/>
        </w:rPr>
      </w:pPr>
      <w:r w:rsidRPr="005B5CB6">
        <w:rPr>
          <w:rFonts w:ascii="Verdana" w:eastAsia="Verdana" w:hAnsi="Verdana" w:cs="Verdana"/>
        </w:rPr>
        <w:t xml:space="preserve"> </w:t>
      </w:r>
    </w:p>
    <w:p w:rsidR="00FB0B24" w:rsidRPr="005B5CB6" w:rsidP="00575F14">
      <w:pPr>
        <w:numPr>
          <w:ilvl w:val="0"/>
          <w:numId w:val="236"/>
        </w:numPr>
        <w:spacing w:after="5" w:line="250" w:lineRule="auto"/>
        <w:ind w:hanging="595"/>
        <w:jc w:val="both"/>
        <w:rPr>
          <w:rFonts w:ascii="Verdana" w:hAnsi="Verdana"/>
        </w:rPr>
      </w:pPr>
      <w:r w:rsidRPr="005B5CB6">
        <w:rPr>
          <w:rFonts w:ascii="Verdana" w:eastAsia="Verdana" w:hAnsi="Verdana" w:cs="Verdana"/>
          <w:b/>
        </w:rPr>
        <w:t xml:space="preserve">Uses of private messaging applications and private groups for news and politics </w:t>
      </w:r>
    </w:p>
    <w:p w:rsidR="00FB0B24" w:rsidRPr="005B5CB6" w:rsidP="00CF6BAD">
      <w:pPr>
        <w:spacing w:after="257"/>
        <w:ind w:left="720"/>
        <w:jc w:val="both"/>
        <w:rPr>
          <w:rFonts w:ascii="Verdana" w:hAnsi="Verdana"/>
        </w:rPr>
      </w:pPr>
      <w:r w:rsidRPr="005B5CB6">
        <w:rPr>
          <w:rFonts w:ascii="Verdana" w:eastAsia="Verdana" w:hAnsi="Verdana" w:cs="Verdana"/>
          <w:b/>
        </w:rPr>
        <w:t xml:space="preserve"> </w:t>
      </w:r>
    </w:p>
    <w:p w:rsidR="00FB0B24" w:rsidRPr="005B5CB6" w:rsidP="00575F14">
      <w:pPr>
        <w:numPr>
          <w:ilvl w:val="1"/>
          <w:numId w:val="236"/>
        </w:numPr>
        <w:spacing w:after="26" w:line="249" w:lineRule="auto"/>
        <w:ind w:left="1440" w:right="12" w:hanging="799"/>
        <w:jc w:val="both"/>
        <w:rPr>
          <w:rFonts w:ascii="Verdana" w:hAnsi="Verdana"/>
        </w:rPr>
      </w:pPr>
      <w:r w:rsidRPr="005B5CB6">
        <w:rPr>
          <w:rFonts w:ascii="Verdana" w:eastAsia="Verdana" w:hAnsi="Verdana" w:cs="Verdana"/>
        </w:rPr>
        <w:t>During the past years, we have observed a shift in how news audiences get their news from social media. Using results from an annual online survey in 12 countries (including the UK) we find that the use of Facebook for news has dropped from 42% in 2016 to 36% in 2019</w:t>
      </w:r>
      <w:r>
        <w:rPr>
          <w:rFonts w:ascii="Verdana" w:eastAsia="Verdana" w:hAnsi="Verdana" w:cs="Verdana"/>
          <w:vertAlign w:val="superscript"/>
        </w:rPr>
        <w:footnoteReference w:id="362"/>
      </w:r>
      <w:r w:rsidRPr="005B5CB6">
        <w:rPr>
          <w:rFonts w:ascii="Verdana" w:eastAsia="Verdana" w:hAnsi="Verdana" w:cs="Verdana"/>
        </w:rPr>
        <w:t xml:space="preserve">. While the drop is small, it is the first time we see a decrease in the use of Facebook for news and it signals the end of constant growth for the use of Facebook for news.  </w:t>
      </w:r>
    </w:p>
    <w:p w:rsidR="00FB0B24" w:rsidRPr="005B5CB6" w:rsidP="00575F14">
      <w:pPr>
        <w:numPr>
          <w:ilvl w:val="1"/>
          <w:numId w:val="236"/>
        </w:numPr>
        <w:spacing w:after="27" w:line="249" w:lineRule="auto"/>
        <w:ind w:left="1440" w:right="12" w:hanging="799"/>
        <w:jc w:val="both"/>
        <w:rPr>
          <w:rFonts w:ascii="Verdana" w:hAnsi="Verdana"/>
        </w:rPr>
      </w:pPr>
      <w:r w:rsidRPr="005B5CB6">
        <w:rPr>
          <w:rFonts w:ascii="Verdana" w:eastAsia="Verdana" w:hAnsi="Verdana" w:cs="Verdana"/>
        </w:rPr>
        <w:t>The use of WhatsApp for all purposes in these 12 countries has increased from 17% to 45% of the online population during the past five years, while its use for news has increased from 9% in 2014 to 16% in 2019.</w:t>
      </w:r>
      <w:r>
        <w:rPr>
          <w:rFonts w:ascii="Verdana" w:eastAsia="Verdana" w:hAnsi="Verdana" w:cs="Verdana"/>
          <w:vertAlign w:val="superscript"/>
        </w:rPr>
        <w:footnoteReference w:id="363"/>
      </w:r>
      <w:r w:rsidRPr="005B5CB6">
        <w:rPr>
          <w:rFonts w:ascii="Verdana" w:eastAsia="Verdana" w:hAnsi="Verdana" w:cs="Verdana"/>
        </w:rPr>
        <w:t xml:space="preserve"> The use of other messaging applications like Facebook Messenger, Telegram and Viber for news has also increased during the past few years.  </w:t>
      </w:r>
    </w:p>
    <w:p w:rsidR="00FB0B24" w:rsidRPr="005B5CB6" w:rsidP="00575F14">
      <w:pPr>
        <w:numPr>
          <w:ilvl w:val="1"/>
          <w:numId w:val="236"/>
        </w:numPr>
        <w:spacing w:after="546" w:line="249" w:lineRule="auto"/>
        <w:ind w:left="1440" w:right="12" w:hanging="799"/>
        <w:jc w:val="both"/>
        <w:rPr>
          <w:rFonts w:ascii="Verdana" w:hAnsi="Verdana"/>
        </w:rPr>
      </w:pPr>
      <w:r w:rsidRPr="005B5CB6">
        <w:rPr>
          <w:rFonts w:ascii="Verdana" w:eastAsia="Verdana" w:hAnsi="Verdana" w:cs="Verdana"/>
        </w:rPr>
        <w:t>In early 2019, Mark Zuckerberg announced that they will prioritise private group conversations in the news feed.</w:t>
      </w:r>
      <w:r>
        <w:rPr>
          <w:rFonts w:ascii="Verdana" w:eastAsia="Verdana" w:hAnsi="Verdana" w:cs="Verdana"/>
          <w:vertAlign w:val="superscript"/>
        </w:rPr>
        <w:footnoteReference w:id="364"/>
      </w:r>
      <w:r w:rsidRPr="005B5CB6">
        <w:rPr>
          <w:rFonts w:ascii="Verdana" w:eastAsia="Verdana" w:hAnsi="Verdana" w:cs="Verdana"/>
        </w:rPr>
        <w:t xml:space="preserve"> Our research suggests that around half of Facebook users (51%) in nine countries are members of groups with people they do not know, whereas in the UK that number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90188" name="Group 59018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65" name="Shape 63636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91" style="height:0.6pt;mso-position-horizontal-relative:char;mso-position-vertical-relative:line;width:2in" coordsize="18288,76">
                <v:shape id="_x0000_s1392"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CF6BAD">
      <w:pPr>
        <w:spacing w:after="5" w:line="250" w:lineRule="auto"/>
        <w:ind w:left="1449" w:right="11" w:hanging="8"/>
        <w:jc w:val="both"/>
        <w:rPr>
          <w:rFonts w:ascii="Verdana" w:hAnsi="Verdana"/>
        </w:rPr>
      </w:pPr>
      <w:r w:rsidRPr="005B5CB6">
        <w:rPr>
          <w:rFonts w:ascii="Verdana" w:eastAsia="Verdana" w:hAnsi="Verdana" w:cs="Verdana"/>
        </w:rPr>
        <w:t xml:space="preserve">is the lowest with 12% of Facebook users being a member of a public group. </w:t>
      </w:r>
    </w:p>
    <w:p w:rsidR="00FB0B24" w:rsidRPr="005B5CB6" w:rsidP="00575F14">
      <w:pPr>
        <w:numPr>
          <w:ilvl w:val="1"/>
          <w:numId w:val="236"/>
        </w:numPr>
        <w:spacing w:after="5" w:line="249" w:lineRule="auto"/>
        <w:ind w:left="1440" w:right="12" w:hanging="799"/>
        <w:jc w:val="both"/>
        <w:rPr>
          <w:rFonts w:ascii="Verdana" w:hAnsi="Verdana"/>
        </w:rPr>
      </w:pPr>
      <w:r w:rsidRPr="005B5CB6">
        <w:rPr>
          <w:rFonts w:ascii="Verdana" w:eastAsia="Verdana" w:hAnsi="Verdana" w:cs="Verdana"/>
        </w:rPr>
        <w:t xml:space="preserve">Most Facebook users are members of groups related to their hobbies (22%) or their local communities (18%). Only 14% of Facebook users are members of groups related to news and politics, with the share being 8% for British Facebook users. </w:t>
      </w:r>
    </w:p>
    <w:p w:rsidR="00FB0B24" w:rsidRPr="005B5CB6" w:rsidP="00575F14">
      <w:pPr>
        <w:numPr>
          <w:ilvl w:val="1"/>
          <w:numId w:val="236"/>
        </w:numPr>
        <w:spacing w:after="53" w:line="249" w:lineRule="auto"/>
        <w:ind w:left="1440" w:right="12" w:hanging="799"/>
        <w:jc w:val="both"/>
        <w:rPr>
          <w:rFonts w:ascii="Verdana" w:hAnsi="Verdana"/>
        </w:rPr>
      </w:pPr>
      <w:r w:rsidRPr="005B5CB6">
        <w:rPr>
          <w:rFonts w:ascii="Verdana" w:eastAsia="Verdana" w:hAnsi="Verdana" w:cs="Verdana"/>
        </w:rPr>
        <w:t>Why are people moving from open networks such Facebook to private spaces? Findings from focus groups with news app users in the UK, the US, Germany and Brazil suggest that the size and the open nature of their Facebook’s network is the main reason</w:t>
      </w:r>
      <w:r w:rsidRPr="005B5CB6">
        <w:rPr>
          <w:rFonts w:ascii="Verdana" w:eastAsia="Verdana" w:hAnsi="Verdana" w:cs="Verdana"/>
          <w:vertAlign w:val="superscript"/>
        </w:rPr>
        <w:t>7</w:t>
      </w:r>
      <w:r w:rsidRPr="005B5CB6">
        <w:rPr>
          <w:rFonts w:ascii="Verdana" w:eastAsia="Verdana" w:hAnsi="Verdana" w:cs="Verdana"/>
        </w:rPr>
        <w:t xml:space="preserve">.  </w:t>
      </w:r>
    </w:p>
    <w:p w:rsidR="00FB0B24" w:rsidRPr="005B5CB6" w:rsidP="00575F14">
      <w:pPr>
        <w:numPr>
          <w:ilvl w:val="1"/>
          <w:numId w:val="236"/>
        </w:numPr>
        <w:spacing w:after="263" w:line="249" w:lineRule="auto"/>
        <w:ind w:left="1440" w:right="12" w:hanging="799"/>
        <w:jc w:val="both"/>
        <w:rPr>
          <w:rFonts w:ascii="Verdana" w:hAnsi="Verdana"/>
        </w:rPr>
      </w:pPr>
      <w:r w:rsidRPr="005B5CB6">
        <w:rPr>
          <w:rFonts w:ascii="Verdana" w:eastAsia="Verdana" w:hAnsi="Verdana" w:cs="Verdana"/>
        </w:rPr>
        <w:t>Over the years, the average Facebook user has accumulated many friends on Facebook ranging from extended family to co-workers and employers. Many users are finding it hard to talk about politics and current affairs in front of all their Facebook contacts and prefer to tailor their news related discussions to groups or individuals in private messages based on their political affiliation, or their interests</w:t>
      </w:r>
      <w:r w:rsidRPr="005B5CB6">
        <w:rPr>
          <w:rFonts w:ascii="Verdana" w:eastAsia="Verdana" w:hAnsi="Verdana" w:cs="Verdana"/>
          <w:vertAlign w:val="superscript"/>
        </w:rPr>
        <w:t>8</w:t>
      </w:r>
      <w:r w:rsidRPr="005B5CB6">
        <w:rPr>
          <w:rFonts w:ascii="Verdana" w:eastAsia="Verdana" w:hAnsi="Verdana" w:cs="Verdana"/>
        </w:rPr>
        <w:t xml:space="preserve">. This was particularly evident in polarized environments like the US where users would discuss news related to President Trump in a small groups with like-minded contacts.  </w:t>
      </w:r>
    </w:p>
    <w:p w:rsidR="00FB0B24" w:rsidRPr="005B5CB6" w:rsidP="00CF6BAD">
      <w:pPr>
        <w:spacing w:after="28"/>
        <w:jc w:val="both"/>
        <w:rPr>
          <w:rFonts w:ascii="Verdana" w:hAnsi="Verdana"/>
        </w:rPr>
      </w:pPr>
      <w:r w:rsidRPr="005B5CB6">
        <w:rPr>
          <w:rFonts w:ascii="Verdana" w:eastAsia="Verdana" w:hAnsi="Verdana" w:cs="Verdana"/>
        </w:rPr>
        <w:t xml:space="preserve"> </w:t>
      </w:r>
    </w:p>
    <w:p w:rsidR="00FB0B24" w:rsidRPr="005B5CB6" w:rsidP="00575F14">
      <w:pPr>
        <w:numPr>
          <w:ilvl w:val="0"/>
          <w:numId w:val="236"/>
        </w:numPr>
        <w:spacing w:after="33" w:line="250" w:lineRule="auto"/>
        <w:ind w:hanging="595"/>
        <w:jc w:val="both"/>
        <w:rPr>
          <w:rFonts w:ascii="Verdana" w:hAnsi="Verdana"/>
        </w:rPr>
      </w:pPr>
      <w:r w:rsidRPr="005B5CB6">
        <w:rPr>
          <w:rFonts w:ascii="Verdana" w:eastAsia="Verdana" w:hAnsi="Verdana" w:cs="Verdana"/>
          <w:b/>
        </w:rPr>
        <w:t xml:space="preserve">Messaging applications and the spread of misinformation  </w:t>
      </w:r>
    </w:p>
    <w:p w:rsidR="00FB0B24" w:rsidRPr="005B5CB6" w:rsidP="00CF6BAD">
      <w:pPr>
        <w:spacing w:after="19"/>
        <w:jc w:val="both"/>
        <w:rPr>
          <w:rFonts w:ascii="Verdana" w:hAnsi="Verdana"/>
        </w:rPr>
      </w:pPr>
      <w:r w:rsidRPr="005B5CB6">
        <w:rPr>
          <w:rFonts w:ascii="Verdana" w:eastAsia="Verdana" w:hAnsi="Verdana" w:cs="Verdana"/>
          <w:b/>
        </w:rPr>
        <w:t xml:space="preserve"> </w:t>
      </w:r>
    </w:p>
    <w:p w:rsidR="00FB0B24" w:rsidRPr="005B5CB6" w:rsidP="00575F14">
      <w:pPr>
        <w:numPr>
          <w:ilvl w:val="1"/>
          <w:numId w:val="236"/>
        </w:numPr>
        <w:spacing w:after="5" w:line="249" w:lineRule="auto"/>
        <w:ind w:left="1440" w:right="12" w:hanging="799"/>
        <w:jc w:val="both"/>
        <w:rPr>
          <w:rFonts w:ascii="Verdana" w:hAnsi="Verdana"/>
        </w:rPr>
      </w:pPr>
      <w:r w:rsidRPr="005B5CB6">
        <w:rPr>
          <w:rFonts w:ascii="Verdana" w:eastAsia="Verdana" w:hAnsi="Verdana" w:cs="Verdana"/>
        </w:rPr>
        <w:t xml:space="preserve">The centrality of private messaging apps in today's social media landscape, and the shift to these platforms as sources of information, pose several challenges for 'regular users' to distinguish truthful from false information. Information circulating on WhatsApp is often decontextualized, and lack the visual and contextual cues that are helpful in establishing credibility (e.g. date, source, author, logo).  </w:t>
      </w:r>
    </w:p>
    <w:p w:rsidR="00FB0B24" w:rsidRPr="005B5CB6" w:rsidP="00575F14">
      <w:pPr>
        <w:numPr>
          <w:ilvl w:val="1"/>
          <w:numId w:val="236"/>
        </w:numPr>
        <w:spacing w:after="722" w:line="249" w:lineRule="auto"/>
        <w:ind w:left="1440" w:right="12" w:hanging="799"/>
        <w:jc w:val="both"/>
        <w:rPr>
          <w:rFonts w:ascii="Verdana" w:hAnsi="Verdana"/>
        </w:rPr>
      </w:pPr>
      <w:r w:rsidRPr="005B5CB6">
        <w:rPr>
          <w:rFonts w:ascii="Verdana" w:eastAsia="Verdana" w:hAnsi="Verdana" w:cs="Verdana"/>
        </w:rPr>
        <w:t>It is possible that the lack of visual and contextual cues make it challenging for users to assess the quality and reliability of information. Instead, users might rely on personal credentials of their close peers to assess information</w:t>
      </w:r>
      <w:r w:rsidRPr="005B5CB6">
        <w:rPr>
          <w:rFonts w:ascii="Verdana" w:eastAsia="Verdana" w:hAnsi="Verdana" w:cs="Verdana"/>
          <w:vertAlign w:val="superscript"/>
        </w:rPr>
        <w:t>9</w:t>
      </w: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90719" name="Group 59071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67" name="Shape 63636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93" style="height:0.6pt;mso-position-horizontal-relative:char;mso-position-vertical-relative:line;width:2in" coordsize="18288,76">
                <v:shape id="_x0000_s1394"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575F14">
      <w:pPr>
        <w:numPr>
          <w:ilvl w:val="0"/>
          <w:numId w:val="237"/>
        </w:numPr>
        <w:spacing w:after="4" w:line="249" w:lineRule="auto"/>
        <w:ind w:hanging="122"/>
        <w:jc w:val="both"/>
        <w:rPr>
          <w:rFonts w:ascii="Verdana" w:hAnsi="Verdana"/>
        </w:rPr>
      </w:pPr>
      <w:r w:rsidRPr="005B5CB6">
        <w:rPr>
          <w:rFonts w:ascii="Verdana" w:eastAsia="Verdana" w:hAnsi="Verdana" w:cs="Verdana"/>
        </w:rPr>
        <w:t xml:space="preserve">Kantar Media (2018). News in social media and messaging apps. Available at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https://reutersinstitute.politics.ox.ac.uk/sites/default/files/2018-</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09/KM%20RISJ%20News%20in%20social%20media%20and%20messaging%20apps%20report%20_0.pdf (accessed 25 August 2019). </w:t>
      </w:r>
    </w:p>
    <w:p w:rsidR="00FB0B24" w:rsidRPr="005B5CB6" w:rsidP="00CF6BAD">
      <w:pPr>
        <w:spacing w:after="3" w:line="249" w:lineRule="auto"/>
        <w:ind w:left="-4" w:hanging="10"/>
        <w:jc w:val="both"/>
        <w:rPr>
          <w:rFonts w:ascii="Verdana" w:hAnsi="Verdana"/>
        </w:rPr>
      </w:pPr>
      <w:r w:rsidRPr="005B5CB6">
        <w:rPr>
          <w:rFonts w:ascii="Verdana" w:eastAsia="Verdana" w:hAnsi="Verdana" w:cs="Verdana"/>
        </w:rPr>
        <w:t xml:space="preserve">Kalogeropoulos A. (2019). </w:t>
      </w:r>
      <w:r w:rsidRPr="005B5CB6">
        <w:rPr>
          <w:rFonts w:ascii="Verdana" w:eastAsia="Verdana" w:hAnsi="Verdana" w:cs="Verdana"/>
          <w:i/>
        </w:rPr>
        <w:t>Who uses messaging applications for news, how and why? A cross-national analysis</w:t>
      </w:r>
      <w:r w:rsidRPr="005B5CB6">
        <w:rPr>
          <w:rFonts w:ascii="Verdana" w:eastAsia="Verdana" w:hAnsi="Verdana" w:cs="Verdana"/>
        </w:rPr>
        <w:t xml:space="preserve">.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Paper presented at the meeting of the International Communication Association, Washington DC, USA. </w:t>
      </w:r>
    </w:p>
    <w:p w:rsidR="00FB0B24" w:rsidRPr="005B5CB6" w:rsidP="00575F14">
      <w:pPr>
        <w:numPr>
          <w:ilvl w:val="0"/>
          <w:numId w:val="237"/>
        </w:numPr>
        <w:spacing w:after="3" w:line="249" w:lineRule="auto"/>
        <w:ind w:hanging="122"/>
        <w:jc w:val="both"/>
        <w:rPr>
          <w:rFonts w:ascii="Verdana" w:hAnsi="Verdana"/>
        </w:rPr>
      </w:pPr>
      <w:r w:rsidRPr="005B5CB6">
        <w:rPr>
          <w:rFonts w:ascii="Verdana" w:eastAsia="Verdana" w:hAnsi="Verdana" w:cs="Verdana"/>
        </w:rPr>
        <w:t xml:space="preserve">Kalogeropoulos A. (2019). </w:t>
      </w:r>
      <w:r w:rsidRPr="005B5CB6">
        <w:rPr>
          <w:rFonts w:ascii="Verdana" w:eastAsia="Verdana" w:hAnsi="Verdana" w:cs="Verdana"/>
          <w:i/>
        </w:rPr>
        <w:t>Who uses messaging applications for news, how and why? A cross-national analysis</w:t>
      </w:r>
      <w:r w:rsidRPr="005B5CB6">
        <w:rPr>
          <w:rFonts w:ascii="Verdana" w:eastAsia="Verdana" w:hAnsi="Verdana" w:cs="Verdana"/>
        </w:rPr>
        <w:t xml:space="preserve">. </w:t>
      </w:r>
    </w:p>
    <w:p w:rsidR="00FB0B24" w:rsidRPr="005B5CB6" w:rsidP="00CF6BAD">
      <w:pPr>
        <w:spacing w:after="4" w:line="249" w:lineRule="auto"/>
        <w:ind w:left="-2" w:hanging="10"/>
        <w:jc w:val="both"/>
        <w:rPr>
          <w:rFonts w:ascii="Verdana" w:hAnsi="Verdana"/>
        </w:rPr>
      </w:pPr>
      <w:r w:rsidRPr="005B5CB6">
        <w:rPr>
          <w:rFonts w:ascii="Verdana" w:eastAsia="Verdana" w:hAnsi="Verdana" w:cs="Verdana"/>
        </w:rPr>
        <w:t xml:space="preserve">Paper presented at the meeting of the International Communication Association, Washington DC, USA. </w:t>
      </w:r>
    </w:p>
    <w:p w:rsidR="00FB0B24" w:rsidRPr="005B5CB6" w:rsidP="00575F14">
      <w:pPr>
        <w:numPr>
          <w:ilvl w:val="0"/>
          <w:numId w:val="237"/>
        </w:numPr>
        <w:spacing w:after="4" w:line="249" w:lineRule="auto"/>
        <w:ind w:hanging="122"/>
        <w:jc w:val="both"/>
        <w:rPr>
          <w:rFonts w:ascii="Verdana" w:hAnsi="Verdana"/>
        </w:rPr>
      </w:pPr>
      <w:r w:rsidRPr="005B5CB6">
        <w:rPr>
          <w:rFonts w:ascii="Verdana" w:eastAsia="Verdana" w:hAnsi="Verdana" w:cs="Verdana"/>
        </w:rPr>
        <w:t xml:space="preserve">Anspach, N. M. (2017). The New Personal Influence: How Our Facebook Friends Influence the News We Read. </w:t>
      </w:r>
      <w:r w:rsidRPr="005B5CB6">
        <w:rPr>
          <w:rFonts w:ascii="Verdana" w:eastAsia="Verdana" w:hAnsi="Verdana" w:cs="Verdana"/>
          <w:i/>
        </w:rPr>
        <w:t>Political Communication</w:t>
      </w:r>
      <w:r w:rsidRPr="005B5CB6">
        <w:rPr>
          <w:rFonts w:ascii="Verdana" w:eastAsia="Verdana" w:hAnsi="Verdana" w:cs="Verdana"/>
        </w:rPr>
        <w:t xml:space="preserve">, </w:t>
      </w:r>
      <w:r w:rsidRPr="005B5CB6">
        <w:rPr>
          <w:rFonts w:ascii="Verdana" w:eastAsia="Verdana" w:hAnsi="Verdana" w:cs="Verdana"/>
          <w:i/>
        </w:rPr>
        <w:t>34</w:t>
      </w:r>
      <w:r w:rsidRPr="005B5CB6">
        <w:rPr>
          <w:rFonts w:ascii="Verdana" w:eastAsia="Verdana" w:hAnsi="Verdana" w:cs="Verdana"/>
        </w:rPr>
        <w:t>(4), 1–17</w:t>
      </w:r>
      <w:r>
        <w:fldChar w:fldCharType="begin"/>
      </w:r>
      <w:r>
        <w:instrText xml:space="preserve"> HYPERLINK "https://doi.org/10.1080/10584609.2017.1316329" </w:instrText>
      </w:r>
      <w:r>
        <w:fldChar w:fldCharType="separate"/>
      </w:r>
      <w:r w:rsidRPr="005B5CB6">
        <w:rPr>
          <w:rFonts w:ascii="Verdana" w:eastAsia="Verdana" w:hAnsi="Verdana" w:cs="Verdana"/>
        </w:rPr>
        <w:t>.</w:t>
      </w:r>
      <w:r>
        <w:fldChar w:fldCharType="end"/>
      </w:r>
      <w:r>
        <w:fldChar w:fldCharType="begin"/>
      </w:r>
      <w:r>
        <w:instrText xml:space="preserve"> HYPERLINK "https://doi.org/10.1080/10584609.2017.1316329"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"https://doi.org/10.1080/10584609.2017.1316329" </w:instrText>
      </w:r>
      <w:r>
        <w:fldChar w:fldCharType="separate"/>
      </w:r>
      <w:r w:rsidRPr="005B5CB6">
        <w:rPr>
          <w:rFonts w:ascii="Verdana" w:eastAsia="Verdana" w:hAnsi="Verdana" w:cs="Verdana"/>
          <w:color w:val="1155CC"/>
          <w:u w:val="single" w:color="1155CC"/>
        </w:rPr>
        <w:t>https://doi.org/10.1080/10584609.2017.1316329</w:t>
      </w:r>
      <w:r>
        <w:fldChar w:fldCharType="end"/>
      </w:r>
      <w:r>
        <w:fldChar w:fldCharType="begin"/>
      </w:r>
      <w:r>
        <w:instrText xml:space="preserve"> HYPERLINK "https://doi.org/10.1080/10584609.2017.1316329" </w:instrText>
      </w:r>
      <w:r>
        <w:fldChar w:fldCharType="separate"/>
      </w:r>
      <w:r w:rsidRPr="005B5CB6">
        <w:rPr>
          <w:rFonts w:ascii="Verdana" w:eastAsia="Verdana" w:hAnsi="Verdana" w:cs="Verdana"/>
        </w:rPr>
        <w:t xml:space="preserve"> </w:t>
      </w:r>
      <w:r>
        <w:fldChar w:fldCharType="end"/>
      </w:r>
    </w:p>
    <w:p w:rsidR="00FB0B24" w:rsidRPr="005B5CB6" w:rsidP="00575F14">
      <w:pPr>
        <w:numPr>
          <w:ilvl w:val="1"/>
          <w:numId w:val="238"/>
        </w:numPr>
        <w:spacing w:after="27" w:line="249" w:lineRule="auto"/>
        <w:ind w:left="1440" w:right="12" w:hanging="799"/>
        <w:jc w:val="both"/>
        <w:rPr>
          <w:rFonts w:ascii="Verdana" w:hAnsi="Verdana"/>
        </w:rPr>
      </w:pPr>
      <w:r w:rsidRPr="005B5CB6">
        <w:rPr>
          <w:rFonts w:ascii="Verdana" w:eastAsia="Verdana" w:hAnsi="Verdana" w:cs="Verdana"/>
        </w:rPr>
        <w:t>Our own research</w:t>
      </w:r>
      <w:r>
        <w:rPr>
          <w:rFonts w:ascii="Verdana" w:eastAsia="Verdana" w:hAnsi="Verdana" w:cs="Verdana"/>
          <w:vertAlign w:val="superscript"/>
        </w:rPr>
        <w:footnoteReference w:id="365"/>
      </w:r>
      <w:r w:rsidRPr="005B5CB6">
        <w:rPr>
          <w:rFonts w:ascii="Verdana" w:eastAsia="Verdana" w:hAnsi="Verdana" w:cs="Verdana"/>
        </w:rPr>
        <w:t xml:space="preserve"> suggests that "heavy" users of WhatsApp and Facebook for both political discussion and access to political information is strongly associated with dysfunctional information sharing — that is, engaging with and forwarding false or misleading information to others. We also find that using messaging applications for news is associated with believing in misinformation. </w:t>
      </w:r>
    </w:p>
    <w:p w:rsidR="00FB0B24" w:rsidRPr="005B5CB6" w:rsidP="00575F14">
      <w:pPr>
        <w:numPr>
          <w:ilvl w:val="1"/>
          <w:numId w:val="238"/>
        </w:numPr>
        <w:spacing w:after="5" w:line="249" w:lineRule="auto"/>
        <w:ind w:left="1440" w:right="12" w:hanging="799"/>
        <w:jc w:val="both"/>
        <w:rPr>
          <w:rFonts w:ascii="Verdana" w:hAnsi="Verdana"/>
        </w:rPr>
      </w:pPr>
      <w:r w:rsidRPr="005B5CB6">
        <w:rPr>
          <w:rFonts w:ascii="Verdana" w:eastAsia="Verdana" w:hAnsi="Verdana" w:cs="Verdana"/>
        </w:rPr>
        <w:t xml:space="preserve">Misinformation is a harder challenge to tackle in the context of private communication, as platforms have no control over the content that is shared and solutions such as Facebook's partnership with fact-checking entities to flag and de-prioritize false information are not possible because of end-to-end encryption.  </w:t>
      </w:r>
    </w:p>
    <w:p w:rsidR="00FB0B24" w:rsidRPr="005B5CB6" w:rsidP="00575F14">
      <w:pPr>
        <w:numPr>
          <w:ilvl w:val="1"/>
          <w:numId w:val="238"/>
        </w:numPr>
        <w:spacing w:after="5" w:line="249" w:lineRule="auto"/>
        <w:ind w:left="1440" w:right="12" w:hanging="799"/>
        <w:jc w:val="both"/>
        <w:rPr>
          <w:rFonts w:ascii="Verdana" w:hAnsi="Verdana"/>
        </w:rPr>
      </w:pPr>
      <w:r w:rsidRPr="005B5CB6">
        <w:rPr>
          <w:rFonts w:ascii="Verdana" w:eastAsia="Verdana" w:hAnsi="Verdana" w:cs="Verdana"/>
        </w:rPr>
        <w:t xml:space="preserve">Because it is not possible to monitor content, solutions have so far focused on technical changes to curb virality, such as implementing forwarding limits, to limit the spread of misinformation.  </w:t>
      </w:r>
    </w:p>
    <w:p w:rsidR="00FB0B24" w:rsidRPr="005B5CB6" w:rsidP="00CF6BAD">
      <w:pPr>
        <w:spacing w:after="28"/>
        <w:ind w:left="1441"/>
        <w:jc w:val="both"/>
        <w:rPr>
          <w:rFonts w:ascii="Verdana" w:hAnsi="Verdana"/>
        </w:rPr>
      </w:pPr>
      <w:r w:rsidRPr="005B5CB6">
        <w:rPr>
          <w:rFonts w:ascii="Verdana" w:eastAsia="Verdana" w:hAnsi="Verdana" w:cs="Verdana"/>
        </w:rPr>
        <w:t xml:space="preserve"> </w:t>
      </w:r>
    </w:p>
    <w:p w:rsidR="00FB0B24" w:rsidRPr="005B5CB6" w:rsidP="00575F14">
      <w:pPr>
        <w:numPr>
          <w:ilvl w:val="0"/>
          <w:numId w:val="239"/>
        </w:numPr>
        <w:spacing w:after="33" w:line="250" w:lineRule="auto"/>
        <w:ind w:hanging="595"/>
        <w:jc w:val="both"/>
        <w:rPr>
          <w:rFonts w:ascii="Verdana" w:hAnsi="Verdana"/>
        </w:rPr>
      </w:pPr>
      <w:r w:rsidRPr="005B5CB6">
        <w:rPr>
          <w:rFonts w:ascii="Verdana" w:eastAsia="Verdana" w:hAnsi="Verdana" w:cs="Verdana"/>
          <w:b/>
        </w:rPr>
        <w:t xml:space="preserve">Benefits and challenges of the use of messaging apps for news </w:t>
      </w:r>
    </w:p>
    <w:p w:rsidR="00FB0B24" w:rsidRPr="005B5CB6" w:rsidP="00CF6BAD">
      <w:pPr>
        <w:spacing w:after="257"/>
        <w:ind w:left="721"/>
        <w:jc w:val="both"/>
        <w:rPr>
          <w:rFonts w:ascii="Verdana" w:hAnsi="Verdana"/>
        </w:rPr>
      </w:pPr>
      <w:r w:rsidRPr="005B5CB6">
        <w:rPr>
          <w:rFonts w:ascii="Verdana" w:eastAsia="Verdana" w:hAnsi="Verdana" w:cs="Verdana"/>
          <w:b/>
        </w:rPr>
        <w:t xml:space="preserve"> </w:t>
      </w:r>
    </w:p>
    <w:p w:rsidR="00FB0B24" w:rsidRPr="005B5CB6" w:rsidP="00575F14">
      <w:pPr>
        <w:numPr>
          <w:ilvl w:val="1"/>
          <w:numId w:val="239"/>
        </w:numPr>
        <w:spacing w:after="31" w:line="249" w:lineRule="auto"/>
        <w:ind w:right="12" w:hanging="799"/>
        <w:jc w:val="both"/>
        <w:rPr>
          <w:rFonts w:ascii="Verdana" w:hAnsi="Verdana"/>
        </w:rPr>
      </w:pPr>
      <w:r w:rsidRPr="005B5CB6">
        <w:rPr>
          <w:rFonts w:ascii="Verdana" w:eastAsia="Verdana" w:hAnsi="Verdana" w:cs="Verdana"/>
        </w:rPr>
        <w:t>The rise of social media for news consumption in the past years was consequential for news media organizations. There was a decrease in their brand equity</w:t>
      </w:r>
      <w:r>
        <w:rPr>
          <w:rFonts w:ascii="Verdana" w:eastAsia="Verdana" w:hAnsi="Verdana" w:cs="Verdana"/>
          <w:vertAlign w:val="superscript"/>
        </w:rPr>
        <w:footnoteReference w:id="366"/>
      </w:r>
      <w:r w:rsidRPr="005B5CB6">
        <w:rPr>
          <w:rFonts w:ascii="Verdana" w:eastAsia="Verdana" w:hAnsi="Verdana" w:cs="Verdana"/>
        </w:rPr>
        <w:t>, in their power in news distribution and in their revenue</w:t>
      </w:r>
      <w:r>
        <w:rPr>
          <w:rFonts w:ascii="Verdana" w:eastAsia="Verdana" w:hAnsi="Verdana" w:cs="Verdana"/>
          <w:vertAlign w:val="superscript"/>
        </w:rPr>
        <w:footnoteReference w:id="367"/>
      </w:r>
      <w:r w:rsidRPr="005B5CB6">
        <w:rPr>
          <w:rFonts w:ascii="Verdana" w:eastAsia="Verdana" w:hAnsi="Verdana" w:cs="Verdana"/>
        </w:rPr>
        <w:t xml:space="preserve">. The move of the audience to private spaces could accelerate these trends.  </w:t>
      </w:r>
    </w:p>
    <w:p w:rsidR="00FB0B24" w:rsidRPr="005B5CB6" w:rsidP="00575F14">
      <w:pPr>
        <w:numPr>
          <w:ilvl w:val="1"/>
          <w:numId w:val="239"/>
        </w:numPr>
        <w:spacing w:after="5" w:line="249" w:lineRule="auto"/>
        <w:ind w:right="12" w:hanging="799"/>
        <w:jc w:val="both"/>
        <w:rPr>
          <w:rFonts w:ascii="Verdana" w:hAnsi="Verdana"/>
        </w:rPr>
      </w:pPr>
      <w:r w:rsidRPr="005B5CB6">
        <w:rPr>
          <w:rFonts w:ascii="Verdana" w:eastAsia="Verdana" w:hAnsi="Verdana" w:cs="Verdana"/>
        </w:rPr>
        <w:t xml:space="preserve">News organizations have less power on messaging applications than on social media where they can have their own page and choose which content to share and prioritize. Their names and logos are even less prominent in messaging applications spaces, contributing to increase confusion among users and affecting source recall. </w:t>
      </w:r>
    </w:p>
    <w:p w:rsidR="00FB0B24" w:rsidRPr="005B5CB6" w:rsidP="00575F14">
      <w:pPr>
        <w:numPr>
          <w:ilvl w:val="1"/>
          <w:numId w:val="239"/>
        </w:numPr>
        <w:spacing w:after="725" w:line="249" w:lineRule="auto"/>
        <w:ind w:right="12" w:hanging="799"/>
        <w:jc w:val="both"/>
        <w:rPr>
          <w:rFonts w:ascii="Verdana" w:hAnsi="Verdana"/>
        </w:rPr>
      </w:pPr>
      <w:r w:rsidRPr="005B5CB6">
        <w:rPr>
          <w:rFonts w:ascii="Verdana" w:eastAsia="Verdana" w:hAnsi="Verdana" w:cs="Verdana"/>
        </w:rPr>
        <w:t xml:space="preserve">The move to private messaging applications for news consumption and discussion can also have positive implications for news users. First, since people feel more comfortable talking in small groups, they are more </w:t>
      </w:r>
      <w:r w:rsidRPr="005B5CB6">
        <w:rPr>
          <w:rFonts w:ascii="Verdana" w:eastAsia="Verdana" w:hAnsi="Verdana" w:cs="Verdana"/>
        </w:rPr>
        <w:t>likely to break a “spiral of silence” and discuss political and current affairs with others</w:t>
      </w:r>
      <w:r>
        <w:rPr>
          <w:rFonts w:ascii="Verdana" w:eastAsia="Verdana" w:hAnsi="Verdana" w:cs="Verdana"/>
          <w:vertAlign w:val="superscript"/>
        </w:rPr>
        <w:footnoteReference w:id="368"/>
      </w: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91943" name="Group 59194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75" name="Shape 63637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95" style="height:0.6pt;mso-position-horizontal-relative:char;mso-position-vertical-relative:line;width:2in" coordsize="18288,76">
                <v:shape id="_x0000_s1396"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575F14">
      <w:pPr>
        <w:numPr>
          <w:ilvl w:val="1"/>
          <w:numId w:val="239"/>
        </w:numPr>
        <w:spacing w:after="64" w:line="249" w:lineRule="auto"/>
        <w:ind w:right="12" w:hanging="799"/>
        <w:jc w:val="both"/>
        <w:rPr>
          <w:rFonts w:ascii="Verdana" w:hAnsi="Verdana"/>
        </w:rPr>
      </w:pPr>
      <w:r w:rsidRPr="005B5CB6">
        <w:rPr>
          <w:rFonts w:ascii="Verdana" w:eastAsia="Verdana" w:hAnsi="Verdana" w:cs="Verdana"/>
        </w:rPr>
        <w:t>Messaging app news users claimed they are also more likely to read and discuss news stories they find in these spaces, compared to news found on Facebook — a platform where they see myriads of news stories</w:t>
      </w:r>
      <w:r>
        <w:rPr>
          <w:rFonts w:ascii="Verdana" w:eastAsia="Verdana" w:hAnsi="Verdana" w:cs="Verdana"/>
          <w:vertAlign w:val="superscript"/>
        </w:rPr>
        <w:footnoteReference w:id="369"/>
      </w:r>
      <w:r w:rsidRPr="005B5CB6">
        <w:rPr>
          <w:rFonts w:ascii="Verdana" w:eastAsia="Verdana" w:hAnsi="Verdana" w:cs="Verdana"/>
        </w:rPr>
        <w:t xml:space="preserve">. </w:t>
      </w:r>
    </w:p>
    <w:p w:rsidR="00FB0B24" w:rsidRPr="005B5CB6" w:rsidP="00575F14">
      <w:pPr>
        <w:numPr>
          <w:ilvl w:val="1"/>
          <w:numId w:val="239"/>
        </w:numPr>
        <w:spacing w:after="52" w:line="250" w:lineRule="auto"/>
        <w:ind w:right="12" w:hanging="799"/>
        <w:jc w:val="both"/>
        <w:rPr>
          <w:rFonts w:ascii="Verdana" w:hAnsi="Verdana"/>
        </w:rPr>
      </w:pPr>
      <w:r w:rsidRPr="005B5CB6">
        <w:rPr>
          <w:rFonts w:ascii="Verdana" w:eastAsia="Verdana" w:hAnsi="Verdana" w:cs="Verdana"/>
        </w:rPr>
        <w:t>There are also indications that messaging app news users have a more diverse news diet since they tend to use more news stories on average on a given week than those who do not use them for news</w:t>
      </w:r>
      <w:r>
        <w:rPr>
          <w:rFonts w:ascii="Verdana" w:eastAsia="Verdana" w:hAnsi="Verdana" w:cs="Verdana"/>
          <w:vertAlign w:val="superscript"/>
        </w:rPr>
        <w:footnoteReference w:id="370"/>
      </w:r>
      <w:r w:rsidRPr="005B5CB6">
        <w:rPr>
          <w:rFonts w:ascii="Verdana" w:eastAsia="Verdana" w:hAnsi="Verdana" w:cs="Verdana"/>
        </w:rPr>
        <w:t xml:space="preserve">. </w:t>
      </w:r>
    </w:p>
    <w:p w:rsidR="00FB0B24" w:rsidRPr="005B5CB6" w:rsidP="00575F14">
      <w:pPr>
        <w:numPr>
          <w:ilvl w:val="1"/>
          <w:numId w:val="239"/>
        </w:numPr>
        <w:spacing w:after="5" w:line="249" w:lineRule="auto"/>
        <w:ind w:right="12" w:hanging="799"/>
        <w:jc w:val="both"/>
        <w:rPr>
          <w:rFonts w:ascii="Verdana" w:hAnsi="Verdana"/>
        </w:rPr>
      </w:pPr>
      <w:r w:rsidRPr="005B5CB6">
        <w:rPr>
          <w:rFonts w:ascii="Verdana" w:eastAsia="Verdana" w:hAnsi="Verdana" w:cs="Verdana"/>
        </w:rPr>
        <w:t xml:space="preserve">However, despite the greater diversity in news sources the political discussions could be limited among like-minded individuals and could potentially lead to increases in political polarization. </w:t>
      </w:r>
    </w:p>
    <w:p w:rsidR="00FB0B24" w:rsidRPr="005B5CB6" w:rsidP="00575F14">
      <w:pPr>
        <w:numPr>
          <w:ilvl w:val="1"/>
          <w:numId w:val="239"/>
        </w:numPr>
        <w:spacing w:after="27" w:line="249" w:lineRule="auto"/>
        <w:ind w:right="12" w:hanging="799"/>
        <w:jc w:val="both"/>
        <w:rPr>
          <w:rFonts w:ascii="Verdana" w:hAnsi="Verdana"/>
        </w:rPr>
      </w:pPr>
      <w:r w:rsidRPr="005B5CB6">
        <w:rPr>
          <w:rFonts w:ascii="Verdana" w:eastAsia="Verdana" w:hAnsi="Verdana" w:cs="Verdana"/>
        </w:rPr>
        <w:t>While research on political talk on social media has consistently challenged the perspective that people are exposed to "echo-chambers", conversations on WhatsApp are more likely to happen between closeknit contacts</w:t>
      </w:r>
      <w:r w:rsidRPr="005B5CB6">
        <w:rPr>
          <w:rFonts w:ascii="Verdana" w:eastAsia="Verdana" w:hAnsi="Verdana" w:cs="Verdana"/>
          <w:vertAlign w:val="superscript"/>
        </w:rPr>
        <w:t>13</w:t>
      </w:r>
      <w:r w:rsidRPr="005B5CB6">
        <w:rPr>
          <w:rFonts w:ascii="Verdana" w:eastAsia="Verdana" w:hAnsi="Verdana" w:cs="Verdana"/>
        </w:rPr>
        <w:t xml:space="preserve">, which tend to be less socially, economically, and politically diverse. The lack of diversity poses  greater risks of polarization and intolerance.  </w:t>
      </w:r>
    </w:p>
    <w:p w:rsidR="00FB0B24" w:rsidRPr="005B5CB6" w:rsidP="00CF6BAD">
      <w:pPr>
        <w:spacing w:after="28"/>
        <w:ind w:left="1440"/>
        <w:jc w:val="both"/>
        <w:rPr>
          <w:rFonts w:ascii="Verdana" w:hAnsi="Verdana"/>
        </w:rPr>
      </w:pPr>
      <w:r w:rsidRPr="005B5CB6">
        <w:rPr>
          <w:rFonts w:ascii="Verdana" w:eastAsia="Verdana" w:hAnsi="Verdana" w:cs="Verdana"/>
        </w:rPr>
        <w:t xml:space="preserve"> </w:t>
      </w:r>
    </w:p>
    <w:p w:rsidR="00FB0B24" w:rsidRPr="005B5CB6" w:rsidP="00575F14">
      <w:pPr>
        <w:numPr>
          <w:ilvl w:val="0"/>
          <w:numId w:val="239"/>
        </w:numPr>
        <w:spacing w:after="33" w:line="250" w:lineRule="auto"/>
        <w:ind w:hanging="595"/>
        <w:jc w:val="both"/>
        <w:rPr>
          <w:rFonts w:ascii="Verdana" w:hAnsi="Verdana"/>
        </w:rPr>
      </w:pPr>
      <w:r w:rsidRPr="005B5CB6">
        <w:rPr>
          <w:rFonts w:ascii="Verdana" w:eastAsia="Verdana" w:hAnsi="Verdana" w:cs="Verdana"/>
          <w:b/>
        </w:rPr>
        <w:t xml:space="preserve">Recommendations </w:t>
      </w:r>
    </w:p>
    <w:p w:rsidR="00FB0B24" w:rsidRPr="005B5CB6" w:rsidP="00CF6BAD">
      <w:pPr>
        <w:spacing w:after="17"/>
        <w:ind w:left="720"/>
        <w:jc w:val="both"/>
        <w:rPr>
          <w:rFonts w:ascii="Verdana" w:hAnsi="Verdana"/>
        </w:rPr>
      </w:pPr>
      <w:r w:rsidRPr="005B5CB6">
        <w:rPr>
          <w:rFonts w:ascii="Verdana" w:eastAsia="Verdana" w:hAnsi="Verdana" w:cs="Verdana"/>
          <w:b/>
        </w:rPr>
        <w:t xml:space="preserve"> </w:t>
      </w:r>
    </w:p>
    <w:p w:rsidR="00FB0B24" w:rsidRPr="005B5CB6" w:rsidP="00575F14">
      <w:pPr>
        <w:numPr>
          <w:ilvl w:val="1"/>
          <w:numId w:val="239"/>
        </w:numPr>
        <w:spacing w:after="26" w:line="249" w:lineRule="auto"/>
        <w:ind w:right="12" w:hanging="799"/>
        <w:jc w:val="both"/>
        <w:rPr>
          <w:rFonts w:ascii="Verdana" w:hAnsi="Verdana"/>
        </w:rPr>
      </w:pPr>
      <w:r w:rsidRPr="005B5CB6">
        <w:rPr>
          <w:rFonts w:ascii="Verdana" w:eastAsia="Verdana" w:hAnsi="Verdana" w:cs="Verdana"/>
        </w:rPr>
        <w:t xml:space="preserve">If campaigns are using these platforms, they must be regulated. Electoral regulations need to be updated to include oversight of private messaging applications, determining how it can be used by campaigns and elected representatives to communicate with the public.  </w:t>
      </w:r>
    </w:p>
    <w:p w:rsidR="00FB0B24" w:rsidRPr="005B5CB6" w:rsidP="00575F14">
      <w:pPr>
        <w:numPr>
          <w:ilvl w:val="1"/>
          <w:numId w:val="239"/>
        </w:numPr>
        <w:spacing w:after="5" w:line="249" w:lineRule="auto"/>
        <w:ind w:right="12" w:hanging="799"/>
        <w:jc w:val="both"/>
        <w:rPr>
          <w:rFonts w:ascii="Verdana" w:hAnsi="Verdana"/>
        </w:rPr>
      </w:pPr>
      <w:r w:rsidRPr="005B5CB6">
        <w:rPr>
          <w:rFonts w:ascii="Verdana" w:eastAsia="Verdana" w:hAnsi="Verdana" w:cs="Verdana"/>
        </w:rPr>
        <w:t xml:space="preserve">Given the encrypted nature of messages, regulations to grant accountability will require greater compliance of politicians and parties — for instance, to archive transcripts of campaign-related conversations, particularly with supporters, the general public, and in groups. </w:t>
      </w:r>
    </w:p>
    <w:p w:rsidR="00FB0B24" w:rsidRPr="005B5CB6" w:rsidP="00575F14">
      <w:pPr>
        <w:numPr>
          <w:ilvl w:val="1"/>
          <w:numId w:val="239"/>
        </w:numPr>
        <w:spacing w:after="5" w:line="249" w:lineRule="auto"/>
        <w:ind w:right="12" w:hanging="799"/>
        <w:jc w:val="both"/>
        <w:rPr>
          <w:rFonts w:ascii="Verdana" w:hAnsi="Verdana"/>
        </w:rPr>
      </w:pPr>
      <w:r w:rsidRPr="005B5CB6">
        <w:rPr>
          <w:rFonts w:ascii="Verdana" w:eastAsia="Verdana" w:hAnsi="Verdana" w:cs="Verdana"/>
        </w:rPr>
        <w:t xml:space="preserve">While policies are needed to stop coordinated attacks and disinformation campaigns, it is imperative to remember that the root of the problem lies in people's challenges in assessing the credibility of information in high-choice environments. Public campaigns to promote digital literacy can be effective in instructing the public to check if the information is true before sharing it, as well as to raise awareness to the problem.  </w:t>
      </w:r>
    </w:p>
    <w:p w:rsidR="00FB0B24" w:rsidRPr="005B5CB6" w:rsidP="00575F14">
      <w:pPr>
        <w:numPr>
          <w:ilvl w:val="1"/>
          <w:numId w:val="239"/>
        </w:numPr>
        <w:spacing w:after="59" w:line="249" w:lineRule="auto"/>
        <w:ind w:right="12" w:hanging="799"/>
        <w:jc w:val="both"/>
        <w:rPr>
          <w:rFonts w:ascii="Verdana" w:hAnsi="Verdana"/>
        </w:rPr>
      </w:pPr>
      <w:r w:rsidRPr="005B5CB6">
        <w:rPr>
          <w:rFonts w:ascii="Verdana" w:eastAsia="Verdana" w:hAnsi="Verdana" w:cs="Verdana"/>
        </w:rPr>
        <w:t>The government can help debunk misinformation that circulates on private messaging apps by providing a fact-checking hotline using the Business API, an approach that has been implemented by the Brazilian Ministry of Health</w:t>
      </w:r>
      <w:r>
        <w:rPr>
          <w:rFonts w:ascii="Verdana" w:eastAsia="Verdana" w:hAnsi="Verdana" w:cs="Verdana"/>
          <w:vertAlign w:val="superscript"/>
        </w:rPr>
        <w:footnoteReference w:id="371"/>
      </w:r>
      <w:r w:rsidRPr="005B5CB6">
        <w:rPr>
          <w:rFonts w:ascii="Verdana" w:eastAsia="Verdana" w:hAnsi="Verdana" w:cs="Verdana"/>
        </w:rPr>
        <w:t xml:space="preserve"> to address health-related rumors. Messages that are fact-checked are uploaded to their website to raise awareness.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90987" name="Group 59098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377" name="Shape 63637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97" style="height:0.6pt;mso-position-horizontal-relative:char;mso-position-vertical-relative:line;width:2in" coordsize="18288,76">
                <v:shape id="_x0000_s1398"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575F14">
      <w:pPr>
        <w:numPr>
          <w:ilvl w:val="1"/>
          <w:numId w:val="239"/>
        </w:numPr>
        <w:spacing w:after="55" w:line="249" w:lineRule="auto"/>
        <w:ind w:right="12" w:hanging="799"/>
        <w:jc w:val="both"/>
        <w:rPr>
          <w:rFonts w:ascii="Verdana" w:hAnsi="Verdana"/>
        </w:rPr>
      </w:pPr>
      <w:r w:rsidRPr="005B5CB6">
        <w:rPr>
          <w:rFonts w:ascii="Verdana" w:eastAsia="Verdana" w:hAnsi="Verdana" w:cs="Verdana"/>
        </w:rPr>
        <w:t>Social media applications need to be more accountable and take action to curb misinformation, particularly in the context of encryption. Given what we already know about how these platforms facilitate the spread of misinformation, they need to be held accountable to provide means for mitigating the issue as they move towards more encryption</w:t>
      </w:r>
      <w:r>
        <w:rPr>
          <w:rFonts w:ascii="Verdana" w:eastAsia="Verdana" w:hAnsi="Verdana" w:cs="Verdana"/>
          <w:vertAlign w:val="superscript"/>
        </w:rPr>
        <w:footnoteReference w:id="372"/>
      </w:r>
      <w:r w:rsidRPr="005B5CB6">
        <w:rPr>
          <w:rFonts w:ascii="Verdana" w:eastAsia="Verdana" w:hAnsi="Verdana" w:cs="Verdana"/>
        </w:rPr>
        <w:t xml:space="preserve">.  </w:t>
      </w:r>
    </w:p>
    <w:p w:rsidR="00FB0B24" w:rsidRPr="005B5CB6" w:rsidP="00575F14">
      <w:pPr>
        <w:numPr>
          <w:ilvl w:val="1"/>
          <w:numId w:val="239"/>
        </w:numPr>
        <w:spacing w:after="5" w:line="249" w:lineRule="auto"/>
        <w:ind w:right="12" w:hanging="799"/>
        <w:jc w:val="both"/>
        <w:rPr>
          <w:rFonts w:ascii="Verdana" w:hAnsi="Verdana"/>
        </w:rPr>
      </w:pPr>
      <w:r w:rsidRPr="005B5CB6">
        <w:rPr>
          <w:rFonts w:ascii="Verdana" w:eastAsia="Verdana" w:hAnsi="Verdana" w:cs="Verdana"/>
        </w:rPr>
        <w:t xml:space="preserve">Applications like WhatsApp and Facebook Messenger can provide more context to links shared. Messages that share YouTube videos or tweets have some metadata but messages with links in these applications lack any information. The inclusion of the publisher’s logos would help users navigate these platforms based on the perceived trustworthiness. </w:t>
      </w:r>
    </w:p>
    <w:p w:rsidR="00FB0B24" w:rsidRPr="005B5CB6" w:rsidP="00575F14">
      <w:pPr>
        <w:numPr>
          <w:ilvl w:val="1"/>
          <w:numId w:val="239"/>
        </w:numPr>
        <w:spacing w:after="5" w:line="249" w:lineRule="auto"/>
        <w:ind w:right="12" w:hanging="799"/>
        <w:jc w:val="both"/>
        <w:rPr>
          <w:rFonts w:ascii="Verdana" w:hAnsi="Verdana"/>
        </w:rPr>
      </w:pPr>
      <w:r w:rsidRPr="005B5CB6">
        <w:rPr>
          <w:rFonts w:ascii="Verdana" w:eastAsia="Verdana" w:hAnsi="Verdana" w:cs="Verdana"/>
        </w:rPr>
        <w:t xml:space="preserve">Currently, WhatsApp users are not able to report specific posts as being misinformative but only report other users. Platform companies should facilitate the report function for forwarded messages, links and media content as well. Nudges aimed at individual messages would allow users to report messages forwarded by their friends. </w:t>
      </w:r>
    </w:p>
    <w:p w:rsidR="00FB0B24" w:rsidRPr="005B5CB6" w:rsidP="00CF6BAD">
      <w:pPr>
        <w:spacing w:after="17"/>
        <w:ind w:left="1440"/>
        <w:jc w:val="both"/>
        <w:rPr>
          <w:rFonts w:ascii="Verdana" w:hAnsi="Verdana"/>
        </w:rPr>
      </w:pPr>
      <w:r w:rsidRPr="005B5CB6">
        <w:rPr>
          <w:rFonts w:ascii="Verdana" w:eastAsia="Verdana" w:hAnsi="Verdana" w:cs="Verdana"/>
        </w:rPr>
        <w:t xml:space="preserve"> </w:t>
      </w:r>
    </w:p>
    <w:p w:rsidR="00FB0B24" w:rsidRPr="005B5CB6" w:rsidP="00CF6BAD">
      <w:pPr>
        <w:spacing w:after="17"/>
        <w:jc w:val="both"/>
        <w:rPr>
          <w:rFonts w:ascii="Verdana" w:hAnsi="Verdana"/>
        </w:rPr>
      </w:pPr>
      <w:r w:rsidRPr="005B5CB6">
        <w:rPr>
          <w:rFonts w:ascii="Verdana" w:eastAsia="Verdana" w:hAnsi="Verdana" w:cs="Verdana"/>
          <w:b/>
        </w:rPr>
        <w:t xml:space="preserve"> </w:t>
      </w:r>
    </w:p>
    <w:p w:rsidR="00FB0B24" w:rsidRPr="005B5CB6" w:rsidP="00CF6BAD">
      <w:pPr>
        <w:spacing w:after="6788"/>
        <w:jc w:val="both"/>
        <w:rPr>
          <w:rFonts w:ascii="Verdana" w:hAnsi="Verdana"/>
        </w:rPr>
      </w:pP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91356" name="Group 59135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6379" name="Shape 63637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399" style="height:0.6pt;mso-position-horizontal-relative:char;mso-position-vertical-relative:line;width:2in" coordsize="18288,76">
                <v:shape id="_x0000_s1400"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CF6BAD">
      <w:pPr>
        <w:jc w:val="both"/>
        <w:rPr>
          <w:rFonts w:ascii="Verdana" w:hAnsi="Verdana"/>
        </w:rPr>
        <w:sectPr w:rsidSect="00585838">
          <w:headerReference w:type="even" r:id="rId407"/>
          <w:headerReference w:type="default" r:id="rId408"/>
          <w:footerReference w:type="even" r:id="rId409"/>
          <w:footerReference w:type="default" r:id="rId410"/>
          <w:headerReference w:type="first" r:id="rId411"/>
          <w:footerReference w:type="first" r:id="rId412"/>
          <w:pgSz w:w="12240" w:h="15840"/>
          <w:pgMar w:top="766" w:right="1379" w:bottom="1440" w:left="1440" w:header="720" w:footer="720" w:gutter="0"/>
          <w:cols w:space="720"/>
          <w:titlePg/>
        </w:sectPr>
      </w:pPr>
    </w:p>
    <w:p w:rsidR="00FB0B24" w:rsidRPr="005B5CB6" w:rsidP="00A1624B">
      <w:pPr>
        <w:pStyle w:val="Heading1"/>
        <w:rPr>
          <w:sz w:val="22"/>
        </w:rPr>
      </w:pPr>
      <w:bookmarkStart w:id="67" w:name="_Toc44517755"/>
      <w:r w:rsidRPr="005B5CB6">
        <w:rPr>
          <w:sz w:val="22"/>
        </w:rPr>
        <w:t>The Human Rights, Big Data and Technology Project - written evidence (DAD0077)</w:t>
      </w:r>
      <w:bookmarkEnd w:id="67"/>
      <w:r w:rsidRPr="005B5CB6">
        <w:rPr>
          <w:sz w:val="22"/>
        </w:rPr>
        <w:t xml:space="preserve"> </w:t>
      </w:r>
    </w:p>
    <w:p w:rsidR="00FB0B24" w:rsidRPr="005B5CB6" w:rsidP="00CF6BAD">
      <w:pPr>
        <w:spacing w:after="0"/>
        <w:ind w:left="360"/>
        <w:jc w:val="both"/>
        <w:rPr>
          <w:rFonts w:ascii="Verdana" w:hAnsi="Verdana"/>
        </w:rPr>
      </w:pPr>
      <w:r w:rsidRPr="005B5CB6">
        <w:rPr>
          <w:rFonts w:ascii="Verdana" w:eastAsia="Verdana" w:hAnsi="Verdana" w:cs="Verdana"/>
          <w:b/>
        </w:rPr>
        <w:t xml:space="preserve"> </w:t>
      </w:r>
    </w:p>
    <w:p w:rsidR="00FB0B24" w:rsidRPr="005B5CB6" w:rsidP="00CF6BAD">
      <w:pPr>
        <w:spacing w:after="0"/>
        <w:ind w:left="360"/>
        <w:jc w:val="both"/>
        <w:rPr>
          <w:rFonts w:ascii="Verdana" w:hAnsi="Verdana"/>
        </w:rPr>
      </w:pPr>
      <w:r w:rsidRPr="005B5CB6">
        <w:rPr>
          <w:rFonts w:ascii="Verdana" w:eastAsia="Verdana" w:hAnsi="Verdana" w:cs="Verdana"/>
          <w:b/>
        </w:rPr>
        <w:t xml:space="preserve"> </w:t>
      </w:r>
    </w:p>
    <w:p w:rsidR="00FB0B24" w:rsidRPr="005B5CB6" w:rsidP="00CF6BAD">
      <w:pPr>
        <w:spacing w:after="5" w:line="250" w:lineRule="auto"/>
        <w:ind w:left="370" w:hanging="10"/>
        <w:jc w:val="both"/>
        <w:rPr>
          <w:rFonts w:ascii="Verdana" w:hAnsi="Verdana"/>
        </w:rPr>
      </w:pPr>
      <w:r w:rsidRPr="005B5CB6">
        <w:rPr>
          <w:rFonts w:ascii="Verdana" w:eastAsia="Verdana" w:hAnsi="Verdana" w:cs="Verdana"/>
          <w:b/>
        </w:rPr>
        <w:t xml:space="preserve">Introduction </w:t>
      </w:r>
    </w:p>
    <w:p w:rsidR="00FB0B24" w:rsidRPr="005B5CB6" w:rsidP="00CF6BAD">
      <w:pPr>
        <w:spacing w:after="144" w:line="363" w:lineRule="auto"/>
        <w:ind w:left="369" w:right="12" w:hanging="9"/>
        <w:jc w:val="both"/>
        <w:rPr>
          <w:rFonts w:ascii="Verdana" w:hAnsi="Verdana"/>
        </w:rPr>
      </w:pPr>
      <w:r w:rsidRPr="005B5CB6">
        <w:rPr>
          <w:rFonts w:ascii="Verdana" w:eastAsia="Verdana" w:hAnsi="Verdana" w:cs="Verdana"/>
        </w:rPr>
        <w:t>The Human Rights, Big Data and Technology Project (‘HRBDT’),</w:t>
      </w:r>
      <w:r>
        <w:rPr>
          <w:rFonts w:ascii="Verdana" w:eastAsia="Verdana" w:hAnsi="Verdana" w:cs="Verdana"/>
          <w:vertAlign w:val="superscript"/>
        </w:rPr>
        <w:footnoteReference w:id="373"/>
      </w:r>
      <w:r w:rsidRPr="005B5CB6">
        <w:rPr>
          <w:rFonts w:ascii="Verdana" w:eastAsia="Verdana" w:hAnsi="Verdana" w:cs="Verdana"/>
        </w:rPr>
        <w:t xml:space="preserve"> based at the University of Essex’s Human Rights Centre, welcomes the opportunity to participate in the House of Lords Select Committee on Democracy and Digital Technologies’ call for evidence. Established in 2015, HRBDT identifies the opportunities and risks posed to human rights by big data and emerging technologies and proposes policy, practical and regulatory responses at the national and international level.</w:t>
      </w:r>
      <w:r>
        <w:rPr>
          <w:rFonts w:ascii="Verdana" w:eastAsia="Verdana" w:hAnsi="Verdana" w:cs="Verdana"/>
          <w:vertAlign w:val="superscript"/>
        </w:rPr>
        <w:footnoteReference w:id="374"/>
      </w:r>
      <w:r>
        <w:rPr>
          <w:rFonts w:ascii="Verdana" w:eastAsia="Verdana" w:hAnsi="Verdana" w:cs="Verdana"/>
          <w:vertAlign w:val="superscript"/>
        </w:rPr>
        <w:footnoteReference w:id="375"/>
      </w:r>
      <w:r w:rsidRPr="005B5CB6">
        <w:rPr>
          <w:rFonts w:ascii="Verdana" w:eastAsia="Verdana" w:hAnsi="Verdana" w:cs="Verdana"/>
        </w:rPr>
        <w:t xml:space="preserve"> This includes extensive work on mis and disinformation</w:t>
      </w:r>
      <w:r w:rsidRPr="005B5CB6">
        <w:rPr>
          <w:rFonts w:ascii="Verdana" w:eastAsia="Verdana" w:hAnsi="Verdana" w:cs="Verdana"/>
          <w:vertAlign w:val="superscript"/>
        </w:rPr>
        <w:t>3</w:t>
      </w:r>
      <w:r w:rsidRPr="005B5CB6">
        <w:rPr>
          <w:rFonts w:ascii="Verdana" w:eastAsia="Verdana" w:hAnsi="Verdana" w:cs="Verdana"/>
        </w:rPr>
        <w:t xml:space="preserve">. This submission addresses questions 1, 11 and 12.  </w:t>
      </w:r>
    </w:p>
    <w:p w:rsidR="00FB0B24" w:rsidRPr="005B5CB6" w:rsidP="00CF6BAD">
      <w:pPr>
        <w:pStyle w:val="Heading2"/>
        <w:rPr>
          <w:sz w:val="22"/>
        </w:rPr>
      </w:pPr>
      <w:r w:rsidRPr="005B5CB6">
        <w:rPr>
          <w:b w:val="0"/>
          <w:sz w:val="22"/>
        </w:rPr>
        <w:t>The impact of Misinformation on Democracy and Human Rights</w:t>
      </w:r>
      <w:r w:rsidRPr="005B5CB6">
        <w:rPr>
          <w:sz w:val="22"/>
        </w:rPr>
        <w:t xml:space="preserve"> </w:t>
      </w:r>
    </w:p>
    <w:p w:rsidR="00FB0B24" w:rsidRPr="005B5CB6" w:rsidP="00575F14">
      <w:pPr>
        <w:numPr>
          <w:ilvl w:val="0"/>
          <w:numId w:val="240"/>
        </w:numPr>
        <w:spacing w:after="117" w:line="361" w:lineRule="auto"/>
        <w:ind w:left="361" w:right="12" w:hanging="360"/>
        <w:jc w:val="both"/>
        <w:rPr>
          <w:rFonts w:ascii="Verdana" w:hAnsi="Verdana"/>
        </w:rPr>
      </w:pPr>
      <w:r w:rsidRPr="005B5CB6">
        <w:rPr>
          <w:rFonts w:ascii="Verdana" w:eastAsia="Verdana" w:hAnsi="Verdana" w:cs="Verdana"/>
        </w:rPr>
        <w:t>The internet and the growth of social media facilitate the spread of misinformation. Echo chambers, filter bubbles, memes, trolls and synthetic media (also known as ‘deep fakes’) all contribute to spreading misinformation faster and reach a larger number of users than before. As many studies have shown,</w:t>
      </w:r>
      <w:r>
        <w:rPr>
          <w:rFonts w:ascii="Verdana" w:eastAsia="Verdana" w:hAnsi="Verdana" w:cs="Verdana"/>
          <w:vertAlign w:val="superscript"/>
        </w:rPr>
        <w:footnoteReference w:id="376"/>
      </w:r>
      <w:r w:rsidRPr="005B5CB6">
        <w:rPr>
          <w:rFonts w:ascii="Verdana" w:eastAsia="Verdana" w:hAnsi="Verdana" w:cs="Verdana"/>
        </w:rPr>
        <w:t xml:space="preserve"> misinformation can adversely affect the effective functioning of the democratic system.  It can undermine public debate and influence the thoughts and choices of individuals and groups, including their voting preferences.  </w:t>
      </w:r>
    </w:p>
    <w:p w:rsidR="00FB0B24" w:rsidRPr="005B5CB6" w:rsidP="00575F14">
      <w:pPr>
        <w:numPr>
          <w:ilvl w:val="0"/>
          <w:numId w:val="240"/>
        </w:numPr>
        <w:spacing w:after="120" w:line="358" w:lineRule="auto"/>
        <w:ind w:left="361" w:right="12" w:hanging="360"/>
        <w:jc w:val="both"/>
        <w:rPr>
          <w:rFonts w:ascii="Verdana" w:hAnsi="Verdana"/>
        </w:rPr>
      </w:pPr>
      <w:r w:rsidRPr="005B5CB6">
        <w:rPr>
          <w:rFonts w:ascii="Verdana" w:eastAsia="Verdana" w:hAnsi="Verdana" w:cs="Verdana"/>
        </w:rPr>
        <w:t xml:space="preserve">Misinformation – shared widely and quickly through social media platforms - also poses significant threats to human rights. In contrast to studies on democracy, the impact of misinformation on human rights has received relatively little attention. However, it can adversely affect a range of rights including freedom of expression, freedom of association and assembly, the right to participate in public affairs, the right to health, the right to security, and, at its most serious, the right to life. </w:t>
      </w:r>
    </w:p>
    <w:p w:rsidR="00FB0B24" w:rsidRPr="005B5CB6" w:rsidP="00575F14">
      <w:pPr>
        <w:numPr>
          <w:ilvl w:val="0"/>
          <w:numId w:val="240"/>
        </w:numPr>
        <w:spacing w:after="144" w:line="358" w:lineRule="auto"/>
        <w:ind w:left="361" w:right="12" w:hanging="360"/>
        <w:jc w:val="both"/>
        <w:rPr>
          <w:rFonts w:ascii="Verdana" w:hAnsi="Verdana"/>
        </w:rPr>
      </w:pPr>
      <w:r w:rsidRPr="005B5CB6">
        <w:rPr>
          <w:rFonts w:ascii="Verdana" w:eastAsia="Verdana" w:hAnsi="Verdana" w:cs="Verdana"/>
        </w:rPr>
        <w:t xml:space="preserve">The spread of misinformation and its adverse impact on human rights is further amplified by techniques used by social media platforms to profile behaviours or to target </w:t>
      </w:r>
    </w:p>
    <w:p w:rsidR="00FB0B24" w:rsidRPr="005B5CB6" w:rsidP="00CF6BAD">
      <w:pPr>
        <w:spacing w:after="0"/>
        <w:ind w:left="360"/>
        <w:jc w:val="both"/>
        <w:rPr>
          <w:rFonts w:ascii="Verdana" w:hAnsi="Verdana"/>
        </w:rPr>
      </w:pPr>
      <w:r w:rsidRPr="005B5CB6">
        <w:rPr>
          <w:rFonts w:ascii="Verdana" w:hAnsi="Verdana"/>
          <w:noProof/>
        </w:rPr>
        <mc:AlternateContent>
          <mc:Choice Requires="wpg">
            <w:drawing>
              <wp:inline distT="0" distB="0" distL="0" distR="0">
                <wp:extent cx="1828800" cy="6096"/>
                <wp:effectExtent l="0" t="0" r="0" b="0"/>
                <wp:docPr id="595830" name="Group 59583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6096"/>
                          <a:chOff x="0" y="0"/>
                          <a:chExt cx="1828800" cy="6096"/>
                        </a:xfrm>
                      </wpg:grpSpPr>
                      <wps:wsp xmlns:wps="http://schemas.microsoft.com/office/word/2010/wordprocessingShape">
                        <wps:cNvPr id="636507" name="Shape 63650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01" style="height:0.48pt;mso-position-horizontal-relative:char;mso-position-vertical-relative:line;width:2in" coordsize="18288,60">
                <v:shape id="_x0000_s1402"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CF6BAD">
      <w:pPr>
        <w:spacing w:after="120" w:line="358" w:lineRule="auto"/>
        <w:ind w:left="369" w:right="12" w:hanging="9"/>
        <w:jc w:val="both"/>
        <w:rPr>
          <w:rFonts w:ascii="Verdana" w:hAnsi="Verdana"/>
        </w:rPr>
      </w:pPr>
      <w:r w:rsidRPr="005B5CB6">
        <w:rPr>
          <w:rFonts w:ascii="Verdana" w:eastAsia="Verdana" w:hAnsi="Verdana" w:cs="Verdana"/>
        </w:rPr>
        <w:t xml:space="preserve">social media users directly. Targeting and profiling are used to provide users with information, such as news, and other types of recommendations, deemed to be the most relevant to them on the basis of their online activity, known or inferred interests and preferences, online social network, geographic location and identity. Algorithmic content filters selectively funnel information, creating echo chambers and ‘filter bubbles’ through which individuals are exposed to a limited range of information. This stands in direct contrast to society’s development of opinion and thought and debate which requires access to a diverse variety of information to grow healthily. </w:t>
      </w:r>
    </w:p>
    <w:p w:rsidR="00FB0B24" w:rsidRPr="005B5CB6" w:rsidP="00575F14">
      <w:pPr>
        <w:numPr>
          <w:ilvl w:val="0"/>
          <w:numId w:val="240"/>
        </w:numPr>
        <w:spacing w:after="145" w:line="361" w:lineRule="auto"/>
        <w:ind w:left="361" w:right="12" w:hanging="360"/>
        <w:jc w:val="both"/>
        <w:rPr>
          <w:rFonts w:ascii="Verdana" w:hAnsi="Verdana"/>
        </w:rPr>
      </w:pPr>
      <w:r w:rsidRPr="005B5CB6">
        <w:rPr>
          <w:rFonts w:ascii="Verdana" w:eastAsia="Verdana" w:hAnsi="Verdana" w:cs="Verdana"/>
        </w:rPr>
        <w:t>Misinformation can have a specific impact on minorities and vulnerable groups. Profiling and targeting of these groups with selected information and messages can exacerbate societal fractures and incite feelings of hatred.</w:t>
      </w:r>
      <w:r>
        <w:rPr>
          <w:rFonts w:ascii="Verdana" w:eastAsia="Verdana" w:hAnsi="Verdana" w:cs="Verdana"/>
          <w:vertAlign w:val="superscript"/>
        </w:rPr>
        <w:footnoteReference w:id="377"/>
      </w:r>
      <w:r w:rsidRPr="005B5CB6">
        <w:rPr>
          <w:rFonts w:ascii="Verdana" w:eastAsia="Verdana" w:hAnsi="Verdana" w:cs="Verdana"/>
        </w:rPr>
        <w:t xml:space="preserve"> Filter-bubbles and echo chambers created through such techniques can amplify the spread of hate speech.</w:t>
      </w:r>
      <w:r>
        <w:rPr>
          <w:rFonts w:ascii="Verdana" w:eastAsia="Verdana" w:hAnsi="Verdana" w:cs="Verdana"/>
          <w:vertAlign w:val="superscript"/>
        </w:rPr>
        <w:footnoteReference w:id="378"/>
      </w:r>
      <w:r w:rsidRPr="005B5CB6">
        <w:rPr>
          <w:rFonts w:ascii="Verdana" w:eastAsia="Verdana" w:hAnsi="Verdana" w:cs="Verdana"/>
        </w:rPr>
        <w:t xml:space="preserve"> This was seen in Myanmar, where the Facebook platform was used to carry out a long campaign against the Rohingya, spreading misinformation and inciting hatred and paving the way for the ethnic cleansing and alleged genocide carried out in summer 2017. The United Nations Fact-Finding Mission to Myanmar severely criticise Facebook for this saying that ‘by creating an environment where extremists’ discourse can thrive, human rights violations are legitimised and incitement to discrimination and violence facilitated’.</w:t>
      </w:r>
      <w:r>
        <w:rPr>
          <w:rFonts w:ascii="Verdana" w:eastAsia="Verdana" w:hAnsi="Verdana" w:cs="Verdana"/>
          <w:vertAlign w:val="superscript"/>
        </w:rPr>
        <w:footnoteReference w:id="379"/>
      </w:r>
      <w:r w:rsidRPr="005B5CB6">
        <w:rPr>
          <w:rFonts w:ascii="Verdana" w:eastAsia="Verdana" w:hAnsi="Verdana" w:cs="Verdana"/>
        </w:rPr>
        <w:t xml:space="preserve">  </w:t>
      </w:r>
    </w:p>
    <w:p w:rsidR="00FB0B24" w:rsidRPr="005B5CB6" w:rsidP="00575F14">
      <w:pPr>
        <w:numPr>
          <w:ilvl w:val="0"/>
          <w:numId w:val="240"/>
        </w:numPr>
        <w:spacing w:after="502" w:line="360" w:lineRule="auto"/>
        <w:ind w:left="361" w:right="12" w:hanging="360"/>
        <w:jc w:val="both"/>
        <w:rPr>
          <w:rFonts w:ascii="Verdana" w:hAnsi="Verdana"/>
        </w:rPr>
      </w:pPr>
      <w:r w:rsidRPr="005B5CB6">
        <w:rPr>
          <w:rFonts w:ascii="Verdana" w:eastAsia="Verdana" w:hAnsi="Verdana" w:cs="Verdana"/>
        </w:rPr>
        <w:t>Misinformation can also affect the right of individuals to take part in political activities and affect the outcome of elections. A study on the 2016 US Presidential Elections reported that African-American voters were targeted with disinformation about electoral procedures causing some votes to be invalidated.</w:t>
      </w:r>
      <w:r>
        <w:rPr>
          <w:rFonts w:ascii="Verdana" w:eastAsia="Verdana" w:hAnsi="Verdana" w:cs="Verdana"/>
          <w:vertAlign w:val="superscript"/>
        </w:rPr>
        <w:footnoteReference w:id="380"/>
      </w:r>
      <w:r w:rsidRPr="005B5CB6">
        <w:rPr>
          <w:rFonts w:ascii="Verdana" w:eastAsia="Verdana" w:hAnsi="Verdana" w:cs="Verdana"/>
        </w:rPr>
        <w:t xml:space="preserve"> Similarly, studies show that misinformation has been used as a tool for both domestic and foreign interference in </w:t>
      </w:r>
      <w:r w:rsidRPr="005B5CB6">
        <w:rPr>
          <w:rFonts w:ascii="Verdana" w:eastAsia="Verdana" w:hAnsi="Verdana" w:cs="Verdana"/>
        </w:rPr>
        <w:t>electoral campaigns in democratic countries and in more authoritarian regimes to influence the outcome of elections.</w:t>
      </w:r>
      <w:r>
        <w:rPr>
          <w:rFonts w:ascii="Verdana" w:eastAsia="Verdana" w:hAnsi="Verdana" w:cs="Verdana"/>
          <w:vertAlign w:val="superscript"/>
        </w:rPr>
        <w:footnoteReference w:id="381"/>
      </w:r>
      <w:r w:rsidRPr="005B5CB6">
        <w:rPr>
          <w:rFonts w:ascii="Verdana" w:eastAsia="Verdana" w:hAnsi="Verdana" w:cs="Verdana"/>
        </w:rPr>
        <w:t xml:space="preserve"> </w:t>
      </w:r>
    </w:p>
    <w:p w:rsidR="00FB0B24" w:rsidRPr="005B5CB6" w:rsidP="00CF6BAD">
      <w:pPr>
        <w:spacing w:after="0"/>
        <w:ind w:left="360"/>
        <w:jc w:val="both"/>
        <w:rPr>
          <w:rFonts w:ascii="Verdana" w:hAnsi="Verdana"/>
        </w:rPr>
      </w:pPr>
      <w:r w:rsidRPr="005B5CB6">
        <w:rPr>
          <w:rFonts w:ascii="Verdana" w:hAnsi="Verdana"/>
          <w:noProof/>
        </w:rPr>
        <mc:AlternateContent>
          <mc:Choice Requires="wpg">
            <w:drawing>
              <wp:inline distT="0" distB="0" distL="0" distR="0">
                <wp:extent cx="1828800" cy="6096"/>
                <wp:effectExtent l="0" t="0" r="0" b="0"/>
                <wp:docPr id="596919" name="Group 59691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6096"/>
                          <a:chOff x="0" y="0"/>
                          <a:chExt cx="1828800" cy="6096"/>
                        </a:xfrm>
                      </wpg:grpSpPr>
                      <wps:wsp xmlns:wps="http://schemas.microsoft.com/office/word/2010/wordprocessingShape">
                        <wps:cNvPr id="636509" name="Shape 63650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03" style="height:0.48pt;mso-position-horizontal-relative:char;mso-position-vertical-relative:line;width:2in" coordsize="18288,60">
                <v:shape id="_x0000_s1404"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575F14">
      <w:pPr>
        <w:numPr>
          <w:ilvl w:val="0"/>
          <w:numId w:val="240"/>
        </w:numPr>
        <w:spacing w:after="146" w:line="360" w:lineRule="auto"/>
        <w:ind w:left="361" w:right="12" w:hanging="360"/>
        <w:jc w:val="both"/>
        <w:rPr>
          <w:rFonts w:ascii="Verdana" w:hAnsi="Verdana"/>
        </w:rPr>
      </w:pPr>
      <w:r w:rsidRPr="005B5CB6">
        <w:rPr>
          <w:rFonts w:ascii="Verdana" w:eastAsia="Verdana" w:hAnsi="Verdana" w:cs="Verdana"/>
        </w:rPr>
        <w:t>Twitter and Facebook reported that the Chinese government has used misinformation as part of its responses to street protests that have taken place in Hong Kong since June 2019, attempting to discredit and ‘other’ protest leaders, casting them as ‘cockroaches’, and spreading rumours and untruths.</w:t>
      </w:r>
      <w:r>
        <w:rPr>
          <w:rFonts w:ascii="Verdana" w:eastAsia="Verdana" w:hAnsi="Verdana" w:cs="Verdana"/>
          <w:vertAlign w:val="superscript"/>
        </w:rPr>
        <w:footnoteReference w:id="382"/>
      </w:r>
      <w:r w:rsidRPr="005B5CB6">
        <w:rPr>
          <w:rFonts w:ascii="Verdana" w:eastAsia="Verdana" w:hAnsi="Verdana" w:cs="Verdana"/>
        </w:rPr>
        <w:t xml:space="preserve"> These allegations indicate how such tactics can be used elsewhere to discredit and delegitimize opponents to a ruling regime, affecting their freedom of expression, association and assembly.</w:t>
      </w:r>
      <w:r>
        <w:rPr>
          <w:rFonts w:ascii="Verdana" w:eastAsia="Verdana" w:hAnsi="Verdana" w:cs="Verdana"/>
          <w:vertAlign w:val="superscript"/>
        </w:rPr>
        <w:footnoteReference w:id="383"/>
      </w:r>
      <w:r w:rsidRPr="005B5CB6">
        <w:rPr>
          <w:rFonts w:ascii="Verdana" w:eastAsia="Verdana" w:hAnsi="Verdana" w:cs="Verdana"/>
        </w:rPr>
        <w:t xml:space="preserve">  </w:t>
      </w:r>
    </w:p>
    <w:p w:rsidR="00FB0B24" w:rsidRPr="005B5CB6" w:rsidP="00575F14">
      <w:pPr>
        <w:numPr>
          <w:ilvl w:val="0"/>
          <w:numId w:val="240"/>
        </w:numPr>
        <w:spacing w:after="116" w:line="361" w:lineRule="auto"/>
        <w:ind w:left="361" w:right="12" w:hanging="360"/>
        <w:jc w:val="both"/>
        <w:rPr>
          <w:rFonts w:ascii="Verdana" w:hAnsi="Verdana"/>
        </w:rPr>
      </w:pPr>
      <w:r w:rsidRPr="005B5CB6">
        <w:rPr>
          <w:rFonts w:ascii="Verdana" w:eastAsia="Verdana" w:hAnsi="Verdana" w:cs="Verdana"/>
        </w:rPr>
        <w:t>Targeted misinformation campaigns against journalists, human rights defenders and political opponents can have a chilling effect on human rights. Such campaigns can impact how these groups choose to exercise their freedom of expression or hate campaigns against them can ultimately threaten their safety and life.</w:t>
      </w:r>
      <w:r>
        <w:rPr>
          <w:rFonts w:ascii="Verdana" w:eastAsia="Verdana" w:hAnsi="Verdana" w:cs="Verdana"/>
          <w:vertAlign w:val="superscript"/>
        </w:rPr>
        <w:footnoteReference w:id="384"/>
      </w:r>
      <w:r w:rsidRPr="005B5CB6">
        <w:rPr>
          <w:rFonts w:ascii="Verdana" w:eastAsia="Verdana" w:hAnsi="Verdana" w:cs="Verdana"/>
        </w:rPr>
        <w:t xml:space="preserve"> This also undermines opportunities for free and pluralistic debates within societies - a fundamental requirement for a stable democracy.  </w:t>
      </w:r>
    </w:p>
    <w:p w:rsidR="00FB0B24" w:rsidRPr="005B5CB6" w:rsidP="00575F14">
      <w:pPr>
        <w:numPr>
          <w:ilvl w:val="0"/>
          <w:numId w:val="240"/>
        </w:numPr>
        <w:spacing w:after="157" w:line="359" w:lineRule="auto"/>
        <w:ind w:left="361" w:right="12" w:hanging="360"/>
        <w:jc w:val="both"/>
        <w:rPr>
          <w:rFonts w:ascii="Verdana" w:hAnsi="Verdana"/>
        </w:rPr>
      </w:pPr>
      <w:r w:rsidRPr="005B5CB6">
        <w:rPr>
          <w:rFonts w:ascii="Verdana" w:eastAsia="Verdana" w:hAnsi="Verdana" w:cs="Verdana"/>
        </w:rPr>
        <w:t>So called ‘conspiracy theories’ on the risks of vaccinations or misinformation about certain medical practices can compromise the right to health and, potentially, the right to life. As confirmed by the World Health Organisation, misinformation spread about vaccinations has an impact on public health. It has already led to the re-emergence of infective diseases that had been eradicated in several parts of the world.</w:t>
      </w:r>
      <w:r>
        <w:rPr>
          <w:rFonts w:ascii="Verdana" w:eastAsia="Verdana" w:hAnsi="Verdana" w:cs="Verdana"/>
          <w:vertAlign w:val="superscript"/>
        </w:rPr>
        <w:footnoteReference w:id="385"/>
      </w:r>
      <w:r w:rsidRPr="005B5CB6">
        <w:rPr>
          <w:rFonts w:ascii="Verdana" w:eastAsia="Verdana" w:hAnsi="Verdana" w:cs="Verdana"/>
        </w:rPr>
        <w:t xml:space="preserve"> The United Kingdom and other European countries have already lost their status as being </w:t>
      </w:r>
      <w:r w:rsidRPr="005B5CB6">
        <w:rPr>
          <w:rFonts w:ascii="Verdana" w:eastAsia="Verdana" w:hAnsi="Verdana" w:cs="Verdana"/>
        </w:rPr>
        <w:t>‘measlesfree’. There are similar risks for the re-emergence of other partially eradicated diseases.</w:t>
      </w:r>
      <w:r>
        <w:rPr>
          <w:rFonts w:ascii="Verdana" w:eastAsia="Verdana" w:hAnsi="Verdana" w:cs="Verdana"/>
          <w:vertAlign w:val="superscript"/>
        </w:rPr>
        <w:footnoteReference w:id="386"/>
      </w:r>
      <w:r w:rsidRPr="005B5CB6">
        <w:rPr>
          <w:rFonts w:ascii="Verdana" w:eastAsia="Verdana" w:hAnsi="Verdana" w:cs="Verdana"/>
        </w:rPr>
        <w:t xml:space="preserve">   </w:t>
      </w:r>
    </w:p>
    <w:p w:rsidR="00FB0B24" w:rsidRPr="005B5CB6" w:rsidP="00575F14">
      <w:pPr>
        <w:numPr>
          <w:ilvl w:val="0"/>
          <w:numId w:val="240"/>
        </w:numPr>
        <w:spacing w:after="938" w:line="358" w:lineRule="auto"/>
        <w:ind w:left="361" w:right="12" w:hanging="360"/>
        <w:jc w:val="both"/>
        <w:rPr>
          <w:rFonts w:ascii="Verdana" w:hAnsi="Verdana"/>
        </w:rPr>
      </w:pPr>
      <w:r w:rsidRPr="005B5CB6">
        <w:rPr>
          <w:rFonts w:ascii="Verdana" w:eastAsia="Verdana" w:hAnsi="Verdana" w:cs="Verdana"/>
        </w:rPr>
        <w:t xml:space="preserve">As confirmed by recent data from the Office for National Statistics, although the number of people with access to high-speed internet is increasing, around 20% of all UK citizens </w:t>
      </w:r>
    </w:p>
    <w:p w:rsidR="00FB0B24" w:rsidRPr="005B5CB6" w:rsidP="00CF6BAD">
      <w:pPr>
        <w:spacing w:after="0"/>
        <w:ind w:left="360"/>
        <w:jc w:val="both"/>
        <w:rPr>
          <w:rFonts w:ascii="Verdana" w:hAnsi="Verdana"/>
        </w:rPr>
      </w:pPr>
      <w:r w:rsidRPr="005B5CB6">
        <w:rPr>
          <w:rFonts w:ascii="Verdana" w:hAnsi="Verdana"/>
          <w:noProof/>
        </w:rPr>
        <mc:AlternateContent>
          <mc:Choice Requires="wpg">
            <w:drawing>
              <wp:inline distT="0" distB="0" distL="0" distR="0">
                <wp:extent cx="1828800" cy="6109"/>
                <wp:effectExtent l="0" t="0" r="0" b="0"/>
                <wp:docPr id="597404" name="Group 59740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6109"/>
                          <a:chOff x="0" y="0"/>
                          <a:chExt cx="1828800" cy="6109"/>
                        </a:xfrm>
                      </wpg:grpSpPr>
                      <wps:wsp xmlns:wps="http://schemas.microsoft.com/office/word/2010/wordprocessingShape">
                        <wps:cNvPr id="636511" name="Shape 63651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05" style="height:0.48pt;mso-position-horizontal-relative:char;mso-position-vertical-relative:line;width:2in" coordsize="18288,61">
                <v:shape id="_x0000_s1406"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CF6BAD">
      <w:pPr>
        <w:spacing w:after="116" w:line="361" w:lineRule="auto"/>
        <w:ind w:left="369" w:right="12" w:hanging="9"/>
        <w:jc w:val="both"/>
        <w:rPr>
          <w:rFonts w:ascii="Verdana" w:hAnsi="Verdana"/>
        </w:rPr>
      </w:pPr>
      <w:r w:rsidRPr="005B5CB6">
        <w:rPr>
          <w:rFonts w:ascii="Verdana" w:eastAsia="Verdana" w:hAnsi="Verdana" w:cs="Verdana"/>
        </w:rPr>
        <w:t>still have no basic digital skills.</w:t>
      </w:r>
      <w:r>
        <w:rPr>
          <w:rFonts w:ascii="Verdana" w:eastAsia="Verdana" w:hAnsi="Verdana" w:cs="Verdana"/>
          <w:vertAlign w:val="superscript"/>
        </w:rPr>
        <w:footnoteReference w:id="387"/>
      </w:r>
      <w:r w:rsidRPr="005B5CB6">
        <w:rPr>
          <w:rFonts w:ascii="Verdana" w:eastAsia="Verdana" w:hAnsi="Verdana" w:cs="Verdana"/>
        </w:rPr>
        <w:t xml:space="preserve"> For this group, the online space remains complex and difficult to access. Social media platforms are often their first and only point of entry. Consequently, without an adequate digital literacy, this group can be more susceptible to misinformation campaigns, having fewer tools with which to verify and corroborate information they receive online. In such a situation, their right to receive information and their right to freedom of thought and opinion can be affected. Equally, however, the increasing sophistication of misinformation can mean that all users may struggle to identify false information, underscoring the need to avoid solutions which place the burden on users. </w:t>
      </w:r>
    </w:p>
    <w:p w:rsidR="00FB0B24" w:rsidRPr="005B5CB6" w:rsidP="00CF6BAD">
      <w:pPr>
        <w:spacing w:after="231"/>
        <w:ind w:left="1081"/>
        <w:jc w:val="both"/>
        <w:rPr>
          <w:rFonts w:ascii="Verdana" w:hAnsi="Verdana"/>
        </w:rPr>
      </w:pPr>
      <w:r w:rsidRPr="005B5CB6">
        <w:rPr>
          <w:rFonts w:ascii="Verdana" w:eastAsia="Verdana" w:hAnsi="Verdana" w:cs="Verdana"/>
          <w:b/>
        </w:rPr>
        <w:t xml:space="preserve"> </w:t>
      </w:r>
    </w:p>
    <w:p w:rsidR="00FB0B24" w:rsidRPr="005B5CB6" w:rsidP="00CF6BAD">
      <w:pPr>
        <w:spacing w:after="239" w:line="250" w:lineRule="auto"/>
        <w:ind w:left="1091" w:hanging="10"/>
        <w:jc w:val="both"/>
        <w:rPr>
          <w:rFonts w:ascii="Verdana" w:hAnsi="Verdana"/>
        </w:rPr>
      </w:pPr>
      <w:r w:rsidRPr="005B5CB6">
        <w:rPr>
          <w:rFonts w:ascii="Verdana" w:eastAsia="Verdana" w:hAnsi="Verdana" w:cs="Verdana"/>
          <w:b/>
        </w:rPr>
        <w:t>The need of a multi-pronged and multi-stakeholder approach</w:t>
      </w:r>
      <w:r w:rsidRPr="005B5CB6">
        <w:rPr>
          <w:rFonts w:ascii="Verdana" w:eastAsia="Verdana" w:hAnsi="Verdana" w:cs="Verdana"/>
        </w:rPr>
        <w:t xml:space="preserve"> </w:t>
      </w:r>
    </w:p>
    <w:p w:rsidR="00FB0B24" w:rsidRPr="005B5CB6" w:rsidP="00CF6BAD">
      <w:pPr>
        <w:spacing w:after="150" w:line="357" w:lineRule="auto"/>
        <w:ind w:left="361" w:right="12" w:hanging="360"/>
        <w:jc w:val="both"/>
        <w:rPr>
          <w:rFonts w:ascii="Verdana" w:hAnsi="Verdana"/>
        </w:rPr>
      </w:pPr>
      <w:r w:rsidRPr="005B5CB6">
        <w:rPr>
          <w:rFonts w:ascii="Verdana" w:eastAsia="Verdana" w:hAnsi="Verdana" w:cs="Verdana"/>
        </w:rPr>
        <w:t>10.States, digital platforms, media outlets, and civil society actors have proposed and implemented a range of approaches to tackling misinformation. These include technical approaches to fact-check and verify content and sources; media literacy campaigns; regulatory models and content moderation. However, in our view, a focus on one approach alone is unlikely to effectively address the harm posed by misinformation. Rather, as recognised by the European Union, a plurality of strategies is needed.</w:t>
      </w:r>
      <w:r>
        <w:rPr>
          <w:rFonts w:ascii="Verdana" w:eastAsia="Verdana" w:hAnsi="Verdana" w:cs="Verdana"/>
          <w:vertAlign w:val="superscript"/>
        </w:rPr>
        <w:footnoteReference w:id="388"/>
      </w:r>
      <w:r w:rsidRPr="005B5CB6">
        <w:rPr>
          <w:rFonts w:ascii="Verdana" w:eastAsia="Verdana" w:hAnsi="Verdana" w:cs="Verdana"/>
        </w:rPr>
        <w:t xml:space="preserve">  </w:t>
      </w:r>
    </w:p>
    <w:p w:rsidR="00FB0B24" w:rsidRPr="005B5CB6" w:rsidP="00CF6BAD">
      <w:pPr>
        <w:spacing w:after="118" w:line="360" w:lineRule="auto"/>
        <w:ind w:left="361" w:right="12" w:hanging="360"/>
        <w:jc w:val="both"/>
        <w:rPr>
          <w:rFonts w:ascii="Verdana" w:hAnsi="Verdana"/>
        </w:rPr>
      </w:pPr>
      <w:r w:rsidRPr="005B5CB6">
        <w:rPr>
          <w:rFonts w:ascii="Verdana" w:eastAsia="Verdana" w:hAnsi="Verdana" w:cs="Verdana"/>
        </w:rPr>
        <w:t xml:space="preserve">11.In attempting to deal with misinformation, some states and technology companies have adopted approaches that, in themselves, create new threats to human rights and democracy. It is critical that solutions designed to deal with misinformation do not end </w:t>
      </w:r>
      <w:r w:rsidRPr="005B5CB6">
        <w:rPr>
          <w:rFonts w:ascii="Verdana" w:eastAsia="Verdana" w:hAnsi="Verdana" w:cs="Verdana"/>
        </w:rPr>
        <w:t>up introducing new forms of harm to human rights. Democratic states also need to be aware that ‘whataboutism’</w:t>
      </w:r>
      <w:r>
        <w:rPr>
          <w:rFonts w:ascii="Verdana" w:eastAsia="Verdana" w:hAnsi="Verdana" w:cs="Verdana"/>
          <w:vertAlign w:val="superscript"/>
        </w:rPr>
        <w:footnoteReference w:id="389"/>
      </w:r>
      <w:r w:rsidRPr="005B5CB6">
        <w:rPr>
          <w:rFonts w:ascii="Verdana" w:eastAsia="Verdana" w:hAnsi="Verdana" w:cs="Verdana"/>
        </w:rPr>
        <w:t xml:space="preserve"> is a real risk in the misinformation space – meaning that any regulatory models adopted by democratic states may be replicated in less democratic states with the justification that a democratic state has introduced the same model first. This may ultimately result in adverse consequences for human rights for human rights in a less democratic state.  </w:t>
      </w:r>
    </w:p>
    <w:p w:rsidR="00FB0B24" w:rsidRPr="005B5CB6" w:rsidP="00CF6BAD">
      <w:pPr>
        <w:spacing w:after="607" w:line="250" w:lineRule="auto"/>
        <w:ind w:left="1090" w:hanging="10"/>
        <w:jc w:val="both"/>
        <w:rPr>
          <w:rFonts w:ascii="Verdana" w:hAnsi="Verdana"/>
        </w:rPr>
      </w:pPr>
      <w:r w:rsidRPr="005B5CB6">
        <w:rPr>
          <w:rFonts w:ascii="Verdana" w:eastAsia="Verdana" w:hAnsi="Verdana" w:cs="Verdana"/>
          <w:b/>
        </w:rPr>
        <w:t xml:space="preserve">States’ Role in Tackling Misinformation </w:t>
      </w:r>
      <w:r w:rsidRPr="005B5CB6">
        <w:rPr>
          <w:rFonts w:ascii="Verdana" w:eastAsia="Verdana" w:hAnsi="Verdana" w:cs="Verdana"/>
        </w:rPr>
        <w:t xml:space="preserve"> </w:t>
      </w:r>
    </w:p>
    <w:p w:rsidR="00FB0B24" w:rsidRPr="005B5CB6" w:rsidP="00CF6BAD">
      <w:pPr>
        <w:spacing w:after="0"/>
        <w:ind w:left="360"/>
        <w:jc w:val="both"/>
        <w:rPr>
          <w:rFonts w:ascii="Verdana" w:hAnsi="Verdana"/>
        </w:rPr>
      </w:pPr>
      <w:r w:rsidRPr="005B5CB6">
        <w:rPr>
          <w:rFonts w:ascii="Verdana" w:hAnsi="Verdana"/>
          <w:noProof/>
        </w:rPr>
        <mc:AlternateContent>
          <mc:Choice Requires="wpg">
            <w:drawing>
              <wp:inline distT="0" distB="0" distL="0" distR="0">
                <wp:extent cx="1828800" cy="6097"/>
                <wp:effectExtent l="0" t="0" r="0" b="0"/>
                <wp:docPr id="597116" name="Group 59711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6097"/>
                          <a:chOff x="0" y="0"/>
                          <a:chExt cx="1828800" cy="6097"/>
                        </a:xfrm>
                      </wpg:grpSpPr>
                      <wps:wsp xmlns:wps="http://schemas.microsoft.com/office/word/2010/wordprocessingShape">
                        <wps:cNvPr id="636513" name="Shape 63651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07" style="height:0.48pt;mso-position-horizontal-relative:char;mso-position-vertical-relative:line;width:2in" coordsize="18288,60">
                <v:shape id="_x0000_s1408"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CF6BAD">
      <w:pPr>
        <w:spacing w:after="120" w:line="358" w:lineRule="auto"/>
        <w:ind w:left="361" w:right="12" w:hanging="360"/>
        <w:jc w:val="both"/>
        <w:rPr>
          <w:rFonts w:ascii="Verdana" w:hAnsi="Verdana"/>
        </w:rPr>
      </w:pPr>
      <w:r w:rsidRPr="005B5CB6">
        <w:rPr>
          <w:rFonts w:ascii="Verdana" w:eastAsia="Verdana" w:hAnsi="Verdana" w:cs="Verdana"/>
        </w:rPr>
        <w:t xml:space="preserve">12.Under international and national human rights law, states have an obligation to prevent, protect and fulfil human rights. This is both in relation to their direct actions and omissions and with regard to third parties, such as business enterprises.  </w:t>
      </w:r>
    </w:p>
    <w:p w:rsidR="00FB0B24" w:rsidRPr="005B5CB6" w:rsidP="00CF6BAD">
      <w:pPr>
        <w:spacing w:after="115" w:line="362" w:lineRule="auto"/>
        <w:ind w:left="361" w:right="12" w:hanging="360"/>
        <w:jc w:val="both"/>
        <w:rPr>
          <w:rFonts w:ascii="Verdana" w:hAnsi="Verdana"/>
        </w:rPr>
      </w:pPr>
      <w:r w:rsidRPr="005B5CB6">
        <w:rPr>
          <w:rFonts w:ascii="Verdana" w:eastAsia="Verdana" w:hAnsi="Verdana" w:cs="Verdana"/>
        </w:rPr>
        <w:t>13.Some states have adopted anti-misinformation laws as a means to address misinformation.</w:t>
      </w:r>
      <w:r>
        <w:rPr>
          <w:rFonts w:ascii="Verdana" w:eastAsia="Verdana" w:hAnsi="Verdana" w:cs="Verdana"/>
          <w:vertAlign w:val="superscript"/>
        </w:rPr>
        <w:footnoteReference w:id="390"/>
      </w:r>
      <w:r w:rsidRPr="005B5CB6">
        <w:rPr>
          <w:rFonts w:ascii="Verdana" w:eastAsia="Verdana" w:hAnsi="Verdana" w:cs="Verdana"/>
        </w:rPr>
        <w:t xml:space="preserve"> These laws often make the dissemination of misinformation a criminal offence. They pose serious threats to human rights and in particular to freedom of expression, assembly and association. The terms used in these laws are often vague, making it unclear what constitutes misinformation and opening it to a plurality of subjective interpretations. Some commentators have described the effects of these laws by drawing parallels to censorship laws.</w:t>
      </w:r>
      <w:r>
        <w:rPr>
          <w:rFonts w:ascii="Verdana" w:eastAsia="Verdana" w:hAnsi="Verdana" w:cs="Verdana"/>
          <w:vertAlign w:val="superscript"/>
        </w:rPr>
        <w:footnoteReference w:id="391"/>
      </w:r>
      <w:r w:rsidRPr="005B5CB6">
        <w:rPr>
          <w:rFonts w:ascii="Verdana" w:eastAsia="Verdana" w:hAnsi="Verdana" w:cs="Verdana"/>
        </w:rPr>
        <w:t xml:space="preserve"> This is a particular risk in states in which misinformation is often conflated with critiques or questioning of the government and its officials. Such laws not only infringe upon freedom of expression but also the liberty, security and even life of journalists, human rights defenders and social media users more broadly.</w:t>
      </w:r>
      <w:r>
        <w:rPr>
          <w:rFonts w:ascii="Verdana" w:eastAsia="Verdana" w:hAnsi="Verdana" w:cs="Verdana"/>
          <w:vertAlign w:val="superscript"/>
        </w:rPr>
        <w:footnoteReference w:id="392"/>
      </w:r>
      <w:r w:rsidRPr="005B5CB6">
        <w:rPr>
          <w:rFonts w:ascii="Verdana" w:eastAsia="Verdana" w:hAnsi="Verdana" w:cs="Verdana"/>
        </w:rPr>
        <w:t xml:space="preserve"> Anti-misinformation laws can therefore introduce significant threats to human rights and do not offer an effective solution to addressing the effects of misinformation. </w:t>
      </w:r>
    </w:p>
    <w:p w:rsidR="00FB0B24" w:rsidRPr="005B5CB6" w:rsidP="00CF6BAD">
      <w:pPr>
        <w:spacing w:after="120" w:line="358" w:lineRule="auto"/>
        <w:ind w:left="361" w:right="12" w:hanging="360"/>
        <w:jc w:val="both"/>
        <w:rPr>
          <w:rFonts w:ascii="Verdana" w:hAnsi="Verdana"/>
        </w:rPr>
      </w:pPr>
      <w:r w:rsidRPr="005B5CB6">
        <w:rPr>
          <w:rFonts w:ascii="Verdana" w:eastAsia="Verdana" w:hAnsi="Verdana" w:cs="Verdana"/>
        </w:rPr>
        <w:t xml:space="preserve">14.Where states introduce regulation, it should be aimed at identifying and addressing the effects of misinformation, particularly when it involves targeted action by foreign states and examining how social media companies in particular can prevent their platforms being used as a vehicle for the spread of misinformation without restricting the exercise of rights, as discussed below. This includes an assessment of how advertising models can incentivise the production and spread of misinformation and what the state can do to regulate such space. Furthermore, states should commit to securing an adequate infrastructure for a plurality of news and information. Indeed, ensuring a diversity of information and a free and pluralistic debate is another key step that states can take to counter the traction of misinformation. </w:t>
      </w:r>
    </w:p>
    <w:p w:rsidR="00FB0B24" w:rsidRPr="005B5CB6" w:rsidP="00CF6BAD">
      <w:pPr>
        <w:spacing w:after="5" w:line="358" w:lineRule="auto"/>
        <w:ind w:left="361" w:right="12" w:hanging="360"/>
        <w:jc w:val="both"/>
        <w:rPr>
          <w:rFonts w:ascii="Verdana" w:hAnsi="Verdana"/>
        </w:rPr>
      </w:pPr>
      <w:r w:rsidRPr="005B5CB6">
        <w:rPr>
          <w:rFonts w:ascii="Verdana" w:eastAsia="Verdana" w:hAnsi="Verdana" w:cs="Verdana"/>
        </w:rPr>
        <w:t xml:space="preserve">15.States can support education and awareness campaigns about misinformation through digital literacy programmes. Education campaigns can include the technical aspects of how misinformation is spread online, what online targeting and profiling is and how </w:t>
      </w:r>
    </w:p>
    <w:p w:rsidR="00FB0B24" w:rsidRPr="005B5CB6" w:rsidP="00CF6BAD">
      <w:pPr>
        <w:spacing w:after="0"/>
        <w:ind w:left="360"/>
        <w:jc w:val="both"/>
        <w:rPr>
          <w:rFonts w:ascii="Verdana" w:hAnsi="Verdana"/>
        </w:rPr>
      </w:pPr>
      <w:r w:rsidRPr="005B5CB6">
        <w:rPr>
          <w:rFonts w:ascii="Verdana" w:hAnsi="Verdana"/>
          <w:noProof/>
        </w:rPr>
        <mc:AlternateContent>
          <mc:Choice Requires="wpg">
            <w:drawing>
              <wp:inline distT="0" distB="0" distL="0" distR="0">
                <wp:extent cx="1828800" cy="6096"/>
                <wp:effectExtent l="0" t="0" r="0" b="0"/>
                <wp:docPr id="598204" name="Group 59820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6096"/>
                          <a:chOff x="0" y="0"/>
                          <a:chExt cx="1828800" cy="6096"/>
                        </a:xfrm>
                      </wpg:grpSpPr>
                      <wps:wsp xmlns:wps="http://schemas.microsoft.com/office/word/2010/wordprocessingShape">
                        <wps:cNvPr id="636515" name="Shape 63651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09" style="height:0.48pt;mso-position-horizontal-relative:char;mso-position-vertical-relative:line;width:2in" coordsize="18288,60">
                <v:shape id="_x0000_s1410"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CF6BAD">
      <w:pPr>
        <w:spacing w:after="123" w:line="358" w:lineRule="auto"/>
        <w:ind w:left="369" w:right="12" w:hanging="9"/>
        <w:jc w:val="both"/>
        <w:rPr>
          <w:rFonts w:ascii="Verdana" w:hAnsi="Verdana"/>
        </w:rPr>
      </w:pPr>
      <w:r w:rsidRPr="005B5CB6">
        <w:rPr>
          <w:rFonts w:ascii="Verdana" w:eastAsia="Verdana" w:hAnsi="Verdana" w:cs="Verdana"/>
        </w:rPr>
        <w:t xml:space="preserve">artificial intelligence is used to foster news dissemination and general knowledge that would increase individual understanding of the world. However, it is critical that education campaigns are not viewed as the sole or main solution, particularly as the increasing sophistication of misinformation may mean that, in the near future, even advanced users may find it difficult to detect.  </w:t>
      </w:r>
      <w:r w:rsidRPr="005B5CB6">
        <w:rPr>
          <w:rFonts w:ascii="Verdana" w:eastAsia="Verdana" w:hAnsi="Verdana" w:cs="Verdana"/>
          <w:b/>
        </w:rPr>
        <w:t xml:space="preserve"> </w:t>
      </w:r>
    </w:p>
    <w:p w:rsidR="00FB0B24" w:rsidRPr="005B5CB6" w:rsidP="00CF6BAD">
      <w:pPr>
        <w:spacing w:after="239" w:line="250" w:lineRule="auto"/>
        <w:ind w:left="1090" w:hanging="10"/>
        <w:jc w:val="both"/>
        <w:rPr>
          <w:rFonts w:ascii="Verdana" w:hAnsi="Verdana"/>
        </w:rPr>
      </w:pPr>
      <w:r w:rsidRPr="005B5CB6">
        <w:rPr>
          <w:rFonts w:ascii="Verdana" w:eastAsia="Verdana" w:hAnsi="Verdana" w:cs="Verdana"/>
          <w:b/>
        </w:rPr>
        <w:t>Digital Platforms’ Role in Tackling Misinformation</w:t>
      </w:r>
      <w:r w:rsidRPr="005B5CB6">
        <w:rPr>
          <w:rFonts w:ascii="Verdana" w:eastAsia="Verdana" w:hAnsi="Verdana" w:cs="Verdana"/>
        </w:rPr>
        <w:t xml:space="preserve"> </w:t>
      </w:r>
    </w:p>
    <w:p w:rsidR="00FB0B24" w:rsidRPr="005B5CB6" w:rsidP="00CF6BAD">
      <w:pPr>
        <w:spacing w:after="120" w:line="358" w:lineRule="auto"/>
        <w:ind w:left="361" w:right="12" w:hanging="360"/>
        <w:jc w:val="both"/>
        <w:rPr>
          <w:rFonts w:ascii="Verdana" w:hAnsi="Verdana"/>
        </w:rPr>
      </w:pPr>
      <w:r w:rsidRPr="005B5CB6">
        <w:rPr>
          <w:rFonts w:ascii="Verdana" w:eastAsia="Verdana" w:hAnsi="Verdana" w:cs="Verdana"/>
        </w:rPr>
        <w:t xml:space="preserve">16.Companies, and especially digital media platforms, play a key role in tackling misinformation. As their platforms are often used to launch and spread misinformation, they are well placed to quickly identify potential misinformation, fact-check and verify it. However, the way in which a platform acts upon suspected misinformation has significant implications for human rights.   </w:t>
      </w:r>
    </w:p>
    <w:p w:rsidR="00FB0B24" w:rsidRPr="005B5CB6" w:rsidP="00CF6BAD">
      <w:pPr>
        <w:spacing w:after="116" w:line="362" w:lineRule="auto"/>
        <w:ind w:left="361" w:right="12" w:hanging="360"/>
        <w:jc w:val="both"/>
        <w:rPr>
          <w:rFonts w:ascii="Verdana" w:hAnsi="Verdana"/>
        </w:rPr>
      </w:pPr>
      <w:r w:rsidRPr="005B5CB6">
        <w:rPr>
          <w:rFonts w:ascii="Verdana" w:eastAsia="Verdana" w:hAnsi="Verdana" w:cs="Verdana"/>
        </w:rPr>
        <w:t xml:space="preserve">17.In order to tackle misinformation, digital media companies should address the associated business model. In the digital space one of the main sources of revenue is digital advertising and host websites make their pages as captivating as possible to induce users to click and spend time on them. Misinformation is often characterized by news containing shocking and catchy headlines, thus potentially feeding into the </w:t>
      </w:r>
      <w:r w:rsidRPr="005B5CB6">
        <w:rPr>
          <w:rFonts w:ascii="Verdana" w:eastAsia="Verdana" w:hAnsi="Verdana" w:cs="Verdana"/>
        </w:rPr>
        <w:t>business model of digital advertising.</w:t>
      </w:r>
      <w:r>
        <w:rPr>
          <w:rFonts w:ascii="Verdana" w:eastAsia="Verdana" w:hAnsi="Verdana" w:cs="Verdana"/>
          <w:vertAlign w:val="superscript"/>
        </w:rPr>
        <w:footnoteReference w:id="393"/>
      </w:r>
      <w:r w:rsidRPr="005B5CB6">
        <w:rPr>
          <w:rFonts w:ascii="Verdana" w:eastAsia="Verdana" w:hAnsi="Verdana" w:cs="Verdana"/>
        </w:rPr>
        <w:t xml:space="preserve"> Moreover, some of the advertisements also contain misinformation and the digital media platforms receive payments for these to appear on their websites.</w:t>
      </w:r>
      <w:r>
        <w:rPr>
          <w:rFonts w:ascii="Verdana" w:eastAsia="Verdana" w:hAnsi="Verdana" w:cs="Verdana"/>
          <w:vertAlign w:val="superscript"/>
        </w:rPr>
        <w:footnoteReference w:id="394"/>
      </w:r>
      <w:r w:rsidRPr="005B5CB6">
        <w:rPr>
          <w:rFonts w:ascii="Verdana" w:eastAsia="Verdana" w:hAnsi="Verdana" w:cs="Verdana"/>
        </w:rPr>
        <w:t xml:space="preserve"> In light of this, transparency from companies on their business model and advertising revenues behind published content is crucial for enabling users to autonomously make assessments on the content. </w:t>
      </w:r>
    </w:p>
    <w:p w:rsidR="00FB0B24" w:rsidRPr="005B5CB6" w:rsidP="00CF6BAD">
      <w:pPr>
        <w:spacing w:after="879" w:line="362" w:lineRule="auto"/>
        <w:ind w:left="361" w:right="12" w:hanging="360"/>
        <w:jc w:val="both"/>
        <w:rPr>
          <w:rFonts w:ascii="Verdana" w:hAnsi="Verdana"/>
        </w:rPr>
      </w:pPr>
      <w:r w:rsidRPr="005B5CB6">
        <w:rPr>
          <w:rFonts w:ascii="Verdana" w:eastAsia="Verdana" w:hAnsi="Verdana" w:cs="Verdana"/>
        </w:rPr>
        <w:t>18.Digital media companies have taken different approaches to tackling misinformation. These approaches have ranged from flagging the content as such, removal of the content, suspension or removal of accounts, to demoting and de-ranking content.</w:t>
      </w:r>
      <w:r>
        <w:rPr>
          <w:rFonts w:ascii="Verdana" w:eastAsia="Verdana" w:hAnsi="Verdana" w:cs="Verdana"/>
          <w:vertAlign w:val="superscript"/>
        </w:rPr>
        <w:footnoteReference w:id="395"/>
      </w:r>
      <w:r w:rsidRPr="005B5CB6">
        <w:rPr>
          <w:rFonts w:ascii="Verdana" w:eastAsia="Verdana" w:hAnsi="Verdana" w:cs="Verdana"/>
        </w:rPr>
        <w:t xml:space="preserve"> These measures, particularly at their most extreme involving account suspension or deletion and removal of content, can affect freedom of expression and association. Content moderation policies can be drafted using vague terminology and it can often be </w:t>
      </w:r>
    </w:p>
    <w:p w:rsidR="00FB0B24" w:rsidRPr="005B5CB6" w:rsidP="00CF6BAD">
      <w:pPr>
        <w:spacing w:after="0"/>
        <w:ind w:left="360"/>
        <w:jc w:val="both"/>
        <w:rPr>
          <w:rFonts w:ascii="Verdana" w:hAnsi="Verdana"/>
        </w:rPr>
      </w:pPr>
      <w:r w:rsidRPr="005B5CB6">
        <w:rPr>
          <w:rFonts w:ascii="Verdana" w:hAnsi="Verdana"/>
          <w:noProof/>
        </w:rPr>
        <mc:AlternateContent>
          <mc:Choice Requires="wpg">
            <w:drawing>
              <wp:inline distT="0" distB="0" distL="0" distR="0">
                <wp:extent cx="1828800" cy="6096"/>
                <wp:effectExtent l="0" t="0" r="0" b="0"/>
                <wp:docPr id="597557" name="Group 59755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6096"/>
                          <a:chOff x="0" y="0"/>
                          <a:chExt cx="1828800" cy="6096"/>
                        </a:xfrm>
                      </wpg:grpSpPr>
                      <wps:wsp xmlns:wps="http://schemas.microsoft.com/office/word/2010/wordprocessingShape">
                        <wps:cNvPr id="636517" name="Shape 63651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11" style="height:0.48pt;mso-position-horizontal-relative:char;mso-position-vertical-relative:line;width:2in" coordsize="18288,60">
                <v:shape id="_x0000_s1412"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CF6BAD">
      <w:pPr>
        <w:spacing w:after="120" w:line="358" w:lineRule="auto"/>
        <w:ind w:left="368" w:right="11" w:hanging="8"/>
        <w:jc w:val="both"/>
        <w:rPr>
          <w:rFonts w:ascii="Verdana" w:hAnsi="Verdana"/>
        </w:rPr>
      </w:pPr>
      <w:r w:rsidRPr="005B5CB6">
        <w:rPr>
          <w:rFonts w:ascii="Verdana" w:eastAsia="Verdana" w:hAnsi="Verdana" w:cs="Verdana"/>
        </w:rPr>
        <w:t xml:space="preserve">unclear how an assessment of the ‘truthfulness’ of a given content is reached, particularly where the initial assessment is made by an algorithm.  </w:t>
      </w:r>
    </w:p>
    <w:p w:rsidR="00FB0B24" w:rsidRPr="005B5CB6" w:rsidP="00CF6BAD">
      <w:pPr>
        <w:spacing w:after="118" w:line="360" w:lineRule="auto"/>
        <w:ind w:left="361" w:right="12" w:hanging="360"/>
        <w:jc w:val="both"/>
        <w:rPr>
          <w:rFonts w:ascii="Verdana" w:hAnsi="Verdana"/>
        </w:rPr>
      </w:pPr>
      <w:r w:rsidRPr="005B5CB6">
        <w:rPr>
          <w:rFonts w:ascii="Verdana" w:eastAsia="Verdana" w:hAnsi="Verdana" w:cs="Verdana"/>
        </w:rPr>
        <w:t>19.Automated fact-checking algorithms can be used to identify suspect content and assess whether it constitutes misinformation. Due to the high volume of online content on social media platforms, the platforms have introduced automated processes to screen and assess whether a piece of information constitutes misinformation. However, automated fact-checkers could bring new forms of harm to the individuals when they are not operating under an adequate human supervision that correct eventual biases and mistakes. The data on which the algorithms rely may be incomplete and potentially biased,</w:t>
      </w:r>
      <w:r>
        <w:rPr>
          <w:rFonts w:ascii="Verdana" w:eastAsia="Verdana" w:hAnsi="Verdana" w:cs="Verdana"/>
          <w:vertAlign w:val="superscript"/>
        </w:rPr>
        <w:footnoteReference w:id="396"/>
      </w:r>
      <w:r w:rsidRPr="005B5CB6">
        <w:rPr>
          <w:rFonts w:ascii="Verdana" w:eastAsia="Verdana" w:hAnsi="Verdana" w:cs="Verdana"/>
        </w:rPr>
        <w:t xml:space="preserve"> thus resulting in incorrect assessments that could seriously threaten a user’s freedom of expression. Several digital media platforms employ human supervision on their automated fact-checkers or a mixed human-automated fact-checking system. Yet, staff employed in this capacity need to be adequately trained and equipped to be able </w:t>
      </w:r>
      <w:r w:rsidRPr="005B5CB6">
        <w:rPr>
          <w:rFonts w:ascii="Verdana" w:eastAsia="Verdana" w:hAnsi="Verdana" w:cs="Verdana"/>
        </w:rPr>
        <w:t xml:space="preserve">to assess both the reliability of the content, the possible harm its publishing may cause and the suitability of the algorithm to make such an assessment.  </w:t>
      </w:r>
    </w:p>
    <w:p w:rsidR="00FB0B24" w:rsidRPr="005B5CB6" w:rsidP="00CF6BAD">
      <w:pPr>
        <w:spacing w:after="120" w:line="358" w:lineRule="auto"/>
        <w:ind w:left="361" w:right="12" w:hanging="360"/>
        <w:jc w:val="both"/>
        <w:rPr>
          <w:rFonts w:ascii="Verdana" w:hAnsi="Verdana"/>
        </w:rPr>
      </w:pPr>
      <w:r w:rsidRPr="005B5CB6">
        <w:rPr>
          <w:rFonts w:ascii="Verdana" w:eastAsia="Verdana" w:hAnsi="Verdana" w:cs="Verdana"/>
        </w:rPr>
        <w:t xml:space="preserve">20.Moreover, the possibility for users to challenge the removal or de-ranking of their content, also for the lack of effective grievance process outside of the company, is limited. Companies’ internal processes for reviewing user complaints can be generally opaque. In order to provide an effective protection of users’ basic rights, it is fundamental for digital media platforms to be fully accountable for their actions and to provide users with accessible and transparent grievance mechanisms that include effective remedial processes.  </w:t>
      </w:r>
    </w:p>
    <w:p w:rsidR="00FB0B24" w:rsidRPr="005B5CB6" w:rsidP="00CF6BAD">
      <w:pPr>
        <w:spacing w:after="435" w:line="358" w:lineRule="auto"/>
        <w:ind w:left="358" w:right="12" w:hanging="357"/>
        <w:jc w:val="both"/>
        <w:rPr>
          <w:rFonts w:ascii="Verdana" w:hAnsi="Verdana"/>
        </w:rPr>
      </w:pPr>
      <w:r w:rsidRPr="005B5CB6">
        <w:rPr>
          <w:rFonts w:ascii="Verdana" w:eastAsia="Verdana" w:hAnsi="Verdana" w:cs="Verdana"/>
        </w:rPr>
        <w:t>21.</w:t>
      </w:r>
      <w:r w:rsidRPr="005B5CB6">
        <w:rPr>
          <w:rFonts w:ascii="Verdana" w:eastAsia="Arial" w:hAnsi="Verdana" w:cs="Arial"/>
        </w:rPr>
        <w:t xml:space="preserve"> </w:t>
      </w:r>
      <w:r w:rsidRPr="005B5CB6">
        <w:rPr>
          <w:rFonts w:ascii="Verdana" w:eastAsia="Verdana" w:hAnsi="Verdana" w:cs="Verdana"/>
        </w:rPr>
        <w:t xml:space="preserve">The initiative of some platforms to provide users with a comparison of misinformation with an ‘authoritative’ source rather than removing or demoting the content could be a viable solution to limit the adverse impact on freedom of expression. This approach could also ensure a plurality of information and content remaining on platforms, while ensuring that debate and discussion are fostered, thus strengthening a democratic society. Ensuring a plurality and diversity of information is fundamental to democracy and can be the strongest response to misinformation. Yet, questions remain on what content qualifies for such a comparison and what should be the comparison material. </w:t>
      </w:r>
    </w:p>
    <w:p w:rsidR="00FB0B24" w:rsidRPr="005B5CB6" w:rsidP="00CF6BAD">
      <w:pPr>
        <w:spacing w:after="0"/>
        <w:ind w:left="360"/>
        <w:jc w:val="both"/>
        <w:rPr>
          <w:rFonts w:ascii="Verdana" w:hAnsi="Verdana"/>
        </w:rPr>
      </w:pPr>
      <w:r w:rsidRPr="005B5CB6">
        <w:rPr>
          <w:rFonts w:ascii="Verdana" w:hAnsi="Verdana"/>
          <w:noProof/>
        </w:rPr>
        <mc:AlternateContent>
          <mc:Choice Requires="wpg">
            <w:drawing>
              <wp:inline distT="0" distB="0" distL="0" distR="0">
                <wp:extent cx="1828800" cy="6096"/>
                <wp:effectExtent l="0" t="0" r="0" b="0"/>
                <wp:docPr id="597990" name="Group 59799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6096"/>
                          <a:chOff x="0" y="0"/>
                          <a:chExt cx="1828800" cy="6096"/>
                        </a:xfrm>
                      </wpg:grpSpPr>
                      <wps:wsp xmlns:wps="http://schemas.microsoft.com/office/word/2010/wordprocessingShape">
                        <wps:cNvPr id="636519" name="Shape 63651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13" style="height:0.48pt;mso-position-horizontal-relative:char;mso-position-vertical-relative:line;width:2in" coordsize="18288,60">
                <v:shape id="_x0000_s1414"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CF6BAD">
      <w:pPr>
        <w:spacing w:after="231"/>
        <w:ind w:left="36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70" w:hanging="10"/>
        <w:jc w:val="both"/>
        <w:rPr>
          <w:rFonts w:ascii="Verdana" w:hAnsi="Verdana"/>
        </w:rPr>
      </w:pPr>
      <w:r w:rsidRPr="005B5CB6">
        <w:rPr>
          <w:rFonts w:ascii="Verdana" w:eastAsia="Verdana" w:hAnsi="Verdana" w:cs="Verdana"/>
          <w:b/>
        </w:rPr>
        <w:t xml:space="preserve">Annex 1 </w:t>
      </w:r>
    </w:p>
    <w:p w:rsidR="00FB0B24" w:rsidRPr="005B5CB6" w:rsidP="00CF6BAD">
      <w:pPr>
        <w:spacing w:after="5" w:line="250" w:lineRule="auto"/>
        <w:ind w:left="370" w:hanging="10"/>
        <w:jc w:val="both"/>
        <w:rPr>
          <w:rFonts w:ascii="Verdana" w:hAnsi="Verdana"/>
        </w:rPr>
      </w:pPr>
      <w:r w:rsidRPr="005B5CB6">
        <w:rPr>
          <w:rFonts w:ascii="Verdana" w:eastAsia="Verdana" w:hAnsi="Verdana" w:cs="Verdana"/>
          <w:b/>
        </w:rPr>
        <w:t xml:space="preserve">About the Human Rights, Big Data and Technology Project </w:t>
      </w:r>
    </w:p>
    <w:p w:rsidR="00FB0B24" w:rsidRPr="005B5CB6" w:rsidP="00CF6BAD">
      <w:pPr>
        <w:spacing w:after="231"/>
        <w:ind w:left="360"/>
        <w:jc w:val="both"/>
        <w:rPr>
          <w:rFonts w:ascii="Verdana" w:hAnsi="Verdana"/>
        </w:rPr>
      </w:pPr>
      <w:r w:rsidRPr="005B5CB6">
        <w:rPr>
          <w:rFonts w:ascii="Verdana" w:eastAsia="Verdana" w:hAnsi="Verdana" w:cs="Verdana"/>
          <w:b/>
        </w:rPr>
        <w:t xml:space="preserve"> </w:t>
      </w:r>
    </w:p>
    <w:p w:rsidR="00FB0B24" w:rsidRPr="005B5CB6" w:rsidP="00575F14">
      <w:pPr>
        <w:numPr>
          <w:ilvl w:val="0"/>
          <w:numId w:val="241"/>
        </w:numPr>
        <w:spacing w:after="120" w:line="358" w:lineRule="auto"/>
        <w:ind w:right="615" w:hanging="360"/>
        <w:jc w:val="both"/>
        <w:rPr>
          <w:rFonts w:ascii="Verdana" w:hAnsi="Verdana"/>
        </w:rPr>
      </w:pPr>
      <w:r w:rsidRPr="005B5CB6">
        <w:rPr>
          <w:rFonts w:ascii="Verdana" w:eastAsia="Verdana" w:hAnsi="Verdana" w:cs="Verdana"/>
        </w:rPr>
        <w:t xml:space="preserve">The Human Rights, Big Data and Technology Project (HRBDT) began in 2015 with £4.7 million funding from the Economic and Social Research Council and further funding from the University of Essex. One of the largest of its kind in the world, the Project is based at the Human Rights Centre at the University of Essex with over 30 academics, and additional researchers based at Cambridge University, the Geneva Academy and Queen Mary University. The team addresses human rights and technology issues across a range of disciplines including computer science, economics, law, philosophy, political science, communication studies and sociology. </w:t>
      </w:r>
    </w:p>
    <w:p w:rsidR="00FB0B24" w:rsidRPr="005B5CB6" w:rsidP="00CF6BAD">
      <w:pPr>
        <w:spacing w:after="231"/>
        <w:ind w:left="1080"/>
        <w:jc w:val="both"/>
        <w:rPr>
          <w:rFonts w:ascii="Verdana" w:hAnsi="Verdana"/>
        </w:rPr>
      </w:pPr>
      <w:r w:rsidRPr="005B5CB6">
        <w:rPr>
          <w:rFonts w:ascii="Verdana" w:eastAsia="Verdana" w:hAnsi="Verdana" w:cs="Verdana"/>
        </w:rPr>
        <w:t xml:space="preserve"> </w:t>
      </w:r>
    </w:p>
    <w:p w:rsidR="00FB0B24" w:rsidRPr="005B5CB6" w:rsidP="00575F14">
      <w:pPr>
        <w:numPr>
          <w:ilvl w:val="0"/>
          <w:numId w:val="241"/>
        </w:numPr>
        <w:spacing w:after="120" w:line="358" w:lineRule="auto"/>
        <w:ind w:right="615" w:hanging="360"/>
        <w:jc w:val="both"/>
        <w:rPr>
          <w:rFonts w:ascii="Verdana" w:hAnsi="Verdana"/>
        </w:rPr>
      </w:pPr>
      <w:r w:rsidRPr="005B5CB6">
        <w:rPr>
          <w:rFonts w:ascii="Verdana" w:eastAsia="Verdana" w:hAnsi="Verdana" w:cs="Verdana"/>
        </w:rPr>
        <w:t xml:space="preserve">The core objective of HRBDT is to identify and assess the risks and opportunities for human rights posed by big data, artificial intelligence and other emerging technologies and to propose solutions to ensure that new and emerging technologies are designed, deployed and regulated in a way that is enabling of, rather than threatening to, human rights. HRBDT’s research assesses the adequacy of existing ethical and regulatory approaches to big data and new and emerging technologies from a human rights perspective. HRBDT’s research also demonstrates how human rights standards are capable of adapting, and offering solutions to, rapidly evolving technological landscapes. We engage with responses to the risks and opportunities posed by data and technology at the multilateral and multi-stakeholder level as well as within specific sectors, such as the law enforcement, health, education, social care, and humanitarian sector, and at the national level in States such as Brazil, Germany, India, the UK and the US. </w:t>
      </w:r>
    </w:p>
    <w:p w:rsidR="00FB0B24" w:rsidRPr="005B5CB6" w:rsidP="00CF6BAD">
      <w:pPr>
        <w:spacing w:after="231"/>
        <w:ind w:left="360"/>
        <w:jc w:val="both"/>
        <w:rPr>
          <w:rFonts w:ascii="Verdana" w:hAnsi="Verdana"/>
        </w:rPr>
      </w:pPr>
      <w:r w:rsidRPr="005B5CB6">
        <w:rPr>
          <w:rFonts w:ascii="Verdana" w:eastAsia="Verdana" w:hAnsi="Verdana" w:cs="Verdana"/>
        </w:rPr>
        <w:t xml:space="preserve"> </w:t>
      </w:r>
    </w:p>
    <w:p w:rsidR="00FB0B24" w:rsidRPr="005B5CB6" w:rsidP="00575F14">
      <w:pPr>
        <w:numPr>
          <w:ilvl w:val="0"/>
          <w:numId w:val="241"/>
        </w:numPr>
        <w:spacing w:after="5" w:line="358" w:lineRule="auto"/>
        <w:ind w:right="615" w:hanging="360"/>
        <w:jc w:val="both"/>
        <w:rPr>
          <w:rFonts w:ascii="Verdana" w:hAnsi="Verdana"/>
        </w:rPr>
      </w:pPr>
      <w:r w:rsidRPr="005B5CB6">
        <w:rPr>
          <w:rFonts w:ascii="Verdana" w:eastAsia="Verdana" w:hAnsi="Verdana" w:cs="Verdana"/>
        </w:rPr>
        <w:t xml:space="preserve">Our cutting-edge research focuses on engagement with and informing the practices of transnational governance (particularly at the UN level) and across multiple national level bodies in States such as the Brazil, Germany, India, the UK and the US. Focused on producing evidence-based and innovative research </w:t>
      </w:r>
    </w:p>
    <w:p w:rsidR="00FB0B24" w:rsidRPr="005B5CB6" w:rsidP="00CF6BAD">
      <w:pPr>
        <w:spacing w:after="120" w:line="358" w:lineRule="auto"/>
        <w:ind w:left="729" w:right="615" w:hanging="9"/>
        <w:jc w:val="both"/>
        <w:rPr>
          <w:rFonts w:ascii="Verdana" w:hAnsi="Verdana"/>
        </w:rPr>
      </w:pPr>
      <w:r w:rsidRPr="005B5CB6">
        <w:rPr>
          <w:rFonts w:ascii="Verdana" w:eastAsia="Verdana" w:hAnsi="Verdana" w:cs="Verdana"/>
        </w:rPr>
        <w:t xml:space="preserve">to support decision-making in policy, regulatory and commercial settings, HRBDT has been at the forefront of national and international debates on the human rights impact and governance of big data, artificial intelligence and a range of emergent technologies since its inception. Our research provides greater insight into the range of opportunities and risks relating to the use of AI, and guidance as to how AI can be developed and deployed in a human rights compliant manner. </w:t>
      </w:r>
    </w:p>
    <w:p w:rsidR="00FB0B24" w:rsidRPr="005B5CB6" w:rsidP="00CF6BAD">
      <w:pPr>
        <w:spacing w:after="231"/>
        <w:ind w:left="360"/>
        <w:jc w:val="both"/>
        <w:rPr>
          <w:rFonts w:ascii="Verdana" w:hAnsi="Verdana"/>
        </w:rPr>
      </w:pPr>
      <w:r w:rsidRPr="005B5CB6">
        <w:rPr>
          <w:rFonts w:ascii="Verdana" w:eastAsia="Verdana" w:hAnsi="Verdana" w:cs="Verdana"/>
        </w:rPr>
        <w:t xml:space="preserve"> </w:t>
      </w:r>
    </w:p>
    <w:p w:rsidR="00FB0B24" w:rsidRPr="005B5CB6" w:rsidP="00575F14">
      <w:pPr>
        <w:numPr>
          <w:ilvl w:val="0"/>
          <w:numId w:val="241"/>
        </w:numPr>
        <w:spacing w:after="120" w:line="358" w:lineRule="auto"/>
        <w:ind w:right="615" w:hanging="360"/>
        <w:jc w:val="both"/>
        <w:rPr>
          <w:rFonts w:ascii="Verdana" w:hAnsi="Verdana"/>
        </w:rPr>
      </w:pPr>
      <w:r w:rsidRPr="005B5CB6">
        <w:rPr>
          <w:rFonts w:ascii="Verdana" w:eastAsia="Verdana" w:hAnsi="Verdana" w:cs="Verdana"/>
        </w:rPr>
        <w:t xml:space="preserve">HRBDT is regularly invited to speak on panels at the UN Human Rights Council, at expert meetings organised by the Office for the High Commissioner for Human Rights and the Office for the High Commissioner for Refugees, and high-level multi-stakeholder global forums. HRBDT engages with major telecoms and technology businesses on the role of businesses in addressing the human rights impact of data and AI. HRBDT also frequently engages with </w:t>
      </w:r>
      <w:r w:rsidRPr="005B5CB6">
        <w:rPr>
          <w:rFonts w:ascii="Verdana" w:eastAsia="Verdana" w:hAnsi="Verdana" w:cs="Verdana"/>
        </w:rPr>
        <w:t xml:space="preserve">national bodies, including the Investigatory Powers Commissioners Office, the Home Office, a range of law enforcement bodies, and Select Committees. HRBDT works in partnership with civil society organisations in the UK and overseas including the American Civil Liberties Union, Amnesty International and Liberty. </w:t>
      </w:r>
    </w:p>
    <w:p w:rsidR="00FB0B24" w:rsidRPr="005B5CB6" w:rsidP="00CF6BAD">
      <w:pPr>
        <w:spacing w:after="231"/>
        <w:ind w:left="1080"/>
        <w:jc w:val="both"/>
        <w:rPr>
          <w:rFonts w:ascii="Verdana" w:hAnsi="Verdana"/>
        </w:rPr>
      </w:pPr>
      <w:r w:rsidRPr="005B5CB6">
        <w:rPr>
          <w:rFonts w:ascii="Verdana" w:eastAsia="Verdana" w:hAnsi="Verdana" w:cs="Verdana"/>
        </w:rPr>
        <w:t xml:space="preserve"> </w:t>
      </w:r>
    </w:p>
    <w:p w:rsidR="00FB0B24" w:rsidRPr="005B5CB6" w:rsidP="00575F14">
      <w:pPr>
        <w:numPr>
          <w:ilvl w:val="0"/>
          <w:numId w:val="241"/>
        </w:numPr>
        <w:spacing w:after="122" w:line="358" w:lineRule="auto"/>
        <w:ind w:right="615" w:hanging="360"/>
        <w:jc w:val="both"/>
        <w:rPr>
          <w:rFonts w:ascii="Verdana" w:hAnsi="Verdana"/>
        </w:rPr>
      </w:pPr>
      <w:r w:rsidRPr="005B5CB6">
        <w:rPr>
          <w:rFonts w:ascii="Verdana" w:eastAsia="Verdana" w:hAnsi="Verdana" w:cs="Verdana"/>
        </w:rPr>
        <w:t xml:space="preserve">Working with both national and international actors, HRBDT is strategically positioned with insight on how State and business practice at the national level feeds into contemporary debates, as well as how the international human rights legal framework is translated and implemented domestically.  </w:t>
      </w:r>
    </w:p>
    <w:p w:rsidR="00FB0B24" w:rsidRPr="005B5CB6" w:rsidP="00CF6BAD">
      <w:pPr>
        <w:spacing w:after="231"/>
        <w:ind w:left="360"/>
        <w:jc w:val="both"/>
        <w:rPr>
          <w:rFonts w:ascii="Verdana" w:hAnsi="Verdana"/>
        </w:rPr>
      </w:pPr>
      <w:r w:rsidRPr="005B5CB6">
        <w:rPr>
          <w:rFonts w:ascii="Verdana" w:eastAsia="Verdana" w:hAnsi="Verdana" w:cs="Verdana"/>
        </w:rPr>
        <w:t xml:space="preserve"> </w:t>
      </w:r>
    </w:p>
    <w:p w:rsidR="00FB0B24" w:rsidRPr="005B5CB6" w:rsidP="00CF6BAD">
      <w:pPr>
        <w:spacing w:after="231"/>
        <w:ind w:left="360"/>
        <w:jc w:val="both"/>
        <w:rPr>
          <w:rFonts w:ascii="Verdana" w:hAnsi="Verdana"/>
        </w:rPr>
      </w:pPr>
      <w:r w:rsidRPr="005B5CB6">
        <w:rPr>
          <w:rFonts w:ascii="Verdana" w:eastAsia="Verdana" w:hAnsi="Verdana" w:cs="Verdana"/>
        </w:rPr>
        <w:t xml:space="preserve"> </w:t>
      </w:r>
    </w:p>
    <w:p w:rsidR="00FB0B24" w:rsidRPr="005B5CB6" w:rsidP="00CF6BAD">
      <w:pPr>
        <w:spacing w:after="231"/>
        <w:ind w:left="360"/>
        <w:jc w:val="both"/>
        <w:rPr>
          <w:rFonts w:ascii="Verdana" w:hAnsi="Verdana"/>
        </w:rPr>
      </w:pPr>
      <w:r w:rsidRPr="005B5CB6">
        <w:rPr>
          <w:rFonts w:ascii="Verdana" w:eastAsia="Verdana" w:hAnsi="Verdana" w:cs="Verdana"/>
        </w:rPr>
        <w:t xml:space="preserve"> </w:t>
      </w:r>
    </w:p>
    <w:p w:rsidR="00FB0B24" w:rsidRPr="005B5CB6" w:rsidP="00CF6BAD">
      <w:pPr>
        <w:spacing w:after="231"/>
        <w:ind w:left="360"/>
        <w:jc w:val="both"/>
        <w:rPr>
          <w:rFonts w:ascii="Verdana" w:hAnsi="Verdana"/>
        </w:rPr>
      </w:pPr>
      <w:r w:rsidRPr="005B5CB6">
        <w:rPr>
          <w:rFonts w:ascii="Verdana" w:eastAsia="Verdana" w:hAnsi="Verdana" w:cs="Verdana"/>
        </w:rPr>
        <w:t xml:space="preserve"> </w:t>
      </w:r>
    </w:p>
    <w:p w:rsidR="00FB0B24" w:rsidRPr="005B5CB6" w:rsidP="00CF6BAD">
      <w:pPr>
        <w:spacing w:after="0"/>
        <w:ind w:left="360"/>
        <w:jc w:val="both"/>
        <w:rPr>
          <w:rFonts w:ascii="Verdana" w:hAnsi="Verdana"/>
        </w:rPr>
      </w:pPr>
      <w:r w:rsidRPr="005B5CB6">
        <w:rPr>
          <w:rFonts w:ascii="Verdana" w:eastAsia="Verdana" w:hAnsi="Verdana" w:cs="Verdana"/>
        </w:rPr>
        <w:t xml:space="preserve"> </w:t>
      </w:r>
    </w:p>
    <w:p w:rsidR="00FB0B24" w:rsidRPr="005B5CB6" w:rsidP="00CF6BAD">
      <w:pPr>
        <w:jc w:val="both"/>
        <w:rPr>
          <w:rFonts w:ascii="Verdana" w:hAnsi="Verdana"/>
        </w:rPr>
        <w:sectPr w:rsidSect="00585838">
          <w:headerReference w:type="even" r:id="rId413"/>
          <w:headerReference w:type="default" r:id="rId414"/>
          <w:footerReference w:type="even" r:id="rId415"/>
          <w:footerReference w:type="default" r:id="rId416"/>
          <w:headerReference w:type="first" r:id="rId417"/>
          <w:footerReference w:type="first" r:id="rId418"/>
          <w:pgSz w:w="11921" w:h="16841"/>
          <w:pgMar w:top="1492" w:right="822" w:bottom="1497" w:left="1080" w:header="720" w:footer="1265" w:gutter="0"/>
          <w:cols w:space="720"/>
        </w:sectPr>
      </w:pPr>
    </w:p>
    <w:p w:rsidR="00FB0B24" w:rsidRPr="005B5CB6" w:rsidP="00A1624B">
      <w:pPr>
        <w:pStyle w:val="Heading1"/>
        <w:rPr>
          <w:sz w:val="22"/>
        </w:rPr>
      </w:pPr>
      <w:bookmarkStart w:id="68" w:name="_Toc44517756"/>
      <w:r w:rsidRPr="005B5CB6">
        <w:rPr>
          <w:sz w:val="22"/>
        </w:rPr>
        <w:t>LSE T3 Project – written evidence (DAD0078)</w:t>
      </w:r>
      <w:bookmarkEnd w:id="68"/>
      <w:r w:rsidRPr="005B5CB6">
        <w:rPr>
          <w:sz w:val="22"/>
        </w:rPr>
        <w:t xml:space="preserve"> </w:t>
      </w:r>
    </w:p>
    <w:p w:rsidR="00FB0B24" w:rsidRPr="005B5CB6" w:rsidP="00CF6BAD">
      <w:pPr>
        <w:spacing w:after="270" w:line="249" w:lineRule="auto"/>
        <w:ind w:left="10" w:hanging="10"/>
        <w:jc w:val="both"/>
        <w:rPr>
          <w:rFonts w:ascii="Verdana" w:hAnsi="Verdana"/>
        </w:rPr>
      </w:pPr>
      <w:r w:rsidRPr="005B5CB6">
        <w:rPr>
          <w:rFonts w:ascii="Verdana" w:eastAsia="Verdana" w:hAnsi="Verdana" w:cs="Verdana"/>
          <w:i/>
        </w:rPr>
        <w:t xml:space="preserve">Submission from Emma Goodman, Professor Sonia Livingstone and Professor Robin Mansell on behalf of </w:t>
      </w:r>
      <w:r>
        <w:fldChar w:fldCharType="begin"/>
      </w:r>
      <w:r>
        <w:instrText xml:space="preserve"> HYPERLINK "http://www.lse.ac.uk/media-and-communications/truth-trust-and-technology-commission" </w:instrText>
      </w:r>
      <w:r>
        <w:fldChar w:fldCharType="separate"/>
      </w:r>
      <w:r w:rsidRPr="005B5CB6">
        <w:rPr>
          <w:rFonts w:ascii="Verdana" w:eastAsia="Verdana" w:hAnsi="Verdana" w:cs="Verdana"/>
          <w:i/>
          <w:color w:val="0000FF"/>
          <w:u w:val="single" w:color="0000FF"/>
        </w:rPr>
        <w:t>LSE’s Truth, Trust and Technology project (T3)</w:t>
      </w:r>
      <w:r>
        <w:fldChar w:fldCharType="end"/>
      </w:r>
      <w:r>
        <w:fldChar w:fldCharType="begin"/>
      </w:r>
      <w:r>
        <w:instrText xml:space="preserve"> HYPERLINK "http://www.lse.ac.uk/media-and-communications/truth-trust-and-technology-commission" </w:instrText>
      </w:r>
      <w:r>
        <w:fldChar w:fldCharType="separate"/>
      </w:r>
      <w:r w:rsidRPr="005B5CB6">
        <w:rPr>
          <w:rFonts w:ascii="Verdana" w:eastAsia="Verdana" w:hAnsi="Verdana" w:cs="Verdana"/>
          <w:i/>
        </w:rPr>
        <w:t>,</w:t>
      </w:r>
      <w:r>
        <w:fldChar w:fldCharType="end"/>
      </w:r>
      <w:r w:rsidRPr="005B5CB6">
        <w:rPr>
          <w:rFonts w:ascii="Verdana" w:eastAsia="Verdana" w:hAnsi="Verdana" w:cs="Verdana"/>
          <w:i/>
        </w:rPr>
        <w:t xml:space="preserve"> 14 October 2019. </w:t>
      </w:r>
    </w:p>
    <w:p w:rsidR="00FB0B24" w:rsidRPr="005B5CB6" w:rsidP="00CF6BAD">
      <w:pPr>
        <w:spacing w:after="266" w:line="250" w:lineRule="auto"/>
        <w:ind w:left="11" w:hanging="10"/>
        <w:jc w:val="both"/>
        <w:rPr>
          <w:rFonts w:ascii="Verdana" w:hAnsi="Verdana"/>
        </w:rPr>
      </w:pPr>
      <w:r w:rsidRPr="005B5CB6">
        <w:rPr>
          <w:rFonts w:ascii="Verdana" w:eastAsia="Verdana" w:hAnsi="Verdana" w:cs="Verdana"/>
          <w:b/>
        </w:rPr>
        <w:t xml:space="preserve">Summary </w:t>
      </w:r>
    </w:p>
    <w:p w:rsidR="00FB0B24" w:rsidRPr="005B5CB6" w:rsidP="00575F14">
      <w:pPr>
        <w:numPr>
          <w:ilvl w:val="0"/>
          <w:numId w:val="242"/>
        </w:numPr>
        <w:spacing w:after="270" w:line="250" w:lineRule="auto"/>
        <w:ind w:left="23" w:right="11" w:hanging="8"/>
        <w:jc w:val="both"/>
        <w:rPr>
          <w:rFonts w:ascii="Verdana" w:hAnsi="Verdana"/>
        </w:rPr>
      </w:pPr>
      <w:r w:rsidRPr="005B5CB6">
        <w:rPr>
          <w:rFonts w:ascii="Verdana" w:eastAsia="Verdana" w:hAnsi="Verdana" w:cs="Verdana"/>
        </w:rPr>
        <w:t xml:space="preserve">We have responded to the questions most relevant to our work in this area. Key points that we hope the committee will take into consideration are: </w:t>
      </w:r>
    </w:p>
    <w:p w:rsidR="00FB0B24" w:rsidRPr="005B5CB6" w:rsidP="00575F14">
      <w:pPr>
        <w:numPr>
          <w:ilvl w:val="1"/>
          <w:numId w:val="242"/>
        </w:numPr>
        <w:spacing w:after="5" w:line="250" w:lineRule="auto"/>
        <w:ind w:left="720" w:right="11" w:hanging="360"/>
        <w:jc w:val="both"/>
        <w:rPr>
          <w:rFonts w:ascii="Verdana" w:hAnsi="Verdana"/>
        </w:rPr>
      </w:pPr>
      <w:r w:rsidRPr="005B5CB6">
        <w:rPr>
          <w:rFonts w:ascii="Verdana" w:eastAsia="Verdana" w:hAnsi="Verdana" w:cs="Verdana"/>
        </w:rPr>
        <w:t xml:space="preserve">The widespread use of digital technology risks exacerbating existing inequalities in access to and understanding of information, unless we see a long-term, coordinated institutional response to the ongoing information crisis. </w:t>
      </w:r>
    </w:p>
    <w:p w:rsidR="00FB0B24" w:rsidRPr="005B5CB6" w:rsidP="00575F14">
      <w:pPr>
        <w:numPr>
          <w:ilvl w:val="1"/>
          <w:numId w:val="242"/>
        </w:numPr>
        <w:spacing w:after="5" w:line="250" w:lineRule="auto"/>
        <w:ind w:left="720" w:right="11" w:hanging="360"/>
        <w:jc w:val="both"/>
        <w:rPr>
          <w:rFonts w:ascii="Verdana" w:hAnsi="Verdana"/>
        </w:rPr>
      </w:pPr>
      <w:r w:rsidRPr="005B5CB6">
        <w:rPr>
          <w:rFonts w:ascii="Verdana" w:eastAsia="Verdana" w:hAnsi="Verdana" w:cs="Verdana"/>
        </w:rPr>
        <w:t xml:space="preserve">There is an urgent need for reform of political advertising. Three years after the referendum on EU membership and potentially on the cusp of a general election campaign, we are still operating in a regulatory environment that is clearly unfit for purpose. </w:t>
      </w:r>
    </w:p>
    <w:p w:rsidR="00FB0B24" w:rsidRPr="005B5CB6" w:rsidP="00575F14">
      <w:pPr>
        <w:numPr>
          <w:ilvl w:val="1"/>
          <w:numId w:val="242"/>
        </w:numPr>
        <w:spacing w:after="5" w:line="250" w:lineRule="auto"/>
        <w:ind w:left="720" w:right="11" w:hanging="360"/>
        <w:jc w:val="both"/>
        <w:rPr>
          <w:rFonts w:ascii="Verdana" w:hAnsi="Verdana"/>
        </w:rPr>
      </w:pPr>
      <w:r w:rsidRPr="005B5CB6">
        <w:rPr>
          <w:rFonts w:ascii="Verdana" w:eastAsia="Verdana" w:hAnsi="Verdana" w:cs="Verdana"/>
        </w:rPr>
        <w:t xml:space="preserve">Social media companies are not designed to play such a significant gatekeeping role in the public sphere: their codes of conduct are insufficient, their business models are incompatible with promoting consistently reliable information, and without independent oversight of their algorithms, they lack accountability and risk posing a notable threat to users’ rights. </w:t>
      </w:r>
    </w:p>
    <w:p w:rsidR="00FB0B24" w:rsidRPr="005B5CB6" w:rsidP="00575F14">
      <w:pPr>
        <w:numPr>
          <w:ilvl w:val="1"/>
          <w:numId w:val="242"/>
        </w:numPr>
        <w:spacing w:after="5" w:line="250" w:lineRule="auto"/>
        <w:ind w:left="720" w:right="11" w:hanging="360"/>
        <w:jc w:val="both"/>
        <w:rPr>
          <w:rFonts w:ascii="Verdana" w:hAnsi="Verdana"/>
        </w:rPr>
      </w:pPr>
      <w:r w:rsidRPr="005B5CB6">
        <w:rPr>
          <w:rFonts w:ascii="Verdana" w:eastAsia="Verdana" w:hAnsi="Verdana" w:cs="Verdana"/>
        </w:rPr>
        <w:t>Improving media literacy is crucial, but attempts to tackle this will only be effective if they truly take into account the complexities of the 21</w:t>
      </w:r>
      <w:r w:rsidRPr="005B5CB6">
        <w:rPr>
          <w:rFonts w:ascii="Verdana" w:eastAsia="Verdana" w:hAnsi="Verdana" w:cs="Verdana"/>
          <w:vertAlign w:val="superscript"/>
        </w:rPr>
        <w:t>st</w:t>
      </w:r>
      <w:r w:rsidRPr="005B5CB6">
        <w:rPr>
          <w:rFonts w:ascii="Verdana" w:eastAsia="Verdana" w:hAnsi="Verdana" w:cs="Verdana"/>
        </w:rPr>
        <w:t xml:space="preserve"> century digital environment, and offer sustained, joined-up initiatives that address adults as well as children. </w:t>
      </w:r>
    </w:p>
    <w:p w:rsidR="00FB0B24" w:rsidRPr="005B5CB6" w:rsidP="00575F14">
      <w:pPr>
        <w:numPr>
          <w:ilvl w:val="1"/>
          <w:numId w:val="242"/>
        </w:numPr>
        <w:spacing w:after="270" w:line="250" w:lineRule="auto"/>
        <w:ind w:left="720" w:right="11" w:hanging="360"/>
        <w:jc w:val="both"/>
        <w:rPr>
          <w:rFonts w:ascii="Verdana" w:hAnsi="Verdana"/>
        </w:rPr>
      </w:pPr>
      <w:r w:rsidRPr="005B5CB6">
        <w:rPr>
          <w:rFonts w:ascii="Verdana" w:eastAsia="Verdana" w:hAnsi="Verdana" w:cs="Verdana"/>
        </w:rPr>
        <w:t xml:space="preserve">More evidence is needed from a holistic perspective to increase understanding of the impact of these interconnected issues, and to come up with a coordinated and feasible policy approach.  </w:t>
      </w:r>
    </w:p>
    <w:p w:rsidR="00FB0B24" w:rsidRPr="005B5CB6" w:rsidP="00CF6BAD">
      <w:pPr>
        <w:spacing w:after="270" w:line="250" w:lineRule="auto"/>
        <w:ind w:left="11" w:hanging="10"/>
        <w:jc w:val="both"/>
        <w:rPr>
          <w:rFonts w:ascii="Verdana" w:hAnsi="Verdana"/>
        </w:rPr>
      </w:pPr>
      <w:r w:rsidRPr="005B5CB6">
        <w:rPr>
          <w:rFonts w:ascii="Verdana" w:eastAsia="Verdana" w:hAnsi="Verdana" w:cs="Verdana"/>
          <w:b/>
        </w:rPr>
        <w:t xml:space="preserve">How has digital technology changed the way that democracy works in the UK and has this been a net positive or negative effect? </w:t>
      </w:r>
    </w:p>
    <w:p w:rsidR="00FB0B24" w:rsidRPr="005B5CB6" w:rsidP="00575F14">
      <w:pPr>
        <w:numPr>
          <w:ilvl w:val="0"/>
          <w:numId w:val="242"/>
        </w:numPr>
        <w:spacing w:after="272" w:line="250" w:lineRule="auto"/>
        <w:ind w:left="23" w:right="11" w:hanging="8"/>
        <w:jc w:val="both"/>
        <w:rPr>
          <w:rFonts w:ascii="Verdana" w:hAnsi="Verdana"/>
        </w:rPr>
      </w:pPr>
      <w:r w:rsidRPr="005B5CB6">
        <w:rPr>
          <w:rFonts w:ascii="Verdana" w:eastAsia="Verdana" w:hAnsi="Verdana" w:cs="Verdana"/>
        </w:rPr>
        <w:t xml:space="preserve">Although it is difficult to assess the net effects because they are so pervasive and subject to change, it is possible to signal areas in which there are serious concerns. </w:t>
      </w:r>
    </w:p>
    <w:p w:rsidR="00FB0B24" w:rsidRPr="005B5CB6" w:rsidP="00575F14">
      <w:pPr>
        <w:numPr>
          <w:ilvl w:val="0"/>
          <w:numId w:val="242"/>
        </w:numPr>
        <w:spacing w:after="308" w:line="250" w:lineRule="auto"/>
        <w:ind w:left="23" w:right="11" w:hanging="8"/>
        <w:jc w:val="both"/>
        <w:rPr>
          <w:rFonts w:ascii="Verdana" w:hAnsi="Verdana"/>
        </w:rPr>
      </w:pPr>
      <w:r w:rsidRPr="005B5CB6">
        <w:rPr>
          <w:rFonts w:ascii="Verdana" w:eastAsia="Verdana" w:hAnsi="Verdana" w:cs="Verdana"/>
        </w:rPr>
        <w:t>What is clear is that we should be wary of nostalgia for a perfect bygone era that never actually existed. As noted by Alice Thwaite (2019) “Information environments have never lived up to the democratic ideal, and voters have never been good at choosing governments that reflect their interests.”</w:t>
      </w:r>
      <w:r w:rsidRPr="005B5CB6">
        <w:rPr>
          <w:rFonts w:ascii="Verdana" w:eastAsia="Verdana" w:hAnsi="Verdana" w:cs="Verdana"/>
          <w:vertAlign w:val="superscript"/>
        </w:rPr>
        <w:t>1</w:t>
      </w:r>
      <w:r w:rsidRPr="005B5CB6">
        <w:rPr>
          <w:rFonts w:ascii="Verdana" w:eastAsia="Verdana" w:hAnsi="Verdana" w:cs="Verdana"/>
        </w:rPr>
        <w:t xml:space="preserve"> </w:t>
      </w:r>
    </w:p>
    <w:p w:rsidR="00FB0B24" w:rsidRPr="005B5CB6" w:rsidP="00575F14">
      <w:pPr>
        <w:numPr>
          <w:ilvl w:val="0"/>
          <w:numId w:val="242"/>
        </w:numPr>
        <w:spacing w:after="270" w:line="250" w:lineRule="auto"/>
        <w:ind w:left="23" w:right="11" w:hanging="8"/>
        <w:jc w:val="both"/>
        <w:rPr>
          <w:rFonts w:ascii="Verdana" w:hAnsi="Verdana"/>
        </w:rPr>
      </w:pPr>
      <w:r w:rsidRPr="005B5CB6">
        <w:rPr>
          <w:rFonts w:ascii="Verdana" w:eastAsia="Verdana" w:hAnsi="Verdana" w:cs="Verdana"/>
        </w:rPr>
        <w:t xml:space="preserve">Digital technology has significant potential to change the way that the voting public understands political issues:    </w:t>
      </w:r>
    </w:p>
    <w:p w:rsidR="00FB0B24" w:rsidRPr="005B5CB6" w:rsidP="00575F14">
      <w:pPr>
        <w:numPr>
          <w:ilvl w:val="1"/>
          <w:numId w:val="242"/>
        </w:numPr>
        <w:spacing w:after="5" w:line="250" w:lineRule="auto"/>
        <w:ind w:left="720" w:right="11" w:hanging="360"/>
        <w:jc w:val="both"/>
        <w:rPr>
          <w:rFonts w:ascii="Verdana" w:hAnsi="Verdana"/>
        </w:rPr>
      </w:pPr>
      <w:r w:rsidRPr="005B5CB6">
        <w:rPr>
          <w:rFonts w:ascii="Verdana" w:eastAsia="Verdana" w:hAnsi="Verdana" w:cs="Verdana"/>
        </w:rPr>
        <w:t xml:space="preserve">It offers far wider access to information for the voting (and non-voting) public, and many more opportunities to express and debate their views online </w:t>
      </w:r>
      <w:r w:rsidRPr="005B5CB6">
        <w:rPr>
          <w:rFonts w:ascii="Verdana" w:eastAsia="Verdana" w:hAnsi="Verdana" w:cs="Verdana"/>
        </w:rPr>
        <w:t>(although it is important to remember that 13 per cent of UK adults do not use the internet, and those aged 55 and over and in the DE socioeconomic group remain less likely to be online).</w:t>
      </w:r>
      <w:r w:rsidRPr="005B5CB6">
        <w:rPr>
          <w:rFonts w:ascii="Verdana" w:eastAsia="Verdana" w:hAnsi="Verdana" w:cs="Verdana"/>
          <w:vertAlign w:val="superscript"/>
        </w:rPr>
        <w:t>2</w:t>
      </w:r>
      <w:r w:rsidRPr="005B5CB6">
        <w:rPr>
          <w:rFonts w:ascii="Verdana" w:eastAsia="Verdana" w:hAnsi="Verdana" w:cs="Verdana"/>
        </w:rPr>
        <w:t xml:space="preserve"> For example, there is evidence that dual screening (using social media while watching TV) during televised political debates has positive influences on individuals’ sense of political agency and on both their short- and longer-term engagement with an election campaign.</w:t>
      </w:r>
      <w:r>
        <w:rPr>
          <w:rFonts w:ascii="Verdana" w:eastAsia="Verdana" w:hAnsi="Verdana" w:cs="Verdana"/>
          <w:vertAlign w:val="superscript"/>
        </w:rPr>
        <w:footnoteReference w:id="397"/>
      </w:r>
      <w:r w:rsidRPr="005B5CB6">
        <w:rPr>
          <w:rFonts w:ascii="Verdana" w:eastAsia="Verdana" w:hAnsi="Verdana" w:cs="Verdana"/>
        </w:rPr>
        <w:t xml:space="preserve"> </w:t>
      </w:r>
    </w:p>
    <w:p w:rsidR="00FB0B24" w:rsidRPr="005B5CB6" w:rsidP="00575F14">
      <w:pPr>
        <w:numPr>
          <w:ilvl w:val="1"/>
          <w:numId w:val="242"/>
        </w:numPr>
        <w:spacing w:after="5" w:line="250" w:lineRule="auto"/>
        <w:ind w:left="720" w:right="11" w:hanging="360"/>
        <w:jc w:val="both"/>
        <w:rPr>
          <w:rFonts w:ascii="Verdana" w:hAnsi="Verdana"/>
        </w:rPr>
      </w:pPr>
      <w:r w:rsidRPr="005B5CB6">
        <w:rPr>
          <w:rFonts w:ascii="Verdana" w:eastAsia="Verdana" w:hAnsi="Verdana" w:cs="Verdana"/>
        </w:rPr>
        <w:t>Its use can increase political awareness and engagement: social media and the wider internet make it easier to organise events and to get involved in political/social movements. Research from the US shows that around half of Americans have engaged in some form of political or social-minded activity on social media in the past year and a majority of Americans think social media are important for getting elected officials to pay attention to issues or for initiating sustained social movements.</w:t>
      </w:r>
      <w:r>
        <w:rPr>
          <w:rFonts w:ascii="Verdana" w:eastAsia="Verdana" w:hAnsi="Verdana" w:cs="Verdana"/>
          <w:vertAlign w:val="superscript"/>
        </w:rPr>
        <w:footnoteReference w:id="398"/>
      </w:r>
      <w:r w:rsidRPr="005B5CB6">
        <w:rPr>
          <w:rFonts w:ascii="Verdana" w:eastAsia="Verdana" w:hAnsi="Verdana" w:cs="Verdana"/>
        </w:rPr>
        <w:t xml:space="preserve"> In the UK, the government’s petition website allows UK citizens and residents to directly express an opinion on issues. Even if few have lead to legislative change, these can raise awareness and provide an opportunity for public education.</w:t>
      </w:r>
      <w:r>
        <w:rPr>
          <w:rFonts w:ascii="Verdana" w:eastAsia="Verdana" w:hAnsi="Verdana" w:cs="Verdana"/>
          <w:vertAlign w:val="superscript"/>
        </w:rPr>
        <w:footnoteReference w:id="399"/>
      </w:r>
      <w:r w:rsidRPr="005B5CB6">
        <w:rPr>
          <w:rFonts w:ascii="Verdana" w:eastAsia="Verdana" w:hAnsi="Verdana" w:cs="Verdana"/>
        </w:rPr>
        <w:t xml:space="preserve">  </w:t>
      </w:r>
    </w:p>
    <w:p w:rsidR="00FB0B24" w:rsidRPr="005B5CB6" w:rsidP="00575F14">
      <w:pPr>
        <w:numPr>
          <w:ilvl w:val="1"/>
          <w:numId w:val="242"/>
        </w:numPr>
        <w:spacing w:after="5" w:line="250" w:lineRule="auto"/>
        <w:ind w:left="720" w:right="11" w:hanging="360"/>
        <w:jc w:val="both"/>
        <w:rPr>
          <w:rFonts w:ascii="Verdana" w:hAnsi="Verdana"/>
        </w:rPr>
      </w:pPr>
      <w:r w:rsidRPr="005B5CB6">
        <w:rPr>
          <w:rFonts w:ascii="Verdana" w:eastAsia="Verdana" w:hAnsi="Verdana" w:cs="Verdana"/>
        </w:rPr>
        <w:t xml:space="preserve">Journalists at established news organisations used to be the main filter through which the public received news about political campaigns and issues. </w:t>
      </w:r>
    </w:p>
    <w:p w:rsidR="00FB0B24" w:rsidRPr="005B5CB6" w:rsidP="00CF6BAD">
      <w:pPr>
        <w:spacing w:after="153" w:line="268" w:lineRule="auto"/>
        <w:ind w:left="289" w:right="43" w:hanging="10"/>
        <w:jc w:val="both"/>
        <w:rPr>
          <w:rFonts w:ascii="Verdana" w:hAnsi="Verdana"/>
        </w:rPr>
      </w:pPr>
      <w:r w:rsidRPr="005B5CB6">
        <w:rPr>
          <w:rFonts w:ascii="Verdana" w:eastAsia="Verdana" w:hAnsi="Verdana" w:cs="Verdana"/>
        </w:rPr>
        <w:t xml:space="preserve">Now, political parties and campaigners can reach potential voters directly via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98613" name="Group 59861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529" name="Shape 63652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15" style="height:0.6pt;mso-position-horizontal-relative:char;mso-position-vertical-relative:line;width:2in" coordsize="18288,76">
                <v:shape id="_x0000_s1416"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CF6BAD">
      <w:pPr>
        <w:spacing w:line="260" w:lineRule="auto"/>
        <w:ind w:left="-5" w:right="232" w:hanging="10"/>
        <w:jc w:val="both"/>
        <w:rPr>
          <w:rFonts w:ascii="Verdana" w:hAnsi="Verdana"/>
        </w:rPr>
      </w:pPr>
      <w:r w:rsidRPr="005B5CB6">
        <w:rPr>
          <w:rFonts w:ascii="Verdana" w:eastAsia="Verdana" w:hAnsi="Verdana" w:cs="Verdana"/>
          <w:vertAlign w:val="superscript"/>
        </w:rPr>
        <w:t>1</w:t>
      </w:r>
      <w:r w:rsidRPr="005B5CB6">
        <w:rPr>
          <w:rFonts w:ascii="Verdana" w:eastAsia="Verdana" w:hAnsi="Verdana" w:cs="Verdana"/>
        </w:rPr>
        <w:t xml:space="preserve"> Thwaite, A. (2019). </w:t>
      </w:r>
      <w:r w:rsidRPr="005B5CB6">
        <w:rPr>
          <w:rFonts w:ascii="Verdana" w:eastAsia="Verdana" w:hAnsi="Verdana" w:cs="Verdana"/>
          <w:i/>
        </w:rPr>
        <w:t>Literature Review on Elections, Political Campaigning and Democracy</w:t>
      </w:r>
      <w:r w:rsidRPr="005B5CB6">
        <w:rPr>
          <w:rFonts w:ascii="Verdana" w:eastAsia="Verdana" w:hAnsi="Verdana" w:cs="Verdana"/>
        </w:rPr>
        <w:t xml:space="preserve">. [ebook] Oxford: Oxford Internet Institute, Oxford University. Available at: </w:t>
      </w:r>
      <w:r>
        <w:fldChar w:fldCharType="begin"/>
      </w:r>
      <w:r>
        <w:instrText xml:space="preserve"> HYPERLINK "https://oxtec.oii.ox.ac.uk/wp-content/uploads/sites/115/2019/09/OxTEC-Literature-Review-Alice-Thwaite-Report-25-09-19.pdf" </w:instrText>
      </w:r>
      <w:r>
        <w:fldChar w:fldCharType="separate"/>
      </w:r>
      <w:r w:rsidRPr="005B5CB6">
        <w:rPr>
          <w:rFonts w:ascii="Verdana" w:eastAsia="Verdana" w:hAnsi="Verdana" w:cs="Verdana"/>
          <w:color w:val="0000FF"/>
          <w:u w:val="single" w:color="0000FF"/>
        </w:rPr>
        <w:t>https://oxtec.oii.ox.ac.uk/wp</w:t>
      </w:r>
      <w:r>
        <w:fldChar w:fldCharType="end"/>
      </w:r>
      <w:r>
        <w:fldChar w:fldCharType="begin"/>
      </w:r>
      <w:r>
        <w:instrText xml:space="preserve"> HYPERLINK "https://oxtec.oii.ox.ac.uk/wp-content/uploads/sites/115/2019/09/OxTEC-Literature-Review-Alice-Thwaite-Report-25-09-19.pdf" </w:instrText>
      </w:r>
      <w:r>
        <w:fldChar w:fldCharType="separate"/>
      </w:r>
      <w:r w:rsidRPr="005B5CB6">
        <w:rPr>
          <w:rFonts w:ascii="Verdana" w:eastAsia="Verdana" w:hAnsi="Verdana" w:cs="Verdana"/>
          <w:color w:val="0000FF"/>
          <w:u w:val="single" w:color="0000FF"/>
        </w:rPr>
        <w:t>content/uploads/sites/115/2019/09/OxTEC-Literature-Review-Alice-Thwaite-Report-25-09-19.pdf</w:t>
      </w:r>
      <w:r>
        <w:fldChar w:fldCharType="end"/>
      </w:r>
      <w:r>
        <w:fldChar w:fldCharType="begin"/>
      </w:r>
      <w:r>
        <w:instrText xml:space="preserve"> HYPERLINK "https://oxtec.oii.ox.ac.uk/wp-content/uploads/sites/115/2019/09/OxTEC-Literature-Review-Alice-Thwaite-Report-25-09-19.pdf"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r w:rsidRPr="005B5CB6">
        <w:rPr>
          <w:rFonts w:ascii="Verdana" w:eastAsia="Verdana" w:hAnsi="Verdana" w:cs="Verdana"/>
          <w:vertAlign w:val="superscript"/>
        </w:rPr>
        <w:t>2</w:t>
      </w:r>
      <w:r w:rsidRPr="005B5CB6">
        <w:rPr>
          <w:rFonts w:ascii="Verdana" w:eastAsia="Verdana" w:hAnsi="Verdana" w:cs="Verdana"/>
        </w:rPr>
        <w:t xml:space="preserve"> Ofcom (2019). </w:t>
      </w:r>
      <w:r w:rsidRPr="005B5CB6">
        <w:rPr>
          <w:rFonts w:ascii="Verdana" w:eastAsia="Verdana" w:hAnsi="Verdana" w:cs="Verdana"/>
          <w:i/>
        </w:rPr>
        <w:t>Adults: Media use and attitudes report 2019</w:t>
      </w:r>
      <w:r w:rsidRPr="005B5CB6">
        <w:rPr>
          <w:rFonts w:ascii="Verdana" w:eastAsia="Verdana" w:hAnsi="Verdana" w:cs="Verdana"/>
        </w:rPr>
        <w:t xml:space="preserve">. [ebook] London: Ofcom. Available at: </w:t>
      </w:r>
      <w:r>
        <w:fldChar w:fldCharType="begin"/>
      </w:r>
      <w:r>
        <w:instrText xml:space="preserve"> HYPERLINK "https://www.ofcom.org.uk/__data/assets/pdf_file/0021/149124/adults-media-use-and-attitudes-report.pdf" </w:instrText>
      </w:r>
      <w:r>
        <w:fldChar w:fldCharType="separate"/>
      </w:r>
      <w:r w:rsidRPr="005B5CB6">
        <w:rPr>
          <w:rFonts w:ascii="Verdana" w:eastAsia="Verdana" w:hAnsi="Verdana" w:cs="Verdana"/>
          <w:color w:val="0000FF"/>
          <w:u w:val="single" w:color="0000FF"/>
        </w:rPr>
        <w:t>https://www.ofcom.org.uk/__data/assets/pdf_file/0021/149124/adults-media-use-and-attitudes</w:t>
      </w:r>
      <w:r>
        <w:fldChar w:fldCharType="end"/>
      </w:r>
      <w:r>
        <w:fldChar w:fldCharType="begin"/>
      </w:r>
      <w:r>
        <w:instrText xml:space="preserve"> HYPERLINK "https://www.ofcom.org.uk/__data/assets/pdf_file/0021/149124/adults-media-use-and-attitudes-report.pdf" </w:instrText>
      </w:r>
      <w:r>
        <w:fldChar w:fldCharType="separate"/>
      </w:r>
      <w:r w:rsidRPr="005B5CB6">
        <w:rPr>
          <w:rFonts w:ascii="Verdana" w:eastAsia="Verdana" w:hAnsi="Verdana" w:cs="Verdana"/>
          <w:color w:val="0000FF"/>
          <w:u w:val="single" w:color="0000FF"/>
        </w:rPr>
        <w:t>report.pdf</w:t>
      </w:r>
      <w:r>
        <w:fldChar w:fldCharType="end"/>
      </w:r>
      <w:r>
        <w:fldChar w:fldCharType="begin"/>
      </w:r>
      <w:r>
        <w:instrText xml:space="preserve"> HYPERLINK "https://www.ofcom.org.uk/__data/assets/pdf_file/0021/149124/adults-media-use-and-attitudes-report.pdf"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p>
    <w:p w:rsidR="00FB0B24" w:rsidRPr="005B5CB6" w:rsidP="00CF6BAD">
      <w:pPr>
        <w:spacing w:after="299" w:line="250" w:lineRule="auto"/>
        <w:ind w:left="728" w:right="11" w:hanging="8"/>
        <w:jc w:val="both"/>
        <w:rPr>
          <w:rFonts w:ascii="Verdana" w:hAnsi="Verdana"/>
        </w:rPr>
      </w:pPr>
      <w:r w:rsidRPr="005B5CB6">
        <w:rPr>
          <w:rFonts w:ascii="Verdana" w:eastAsia="Verdana" w:hAnsi="Verdana" w:cs="Verdana"/>
        </w:rPr>
        <w:t xml:space="preserve">social media or other online services such as YouTube, and a great deal of political discussion takes place on these platforms. While removing the potential partisan influence of news outlets, this leaves tech companies in positions of great power as gatekeepers of information, with the ability to </w:t>
      </w:r>
      <w:r w:rsidRPr="005B5CB6">
        <w:rPr>
          <w:rFonts w:ascii="Verdana" w:eastAsia="Verdana" w:hAnsi="Verdana" w:cs="Verdana"/>
        </w:rPr>
        <w:t>facilitate or impede information dissemination, as well as the ability to dictate the form in which it is transmitted. These new mediators’ intentions typically hard to detect, as human gatekeepers are being replaced by algorithms (see below for more on this).</w:t>
      </w:r>
      <w:r>
        <w:rPr>
          <w:rFonts w:ascii="Verdana" w:eastAsia="Verdana" w:hAnsi="Verdana" w:cs="Verdana"/>
          <w:vertAlign w:val="superscript"/>
        </w:rPr>
        <w:footnoteReference w:id="400"/>
      </w:r>
      <w:r w:rsidRPr="005B5CB6">
        <w:rPr>
          <w:rFonts w:ascii="Verdana" w:eastAsia="Verdana" w:hAnsi="Verdana" w:cs="Verdana"/>
        </w:rPr>
        <w:t xml:space="preserve"> </w:t>
      </w:r>
    </w:p>
    <w:p w:rsidR="00FB0B24" w:rsidRPr="005B5CB6" w:rsidP="00575F14">
      <w:pPr>
        <w:numPr>
          <w:ilvl w:val="0"/>
          <w:numId w:val="243"/>
        </w:numPr>
        <w:spacing w:after="270" w:line="250" w:lineRule="auto"/>
        <w:ind w:left="23" w:right="11" w:hanging="8"/>
        <w:jc w:val="both"/>
        <w:rPr>
          <w:rFonts w:ascii="Verdana" w:hAnsi="Verdana"/>
        </w:rPr>
      </w:pPr>
      <w:r w:rsidRPr="005B5CB6">
        <w:rPr>
          <w:rFonts w:ascii="Verdana" w:eastAsia="Verdana" w:hAnsi="Verdana" w:cs="Verdana"/>
        </w:rPr>
        <w:t xml:space="preserve">For those equipped with sufficient critical digital and media literacy knowledge and skills, these changes represent positive developments that offer enhanced opportunities to participate meaningfully in a democratic society. However, digital technology can also exacerbate existing inequalities in education and status and many people who lack adequate knowledge in this area risk relying on biased, opaque or misleading information when making democratic decisions.  </w:t>
      </w:r>
    </w:p>
    <w:p w:rsidR="00FB0B24" w:rsidRPr="005B5CB6" w:rsidP="00575F14">
      <w:pPr>
        <w:numPr>
          <w:ilvl w:val="0"/>
          <w:numId w:val="243"/>
        </w:numPr>
        <w:spacing w:after="270" w:line="250" w:lineRule="auto"/>
        <w:ind w:left="23" w:right="11" w:hanging="8"/>
        <w:jc w:val="both"/>
        <w:rPr>
          <w:rFonts w:ascii="Verdana" w:hAnsi="Verdana"/>
        </w:rPr>
      </w:pPr>
      <w:r w:rsidRPr="005B5CB6">
        <w:rPr>
          <w:rFonts w:ascii="Verdana" w:eastAsia="Verdana" w:hAnsi="Verdana" w:cs="Verdana"/>
        </w:rPr>
        <w:t xml:space="preserve">Looking specifically at </w:t>
      </w:r>
      <w:r w:rsidRPr="005B5CB6">
        <w:rPr>
          <w:rFonts w:ascii="Verdana" w:eastAsia="Verdana" w:hAnsi="Verdana" w:cs="Verdana"/>
          <w:b/>
        </w:rPr>
        <w:t>elections</w:t>
      </w:r>
      <w:r w:rsidRPr="005B5CB6">
        <w:rPr>
          <w:rFonts w:ascii="Verdana" w:eastAsia="Verdana" w:hAnsi="Verdana" w:cs="Verdana"/>
        </w:rPr>
        <w:t xml:space="preserve">, the main goal of electoral law in the UK is to ensure a fair playing field by capping spending, enforcing tight control of political advertising on broadcast media, ensuring transparency in campaigning and avoiding outside interference. Digital technology has the potential to undermine these efforts in various ways: </w:t>
      </w:r>
    </w:p>
    <w:p w:rsidR="00FB0B24" w:rsidRPr="005B5CB6" w:rsidP="00575F14">
      <w:pPr>
        <w:numPr>
          <w:ilvl w:val="1"/>
          <w:numId w:val="243"/>
        </w:numPr>
        <w:spacing w:after="5" w:line="250" w:lineRule="auto"/>
        <w:ind w:right="11" w:hanging="360"/>
        <w:jc w:val="both"/>
        <w:rPr>
          <w:rFonts w:ascii="Verdana" w:hAnsi="Verdana"/>
        </w:rPr>
      </w:pPr>
      <w:r w:rsidRPr="005B5CB6">
        <w:rPr>
          <w:rFonts w:ascii="Verdana" w:eastAsia="Verdana" w:hAnsi="Verdana" w:cs="Verdana"/>
        </w:rPr>
        <w:t xml:space="preserve">All major political parties are spending heavily on social media platforms, which are largely unregulated.  This has the potential to undermine the spending regime, as invoices do not detail how and where money is being spent. It is hard to track how much is being spent on what, where, and by whom. Major pre-campaign expenses, such as the development of detailed databases of voters, may not be included, even though they have a substantive impact during the campaign itself.  </w:t>
      </w:r>
    </w:p>
    <w:p w:rsidR="00FB0B24" w:rsidRPr="005B5CB6" w:rsidP="00575F14">
      <w:pPr>
        <w:numPr>
          <w:ilvl w:val="1"/>
          <w:numId w:val="243"/>
        </w:numPr>
        <w:spacing w:after="5" w:line="250" w:lineRule="auto"/>
        <w:ind w:right="11" w:hanging="360"/>
        <w:jc w:val="both"/>
        <w:rPr>
          <w:rFonts w:ascii="Verdana" w:hAnsi="Verdana"/>
        </w:rPr>
      </w:pPr>
      <w:r w:rsidRPr="005B5CB6">
        <w:rPr>
          <w:rFonts w:ascii="Verdana" w:eastAsia="Verdana" w:hAnsi="Verdana" w:cs="Verdana"/>
        </w:rPr>
        <w:t xml:space="preserve">While data used to target specific groups of voters have always been part of political campaigning (for example, gathered through door-to-door canvassing), online data-intensive approaches greatly increase campaign message targeting capabilities, and these are now central to the political communication strategies used by the major UK parties.  </w:t>
      </w:r>
    </w:p>
    <w:p w:rsidR="00FB0B24" w:rsidRPr="005B5CB6" w:rsidP="00575F14">
      <w:pPr>
        <w:numPr>
          <w:ilvl w:val="1"/>
          <w:numId w:val="243"/>
        </w:numPr>
        <w:spacing w:after="5" w:line="250" w:lineRule="auto"/>
        <w:ind w:right="11" w:hanging="360"/>
        <w:jc w:val="both"/>
        <w:rPr>
          <w:rFonts w:ascii="Verdana" w:hAnsi="Verdana"/>
        </w:rPr>
      </w:pPr>
      <w:r w:rsidRPr="005B5CB6">
        <w:rPr>
          <w:rFonts w:ascii="Verdana" w:eastAsia="Verdana" w:hAnsi="Verdana" w:cs="Verdana"/>
        </w:rPr>
        <w:t xml:space="preserve">Highly targeted digital campaigns raise questions about transparency, privacy and equal access to information and about the impact of targeting on the integrity and honesty of campaigns. Equally concerning is the fact that much of the public is unaware of how closely they can be targeted.  </w:t>
      </w:r>
    </w:p>
    <w:p w:rsidR="00FB0B24" w:rsidRPr="005B5CB6" w:rsidP="00575F14">
      <w:pPr>
        <w:numPr>
          <w:ilvl w:val="1"/>
          <w:numId w:val="243"/>
        </w:numPr>
        <w:spacing w:after="187" w:line="250" w:lineRule="auto"/>
        <w:ind w:right="11" w:hanging="360"/>
        <w:jc w:val="both"/>
        <w:rPr>
          <w:rFonts w:ascii="Verdana" w:hAnsi="Verdana"/>
        </w:rPr>
      </w:pPr>
      <w:r w:rsidRPr="005B5CB6">
        <w:rPr>
          <w:rFonts w:ascii="Verdana" w:eastAsia="Verdana" w:hAnsi="Verdana" w:cs="Verdana"/>
        </w:rPr>
        <w:t xml:space="preserve">The lack of privacy that results from widespread use of digital technologies with insufficient regulation has huge implications. Scholars such as Shoshana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98533" name="Group 59853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535" name="Shape 63653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17" style="height:0.6pt;mso-position-horizontal-relative:char;mso-position-vertical-relative:line;width:2in" coordsize="18288,76">
                <v:shape id="_x0000_s1418"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CF6BAD">
      <w:pPr>
        <w:spacing w:after="299" w:line="250" w:lineRule="auto"/>
        <w:ind w:left="728" w:right="11" w:hanging="8"/>
        <w:jc w:val="both"/>
        <w:rPr>
          <w:rFonts w:ascii="Verdana" w:hAnsi="Verdana"/>
        </w:rPr>
      </w:pPr>
      <w:r w:rsidRPr="005B5CB6">
        <w:rPr>
          <w:rFonts w:ascii="Verdana" w:eastAsia="Verdana" w:hAnsi="Verdana" w:cs="Verdana"/>
        </w:rPr>
        <w:t>Zuboff argue that ‘surveillance capitalism’ is eroding our freedoms to choose and act, as tech companies try to refine their ability to predict our behaviour and nudge us in certain directions.</w:t>
      </w:r>
      <w:r>
        <w:rPr>
          <w:rFonts w:ascii="Verdana" w:eastAsia="Verdana" w:hAnsi="Verdana" w:cs="Verdana"/>
          <w:vertAlign w:val="superscript"/>
        </w:rPr>
        <w:footnoteReference w:id="401"/>
      </w:r>
      <w:r w:rsidRPr="005B5CB6">
        <w:rPr>
          <w:rFonts w:ascii="Verdana" w:eastAsia="Verdana" w:hAnsi="Verdana" w:cs="Verdana"/>
        </w:rPr>
        <w:t xml:space="preserve"> </w:t>
      </w:r>
    </w:p>
    <w:p w:rsidR="00FB0B24" w:rsidRPr="005B5CB6" w:rsidP="00575F14">
      <w:pPr>
        <w:numPr>
          <w:ilvl w:val="0"/>
          <w:numId w:val="243"/>
        </w:numPr>
        <w:spacing w:after="270" w:line="250" w:lineRule="auto"/>
        <w:ind w:left="23" w:right="11" w:hanging="8"/>
        <w:jc w:val="both"/>
        <w:rPr>
          <w:rFonts w:ascii="Verdana" w:hAnsi="Verdana"/>
        </w:rPr>
      </w:pPr>
      <w:r w:rsidRPr="005B5CB6">
        <w:rPr>
          <w:rFonts w:ascii="Verdana" w:eastAsia="Verdana" w:hAnsi="Verdana" w:cs="Verdana"/>
        </w:rPr>
        <w:t xml:space="preserve">Based on our work in this area, we concluded that the information crisis is systemic and requires a long-term, coordinated institutional response. Multiple actions are urgently needed to protect the interests of individual citizens and to safeguard democracy in the UK. </w:t>
      </w:r>
    </w:p>
    <w:p w:rsidR="00FB0B24" w:rsidRPr="005B5CB6" w:rsidP="00CF6BAD">
      <w:pPr>
        <w:spacing w:after="271" w:line="249" w:lineRule="auto"/>
        <w:ind w:left="-2" w:hanging="10"/>
        <w:jc w:val="both"/>
        <w:rPr>
          <w:rFonts w:ascii="Verdana" w:hAnsi="Verdana"/>
        </w:rPr>
      </w:pPr>
      <w:r w:rsidRPr="005B5CB6">
        <w:rPr>
          <w:rFonts w:ascii="Verdana" w:eastAsia="Verdana" w:hAnsi="Verdana" w:cs="Verdana"/>
          <w:b/>
        </w:rPr>
        <w:t xml:space="preserve">How have the design of algorithms used by social media platforms shaped democratic debate? To what extent should there be greater accountability for the design of these algorithms? </w:t>
      </w:r>
    </w:p>
    <w:p w:rsidR="00FB0B24" w:rsidRPr="005B5CB6" w:rsidP="00575F14">
      <w:pPr>
        <w:numPr>
          <w:ilvl w:val="0"/>
          <w:numId w:val="243"/>
        </w:numPr>
        <w:spacing w:after="269" w:line="250" w:lineRule="auto"/>
        <w:ind w:left="23" w:right="11" w:hanging="8"/>
        <w:jc w:val="both"/>
        <w:rPr>
          <w:rFonts w:ascii="Verdana" w:hAnsi="Verdana"/>
        </w:rPr>
      </w:pPr>
      <w:r w:rsidRPr="005B5CB6">
        <w:rPr>
          <w:rFonts w:ascii="Verdana" w:eastAsia="Verdana" w:hAnsi="Verdana" w:cs="Verdana"/>
        </w:rPr>
        <w:t>The design of algorithms, coupled with the structure and business model of social media companies, does shape and influence online debate: in the ‘attention economy,’ social media tends to favour the emotive and sensational over factual content</w:t>
      </w:r>
      <w:r>
        <w:fldChar w:fldCharType="begin"/>
      </w:r>
      <w:r>
        <w:instrText xml:space="preserve"> HYPERLINK "https://www.nature.com/articles/s41599-019-0224-y" </w:instrText>
      </w:r>
      <w:r>
        <w:fldChar w:fldCharType="separate"/>
      </w:r>
      <w:r w:rsidRPr="005B5CB6">
        <w:rPr>
          <w:rFonts w:ascii="Verdana" w:eastAsia="Verdana" w:hAnsi="Verdana" w:cs="Verdana"/>
        </w:rPr>
        <w:t>, t</w:t>
      </w:r>
      <w:r>
        <w:fldChar w:fldCharType="end"/>
      </w:r>
      <w:r w:rsidRPr="005B5CB6">
        <w:rPr>
          <w:rFonts w:ascii="Verdana" w:eastAsia="Verdana" w:hAnsi="Verdana" w:cs="Verdana"/>
        </w:rPr>
        <w:t>he negative over the positive, the outrageous over the mundane.</w:t>
      </w:r>
      <w:r>
        <w:rPr>
          <w:rFonts w:ascii="Verdana" w:eastAsia="Verdana" w:hAnsi="Verdana" w:cs="Verdana"/>
          <w:vertAlign w:val="superscript"/>
        </w:rPr>
        <w:footnoteReference w:id="402"/>
      </w:r>
      <w:r w:rsidRPr="005B5CB6">
        <w:rPr>
          <w:rFonts w:ascii="Verdana" w:eastAsia="Verdana" w:hAnsi="Verdana" w:cs="Verdana"/>
        </w:rPr>
        <w:t xml:space="preserve"> Recommendation engine algorithm</w:t>
      </w:r>
      <w:r>
        <w:fldChar w:fldCharType="begin"/>
      </w:r>
      <w:r>
        <w:instrText xml:space="preserve"> HYPERLINK "https://www.wired.com/story/the-toxic-potential-of-youtubes-feedback-loop/" </w:instrText>
      </w:r>
      <w:r>
        <w:fldChar w:fldCharType="separate"/>
      </w:r>
      <w:r w:rsidRPr="005B5CB6">
        <w:rPr>
          <w:rFonts w:ascii="Verdana" w:eastAsia="Verdana" w:hAnsi="Verdana" w:cs="Verdana"/>
        </w:rPr>
        <w:t>s a</w:t>
      </w:r>
      <w:r>
        <w:fldChar w:fldCharType="end"/>
      </w:r>
      <w:r w:rsidRPr="005B5CB6">
        <w:rPr>
          <w:rFonts w:ascii="Verdana" w:eastAsia="Verdana" w:hAnsi="Verdana" w:cs="Verdana"/>
        </w:rPr>
        <w:t>re expert at sending users down paths that expose them to more similar views, often becoming increasingly extreme.</w:t>
      </w:r>
      <w:r>
        <w:rPr>
          <w:rFonts w:ascii="Verdana" w:eastAsia="Verdana" w:hAnsi="Verdana" w:cs="Verdana"/>
          <w:vertAlign w:val="superscript"/>
        </w:rPr>
        <w:footnoteReference w:id="403"/>
      </w:r>
      <w:r w:rsidRPr="005B5CB6">
        <w:rPr>
          <w:rFonts w:ascii="Verdana" w:eastAsia="Verdana" w:hAnsi="Verdana" w:cs="Verdana"/>
        </w:rPr>
        <w:t xml:space="preserve"> People with extreme fringe viewpoints - those opposed to vaccinations, for example - are enabled to have a disproportionately loud voice. </w:t>
      </w:r>
    </w:p>
    <w:p w:rsidR="00FB0B24" w:rsidRPr="005B5CB6" w:rsidP="00575F14">
      <w:pPr>
        <w:numPr>
          <w:ilvl w:val="0"/>
          <w:numId w:val="243"/>
        </w:numPr>
        <w:spacing w:after="270" w:line="250" w:lineRule="auto"/>
        <w:ind w:left="23" w:right="11" w:hanging="8"/>
        <w:jc w:val="both"/>
        <w:rPr>
          <w:rFonts w:ascii="Verdana" w:hAnsi="Verdana"/>
        </w:rPr>
      </w:pPr>
      <w:r w:rsidRPr="005B5CB6">
        <w:rPr>
          <w:rFonts w:ascii="Verdana" w:eastAsia="Verdana" w:hAnsi="Verdana" w:cs="Verdana"/>
        </w:rPr>
        <w:t xml:space="preserve">Social media companies are also in a position – should they wish – to offer different terms and services to different political (and other) actors, and even to deny access to certain individuals or organisations. They could make it easier for a political party with which their business or ideological interests align to reach their supporters, or vice versa.  </w:t>
      </w:r>
    </w:p>
    <w:p w:rsidR="00FB0B24" w:rsidRPr="005B5CB6" w:rsidP="00575F14">
      <w:pPr>
        <w:numPr>
          <w:ilvl w:val="0"/>
          <w:numId w:val="243"/>
        </w:numPr>
        <w:spacing w:after="1225" w:line="250" w:lineRule="auto"/>
        <w:ind w:left="23" w:right="11" w:hanging="8"/>
        <w:jc w:val="both"/>
        <w:rPr>
          <w:rFonts w:ascii="Verdana" w:hAnsi="Verdana"/>
        </w:rPr>
      </w:pPr>
      <w:r w:rsidRPr="005B5CB6">
        <w:rPr>
          <w:rFonts w:ascii="Verdana" w:eastAsia="Verdana" w:hAnsi="Verdana" w:cs="Verdana"/>
        </w:rPr>
        <w:t xml:space="preserve">Far greater transparency and accountability in the design and function of algorithms is essential, even though this is challenging to implement and guarantee in private companies with proprietary technology in a competitive environment. Social media and other tech companies were not designed to play a significant role in the public sphere. Their codes of practice are not designed to make their algorithms transparent, and their proprietary algorithms lack independent oversight.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598907" name="Group 59890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6545" name="Shape 63654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19" style="height:0.6pt;mso-position-horizontal-relative:char;mso-position-vertical-relative:line;width:2in" coordsize="18288,76">
                <v:shape id="_x0000_s1420"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575F14">
      <w:pPr>
        <w:numPr>
          <w:ilvl w:val="0"/>
          <w:numId w:val="243"/>
        </w:numPr>
        <w:spacing w:after="269" w:line="250" w:lineRule="auto"/>
        <w:ind w:left="23" w:right="11" w:hanging="8"/>
        <w:jc w:val="both"/>
        <w:rPr>
          <w:rFonts w:ascii="Verdana" w:hAnsi="Verdana"/>
        </w:rPr>
      </w:pPr>
      <w:r w:rsidRPr="005B5CB6">
        <w:rPr>
          <w:rFonts w:ascii="Verdana" w:eastAsia="Verdana" w:hAnsi="Verdana" w:cs="Verdana"/>
        </w:rPr>
        <w:t>The LSE Truth, Trust and Technology Commission (T3) report</w:t>
      </w:r>
      <w:r w:rsidRPr="005B5CB6">
        <w:rPr>
          <w:rFonts w:ascii="Verdana" w:eastAsia="Verdana" w:hAnsi="Verdana" w:cs="Verdana"/>
          <w:vertAlign w:val="superscript"/>
        </w:rPr>
        <w:t>10</w:t>
      </w:r>
      <w:r w:rsidRPr="005B5CB6">
        <w:rPr>
          <w:rFonts w:ascii="Verdana" w:eastAsia="Verdana" w:hAnsi="Verdana" w:cs="Verdana"/>
        </w:rPr>
        <w:t xml:space="preserve"> calls for a regulator to help to safeguard citizens’ rights while ensuring an accountability framework is in place. Its mandate would include interventions such as, for example, ensuring credible content is ranked up and warning against misleading content. The role of the regulator would enhance transparency through requiring platform reporting responsibilities about how content curation judgements are made and by making this information public. This would enable citizens and other stakeholders to know who is making decisions about online moderation and curation (and on what basis), and whether those decisions are timely and effective. </w:t>
      </w:r>
    </w:p>
    <w:p w:rsidR="00FB0B24" w:rsidRPr="005B5CB6" w:rsidP="00575F14">
      <w:pPr>
        <w:numPr>
          <w:ilvl w:val="0"/>
          <w:numId w:val="243"/>
        </w:numPr>
        <w:spacing w:after="303" w:line="250" w:lineRule="auto"/>
        <w:ind w:left="23" w:right="11" w:hanging="8"/>
        <w:jc w:val="both"/>
        <w:rPr>
          <w:rFonts w:ascii="Verdana" w:hAnsi="Verdana"/>
        </w:rPr>
      </w:pPr>
      <w:r w:rsidRPr="005B5CB6">
        <w:rPr>
          <w:rFonts w:ascii="Verdana" w:eastAsia="Verdana" w:hAnsi="Verdana" w:cs="Verdana"/>
        </w:rPr>
        <w:t>Transparency in itself doesn’t equal accountability, particularly in an area where the technology is so complex that even those who work with it struggle to understand it. As our colleague Alison Powell has argued, increasing the ‘explainability’ of algorithms could pave the way for more accountability by increasing public understanding of how they make decisions particular decisions in particular contexts.</w:t>
      </w:r>
      <w:r>
        <w:rPr>
          <w:rFonts w:ascii="Verdana" w:eastAsia="Verdana" w:hAnsi="Verdana" w:cs="Verdana"/>
          <w:vertAlign w:val="superscript"/>
        </w:rPr>
        <w:footnoteReference w:id="404"/>
      </w:r>
      <w:r w:rsidRPr="005B5CB6">
        <w:rPr>
          <w:rFonts w:ascii="Verdana" w:eastAsia="Verdana" w:hAnsi="Verdana" w:cs="Verdana"/>
        </w:rPr>
        <w:t xml:space="preserve">  </w:t>
      </w:r>
    </w:p>
    <w:p w:rsidR="00FB0B24" w:rsidRPr="005B5CB6" w:rsidP="00575F14">
      <w:pPr>
        <w:numPr>
          <w:ilvl w:val="0"/>
          <w:numId w:val="243"/>
        </w:numPr>
        <w:spacing w:after="269" w:line="250" w:lineRule="auto"/>
        <w:ind w:left="23" w:right="11" w:hanging="8"/>
        <w:jc w:val="both"/>
        <w:rPr>
          <w:rFonts w:ascii="Verdana" w:hAnsi="Verdana"/>
        </w:rPr>
      </w:pPr>
      <w:r w:rsidRPr="005B5CB6">
        <w:rPr>
          <w:rFonts w:ascii="Verdana" w:eastAsia="Verdana" w:hAnsi="Verdana" w:cs="Verdana"/>
        </w:rPr>
        <w:t>Researchers must be given more access to data on algorithms used by major tech companies. There is a paucity of reliable data on what is happening on the platforms and a methodological challenge in analysing what data are available. The academic community currently lacks access to the data held by platforms that is essential for undertaking research that can help to hold them to account.</w:t>
      </w:r>
      <w:r>
        <w:rPr>
          <w:rFonts w:ascii="Verdana" w:eastAsia="Verdana" w:hAnsi="Verdana" w:cs="Verdana"/>
          <w:vertAlign w:val="superscript"/>
        </w:rPr>
        <w:footnoteReference w:id="405"/>
      </w:r>
      <w:r w:rsidRPr="005B5CB6">
        <w:rPr>
          <w:rFonts w:ascii="Verdana" w:eastAsia="Verdana" w:hAnsi="Verdana" w:cs="Verdana"/>
        </w:rPr>
        <w:t xml:space="preserve"> Evidence, underpinned by independent research, is crucial to examine biases in the platforms’ technical and human operations. </w:t>
      </w:r>
    </w:p>
    <w:p w:rsidR="00FB0B24" w:rsidRPr="005B5CB6" w:rsidP="00CF6BAD">
      <w:pPr>
        <w:spacing w:after="270" w:line="250" w:lineRule="auto"/>
        <w:ind w:left="11" w:hanging="10"/>
        <w:jc w:val="both"/>
        <w:rPr>
          <w:rFonts w:ascii="Verdana" w:hAnsi="Verdana"/>
        </w:rPr>
      </w:pPr>
      <w:r w:rsidRPr="005B5CB6">
        <w:rPr>
          <w:rFonts w:ascii="Verdana" w:eastAsia="Verdana" w:hAnsi="Verdana" w:cs="Verdana"/>
          <w:b/>
        </w:rPr>
        <w:t xml:space="preserve">What role should every stage of education play in helping to create a healthy, active, digitally literate democracy? </w:t>
      </w:r>
    </w:p>
    <w:p w:rsidR="00FB0B24" w:rsidRPr="005B5CB6" w:rsidP="00575F14">
      <w:pPr>
        <w:numPr>
          <w:ilvl w:val="0"/>
          <w:numId w:val="243"/>
        </w:numPr>
        <w:spacing w:after="187" w:line="250" w:lineRule="auto"/>
        <w:ind w:left="23" w:right="11" w:hanging="8"/>
        <w:jc w:val="both"/>
        <w:rPr>
          <w:rFonts w:ascii="Verdana" w:hAnsi="Verdana"/>
        </w:rPr>
      </w:pPr>
      <w:r w:rsidRPr="005B5CB6">
        <w:rPr>
          <w:rFonts w:ascii="Verdana" w:eastAsia="Verdana" w:hAnsi="Verdana" w:cs="Verdana"/>
        </w:rPr>
        <w:t>There is clear evidence that greater education for media literacy has a direct impact on improving people’s ability to access and judge information.</w:t>
      </w:r>
      <w:r>
        <w:rPr>
          <w:rFonts w:ascii="Verdana" w:eastAsia="Verdana" w:hAnsi="Verdana" w:cs="Verdana"/>
          <w:vertAlign w:val="superscript"/>
        </w:rPr>
        <w:footnoteReference w:id="406"/>
      </w:r>
      <w:r w:rsidRPr="005B5CB6">
        <w:rPr>
          <w:rFonts w:ascii="Verdana" w:eastAsia="Verdana" w:hAnsi="Verdana" w:cs="Verdana"/>
        </w:rPr>
        <w:t xml:space="preserve"> With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98695" name="Group 59869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555" name="Shape 63655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21" style="height:0.6pt;mso-position-horizontal-relative:char;mso-position-vertical-relative:line;width:2in" coordsize="18288,76">
                <v:shape id="_x0000_s1422"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CF6BAD">
      <w:pPr>
        <w:spacing w:line="260" w:lineRule="auto"/>
        <w:ind w:left="-5" w:hanging="10"/>
        <w:jc w:val="both"/>
        <w:rPr>
          <w:rFonts w:ascii="Verdana" w:hAnsi="Verdana"/>
        </w:rPr>
      </w:pPr>
      <w:r w:rsidRPr="005B5CB6">
        <w:rPr>
          <w:rFonts w:ascii="Verdana" w:eastAsia="Verdana" w:hAnsi="Verdana" w:cs="Verdana"/>
          <w:vertAlign w:val="superscript"/>
        </w:rPr>
        <w:t>10</w:t>
      </w:r>
      <w:r w:rsidRPr="005B5CB6">
        <w:rPr>
          <w:rFonts w:ascii="Verdana" w:eastAsia="Verdana" w:hAnsi="Verdana" w:cs="Verdana"/>
        </w:rPr>
        <w:t xml:space="preserve"> LSE Commission on Truth, Trust and Technology (2018</w:t>
      </w:r>
      <w:r w:rsidRPr="005B5CB6">
        <w:rPr>
          <w:rFonts w:ascii="Verdana" w:eastAsia="Verdana" w:hAnsi="Verdana" w:cs="Verdana"/>
          <w:i/>
        </w:rPr>
        <w:t>) Tackling the Information Crisis: A Policy Framework for Media System Resilience</w:t>
      </w:r>
      <w:r w:rsidRPr="005B5CB6">
        <w:rPr>
          <w:rFonts w:ascii="Verdana" w:eastAsia="Verdana" w:hAnsi="Verdana" w:cs="Verdana"/>
        </w:rPr>
        <w:t xml:space="preserve">, LSE, London. Available at: </w:t>
      </w:r>
      <w:r>
        <w:fldChar w:fldCharType="begin"/>
      </w:r>
      <w:r>
        <w:instrText xml:space="preserve"> HYPERLINK "http://www.lse.ac.uk/media-and-communications/truth-trust-and-technology-commission/The-report" </w:instrText>
      </w:r>
      <w:r>
        <w:fldChar w:fldCharType="separate"/>
      </w:r>
      <w:r w:rsidRPr="005B5CB6">
        <w:rPr>
          <w:rFonts w:ascii="Verdana" w:eastAsia="Verdana" w:hAnsi="Verdana" w:cs="Verdana"/>
          <w:color w:val="0000FF"/>
          <w:u w:val="single" w:color="0000FF"/>
        </w:rPr>
        <w:t>http://www.lse.ac.uk/media-and</w:t>
      </w:r>
      <w:r>
        <w:fldChar w:fldCharType="end"/>
      </w:r>
      <w:r>
        <w:fldChar w:fldCharType="begin"/>
      </w:r>
      <w:r>
        <w:instrText xml:space="preserve"> HYPERLINK "http://www.lse.ac.uk/media-and-communications/truth-trust-and-technology-commission/The-report" </w:instrText>
      </w:r>
      <w:r>
        <w:fldChar w:fldCharType="separate"/>
      </w:r>
      <w:r w:rsidRPr="005B5CB6">
        <w:rPr>
          <w:rFonts w:ascii="Verdana" w:eastAsia="Verdana" w:hAnsi="Verdana" w:cs="Verdana"/>
          <w:color w:val="0000FF"/>
          <w:u w:val="single" w:color="0000FF"/>
        </w:rPr>
        <w:t>communications/truth-trust-and-technology-commission/The-report</w:t>
      </w:r>
      <w:r>
        <w:fldChar w:fldCharType="end"/>
      </w:r>
      <w:r>
        <w:fldChar w:fldCharType="begin"/>
      </w:r>
      <w:r>
        <w:instrText xml:space="preserve"> HYPERLINK "http://www.lse.ac.uk/media-and-communications/truth-trust-and-technology-commission/The-report"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p>
    <w:p w:rsidR="00FB0B24" w:rsidRPr="005B5CB6" w:rsidP="00CF6BAD">
      <w:pPr>
        <w:spacing w:after="269" w:line="250" w:lineRule="auto"/>
        <w:ind w:left="23" w:right="11" w:hanging="8"/>
        <w:jc w:val="both"/>
        <w:rPr>
          <w:rFonts w:ascii="Verdana" w:hAnsi="Verdana"/>
        </w:rPr>
      </w:pPr>
      <w:r w:rsidRPr="005B5CB6">
        <w:rPr>
          <w:rFonts w:ascii="Verdana" w:eastAsia="Verdana" w:hAnsi="Verdana" w:cs="Verdana"/>
        </w:rPr>
        <w:t>growing evidence of the damage in which misinformation and disinformation are involved, a new and increased commitment to media literacy is needed that addresses the context as well as the symptoms</w:t>
      </w:r>
      <w:r>
        <w:rPr>
          <w:rFonts w:ascii="Verdana" w:eastAsia="Verdana" w:hAnsi="Verdana" w:cs="Verdana"/>
          <w:vertAlign w:val="superscript"/>
        </w:rPr>
        <w:footnoteReference w:id="407"/>
      </w:r>
      <w:r w:rsidRPr="005B5CB6">
        <w:rPr>
          <w:rFonts w:ascii="Verdana" w:eastAsia="Verdana" w:hAnsi="Verdana" w:cs="Verdana"/>
        </w:rPr>
        <w:t xml:space="preserve"> – a media literacy that is fit for confronting the informational complexities that face citizens of the early 21st century. </w:t>
      </w:r>
    </w:p>
    <w:p w:rsidR="00FB0B24" w:rsidRPr="005B5CB6" w:rsidP="00575F14">
      <w:pPr>
        <w:numPr>
          <w:ilvl w:val="0"/>
          <w:numId w:val="244"/>
        </w:numPr>
        <w:spacing w:after="270" w:line="250" w:lineRule="auto"/>
        <w:ind w:right="11" w:hanging="439"/>
        <w:jc w:val="both"/>
        <w:rPr>
          <w:rFonts w:ascii="Verdana" w:hAnsi="Verdana"/>
        </w:rPr>
      </w:pPr>
      <w:r w:rsidRPr="005B5CB6">
        <w:rPr>
          <w:rFonts w:ascii="Verdana" w:eastAsia="Verdana" w:hAnsi="Verdana" w:cs="Verdana"/>
        </w:rPr>
        <w:t xml:space="preserve">Our T3 report calls for Government to mobilise an urgent, integrated, new programme in media literacy for both children in schools – for example, a compulsory media literacy module in citizenship classes – but also for adults in further and vocational education, as well as parents, teachers and the children’s workforce. This could be funded by a digital platform levy as part of the work of the regulator, and should include digital media literacy training for politicians. (Any contributions from platforms to media literacy work should be via an independent organisation, rather than direct communication from platforms to the public, and should be independently evaluated.) </w:t>
      </w:r>
    </w:p>
    <w:p w:rsidR="00FB0B24" w:rsidRPr="005B5CB6" w:rsidP="00575F14">
      <w:pPr>
        <w:numPr>
          <w:ilvl w:val="0"/>
          <w:numId w:val="244"/>
        </w:numPr>
        <w:spacing w:after="270" w:line="250" w:lineRule="auto"/>
        <w:ind w:right="11" w:hanging="439"/>
        <w:jc w:val="both"/>
        <w:rPr>
          <w:rFonts w:ascii="Verdana" w:hAnsi="Verdana"/>
        </w:rPr>
      </w:pPr>
      <w:r w:rsidRPr="005B5CB6">
        <w:rPr>
          <w:rFonts w:ascii="Verdana" w:eastAsia="Verdana" w:hAnsi="Verdana" w:cs="Verdana"/>
        </w:rPr>
        <w:t xml:space="preserve">Media literacy messages need to be based on a reliable set of principles that are understood by news providers, educators and platforms, and they need to be implemented effectively and consistently over time in an unstable world. Ofcom’s media literacy research enterprise should be tasked with developing an evaluation toolkit for all media literacy initiatives to use, and Ofcom should also publicise the results and draw out the lessons for future initiatives. </w:t>
      </w:r>
    </w:p>
    <w:p w:rsidR="00FB0B24" w:rsidRPr="005B5CB6" w:rsidP="00575F14">
      <w:pPr>
        <w:numPr>
          <w:ilvl w:val="0"/>
          <w:numId w:val="244"/>
        </w:numPr>
        <w:spacing w:after="298" w:line="250" w:lineRule="auto"/>
        <w:ind w:right="11" w:hanging="439"/>
        <w:jc w:val="both"/>
        <w:rPr>
          <w:rFonts w:ascii="Verdana" w:hAnsi="Verdana"/>
        </w:rPr>
      </w:pPr>
      <w:r w:rsidRPr="005B5CB6">
        <w:rPr>
          <w:rFonts w:ascii="Verdana" w:eastAsia="Verdana" w:hAnsi="Verdana" w:cs="Verdana"/>
        </w:rPr>
        <w:t>In schools, media literacy should be the fourth pillar of education alongside reading, writing and maths. The Department for Education should lead an inclusive educational framework to build digital literacy: at present, educational provision in UK schools is insufficient for digital and media literacy, especially as regards critical literacy. As recently argued by LSE’s Media Policy Project Brief #22, there are five pressing challenges faced by the current legislation, national curriculum and teaching resources</w:t>
      </w:r>
      <w:r w:rsidRPr="005B5CB6">
        <w:rPr>
          <w:rFonts w:ascii="Verdana" w:eastAsia="Verdana" w:hAnsi="Verdana" w:cs="Verdana"/>
          <w:b/>
        </w:rPr>
        <w:t>:</w:t>
      </w:r>
      <w:r>
        <w:rPr>
          <w:rFonts w:ascii="Verdana" w:eastAsia="Verdana" w:hAnsi="Verdana" w:cs="Verdana"/>
          <w:b/>
          <w:vertAlign w:val="superscript"/>
        </w:rPr>
        <w:footnoteReference w:id="408"/>
      </w:r>
      <w:r w:rsidRPr="005B5CB6">
        <w:rPr>
          <w:rFonts w:ascii="Verdana" w:eastAsia="Verdana" w:hAnsi="Verdana" w:cs="Verdana"/>
        </w:rPr>
        <w:t xml:space="preserve"> </w:t>
      </w:r>
    </w:p>
    <w:p w:rsidR="00FB0B24" w:rsidRPr="005B5CB6" w:rsidP="00575F14">
      <w:pPr>
        <w:numPr>
          <w:ilvl w:val="1"/>
          <w:numId w:val="244"/>
        </w:numPr>
        <w:spacing w:after="5" w:line="268" w:lineRule="auto"/>
        <w:ind w:right="12" w:hanging="360"/>
        <w:jc w:val="both"/>
        <w:rPr>
          <w:rFonts w:ascii="Verdana" w:hAnsi="Verdana"/>
        </w:rPr>
      </w:pPr>
      <w:r w:rsidRPr="005B5CB6">
        <w:rPr>
          <w:rFonts w:ascii="Verdana" w:eastAsia="Verdana" w:hAnsi="Verdana" w:cs="Verdana"/>
        </w:rPr>
        <w:t xml:space="preserve">Challenge no. 1: There is no clear framework on how to promote digital literacy </w:t>
      </w:r>
    </w:p>
    <w:p w:rsidR="00FB0B24" w:rsidRPr="005B5CB6" w:rsidP="00575F14">
      <w:pPr>
        <w:numPr>
          <w:ilvl w:val="1"/>
          <w:numId w:val="244"/>
        </w:numPr>
        <w:spacing w:after="5" w:line="250" w:lineRule="auto"/>
        <w:ind w:right="12" w:hanging="360"/>
        <w:jc w:val="both"/>
        <w:rPr>
          <w:rFonts w:ascii="Verdana" w:hAnsi="Verdana"/>
        </w:rPr>
      </w:pPr>
      <w:r w:rsidRPr="005B5CB6">
        <w:rPr>
          <w:rFonts w:ascii="Verdana" w:eastAsia="Verdana" w:hAnsi="Verdana" w:cs="Verdana"/>
        </w:rPr>
        <w:t xml:space="preserve">Challenge no. 2: The Government thinks the national curriculum needs no revision, but it does. </w:t>
      </w:r>
    </w:p>
    <w:p w:rsidR="00FB0B24" w:rsidRPr="005B5CB6" w:rsidP="00575F14">
      <w:pPr>
        <w:numPr>
          <w:ilvl w:val="1"/>
          <w:numId w:val="244"/>
        </w:numPr>
        <w:spacing w:after="222" w:line="249" w:lineRule="auto"/>
        <w:ind w:right="12" w:hanging="360"/>
        <w:jc w:val="both"/>
        <w:rPr>
          <w:rFonts w:ascii="Verdana" w:hAnsi="Verdana"/>
        </w:rPr>
      </w:pPr>
      <w:r w:rsidRPr="005B5CB6">
        <w:rPr>
          <w:rFonts w:ascii="Verdana" w:eastAsia="Verdana" w:hAnsi="Verdana" w:cs="Verdana"/>
        </w:rPr>
        <w:t xml:space="preserve">Challenge no. 3: The national curriculum falls short of teaching primary and secondary school children about the broader digital environment, and how to use their digital skills and knowledge to evaluate online information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99768" name="Group 59976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563" name="Shape 63656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23" style="height:0.6pt;mso-position-horizontal-relative:char;mso-position-vertical-relative:line;width:2in" coordsize="18288,76">
                <v:shape id="_x0000_s1424"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CF6BAD">
      <w:pPr>
        <w:spacing w:after="1" w:line="275" w:lineRule="auto"/>
        <w:jc w:val="both"/>
        <w:rPr>
          <w:rFonts w:ascii="Verdana" w:hAnsi="Verdana"/>
        </w:rPr>
      </w:pPr>
      <w:r>
        <w:fldChar w:fldCharType="begin"/>
      </w:r>
      <w:r>
        <w:instrText xml:space="preserve"> HYPERLINK "http://mediaeducationlab.com/sites/mediaeducationlab.com/files/Hobbs%20Digital%20and%20Media%20Literacy%20Plan%20of%20Action.pdf" </w:instrText>
      </w:r>
      <w:r>
        <w:fldChar w:fldCharType="separate"/>
      </w:r>
      <w:r w:rsidRPr="005B5CB6" w:rsidR="00A72806">
        <w:rPr>
          <w:rFonts w:ascii="Verdana" w:eastAsia="Verdana" w:hAnsi="Verdana" w:cs="Verdana"/>
          <w:color w:val="0000FF"/>
          <w:u w:val="single" w:color="0000FF"/>
        </w:rPr>
        <w:t>%20Literacy%20Plan%20of%20Action.pdf</w:t>
      </w:r>
      <w:r>
        <w:fldChar w:fldCharType="end"/>
      </w:r>
      <w:r>
        <w:fldChar w:fldCharType="begin"/>
      </w:r>
      <w:r>
        <w:instrText xml:space="preserve"> HYPERLINK "http://mediaeducationlab.com/sites/mediaeducationlab.com/files/Hobbs%20Digital%20and%20Media%20Literacy%20Plan%20of%20Action.pdf"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Frau-Meigs, D. and Hibbard, L. (2016) </w:t>
      </w:r>
      <w:r w:rsidRPr="005B5CB6" w:rsidR="00A72806">
        <w:rPr>
          <w:rFonts w:ascii="Verdana" w:eastAsia="Verdana" w:hAnsi="Verdana" w:cs="Verdana"/>
          <w:i/>
        </w:rPr>
        <w:t>Education 3.0 and internet governance: A new global alliance for children and young people’s sustainable digital development</w:t>
      </w:r>
      <w:r w:rsidRPr="005B5CB6" w:rsidR="00A72806">
        <w:rPr>
          <w:rFonts w:ascii="Verdana" w:eastAsia="Verdana" w:hAnsi="Verdana" w:cs="Verdana"/>
        </w:rPr>
        <w:t xml:space="preserve">, Paper Series no 27, Centre for International Governance Innovation and Chatham </w:t>
      </w:r>
    </w:p>
    <w:p w:rsidR="00FB0B24" w:rsidRPr="005B5CB6" w:rsidP="00CF6BAD">
      <w:pPr>
        <w:spacing w:line="260" w:lineRule="auto"/>
        <w:ind w:left="-5" w:hanging="10"/>
        <w:jc w:val="both"/>
        <w:rPr>
          <w:rFonts w:ascii="Verdana" w:hAnsi="Verdana"/>
        </w:rPr>
      </w:pPr>
      <w:r w:rsidRPr="005B5CB6">
        <w:rPr>
          <w:rFonts w:ascii="Verdana" w:eastAsia="Verdana" w:hAnsi="Verdana" w:cs="Verdana"/>
        </w:rPr>
        <w:t xml:space="preserve">House. Available at </w:t>
      </w:r>
      <w:r>
        <w:fldChar w:fldCharType="begin"/>
      </w:r>
      <w:r>
        <w:instrText xml:space="preserve"> HYPERLINK "http://www.cigionline.org/sites/default/files/gcig_no27web_0.pdf" </w:instrText>
      </w:r>
      <w:r>
        <w:fldChar w:fldCharType="separate"/>
      </w:r>
      <w:r w:rsidRPr="005B5CB6">
        <w:rPr>
          <w:rFonts w:ascii="Verdana" w:eastAsia="Verdana" w:hAnsi="Verdana" w:cs="Verdana"/>
          <w:color w:val="0000FF"/>
          <w:u w:val="single" w:color="0000FF"/>
        </w:rPr>
        <w:t>www.cigionline.org/sites/default/files/gcig_no27web_0.pdf</w:t>
      </w:r>
      <w:r>
        <w:fldChar w:fldCharType="end"/>
      </w:r>
      <w:r>
        <w:fldChar w:fldCharType="begin"/>
      </w:r>
      <w:r>
        <w:instrText xml:space="preserve"> HYPERLINK "http://www.cigionline.org/sites/default/files/gcig_no27web_0.pdf" </w:instrText>
      </w:r>
      <w:r>
        <w:fldChar w:fldCharType="separate"/>
      </w:r>
      <w:r w:rsidRPr="005B5CB6">
        <w:rPr>
          <w:rFonts w:ascii="Verdana" w:eastAsia="Verdana" w:hAnsi="Verdana" w:cs="Verdana"/>
        </w:rPr>
        <w:t xml:space="preserve"> </w:t>
      </w:r>
      <w:r>
        <w:fldChar w:fldCharType="end"/>
      </w:r>
    </w:p>
    <w:p w:rsidR="00FB0B24" w:rsidRPr="005B5CB6" w:rsidP="00575F14">
      <w:pPr>
        <w:numPr>
          <w:ilvl w:val="1"/>
          <w:numId w:val="244"/>
        </w:numPr>
        <w:spacing w:after="5" w:line="249" w:lineRule="auto"/>
        <w:ind w:right="12" w:hanging="360"/>
        <w:jc w:val="both"/>
        <w:rPr>
          <w:rFonts w:ascii="Verdana" w:hAnsi="Verdana"/>
        </w:rPr>
      </w:pPr>
      <w:r w:rsidRPr="005B5CB6">
        <w:rPr>
          <w:rFonts w:ascii="Verdana" w:eastAsia="Verdana" w:hAnsi="Verdana" w:cs="Verdana"/>
        </w:rPr>
        <w:t xml:space="preserve">Challenge no. 4: Existing teaching resources focus more on media bias than online misinformation. As with the national curriculum, they do not encourage students to use their digital skills and knowledge to evaluate online content </w:t>
      </w:r>
    </w:p>
    <w:p w:rsidR="00FB0B24" w:rsidRPr="005B5CB6" w:rsidP="00575F14">
      <w:pPr>
        <w:numPr>
          <w:ilvl w:val="1"/>
          <w:numId w:val="244"/>
        </w:numPr>
        <w:spacing w:after="241" w:line="250" w:lineRule="auto"/>
        <w:ind w:right="12" w:hanging="360"/>
        <w:jc w:val="both"/>
        <w:rPr>
          <w:rFonts w:ascii="Verdana" w:hAnsi="Verdana"/>
        </w:rPr>
      </w:pPr>
      <w:r w:rsidRPr="005B5CB6">
        <w:rPr>
          <w:rFonts w:ascii="Verdana" w:eastAsia="Verdana" w:hAnsi="Verdana" w:cs="Verdana"/>
        </w:rPr>
        <w:t xml:space="preserve">Challenge no. 5: Teachers need training </w:t>
      </w:r>
    </w:p>
    <w:p w:rsidR="00FB0B24" w:rsidRPr="005B5CB6" w:rsidP="00575F14">
      <w:pPr>
        <w:numPr>
          <w:ilvl w:val="0"/>
          <w:numId w:val="244"/>
        </w:numPr>
        <w:spacing w:after="299" w:line="250" w:lineRule="auto"/>
        <w:ind w:right="11" w:hanging="439"/>
        <w:jc w:val="both"/>
        <w:rPr>
          <w:rFonts w:ascii="Verdana" w:hAnsi="Verdana"/>
        </w:rPr>
      </w:pPr>
      <w:r w:rsidRPr="005B5CB6">
        <w:rPr>
          <w:rFonts w:ascii="Verdana" w:eastAsia="Verdana" w:hAnsi="Verdana" w:cs="Verdana"/>
        </w:rPr>
        <w:t>A new integrated programme in media literacy also needs to reach out to adults not in education or training. Both platforms and civil society organisations need to be incorporated into a programme that could include the provision and use of media literacy toolkits to integrate media literacy into wider social activism and services. An independent regulator or other organisation should coordinate work with the BBC and public service broadcasters, libraries, the National Literacy Trust and the tech platforms, ensuring that particular effort is made to target vulnerable and hard-to-reach groups. It seems clear that with the demands on people’s media literacy constantly outpacing what they can understand or keep up with, the media literacy gap will continue to grow unless substantial efforts are made.</w:t>
      </w:r>
      <w:r>
        <w:rPr>
          <w:rFonts w:ascii="Verdana" w:eastAsia="Verdana" w:hAnsi="Verdana" w:cs="Verdana"/>
          <w:vertAlign w:val="superscript"/>
        </w:rPr>
        <w:footnoteReference w:id="409"/>
      </w:r>
      <w:r w:rsidRPr="005B5CB6">
        <w:rPr>
          <w:rFonts w:ascii="Verdana" w:eastAsia="Verdana" w:hAnsi="Verdana" w:cs="Verdana"/>
        </w:rPr>
        <w:t xml:space="preserve"> </w:t>
      </w:r>
    </w:p>
    <w:p w:rsidR="00FB0B24" w:rsidRPr="005B5CB6" w:rsidP="00575F14">
      <w:pPr>
        <w:numPr>
          <w:ilvl w:val="0"/>
          <w:numId w:val="244"/>
        </w:numPr>
        <w:spacing w:after="307" w:line="250" w:lineRule="auto"/>
        <w:ind w:right="11" w:hanging="439"/>
        <w:jc w:val="both"/>
        <w:rPr>
          <w:rFonts w:ascii="Verdana" w:hAnsi="Verdana"/>
        </w:rPr>
      </w:pPr>
      <w:r w:rsidRPr="005B5CB6">
        <w:rPr>
          <w:rFonts w:ascii="Verdana" w:eastAsia="Verdana" w:hAnsi="Verdana" w:cs="Verdana"/>
        </w:rPr>
        <w:t>As Professor Sonia Livingstone has stressed, when embarking on any efforts to improve public understanding we should be mindful of the extent to which we ‘responsibilise’ the individual: the politics of media literacy risks not only burdening but also blaming the individual for the problems of our highly complex digital environment.</w:t>
      </w:r>
      <w:r>
        <w:rPr>
          <w:rFonts w:ascii="Verdana" w:eastAsia="Verdana" w:hAnsi="Verdana" w:cs="Verdana"/>
          <w:vertAlign w:val="superscript"/>
        </w:rPr>
        <w:footnoteReference w:id="410"/>
      </w:r>
      <w:r w:rsidRPr="005B5CB6">
        <w:rPr>
          <w:rFonts w:ascii="Verdana" w:eastAsia="Verdana" w:hAnsi="Verdana" w:cs="Verdana"/>
        </w:rPr>
        <w:t xml:space="preserve"> </w:t>
      </w:r>
    </w:p>
    <w:p w:rsidR="00FB0B24" w:rsidRPr="005B5CB6" w:rsidP="00CF6BAD">
      <w:pPr>
        <w:spacing w:after="271" w:line="249" w:lineRule="auto"/>
        <w:ind w:left="-2" w:hanging="10"/>
        <w:jc w:val="both"/>
        <w:rPr>
          <w:rFonts w:ascii="Verdana" w:hAnsi="Verdana"/>
        </w:rPr>
      </w:pPr>
      <w:r w:rsidRPr="005B5CB6">
        <w:rPr>
          <w:rFonts w:ascii="Verdana" w:eastAsia="Verdana" w:hAnsi="Verdana" w:cs="Verdana"/>
          <w:b/>
        </w:rPr>
        <w:t xml:space="preserve">Would greater transparency in the online spending and campaigning of political groups improve the electoral process in the UK by ensuring accountability, and if so what should this transparency look like? </w:t>
      </w:r>
    </w:p>
    <w:p w:rsidR="00FB0B24" w:rsidRPr="005B5CB6" w:rsidP="00575F14">
      <w:pPr>
        <w:numPr>
          <w:ilvl w:val="0"/>
          <w:numId w:val="244"/>
        </w:numPr>
        <w:spacing w:after="270" w:line="250" w:lineRule="auto"/>
        <w:ind w:right="11" w:hanging="439"/>
        <w:jc w:val="both"/>
        <w:rPr>
          <w:rFonts w:ascii="Verdana" w:hAnsi="Verdana"/>
        </w:rPr>
      </w:pPr>
      <w:r w:rsidRPr="005B5CB6">
        <w:rPr>
          <w:rFonts w:ascii="Verdana" w:eastAsia="Verdana" w:hAnsi="Verdana" w:cs="Verdana"/>
        </w:rPr>
        <w:t xml:space="preserve">As outlined above, the regulatory framework dealing with election campaigning in the UK aims to ensure a fair playing field primarily by regulating and making </w:t>
      </w:r>
      <w:r w:rsidRPr="005B5CB6">
        <w:rPr>
          <w:rFonts w:ascii="Verdana" w:eastAsia="Verdana" w:hAnsi="Verdana" w:cs="Verdana"/>
        </w:rPr>
        <w:t xml:space="preserve">transparent the amount of money that political parties and other campaigners spend, and the amount of time they are given on broadcast media. It is therefore crucial that online spending and campaigning should be reported in detail to improve transparency.   </w:t>
      </w:r>
    </w:p>
    <w:p w:rsidR="00FB0B24" w:rsidRPr="005B5CB6" w:rsidP="00575F14">
      <w:pPr>
        <w:numPr>
          <w:ilvl w:val="0"/>
          <w:numId w:val="244"/>
        </w:numPr>
        <w:spacing w:after="713" w:line="250" w:lineRule="auto"/>
        <w:ind w:right="11" w:hanging="439"/>
        <w:jc w:val="both"/>
        <w:rPr>
          <w:rFonts w:ascii="Verdana" w:hAnsi="Verdana"/>
        </w:rPr>
      </w:pPr>
      <w:r w:rsidRPr="005B5CB6">
        <w:rPr>
          <w:rFonts w:ascii="Verdana" w:eastAsia="Verdana" w:hAnsi="Verdana" w:cs="Verdana"/>
        </w:rPr>
        <w:t>While Facebook has increased its monitoring and identification of political advertising to enforce its existing guidelines,</w:t>
      </w:r>
      <w:r>
        <w:rPr>
          <w:rFonts w:ascii="Verdana" w:eastAsia="Verdana" w:hAnsi="Verdana" w:cs="Verdana"/>
          <w:vertAlign w:val="superscript"/>
        </w:rPr>
        <w:footnoteReference w:id="411"/>
      </w:r>
      <w:r w:rsidRPr="005B5CB6">
        <w:rPr>
          <w:rFonts w:ascii="Verdana" w:eastAsia="Verdana" w:hAnsi="Verdana" w:cs="Verdana"/>
        </w:rPr>
        <w:t xml:space="preserve">  these efforts lack transparency and are no substitute for publicly accountable regulation. Regulators themselves have recognised this and have argued for increased powers: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99578" name="Group 59957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573" name="Shape 63657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25" style="height:0.6pt;mso-position-horizontal-relative:char;mso-position-vertical-relative:line;width:2in" coordsize="18288,76">
                <v:shape id="_x0000_s1426"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575F14">
      <w:pPr>
        <w:numPr>
          <w:ilvl w:val="1"/>
          <w:numId w:val="246"/>
        </w:numPr>
        <w:spacing w:after="26" w:line="250" w:lineRule="auto"/>
        <w:ind w:right="11" w:hanging="360"/>
        <w:jc w:val="both"/>
        <w:rPr>
          <w:rFonts w:ascii="Verdana" w:hAnsi="Verdana"/>
        </w:rPr>
      </w:pPr>
      <w:r w:rsidRPr="005B5CB6">
        <w:rPr>
          <w:rFonts w:ascii="Verdana" w:eastAsia="Verdana" w:hAnsi="Verdana" w:cs="Verdana"/>
        </w:rPr>
        <w:t>In 2018, the Electoral Commission called for increased transparency on who is paying for online political advertisements, clearer reporting requirements on how political parties spend their money and the power to levy larger fines on those who break the rules.</w:t>
      </w:r>
      <w:r>
        <w:rPr>
          <w:rFonts w:ascii="Verdana" w:eastAsia="Verdana" w:hAnsi="Verdana" w:cs="Verdana"/>
          <w:vertAlign w:val="superscript"/>
        </w:rPr>
        <w:footnoteReference w:id="412"/>
      </w:r>
      <w:r w:rsidRPr="005B5CB6">
        <w:rPr>
          <w:rFonts w:ascii="Verdana" w:eastAsia="Verdana" w:hAnsi="Verdana" w:cs="Verdana"/>
        </w:rPr>
        <w:t xml:space="preserve"> </w:t>
      </w:r>
    </w:p>
    <w:p w:rsidR="00FB0B24" w:rsidRPr="005B5CB6" w:rsidP="00575F14">
      <w:pPr>
        <w:numPr>
          <w:ilvl w:val="1"/>
          <w:numId w:val="246"/>
        </w:numPr>
        <w:spacing w:after="308" w:line="250" w:lineRule="auto"/>
        <w:ind w:right="11" w:hanging="360"/>
        <w:jc w:val="both"/>
        <w:rPr>
          <w:rFonts w:ascii="Verdana" w:hAnsi="Verdana"/>
        </w:rPr>
      </w:pPr>
      <w:r w:rsidRPr="005B5CB6">
        <w:rPr>
          <w:rFonts w:ascii="Verdana" w:eastAsia="Verdana" w:hAnsi="Verdana" w:cs="Verdana"/>
        </w:rPr>
        <w:t>In the same year, the Information Commissioner’s Office’s report, Democracy Disrupted, said there was a ‘significant shortfall in transparency’ and made policy recommendations for addressing ‘personal information and political influence’.</w:t>
      </w:r>
      <w:r>
        <w:rPr>
          <w:rFonts w:ascii="Verdana" w:eastAsia="Verdana" w:hAnsi="Verdana" w:cs="Verdana"/>
          <w:vertAlign w:val="superscript"/>
        </w:rPr>
        <w:footnoteReference w:id="413"/>
      </w:r>
      <w:r w:rsidRPr="005B5CB6">
        <w:rPr>
          <w:rFonts w:ascii="Verdana" w:eastAsia="Verdana" w:hAnsi="Verdana" w:cs="Verdana"/>
        </w:rPr>
        <w:t xml:space="preserve">  </w:t>
      </w:r>
    </w:p>
    <w:p w:rsidR="00FB0B24" w:rsidRPr="005B5CB6" w:rsidP="00575F14">
      <w:pPr>
        <w:numPr>
          <w:ilvl w:val="0"/>
          <w:numId w:val="244"/>
        </w:numPr>
        <w:spacing w:after="299" w:line="250" w:lineRule="auto"/>
        <w:ind w:right="11" w:hanging="439"/>
        <w:jc w:val="both"/>
        <w:rPr>
          <w:rFonts w:ascii="Verdana" w:hAnsi="Verdana"/>
        </w:rPr>
      </w:pPr>
      <w:r w:rsidRPr="005B5CB6">
        <w:rPr>
          <w:rFonts w:ascii="Verdana" w:eastAsia="Verdana" w:hAnsi="Verdana" w:cs="Verdana"/>
        </w:rPr>
        <w:t>The public has limited awareness of how individuals are targeted by political parties. Ofcom evidence suggests that while people may be aware that their data are being used to allow third parties to tailor messages to them, they know less about the data brokerage systems and involvement of third parties and how the data are used or monetised.</w:t>
      </w:r>
      <w:r>
        <w:rPr>
          <w:rFonts w:ascii="Verdana" w:eastAsia="Verdana" w:hAnsi="Verdana" w:cs="Verdana"/>
          <w:vertAlign w:val="superscript"/>
        </w:rPr>
        <w:footnoteReference w:id="414"/>
      </w:r>
      <w:r w:rsidRPr="005B5CB6">
        <w:rPr>
          <w:rFonts w:ascii="Verdana" w:eastAsia="Verdana" w:hAnsi="Verdana" w:cs="Verdana"/>
        </w:rPr>
        <w:t xml:space="preserve"> We support the Electoral Commission’s call to make it clear to voters who is paying to influence them online.</w:t>
      </w:r>
      <w:r>
        <w:rPr>
          <w:rFonts w:ascii="Verdana" w:eastAsia="Verdana" w:hAnsi="Verdana" w:cs="Verdana"/>
          <w:vertAlign w:val="superscript"/>
        </w:rPr>
        <w:footnoteReference w:id="415"/>
      </w:r>
      <w:r w:rsidRPr="005B5CB6">
        <w:rPr>
          <w:rFonts w:ascii="Verdana" w:eastAsia="Verdana" w:hAnsi="Verdana" w:cs="Verdana"/>
        </w:rPr>
        <w:t xml:space="preserve">  </w:t>
      </w:r>
    </w:p>
    <w:p w:rsidR="00FB0B24" w:rsidRPr="005B5CB6" w:rsidP="00575F14">
      <w:pPr>
        <w:numPr>
          <w:ilvl w:val="0"/>
          <w:numId w:val="244"/>
        </w:numPr>
        <w:spacing w:after="270" w:line="250" w:lineRule="auto"/>
        <w:ind w:right="11" w:hanging="439"/>
        <w:jc w:val="both"/>
        <w:rPr>
          <w:rFonts w:ascii="Verdana" w:hAnsi="Verdana"/>
        </w:rPr>
      </w:pPr>
      <w:r w:rsidRPr="005B5CB6">
        <w:rPr>
          <w:rFonts w:ascii="Verdana" w:eastAsia="Verdana" w:hAnsi="Verdana" w:cs="Verdana"/>
        </w:rPr>
        <w:t xml:space="preserve">The ability to target specific people within a particular geographic area gives parties the opportunity to focus their attention on marginal voters in marginal constituencies. This means, in practice, that parties can direct significant effort – and therefore spending –at a small number of crucial seats. Yet, though the social media spending may be targeted directly at those constituencies, and at particular voters within those constituencies, the spending can currently be </w:t>
      </w:r>
      <w:r w:rsidRPr="005B5CB6">
        <w:rPr>
          <w:rFonts w:ascii="Verdana" w:eastAsia="Verdana" w:hAnsi="Verdana" w:cs="Verdana"/>
        </w:rPr>
        <w:t xml:space="preserve">defined as national, for which limits are set far higher than for constituency spending. This necessarily undermines the principle of a level playing field at a local level. </w:t>
      </w:r>
    </w:p>
    <w:p w:rsidR="00FB0B24" w:rsidRPr="005B5CB6" w:rsidP="00CF6BAD">
      <w:pPr>
        <w:spacing w:after="271" w:line="249" w:lineRule="auto"/>
        <w:ind w:left="-2" w:hanging="10"/>
        <w:jc w:val="both"/>
        <w:rPr>
          <w:rFonts w:ascii="Verdana" w:hAnsi="Verdana"/>
        </w:rPr>
      </w:pPr>
      <w:r w:rsidRPr="005B5CB6">
        <w:rPr>
          <w:rFonts w:ascii="Verdana" w:eastAsia="Verdana" w:hAnsi="Verdana" w:cs="Verdana"/>
          <w:b/>
        </w:rPr>
        <w:t xml:space="preserve">What effect does online targeted advertising have on the political process, and what effects could it have in the future? Should there be additional regulation of political advertising? </w:t>
      </w:r>
    </w:p>
    <w:p w:rsidR="00FB0B24" w:rsidRPr="005B5CB6" w:rsidP="00575F14">
      <w:pPr>
        <w:numPr>
          <w:ilvl w:val="0"/>
          <w:numId w:val="244"/>
        </w:numPr>
        <w:spacing w:after="791" w:line="250" w:lineRule="auto"/>
        <w:ind w:right="11" w:hanging="439"/>
        <w:jc w:val="both"/>
        <w:rPr>
          <w:rFonts w:ascii="Verdana" w:hAnsi="Verdana"/>
        </w:rPr>
      </w:pPr>
      <w:r w:rsidRPr="005B5CB6">
        <w:rPr>
          <w:rFonts w:ascii="Verdana" w:eastAsia="Verdana" w:hAnsi="Verdana" w:cs="Verdana"/>
        </w:rPr>
        <w:t xml:space="preserve">Message targeting encourages contact and engagement only with those who are deemed worthy of political campaigning, for example those in marginal seats or judged to be undecided voters. This begs the question as to what happens to those who are not regarded as strategically important. Groups less likely to vote risk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599246" name="Group 59924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581" name="Shape 63658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27" style="height:0.6pt;mso-position-horizontal-relative:char;mso-position-vertical-relative:line;width:2in" coordsize="18288,76">
                <v:shape id="_x0000_s1428"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CF6BAD">
      <w:pPr>
        <w:spacing w:after="270" w:line="250" w:lineRule="auto"/>
        <w:ind w:left="23" w:right="11" w:hanging="8"/>
        <w:jc w:val="both"/>
        <w:rPr>
          <w:rFonts w:ascii="Verdana" w:hAnsi="Verdana"/>
        </w:rPr>
      </w:pPr>
      <w:r w:rsidRPr="005B5CB6">
        <w:rPr>
          <w:rFonts w:ascii="Verdana" w:eastAsia="Verdana" w:hAnsi="Verdana" w:cs="Verdana"/>
        </w:rPr>
        <w:t xml:space="preserve">being further disenfranchised if they do not see campaign messages, and there is also a risk of a compounding effect.  </w:t>
      </w:r>
    </w:p>
    <w:p w:rsidR="00FB0B24" w:rsidRPr="005B5CB6" w:rsidP="00575F14">
      <w:pPr>
        <w:numPr>
          <w:ilvl w:val="0"/>
          <w:numId w:val="244"/>
        </w:numPr>
        <w:spacing w:after="299" w:line="250" w:lineRule="auto"/>
        <w:ind w:right="11" w:hanging="439"/>
        <w:jc w:val="both"/>
        <w:rPr>
          <w:rFonts w:ascii="Verdana" w:hAnsi="Verdana"/>
        </w:rPr>
      </w:pPr>
      <w:r w:rsidRPr="005B5CB6">
        <w:rPr>
          <w:rFonts w:ascii="Verdana" w:eastAsia="Verdana" w:hAnsi="Verdana" w:cs="Verdana"/>
        </w:rPr>
        <w:t>Data on past elections are often used as a guide to inform future campaigning, so groups which are seen as not worth the resources are likely to be bypassed in the future, while those already seen as ‘decided’ are likely to receive information only from their affiliated party, if at all (as it might be considered a waste of resources). If democratic societies flourish through the free flow of information which in turn allows citizens to consider issues on balance, then any move to restrict information flow might exacerbate polarization. As Karpf (2012) noted, advances in technology which allow message targeting remove a “beneficial inefficiency” that has in fact aided the public sphere.</w:t>
      </w:r>
      <w:r>
        <w:rPr>
          <w:rFonts w:ascii="Verdana" w:eastAsia="Verdana" w:hAnsi="Verdana" w:cs="Verdana"/>
          <w:vertAlign w:val="superscript"/>
        </w:rPr>
        <w:footnoteReference w:id="416"/>
      </w:r>
      <w:r w:rsidRPr="005B5CB6">
        <w:rPr>
          <w:rFonts w:ascii="Verdana" w:eastAsia="Verdana" w:hAnsi="Verdana" w:cs="Verdana"/>
        </w:rPr>
        <w:t xml:space="preserve"> </w:t>
      </w:r>
    </w:p>
    <w:p w:rsidR="00FB0B24" w:rsidRPr="005B5CB6" w:rsidP="00575F14">
      <w:pPr>
        <w:numPr>
          <w:ilvl w:val="0"/>
          <w:numId w:val="244"/>
        </w:numPr>
        <w:spacing w:after="269" w:line="250" w:lineRule="auto"/>
        <w:ind w:right="11" w:hanging="439"/>
        <w:jc w:val="both"/>
        <w:rPr>
          <w:rFonts w:ascii="Verdana" w:hAnsi="Verdana"/>
        </w:rPr>
      </w:pPr>
      <w:r w:rsidRPr="005B5CB6">
        <w:rPr>
          <w:rFonts w:ascii="Verdana" w:eastAsia="Verdana" w:hAnsi="Verdana" w:cs="Verdana"/>
        </w:rPr>
        <w:t>The ability to micro-target political messages also increases the likelihood that parties and candidates campaign on wedge issues, which are highly divisive in a public forum but also have the ability to mobilize voters such as matters on immigration and welfare.</w:t>
      </w:r>
      <w:r>
        <w:rPr>
          <w:rFonts w:ascii="Verdana" w:eastAsia="Verdana" w:hAnsi="Verdana" w:cs="Verdana"/>
          <w:vertAlign w:val="superscript"/>
        </w:rPr>
        <w:footnoteReference w:id="417"/>
      </w:r>
      <w:r w:rsidRPr="005B5CB6">
        <w:rPr>
          <w:rFonts w:ascii="Verdana" w:eastAsia="Verdana" w:hAnsi="Verdana" w:cs="Verdana"/>
        </w:rPr>
        <w:t xml:space="preserve"> Research in the U.S has shown that candidates are more likely to campaign on these wedge issues when the forum is not public.</w:t>
      </w:r>
      <w:r>
        <w:rPr>
          <w:rFonts w:ascii="Verdana" w:eastAsia="Verdana" w:hAnsi="Verdana" w:cs="Verdana"/>
          <w:vertAlign w:val="superscript"/>
        </w:rPr>
        <w:footnoteReference w:id="418"/>
      </w:r>
      <w:r w:rsidRPr="005B5CB6">
        <w:rPr>
          <w:rFonts w:ascii="Verdana" w:eastAsia="Verdana" w:hAnsi="Verdana" w:cs="Verdana"/>
        </w:rPr>
        <w:t xml:space="preserve"> This raises questions about the impact this type of precise hidden campaigning and asymmetric informational flows has on the polarization of citizens. Message targeting speaks to the individual concerns of citizens as part of a group. The legitimate concerns of opposing groups are discredited or dismissed. Because </w:t>
      </w:r>
      <w:r w:rsidRPr="005B5CB6">
        <w:rPr>
          <w:rFonts w:ascii="Verdana" w:eastAsia="Verdana" w:hAnsi="Verdana" w:cs="Verdana"/>
        </w:rPr>
        <w:t xml:space="preserve">these messages are being played out largely in secret, they cannot be challenged or fact checked. </w:t>
      </w:r>
    </w:p>
    <w:p w:rsidR="00FB0B24" w:rsidRPr="005B5CB6" w:rsidP="00575F14">
      <w:pPr>
        <w:numPr>
          <w:ilvl w:val="0"/>
          <w:numId w:val="244"/>
        </w:numPr>
        <w:spacing w:after="270" w:line="250" w:lineRule="auto"/>
        <w:ind w:right="11" w:hanging="439"/>
        <w:jc w:val="both"/>
        <w:rPr>
          <w:rFonts w:ascii="Verdana" w:hAnsi="Verdana"/>
        </w:rPr>
      </w:pPr>
      <w:r w:rsidRPr="005B5CB6">
        <w:rPr>
          <w:rFonts w:ascii="Verdana" w:eastAsia="Verdana" w:hAnsi="Verdana" w:cs="Verdana"/>
        </w:rPr>
        <w:t xml:space="preserve">Ultimately, electoral regulation in the UK is diffuse and unfit for purpose, and spread across a number of institutions resulting in regulatory blind spots. The selfregulatory arrangement in place for political advertising is not sustainable when social media are making paid advertising content a much more important element in the UK’s political communication.  </w:t>
      </w:r>
    </w:p>
    <w:p w:rsidR="00FB0B24" w:rsidRPr="005B5CB6" w:rsidP="00575F14">
      <w:pPr>
        <w:numPr>
          <w:ilvl w:val="0"/>
          <w:numId w:val="244"/>
        </w:numPr>
        <w:spacing w:after="445" w:line="250" w:lineRule="auto"/>
        <w:ind w:right="11" w:hanging="439"/>
        <w:jc w:val="both"/>
        <w:rPr>
          <w:rFonts w:ascii="Verdana" w:hAnsi="Verdana"/>
        </w:rPr>
      </w:pPr>
      <w:r w:rsidRPr="005B5CB6">
        <w:rPr>
          <w:rFonts w:ascii="Verdana" w:eastAsia="Verdana" w:hAnsi="Verdana" w:cs="Verdana"/>
        </w:rPr>
        <w:t xml:space="preserve">In the Truth, Trust and Technology report, we said the Government should act urgently to introduce legislation supporting a mandatory code for political advertising before the next election. In addition, the Government should introduce legislation to enable the Advertising Standards Authority (ASA) and the Electoral Commission to create a new standards code for political advertising online. A regulator should help to coordinate evaluation of the impacts of micro-targeting (as well as general advertising) to ensure that guidelines and limits are appropriate for use in political contexts.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600576" name="Group 60057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591" name="Shape 63659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29" style="height:0.6pt;mso-position-horizontal-relative:char;mso-position-vertical-relative:line;width:2in" coordsize="18288,76">
                <v:shape id="_x0000_s1430"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575F14">
      <w:pPr>
        <w:numPr>
          <w:ilvl w:val="0"/>
          <w:numId w:val="244"/>
        </w:numPr>
        <w:spacing w:after="309" w:line="250" w:lineRule="auto"/>
        <w:ind w:right="11" w:hanging="439"/>
        <w:jc w:val="both"/>
        <w:rPr>
          <w:rFonts w:ascii="Verdana" w:hAnsi="Verdana"/>
        </w:rPr>
      </w:pPr>
      <w:r w:rsidRPr="005B5CB6">
        <w:rPr>
          <w:rFonts w:ascii="Verdana" w:eastAsia="Verdana" w:hAnsi="Verdana" w:cs="Verdana"/>
        </w:rPr>
        <w:t>A regulator should also help to encourage the introduction of a UK political advertising directory and monitor outcomes of the initiatives of relevant institutions to ensure that databases such as Google’s and Facebook’s Ad Libraries are independently overseen. As Privacy International stresses in its recent report, companies should provide users with meaningful, granular information about why they are being targeted by an advertiser or a campaign, and allow access to much more information than is currently available.</w:t>
      </w:r>
      <w:r>
        <w:rPr>
          <w:rFonts w:ascii="Verdana" w:eastAsia="Verdana" w:hAnsi="Verdana" w:cs="Verdana"/>
          <w:vertAlign w:val="superscript"/>
        </w:rPr>
        <w:footnoteReference w:id="419"/>
      </w:r>
      <w:r w:rsidRPr="005B5CB6">
        <w:rPr>
          <w:rFonts w:ascii="Verdana" w:eastAsia="Verdana" w:hAnsi="Verdana" w:cs="Verdana"/>
        </w:rPr>
        <w:t xml:space="preserve"> Mozilla has compiled a list of guidelines, endorsed by dozens of researchers, that platforms’ ad archive APIs “must meet in order to truly support election influence monitoring and independent research.”</w:t>
      </w:r>
      <w:r>
        <w:rPr>
          <w:rFonts w:ascii="Verdana" w:eastAsia="Verdana" w:hAnsi="Verdana" w:cs="Verdana"/>
          <w:vertAlign w:val="superscript"/>
        </w:rPr>
        <w:footnoteReference w:id="420"/>
      </w:r>
      <w:r w:rsidRPr="005B5CB6">
        <w:rPr>
          <w:rFonts w:ascii="Verdana" w:eastAsia="Verdana" w:hAnsi="Verdana" w:cs="Verdana"/>
        </w:rPr>
        <w:t xml:space="preserve"> </w:t>
      </w:r>
    </w:p>
    <w:p w:rsidR="00FB0B24" w:rsidRPr="005B5CB6" w:rsidP="00575F14">
      <w:pPr>
        <w:numPr>
          <w:ilvl w:val="0"/>
          <w:numId w:val="244"/>
        </w:numPr>
        <w:spacing w:after="270" w:line="250" w:lineRule="auto"/>
        <w:ind w:right="11" w:hanging="439"/>
        <w:jc w:val="both"/>
        <w:rPr>
          <w:rFonts w:ascii="Verdana" w:hAnsi="Verdana"/>
        </w:rPr>
      </w:pPr>
      <w:r w:rsidRPr="005B5CB6">
        <w:rPr>
          <w:rFonts w:ascii="Verdana" w:eastAsia="Verdana" w:hAnsi="Verdana" w:cs="Verdana"/>
        </w:rPr>
        <w:t xml:space="preserve">The Electoral Commission needs the powers to act quickly in response to emerging risks including requiring spending information and accountability on online advertisements during elections and referendums by foreign organisations and individuals. Legislation is needed to ensure greater transparency of the sources of information produced and circulated on the platforms during an election. Legislation should include provisions, subject to assessment of impact, for levying heavier fines on organisations or individuals who break the law.  </w:t>
      </w:r>
    </w:p>
    <w:p w:rsidR="00FB0B24" w:rsidRPr="005B5CB6" w:rsidP="00575F14">
      <w:pPr>
        <w:numPr>
          <w:ilvl w:val="0"/>
          <w:numId w:val="244"/>
        </w:numPr>
        <w:spacing w:after="266" w:line="250" w:lineRule="auto"/>
        <w:ind w:right="11" w:hanging="439"/>
        <w:jc w:val="both"/>
        <w:rPr>
          <w:rFonts w:ascii="Verdana" w:hAnsi="Verdana"/>
        </w:rPr>
      </w:pPr>
      <w:r w:rsidRPr="005B5CB6">
        <w:rPr>
          <w:rFonts w:ascii="Verdana" w:eastAsia="Verdana" w:hAnsi="Verdana" w:cs="Verdana"/>
        </w:rPr>
        <w:t xml:space="preserve">We also recommend: </w:t>
      </w:r>
    </w:p>
    <w:p w:rsidR="00FB0B24" w:rsidRPr="005B5CB6" w:rsidP="00575F14">
      <w:pPr>
        <w:numPr>
          <w:ilvl w:val="1"/>
          <w:numId w:val="245"/>
        </w:numPr>
        <w:spacing w:after="5" w:line="250" w:lineRule="auto"/>
        <w:ind w:right="11" w:hanging="360"/>
        <w:jc w:val="both"/>
        <w:rPr>
          <w:rFonts w:ascii="Verdana" w:hAnsi="Verdana"/>
        </w:rPr>
      </w:pPr>
      <w:r w:rsidRPr="005B5CB6">
        <w:rPr>
          <w:rFonts w:ascii="Verdana" w:eastAsia="Verdana" w:hAnsi="Verdana" w:cs="Verdana"/>
        </w:rPr>
        <w:t xml:space="preserve">Aligning the constraints on television advertising with the lack of constraints online </w:t>
      </w:r>
    </w:p>
    <w:p w:rsidR="00FB0B24" w:rsidRPr="005B5CB6" w:rsidP="00575F14">
      <w:pPr>
        <w:numPr>
          <w:ilvl w:val="1"/>
          <w:numId w:val="245"/>
        </w:numPr>
        <w:spacing w:after="5" w:line="250" w:lineRule="auto"/>
        <w:ind w:right="11" w:hanging="360"/>
        <w:jc w:val="both"/>
        <w:rPr>
          <w:rFonts w:ascii="Verdana" w:hAnsi="Verdana"/>
        </w:rPr>
      </w:pPr>
      <w:r w:rsidRPr="005B5CB6">
        <w:rPr>
          <w:rFonts w:ascii="Verdana" w:eastAsia="Verdana" w:hAnsi="Verdana" w:cs="Verdana"/>
        </w:rPr>
        <w:t xml:space="preserve">Clarifying guidance for the use of targeted messaging online, particularly with regards to enabling transparency and public scrutiny </w:t>
      </w:r>
    </w:p>
    <w:p w:rsidR="00FB0B24" w:rsidRPr="005B5CB6" w:rsidP="00575F14">
      <w:pPr>
        <w:numPr>
          <w:ilvl w:val="1"/>
          <w:numId w:val="245"/>
        </w:numPr>
        <w:spacing w:after="5" w:line="250" w:lineRule="auto"/>
        <w:ind w:right="11" w:hanging="360"/>
        <w:jc w:val="both"/>
        <w:rPr>
          <w:rFonts w:ascii="Verdana" w:hAnsi="Verdana"/>
        </w:rPr>
      </w:pPr>
      <w:r w:rsidRPr="005B5CB6">
        <w:rPr>
          <w:rFonts w:ascii="Verdana" w:eastAsia="Verdana" w:hAnsi="Verdana" w:cs="Verdana"/>
        </w:rPr>
        <w:t xml:space="preserve">Obliging platforms to offer equal access and equivalent services to campaigners at equal pricing </w:t>
      </w:r>
    </w:p>
    <w:p w:rsidR="00FB0B24" w:rsidRPr="005B5CB6" w:rsidP="00575F14">
      <w:pPr>
        <w:numPr>
          <w:ilvl w:val="1"/>
          <w:numId w:val="245"/>
        </w:numPr>
        <w:spacing w:after="270" w:line="250" w:lineRule="auto"/>
        <w:ind w:right="11" w:hanging="360"/>
        <w:jc w:val="both"/>
        <w:rPr>
          <w:rFonts w:ascii="Verdana" w:hAnsi="Verdana"/>
        </w:rPr>
      </w:pPr>
      <w:r w:rsidRPr="005B5CB6">
        <w:rPr>
          <w:rFonts w:ascii="Verdana" w:eastAsia="Verdana" w:hAnsi="Verdana" w:cs="Verdana"/>
        </w:rPr>
        <w:t xml:space="preserve">Encouraging self-regulation by candidates and parties of campaign messaging online, in order to reassure voters that campaigns will not adopt intrusive or manipulative propaganda techniques </w:t>
      </w:r>
    </w:p>
    <w:p w:rsidR="00FB0B24" w:rsidRPr="005B5CB6" w:rsidP="00575F14">
      <w:pPr>
        <w:numPr>
          <w:ilvl w:val="0"/>
          <w:numId w:val="244"/>
        </w:numPr>
        <w:spacing w:after="270" w:line="250" w:lineRule="auto"/>
        <w:ind w:right="11" w:hanging="439"/>
        <w:jc w:val="both"/>
        <w:rPr>
          <w:rFonts w:ascii="Verdana" w:hAnsi="Verdana"/>
        </w:rPr>
      </w:pPr>
      <w:r w:rsidRPr="005B5CB6">
        <w:rPr>
          <w:rFonts w:ascii="Verdana" w:eastAsia="Verdana" w:hAnsi="Verdana" w:cs="Verdana"/>
        </w:rPr>
        <w:t xml:space="preserve">If the policy framework is not updated, the ability of ‘rules of the game’ to ensure that elections are free, fair and legitimate will increasingly be called into question. The UK should not find itself having to go to the polls again before the legislative framework is modernised.  </w:t>
      </w:r>
    </w:p>
    <w:p w:rsidR="00FB0B24" w:rsidRPr="005B5CB6" w:rsidP="00CF6BAD">
      <w:pPr>
        <w:spacing w:after="270" w:line="250" w:lineRule="auto"/>
        <w:ind w:left="11" w:hanging="10"/>
        <w:jc w:val="both"/>
        <w:rPr>
          <w:rFonts w:ascii="Verdana" w:hAnsi="Verdana"/>
        </w:rPr>
      </w:pPr>
      <w:r w:rsidRPr="005B5CB6">
        <w:rPr>
          <w:rFonts w:ascii="Verdana" w:eastAsia="Verdana" w:hAnsi="Verdana" w:cs="Verdana"/>
          <w:b/>
        </w:rPr>
        <w:t xml:space="preserve">What might be the best ways of reducing the effects of misinformation on social media platforms? </w:t>
      </w:r>
    </w:p>
    <w:p w:rsidR="00FB0B24" w:rsidRPr="005B5CB6" w:rsidP="00575F14">
      <w:pPr>
        <w:numPr>
          <w:ilvl w:val="0"/>
          <w:numId w:val="244"/>
        </w:numPr>
        <w:spacing w:after="135" w:line="250" w:lineRule="auto"/>
        <w:ind w:right="11" w:hanging="439"/>
        <w:jc w:val="both"/>
        <w:rPr>
          <w:rFonts w:ascii="Verdana" w:hAnsi="Verdana"/>
        </w:rPr>
      </w:pPr>
      <w:r w:rsidRPr="005B5CB6">
        <w:rPr>
          <w:rFonts w:ascii="Verdana" w:eastAsia="Verdana" w:hAnsi="Verdana" w:cs="Verdana"/>
        </w:rPr>
        <w:t xml:space="preserve">Key to reducing the effects of misinformation is limiting its reach. An important step for tech companies is to recognise their responsibility for amplifying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600235" name="Group 60023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603" name="Shape 63660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31" style="height:0.6pt;mso-position-horizontal-relative:char;mso-position-vertical-relative:line;width:2in" coordsize="18288,76">
                <v:shape id="_x0000_s1432"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CF6BAD">
      <w:pPr>
        <w:spacing w:after="301" w:line="250" w:lineRule="auto"/>
        <w:ind w:left="23" w:right="11" w:hanging="8"/>
        <w:jc w:val="both"/>
        <w:rPr>
          <w:rFonts w:ascii="Verdana" w:hAnsi="Verdana"/>
        </w:rPr>
      </w:pPr>
      <w:r w:rsidRPr="005B5CB6">
        <w:rPr>
          <w:rFonts w:ascii="Verdana" w:eastAsia="Verdana" w:hAnsi="Verdana" w:cs="Verdana"/>
        </w:rPr>
        <w:t>misinformation through their recommendations. This is gradually starting to happen, but there is a long way to go in defining and establishing the boundaries between free speech and free reach.</w:t>
      </w:r>
      <w:r>
        <w:rPr>
          <w:rFonts w:ascii="Verdana" w:eastAsia="Verdana" w:hAnsi="Verdana" w:cs="Verdana"/>
          <w:vertAlign w:val="superscript"/>
        </w:rPr>
        <w:footnoteReference w:id="421"/>
      </w:r>
      <w:r w:rsidRPr="005B5CB6">
        <w:rPr>
          <w:rFonts w:ascii="Verdana" w:eastAsia="Verdana" w:hAnsi="Verdana" w:cs="Verdana"/>
        </w:rPr>
        <w:t xml:space="preserve"> </w:t>
      </w:r>
    </w:p>
    <w:p w:rsidR="00FB0B24" w:rsidRPr="005B5CB6" w:rsidP="00575F14">
      <w:pPr>
        <w:numPr>
          <w:ilvl w:val="0"/>
          <w:numId w:val="244"/>
        </w:numPr>
        <w:spacing w:after="270" w:line="250" w:lineRule="auto"/>
        <w:ind w:right="11" w:hanging="439"/>
        <w:jc w:val="both"/>
        <w:rPr>
          <w:rFonts w:ascii="Verdana" w:hAnsi="Verdana"/>
        </w:rPr>
      </w:pPr>
      <w:r w:rsidRPr="005B5CB6">
        <w:rPr>
          <w:rFonts w:ascii="Verdana" w:eastAsia="Verdana" w:hAnsi="Verdana" w:cs="Verdana"/>
        </w:rPr>
        <w:t xml:space="preserve">In an ideal world, companies would adjust their recommendation algorithms to ensure that reliable information is prioritised over the goal of achieving a high volume of engagement. As their business models are founded on attention, this is unlikely to happen quickly because the ‘attention economy’ prioritises any sort of engagement over supplying quality information.   </w:t>
      </w:r>
    </w:p>
    <w:p w:rsidR="00FB0B24" w:rsidRPr="005B5CB6" w:rsidP="00575F14">
      <w:pPr>
        <w:numPr>
          <w:ilvl w:val="0"/>
          <w:numId w:val="244"/>
        </w:numPr>
        <w:spacing w:after="269" w:line="250" w:lineRule="auto"/>
        <w:ind w:right="11" w:hanging="439"/>
        <w:jc w:val="both"/>
        <w:rPr>
          <w:rFonts w:ascii="Verdana" w:hAnsi="Verdana"/>
        </w:rPr>
      </w:pPr>
      <w:r w:rsidRPr="005B5CB6">
        <w:rPr>
          <w:rFonts w:ascii="Verdana" w:eastAsia="Verdana" w:hAnsi="Verdana" w:cs="Verdana"/>
        </w:rPr>
        <w:t>Providing links to reliable, evidence-based information, as many tech companies are now doing when users seek or encounter misinformation on vaccines, for example, is a welcome step forward. However, often a lack of information isn’t the problem.</w:t>
      </w:r>
      <w:r>
        <w:rPr>
          <w:rFonts w:ascii="Verdana" w:eastAsia="Verdana" w:hAnsi="Verdana" w:cs="Verdana"/>
          <w:vertAlign w:val="superscript"/>
        </w:rPr>
        <w:footnoteReference w:id="422"/>
      </w:r>
      <w:r w:rsidRPr="005B5CB6">
        <w:rPr>
          <w:rFonts w:ascii="Verdana" w:eastAsia="Verdana" w:hAnsi="Verdana" w:cs="Verdana"/>
        </w:rPr>
        <w:t xml:space="preserve"> There is a huge amount of evidence for the benefits of immunization, but presenting this to dedicated anti-vaxxers isn’t necessarily going to change their minds. A social media redirect to an authoritative source is </w:t>
      </w:r>
      <w:r w:rsidRPr="005B5CB6">
        <w:rPr>
          <w:rFonts w:ascii="Verdana" w:eastAsia="Verdana" w:hAnsi="Verdana" w:cs="Verdana"/>
        </w:rPr>
        <w:t xml:space="preserve">unlikely to be sufficient to have an impact on those with deeply entrenched viewpoints. </w:t>
      </w:r>
    </w:p>
    <w:p w:rsidR="00FB0B24" w:rsidRPr="005B5CB6" w:rsidP="00575F14">
      <w:pPr>
        <w:numPr>
          <w:ilvl w:val="0"/>
          <w:numId w:val="244"/>
        </w:numPr>
        <w:spacing w:after="307" w:line="250" w:lineRule="auto"/>
        <w:ind w:right="11" w:hanging="439"/>
        <w:jc w:val="both"/>
        <w:rPr>
          <w:rFonts w:ascii="Verdana" w:hAnsi="Verdana"/>
        </w:rPr>
      </w:pPr>
      <w:r w:rsidRPr="005B5CB6">
        <w:rPr>
          <w:rFonts w:ascii="Verdana" w:eastAsia="Verdana" w:hAnsi="Verdana" w:cs="Verdana"/>
        </w:rPr>
        <w:t>On a more positive note, evidence suggests that trust indicators used by news organisations can have a statistically significant effect on readers’ perceptions of the credibility of online news sources. This should be investigated and more widely implemented to differentiate between credible and unreliable sources of information.</w:t>
      </w:r>
      <w:r>
        <w:rPr>
          <w:rFonts w:ascii="Verdana" w:eastAsia="Verdana" w:hAnsi="Verdana" w:cs="Verdana"/>
          <w:vertAlign w:val="superscript"/>
        </w:rPr>
        <w:footnoteReference w:id="423"/>
      </w:r>
      <w:r w:rsidRPr="005B5CB6">
        <w:rPr>
          <w:rFonts w:ascii="Verdana" w:eastAsia="Verdana" w:hAnsi="Verdana" w:cs="Verdana"/>
        </w:rPr>
        <w:t xml:space="preserve">  </w:t>
      </w:r>
    </w:p>
    <w:p w:rsidR="00FB0B24" w:rsidRPr="005B5CB6" w:rsidP="00CF6BAD">
      <w:pPr>
        <w:spacing w:after="271" w:line="249" w:lineRule="auto"/>
        <w:ind w:left="-2" w:hanging="10"/>
        <w:jc w:val="both"/>
        <w:rPr>
          <w:rFonts w:ascii="Verdana" w:hAnsi="Verdana"/>
        </w:rPr>
      </w:pPr>
      <w:r w:rsidRPr="005B5CB6">
        <w:rPr>
          <w:rFonts w:ascii="Verdana" w:eastAsia="Verdana" w:hAnsi="Verdana" w:cs="Verdana"/>
          <w:b/>
        </w:rPr>
        <w:t xml:space="preserve">How could the moderation processes of large technology companies be improved to better tackle abuse and misinformation, as well as helping public debate flourish? </w:t>
      </w:r>
    </w:p>
    <w:p w:rsidR="00FB0B24" w:rsidRPr="005B5CB6" w:rsidP="00575F14">
      <w:pPr>
        <w:numPr>
          <w:ilvl w:val="0"/>
          <w:numId w:val="244"/>
        </w:numPr>
        <w:spacing w:after="560" w:line="250" w:lineRule="auto"/>
        <w:ind w:right="11" w:hanging="439"/>
        <w:jc w:val="both"/>
        <w:rPr>
          <w:rFonts w:ascii="Verdana" w:hAnsi="Verdana"/>
        </w:rPr>
      </w:pPr>
      <w:r w:rsidRPr="005B5CB6">
        <w:rPr>
          <w:rFonts w:ascii="Verdana" w:eastAsia="Verdana" w:hAnsi="Verdana" w:cs="Verdana"/>
        </w:rPr>
        <w:t xml:space="preserve">For a start, evidence on the incidence of abuse and misinformation and how it is moderated must be independently produced, with academic rigour, for the benefit of the public and other stakeholders, including the platforms. A regulator should play a key role in facilitating the relationship between the platforms and researchers in the UK, and provide a forum for debate with a wide range of stakeholders and the public. It should coordinate closely with research centres such as the UK Centre for Data Ethics and Innovation that has a key role in establishing codes of conduct for the future design of the technologies that support platform services.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600102" name="Group 60010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6613" name="Shape 63661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33" style="height:0.6pt;mso-position-horizontal-relative:char;mso-position-vertical-relative:line;width:2in" coordsize="18288,76">
                <v:shape id="_x0000_s1434" style="height:91;position:absolute;width:18288" coordsize="1828800,9144" path="m,l1828800,l1828800,9144l,9144l,e">
                  <v:stroke joinstyle="miter" endcap="flat" opacity="0"/>
                </v:shape>
                <w10:wrap type="none"/>
              </v:group>
            </w:pict>
          </mc:Fallback>
        </mc:AlternateContent>
      </w:r>
      <w:r w:rsidRPr="005B5CB6">
        <w:rPr>
          <w:rFonts w:ascii="Verdana" w:eastAsia="Arial" w:hAnsi="Verdana" w:cs="Arial"/>
        </w:rPr>
        <w:t xml:space="preserve"> </w:t>
      </w:r>
    </w:p>
    <w:p w:rsidR="00FB0B24" w:rsidRPr="005B5CB6" w:rsidP="00575F14">
      <w:pPr>
        <w:numPr>
          <w:ilvl w:val="0"/>
          <w:numId w:val="244"/>
        </w:numPr>
        <w:spacing w:after="270" w:line="250" w:lineRule="auto"/>
        <w:ind w:right="11" w:hanging="439"/>
        <w:jc w:val="both"/>
        <w:rPr>
          <w:rFonts w:ascii="Verdana" w:hAnsi="Verdana"/>
        </w:rPr>
      </w:pPr>
      <w:r w:rsidRPr="005B5CB6">
        <w:rPr>
          <w:rFonts w:ascii="Verdana" w:eastAsia="Verdana" w:hAnsi="Verdana" w:cs="Verdana"/>
        </w:rPr>
        <w:t xml:space="preserve">A regulator could encourage content moderation based on agreed principles and a taxonomy of misinformation, disinformation and mal-information, including hate speech, taking into account the source, content and intent of the material involved. Platforms should have a duty to identify the source and identity of posts and accounts in a way that allows anonymous, but verified, user accounts, in order to protect vulnerable categories of users and addresses used in closed apps. A regulator could oversee and monitor practices for the filtering, removal of user accounts or content, flagging, warnings, up- or down-ranking of material, and changes to algorithms or their design and accessibility. It would provide annual assessments of the outcomes of moderation activities to Parliament, the Electoral Commission, Ofcom and other relevant bodies and to the public. </w:t>
      </w:r>
    </w:p>
    <w:p w:rsidR="00FB0B24" w:rsidRPr="005B5CB6" w:rsidP="00CF6BAD">
      <w:pPr>
        <w:spacing w:after="0"/>
        <w:ind w:left="1"/>
        <w:jc w:val="both"/>
        <w:rPr>
          <w:rFonts w:ascii="Verdana" w:hAnsi="Verdana"/>
        </w:rPr>
      </w:pPr>
      <w:r w:rsidRPr="005B5CB6">
        <w:rPr>
          <w:rFonts w:ascii="Verdana" w:eastAsia="Verdana" w:hAnsi="Verdana" w:cs="Verdana"/>
        </w:rPr>
        <w:t xml:space="preserve"> </w:t>
      </w:r>
    </w:p>
    <w:p w:rsidR="00FB0B24" w:rsidRPr="005B5CB6" w:rsidP="00CF6BAD">
      <w:pPr>
        <w:jc w:val="both"/>
        <w:rPr>
          <w:rFonts w:ascii="Verdana" w:hAnsi="Verdana"/>
        </w:rPr>
        <w:sectPr w:rsidSect="00866125">
          <w:headerReference w:type="even" r:id="rId419"/>
          <w:headerReference w:type="default" r:id="rId420"/>
          <w:footerReference w:type="even" r:id="rId421"/>
          <w:footerReference w:type="default" r:id="rId422"/>
          <w:headerReference w:type="first" r:id="rId423"/>
          <w:footerReference w:type="first" r:id="rId424"/>
          <w:pgSz w:w="12240" w:h="15840"/>
          <w:pgMar w:top="1492" w:right="1438" w:bottom="1441" w:left="1440" w:header="720" w:footer="719" w:gutter="0"/>
          <w:cols w:space="720"/>
        </w:sectPr>
      </w:pPr>
    </w:p>
    <w:p w:rsidR="00FB0B24" w:rsidRPr="005B5CB6" w:rsidP="00A1624B">
      <w:pPr>
        <w:pStyle w:val="Heading1"/>
        <w:rPr>
          <w:sz w:val="22"/>
        </w:rPr>
      </w:pPr>
      <w:bookmarkStart w:id="69" w:name="_Toc44517757"/>
      <w:r w:rsidRPr="005B5CB6">
        <w:rPr>
          <w:sz w:val="22"/>
        </w:rPr>
        <w:t>Stanford History Education Group – written evidence (DAD0080)</w:t>
      </w:r>
      <w:bookmarkEnd w:id="69"/>
      <w:r w:rsidRPr="005B5CB6">
        <w:rPr>
          <w:sz w:val="22"/>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To the Members of the Committee: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My name is Sam Wineburg and I am a professor at Stanford University. I have been working on issues of digital literacy well before this phrase was on everyone’s lips (thank you, Mr. Trump). We started down this path in 2014 when my research team began noticing that otherwise clever secondary students seemed to shut off their brains the moment they went online. This observation coincided with an invitation from the Robert McCormick Foundation in Chicago to design an instrument to assess digital savvy. (I am a research psychologist by training, with an interest in new forms of tests and measurement.) The publication of our findings coincided with Mr. Trump’s election and was snapped up by news outlets all over the world, including obvious American sources like the Wall Street Journal and New York Times, as well as your own BBC and Germany’s Die Zeit.  What caused the stir was a survey we conducted of nearly 8,000 students, from ages 12 and 13 to university. We learned that students’ ability to distinguish truth from falsehood could be summarized in a single word: </w:t>
      </w:r>
      <w:r w:rsidRPr="005B5CB6">
        <w:rPr>
          <w:rFonts w:ascii="Verdana" w:eastAsia="Verdana" w:hAnsi="Verdana" w:cs="Verdana"/>
          <w:i/>
        </w:rPr>
        <w:t xml:space="preserve">bleak. </w:t>
      </w:r>
    </w:p>
    <w:p w:rsidR="00FB0B24" w:rsidRPr="005B5CB6" w:rsidP="00CF6BAD">
      <w:pPr>
        <w:spacing w:after="0"/>
        <w:jc w:val="both"/>
        <w:rPr>
          <w:rFonts w:ascii="Verdana" w:hAnsi="Verdana"/>
        </w:rPr>
      </w:pPr>
      <w:r w:rsidRPr="005B5CB6">
        <w:rPr>
          <w:rFonts w:ascii="Verdana" w:eastAsia="Verdana" w:hAnsi="Verdana" w:cs="Verdana"/>
          <w:i/>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Since this rather depressing outcome, we’ve taken the gloves off and gotten to work. With support from Google.org, we’ve field-tested an approach to digital literacy that flies in the face of the rather dated, ineffectual, and unfortunately ubiquitous “checklist approach.” In it students evaluate an online source armed with long lists of questions (e.g., is the site a dot-com or dot-org? Is an address and contact listed on its About page? is the site free of spelling errors and banner ads?). This approach plays right into the hands of rogues and bad actors who game such easily gamed factors. Our approach, in contrast, is based on research we’ve done with professional fact checkers who, when landing on an unfamiliar site, immediately leave it and consult the broader web in a strategy we call “lateral reading” (for a brief introduction see the TIME magazine article listed below).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With Google.org’s support, we are releasing a digital literacy curriculum in December focused on the kinds of skills young people will need to reach thoughtful decisions about online content. At present, people attribute so many different conceptions to the term “digital literacy” that it has virtually lost meaning. In light of this, we call what we do “Civic Online Reasoning” to stress skills that are at the core of an effective democracy in a digital age. </w:t>
      </w:r>
    </w:p>
    <w:p w:rsidR="00FB0B24" w:rsidRPr="005B5CB6" w:rsidP="00CF6BAD">
      <w:pPr>
        <w:spacing w:after="0"/>
        <w:ind w:left="1"/>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I am not optimistic about the prospect of our work making a big dent. To be sure, our field-studies will produce (and have produced) statistically significant findings (see the recent research report in your own </w:t>
      </w:r>
      <w:r w:rsidRPr="005B5CB6">
        <w:rPr>
          <w:rFonts w:ascii="Verdana" w:eastAsia="Verdana" w:hAnsi="Verdana" w:cs="Verdana"/>
          <w:i/>
        </w:rPr>
        <w:t>British Journal of Educational Psychology</w:t>
      </w:r>
      <w:r w:rsidRPr="005B5CB6">
        <w:rPr>
          <w:rFonts w:ascii="Verdana" w:eastAsia="Verdana" w:hAnsi="Verdana" w:cs="Verdana"/>
        </w:rPr>
        <w:t xml:space="preserve">, below). But whether we call this field “digital literacy” or even “Civic Online Reasoning,” the effects of such interventions will be minimal as long as it they are seen as an add-ons to the regular school curriculum. In my opinion, not until education (and educators) wake up to the digital challenge and embed these ways </w:t>
      </w:r>
      <w:r w:rsidRPr="005B5CB6">
        <w:rPr>
          <w:rFonts w:ascii="Verdana" w:eastAsia="Verdana" w:hAnsi="Verdana" w:cs="Verdana"/>
        </w:rPr>
        <w:t xml:space="preserve">of vetting information in how we teach the regular school subjects (history, science, maths) we’ll see real change. (see my </w:t>
      </w:r>
      <w:r w:rsidRPr="005B5CB6">
        <w:rPr>
          <w:rFonts w:ascii="Verdana" w:eastAsia="Verdana" w:hAnsi="Verdana" w:cs="Verdana"/>
          <w:i/>
        </w:rPr>
        <w:t>cri de coeur</w:t>
      </w:r>
      <w:r w:rsidRPr="005B5CB6">
        <w:rPr>
          <w:rFonts w:ascii="Verdana" w:eastAsia="Verdana" w:hAnsi="Verdana" w:cs="Verdana"/>
        </w:rPr>
        <w:t xml:space="preserve"> in USAToday, below).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Along with my research team, I have written about these issues in a variety of places.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49" w:lineRule="auto"/>
        <w:ind w:left="525" w:right="250" w:hanging="540"/>
        <w:jc w:val="both"/>
        <w:rPr>
          <w:rFonts w:ascii="Verdana" w:hAnsi="Verdana"/>
        </w:rPr>
      </w:pPr>
      <w:r w:rsidRPr="005B5CB6">
        <w:rPr>
          <w:rFonts w:ascii="Verdana" w:eastAsia="Verdana" w:hAnsi="Verdana" w:cs="Verdana"/>
        </w:rPr>
        <w:t xml:space="preserve">For an introduction to the original survey see WSJ report on Stanford Study </w:t>
      </w:r>
      <w:r>
        <w:fldChar w:fldCharType="begin"/>
      </w:r>
      <w:r>
        <w:instrText xml:space="preserve"> HYPERLINK "https://www.wsj.com/articles/most-students-dont-know-when-news-is-fake-stanford-study-finds-1479752576" </w:instrText>
      </w:r>
      <w:r>
        <w:fldChar w:fldCharType="separate"/>
      </w:r>
      <w:r w:rsidRPr="005B5CB6">
        <w:rPr>
          <w:rFonts w:ascii="Verdana" w:eastAsia="Verdana" w:hAnsi="Verdana" w:cs="Verdana"/>
          <w:color w:val="0563C1"/>
          <w:u w:val="single" w:color="0563C1"/>
        </w:rPr>
        <w:t>https://www.wsj.com/articles/most-students-dont-know-when-news-is-fake</w:t>
      </w:r>
      <w:r>
        <w:fldChar w:fldCharType="end"/>
      </w:r>
      <w:r>
        <w:fldChar w:fldCharType="begin"/>
      </w:r>
      <w:r>
        <w:instrText xml:space="preserve"> HYPERLINK "https://www.wsj.com/articles/most-students-dont-know-when-news-is-fake-stanford-study-finds-1479752576" </w:instrText>
      </w:r>
      <w:r>
        <w:fldChar w:fldCharType="separate"/>
      </w:r>
      <w:r w:rsidRPr="005B5CB6">
        <w:rPr>
          <w:rFonts w:ascii="Verdana" w:eastAsia="Verdana" w:hAnsi="Verdana" w:cs="Verdana"/>
          <w:color w:val="0563C1"/>
          <w:u w:val="single" w:color="0563C1"/>
        </w:rPr>
        <w:t>stanford-study-finds-1479752576</w:t>
      </w:r>
      <w:r>
        <w:fldChar w:fldCharType="end"/>
      </w:r>
      <w:r>
        <w:fldChar w:fldCharType="begin"/>
      </w:r>
      <w:r>
        <w:instrText xml:space="preserve"> HYPERLINK "https://www.wsj.com/articles/most-students-dont-know-when-news-is-fake-stanford-study-finds-1479752576"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Executive Summary </w:t>
      </w:r>
    </w:p>
    <w:p w:rsidR="00FB0B24" w:rsidRPr="005B5CB6" w:rsidP="00CF6BAD">
      <w:pPr>
        <w:spacing w:after="5" w:line="249" w:lineRule="auto"/>
        <w:ind w:left="550" w:hanging="10"/>
        <w:jc w:val="both"/>
        <w:rPr>
          <w:rFonts w:ascii="Verdana" w:hAnsi="Verdana"/>
        </w:rPr>
      </w:pPr>
      <w:r>
        <w:fldChar w:fldCharType="begin"/>
      </w:r>
      <w:r>
        <w:instrText xml:space="preserve"> HYPERLINK "https://stacks.stanford.edu/file/druid:fv751yt5934/SHEG%20Evaluating%20Information%20Online.pdf" </w:instrText>
      </w:r>
      <w:r>
        <w:fldChar w:fldCharType="separate"/>
      </w:r>
      <w:r w:rsidRPr="005B5CB6" w:rsidR="00A72806">
        <w:rPr>
          <w:rFonts w:ascii="Verdana" w:eastAsia="Verdana" w:hAnsi="Verdana" w:cs="Verdana"/>
          <w:color w:val="0563C1"/>
          <w:u w:val="single" w:color="0563C1"/>
        </w:rPr>
        <w:t xml:space="preserve">https://stacks.stanford.edu/file/druid:fv751yt5934/SHEG%20Evaluating%20In </w:t>
      </w:r>
      <w:r>
        <w:fldChar w:fldCharType="end"/>
      </w:r>
      <w:r>
        <w:fldChar w:fldCharType="begin"/>
      </w:r>
      <w:r>
        <w:instrText xml:space="preserve"> HYPERLINK "https://stacks.stanford.edu/file/druid:fv751yt5934/SHEG%20Evaluating%20Information%20Online.pdf" </w:instrText>
      </w:r>
      <w:r>
        <w:fldChar w:fldCharType="separate"/>
      </w:r>
      <w:r w:rsidRPr="005B5CB6" w:rsidR="00A72806">
        <w:rPr>
          <w:rFonts w:ascii="Verdana" w:eastAsia="Verdana" w:hAnsi="Verdana" w:cs="Verdana"/>
          <w:color w:val="0563C1"/>
          <w:u w:val="single" w:color="0563C1"/>
        </w:rPr>
        <w:t>formation%20Online.pdf</w:t>
      </w:r>
      <w:r>
        <w:fldChar w:fldCharType="end"/>
      </w:r>
      <w:r>
        <w:fldChar w:fldCharType="begin"/>
      </w:r>
      <w:r>
        <w:instrText xml:space="preserve"> HYPERLINK "https://stacks.stanford.edu/file/druid:fv751yt5934/SHEG%20Evaluating%20Information%20Online.pdf" </w:instrText>
      </w:r>
      <w:r>
        <w:fldChar w:fldCharType="separate"/>
      </w:r>
      <w:r w:rsidRPr="005B5CB6" w:rsidR="00A72806">
        <w:rPr>
          <w:rFonts w:ascii="Verdana" w:eastAsia="Verdana" w:hAnsi="Verdana" w:cs="Verdana"/>
          <w:color w:val="0563C1"/>
        </w:rPr>
        <w:t xml:space="preserve"> </w:t>
      </w:r>
      <w:r>
        <w:fldChar w:fldCharType="end"/>
      </w:r>
    </w:p>
    <w:p w:rsidR="00FB0B24" w:rsidRPr="005B5CB6" w:rsidP="00CF6BAD">
      <w:pPr>
        <w:spacing w:after="5" w:line="250" w:lineRule="auto"/>
        <w:ind w:left="548" w:right="11" w:hanging="8"/>
        <w:jc w:val="both"/>
        <w:rPr>
          <w:rFonts w:ascii="Verdana" w:hAnsi="Verdana"/>
        </w:rPr>
      </w:pPr>
      <w:r w:rsidRPr="005B5CB6">
        <w:rPr>
          <w:rFonts w:ascii="Verdana" w:eastAsia="Verdana" w:hAnsi="Verdana" w:cs="Verdana"/>
        </w:rPr>
        <w:t xml:space="preserve">BBC podcast, “You Can Handle the Truth” </w:t>
      </w:r>
    </w:p>
    <w:p w:rsidR="00FB0B24" w:rsidRPr="005B5CB6" w:rsidP="00CF6BAD">
      <w:pPr>
        <w:spacing w:after="5" w:line="249" w:lineRule="auto"/>
        <w:ind w:left="550" w:hanging="10"/>
        <w:jc w:val="both"/>
        <w:rPr>
          <w:rFonts w:ascii="Verdana" w:hAnsi="Verdana"/>
        </w:rPr>
      </w:pPr>
      <w:r>
        <w:fldChar w:fldCharType="begin"/>
      </w:r>
      <w:r>
        <w:instrText xml:space="preserve"> HYPERLINK "https://www.bbc.co.uk/programmes/w3csxgn3" </w:instrText>
      </w:r>
      <w:r>
        <w:fldChar w:fldCharType="separate"/>
      </w:r>
      <w:r w:rsidRPr="005B5CB6" w:rsidR="00A72806">
        <w:rPr>
          <w:rFonts w:ascii="Verdana" w:eastAsia="Verdana" w:hAnsi="Verdana" w:cs="Verdana"/>
          <w:color w:val="0563C1"/>
          <w:u w:val="single" w:color="0563C1"/>
        </w:rPr>
        <w:t>https://www.bbc.co.uk/programmes/w3csxgn3</w:t>
      </w:r>
      <w:r>
        <w:fldChar w:fldCharType="end"/>
      </w:r>
      <w:r>
        <w:fldChar w:fldCharType="begin"/>
      </w:r>
      <w:r>
        <w:instrText xml:space="preserve"> HYPERLINK "https://www.bbc.co.uk/programmes/w3csxgn3" </w:instrText>
      </w:r>
      <w:r>
        <w:fldChar w:fldCharType="separate"/>
      </w:r>
      <w:r w:rsidRPr="005B5CB6" w:rsidR="00A72806">
        <w:rPr>
          <w:rFonts w:ascii="Verdana" w:eastAsia="Verdana" w:hAnsi="Verdana" w:cs="Verdana"/>
        </w:rPr>
        <w:t xml:space="preserve"> </w:t>
      </w:r>
      <w:r>
        <w:fldChar w:fldCharType="end"/>
      </w:r>
    </w:p>
    <w:p w:rsidR="00FB0B24" w:rsidRPr="005B5CB6" w:rsidP="00CF6BAD">
      <w:pPr>
        <w:spacing w:after="0"/>
        <w:ind w:left="540"/>
        <w:jc w:val="both"/>
        <w:rPr>
          <w:rFonts w:ascii="Verdana" w:hAnsi="Verdana"/>
        </w:rPr>
      </w:pPr>
      <w:r w:rsidRPr="005B5CB6">
        <w:rPr>
          <w:rFonts w:ascii="Verdana" w:eastAsia="Verdana" w:hAnsi="Verdana" w:cs="Verdana"/>
          <w:color w:val="0563C1"/>
        </w:rPr>
        <w:t xml:space="preserve"> </w:t>
      </w:r>
    </w:p>
    <w:p w:rsidR="00FB0B24" w:rsidRPr="005B5CB6" w:rsidP="00CF6BAD">
      <w:pPr>
        <w:spacing w:after="5" w:line="250" w:lineRule="auto"/>
        <w:ind w:left="555" w:right="3720" w:hanging="540"/>
        <w:jc w:val="both"/>
        <w:rPr>
          <w:rFonts w:ascii="Verdana" w:hAnsi="Verdana"/>
        </w:rPr>
      </w:pPr>
      <w:r w:rsidRPr="005B5CB6">
        <w:rPr>
          <w:rFonts w:ascii="Verdana" w:eastAsia="Verdana" w:hAnsi="Verdana" w:cs="Verdana"/>
        </w:rPr>
        <w:t xml:space="preserve">For the research base behind our curriculum: Time Magazine </w:t>
      </w:r>
    </w:p>
    <w:p w:rsidR="00FB0B24" w:rsidRPr="005B5CB6" w:rsidP="00CF6BAD">
      <w:pPr>
        <w:spacing w:after="5" w:line="249" w:lineRule="auto"/>
        <w:ind w:left="550" w:right="1898" w:hanging="10"/>
        <w:jc w:val="both"/>
        <w:rPr>
          <w:rFonts w:ascii="Verdana" w:hAnsi="Verdana"/>
        </w:rPr>
      </w:pPr>
      <w:r>
        <w:fldChar w:fldCharType="begin"/>
      </w:r>
      <w:r>
        <w:instrText xml:space="preserve"> HYPERLINK "http://time.com/5362183/the-real-fake-news-crisis/" </w:instrText>
      </w:r>
      <w:r>
        <w:fldChar w:fldCharType="separate"/>
      </w:r>
      <w:r w:rsidRPr="005B5CB6" w:rsidR="00A72806">
        <w:rPr>
          <w:rFonts w:ascii="Verdana" w:eastAsia="Verdana" w:hAnsi="Verdana" w:cs="Verdana"/>
          <w:color w:val="0563C1"/>
          <w:u w:val="single" w:color="0563C1"/>
        </w:rPr>
        <w:t>http://time.com/5362183/the-real-fake-news-crisis/</w:t>
      </w:r>
      <w:r>
        <w:fldChar w:fldCharType="end"/>
      </w:r>
      <w:r>
        <w:fldChar w:fldCharType="begin"/>
      </w:r>
      <w:r>
        <w:instrText xml:space="preserve"> HYPERLINK "http://time.com/5362183/the-real-fake-news-crisis/" </w:instrText>
      </w:r>
      <w:r>
        <w:fldChar w:fldCharType="separate"/>
      </w:r>
      <w:r w:rsidRPr="005B5CB6" w:rsidR="00A72806">
        <w:rPr>
          <w:rFonts w:ascii="Verdana" w:eastAsia="Verdana" w:hAnsi="Verdana" w:cs="Verdana"/>
          <w:color w:val="0563C1"/>
        </w:rPr>
        <w:t xml:space="preserve"> </w:t>
      </w:r>
      <w:r>
        <w:fldChar w:fldCharType="end"/>
      </w:r>
      <w:r w:rsidRPr="005B5CB6" w:rsidR="00A72806">
        <w:rPr>
          <w:rFonts w:ascii="Verdana" w:eastAsia="Verdana" w:hAnsi="Verdana" w:cs="Verdana"/>
        </w:rPr>
        <w:t xml:space="preserve">Research Report in </w:t>
      </w:r>
      <w:r w:rsidRPr="005B5CB6" w:rsidR="00A72806">
        <w:rPr>
          <w:rFonts w:ascii="Verdana" w:eastAsia="Verdana" w:hAnsi="Verdana" w:cs="Verdana"/>
          <w:i/>
        </w:rPr>
        <w:t xml:space="preserve">Teachers College Record </w:t>
      </w:r>
    </w:p>
    <w:p w:rsidR="00FB0B24" w:rsidRPr="005B5CB6" w:rsidP="00CF6BAD">
      <w:pPr>
        <w:spacing w:after="5" w:line="249" w:lineRule="auto"/>
        <w:ind w:left="550" w:right="87" w:hanging="10"/>
        <w:jc w:val="both"/>
        <w:rPr>
          <w:rFonts w:ascii="Verdana" w:hAnsi="Verdana"/>
        </w:rPr>
      </w:pPr>
      <w:r>
        <w:fldChar w:fldCharType="begin"/>
      </w:r>
      <w:r>
        <w:instrText xml:space="preserve"> HYPERLINK "https://stacks.stanford.edu/file/druid:yk133ht8603/Wineburg%20McGrew_Lateral%20Reading%20and%20the%20Nature%20of%20Expertise.pdf" </w:instrText>
      </w:r>
      <w:r>
        <w:fldChar w:fldCharType="separate"/>
      </w:r>
      <w:r w:rsidRPr="005B5CB6" w:rsidR="00A72806">
        <w:rPr>
          <w:rFonts w:ascii="Verdana" w:eastAsia="Verdana" w:hAnsi="Verdana" w:cs="Verdana"/>
          <w:color w:val="0563C1"/>
          <w:u w:val="single" w:color="0563C1"/>
        </w:rPr>
        <w:t xml:space="preserve">https://stacks.stanford.edu/file/druid:yk133ht8603/Wineburg%20McGrew_Lat </w:t>
      </w:r>
      <w:r>
        <w:fldChar w:fldCharType="end"/>
      </w:r>
      <w:r>
        <w:fldChar w:fldCharType="begin"/>
      </w:r>
      <w:r>
        <w:instrText xml:space="preserve"> HYPERLINK "https://stacks.stanford.edu/file/druid:yk133ht8603/Wineburg%20McGrew_Lateral%20Reading%20and%20the%20Nature%20of%20Expertise.pdf" </w:instrText>
      </w:r>
      <w:r>
        <w:fldChar w:fldCharType="separate"/>
      </w:r>
      <w:r w:rsidRPr="005B5CB6" w:rsidR="00A72806">
        <w:rPr>
          <w:rFonts w:ascii="Verdana" w:eastAsia="Verdana" w:hAnsi="Verdana" w:cs="Verdana"/>
          <w:color w:val="0563C1"/>
          <w:u w:val="single" w:color="0563C1"/>
        </w:rPr>
        <w:t>eral%20Reading%20and%20the%20Nature%20of%20Expertise.pdf</w:t>
      </w:r>
      <w:r>
        <w:fldChar w:fldCharType="end"/>
      </w:r>
      <w:r>
        <w:fldChar w:fldCharType="begin"/>
      </w:r>
      <w:r>
        <w:instrText xml:space="preserve"> HYPERLINK "https://stacks.stanford.edu/file/druid:yk133ht8603/Wineburg%20McGrew_Lateral%20Reading%20and%20the%20Nature%20of%20Expertise.pdf"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More complete version of the same research report posted on </w:t>
      </w:r>
      <w:r w:rsidRPr="005B5CB6" w:rsidR="00A72806">
        <w:rPr>
          <w:rFonts w:ascii="Verdana" w:eastAsia="Verdana" w:hAnsi="Verdana" w:cs="Verdana"/>
          <w:i/>
        </w:rPr>
        <w:t>SSRN</w:t>
      </w:r>
      <w:r w:rsidRPr="005B5CB6" w:rsidR="00A72806">
        <w:rPr>
          <w:rFonts w:ascii="Verdana" w:eastAsia="Verdana" w:hAnsi="Verdana" w:cs="Verdana"/>
        </w:rPr>
        <w:t xml:space="preserve"> </w:t>
      </w:r>
      <w:r>
        <w:fldChar w:fldCharType="begin"/>
      </w:r>
      <w:r>
        <w:instrText xml:space="preserve"> HYPERLINK "https://papers.ssrn.com/sol3/papers.cfm?abstract_id=3048994" </w:instrText>
      </w:r>
      <w:r>
        <w:fldChar w:fldCharType="separate"/>
      </w:r>
      <w:r w:rsidRPr="005B5CB6" w:rsidR="00A72806">
        <w:rPr>
          <w:rFonts w:ascii="Verdana" w:eastAsia="Verdana" w:hAnsi="Verdana" w:cs="Verdana"/>
          <w:color w:val="0563C1"/>
          <w:u w:val="single" w:color="0563C1"/>
        </w:rPr>
        <w:t>https://papers.ssrn.com/sol3/papers.cfm?abstract_id=3048994</w:t>
      </w:r>
      <w:r>
        <w:fldChar w:fldCharType="end"/>
      </w:r>
      <w:r>
        <w:fldChar w:fldCharType="begin"/>
      </w:r>
      <w:r>
        <w:instrText xml:space="preserve"> HYPERLINK "https://papers.ssrn.com/sol3/papers.cfm?abstract_id=3048994" </w:instrText>
      </w:r>
      <w:r>
        <w:fldChar w:fldCharType="separate"/>
      </w:r>
      <w:r w:rsidRPr="005B5CB6" w:rsidR="00A72806">
        <w:rPr>
          <w:rFonts w:ascii="Verdana" w:eastAsia="Verdana" w:hAnsi="Verdana" w:cs="Verdana"/>
          <w:color w:val="0563C1"/>
        </w:rPr>
        <w:t xml:space="preserve"> </w:t>
      </w:r>
      <w:r>
        <w:fldChar w:fldCharType="end"/>
      </w:r>
    </w:p>
    <w:p w:rsidR="00FB0B24" w:rsidRPr="005B5CB6" w:rsidP="00CF6BAD">
      <w:pPr>
        <w:spacing w:after="0"/>
        <w:ind w:left="54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Intervention Study Showing We Can ‘Move the Needle’ </w:t>
      </w:r>
    </w:p>
    <w:p w:rsidR="00FB0B24" w:rsidRPr="005B5CB6" w:rsidP="00CF6BAD">
      <w:pPr>
        <w:spacing w:after="5" w:line="250" w:lineRule="auto"/>
        <w:ind w:left="548" w:right="11" w:hanging="8"/>
        <w:jc w:val="both"/>
        <w:rPr>
          <w:rFonts w:ascii="Verdana" w:hAnsi="Verdana"/>
        </w:rPr>
      </w:pPr>
      <w:r w:rsidRPr="005B5CB6">
        <w:rPr>
          <w:rFonts w:ascii="Verdana" w:eastAsia="Verdana" w:hAnsi="Verdana" w:cs="Verdana"/>
        </w:rPr>
        <w:t xml:space="preserve">Chronicle of Higher Education: “Students fall for information online. Is Teaching them to Read Like Fact Checkers the Solution? </w:t>
      </w:r>
    </w:p>
    <w:p w:rsidR="00FB0B24" w:rsidRPr="005B5CB6" w:rsidP="00CF6BAD">
      <w:pPr>
        <w:spacing w:after="5" w:line="249" w:lineRule="auto"/>
        <w:ind w:left="550" w:hanging="10"/>
        <w:jc w:val="both"/>
        <w:rPr>
          <w:rFonts w:ascii="Verdana" w:hAnsi="Verdana"/>
        </w:rPr>
      </w:pPr>
      <w:r>
        <w:fldChar w:fldCharType="begin"/>
      </w:r>
      <w:r>
        <w:instrText xml:space="preserve"> HYPERLINK "https://www.chronicle.com/article/Students-Fall-for/246190/" \l ".XMLrNI8pkrE.twitter" </w:instrText>
      </w:r>
      <w:r>
        <w:fldChar w:fldCharType="separate"/>
      </w:r>
      <w:r w:rsidRPr="005B5CB6" w:rsidR="00A72806">
        <w:rPr>
          <w:rFonts w:ascii="Verdana" w:eastAsia="Verdana" w:hAnsi="Verdana" w:cs="Verdana"/>
          <w:color w:val="1155CC"/>
          <w:u w:val="single" w:color="1155CC"/>
        </w:rPr>
        <w:t>https://www.chronicle.com/article/Students-Fall-</w:t>
      </w:r>
      <w:r>
        <w:fldChar w:fldCharType="end"/>
      </w:r>
    </w:p>
    <w:p w:rsidR="00FB0B24" w:rsidRPr="005B5CB6" w:rsidP="00CF6BAD">
      <w:pPr>
        <w:spacing w:after="5" w:line="249" w:lineRule="auto"/>
        <w:ind w:left="550" w:hanging="10"/>
        <w:jc w:val="both"/>
        <w:rPr>
          <w:rFonts w:ascii="Verdana" w:hAnsi="Verdana"/>
        </w:rPr>
      </w:pPr>
      <w:r>
        <w:fldChar w:fldCharType="begin"/>
      </w:r>
      <w:r>
        <w:instrText xml:space="preserve"> HYPERLINK "https://www.chronicle.com/article/Students-Fall-for/246190/" \l ".XMLrNI8pkrE.twitter" </w:instrText>
      </w:r>
      <w:r>
        <w:fldChar w:fldCharType="separate"/>
      </w:r>
      <w:r w:rsidRPr="005B5CB6" w:rsidR="00A72806">
        <w:rPr>
          <w:rFonts w:ascii="Verdana" w:eastAsia="Verdana" w:hAnsi="Verdana" w:cs="Verdana"/>
          <w:color w:val="1155CC"/>
          <w:u w:val="single" w:color="1155CC"/>
        </w:rPr>
        <w:t>for/246190/#.XMLrNI8pkrE.twitter</w:t>
      </w:r>
      <w:r>
        <w:fldChar w:fldCharType="end"/>
      </w:r>
      <w:r>
        <w:fldChar w:fldCharType="begin"/>
      </w:r>
      <w:r>
        <w:instrText xml:space="preserve"> HYPERLINK "https://www.chronicle.com/article/Students-Fall-for/246190/" \l ".XMLrNI8pkrE.twitter" </w:instrText>
      </w:r>
      <w:r>
        <w:fldChar w:fldCharType="separate"/>
      </w:r>
      <w:r w:rsidRPr="005B5CB6" w:rsidR="00A72806">
        <w:rPr>
          <w:rFonts w:ascii="Verdana" w:eastAsia="Verdana" w:hAnsi="Verdana" w:cs="Verdana"/>
        </w:rPr>
        <w:t xml:space="preserve"> </w:t>
      </w:r>
      <w:r>
        <w:fldChar w:fldCharType="end"/>
      </w:r>
    </w:p>
    <w:p w:rsidR="00FB0B24" w:rsidRPr="005B5CB6" w:rsidP="00CF6BAD">
      <w:pPr>
        <w:spacing w:after="5" w:line="250" w:lineRule="auto"/>
        <w:ind w:left="548" w:right="11" w:hanging="8"/>
        <w:jc w:val="both"/>
        <w:rPr>
          <w:rFonts w:ascii="Verdana" w:hAnsi="Verdana"/>
        </w:rPr>
      </w:pPr>
      <w:r w:rsidRPr="005B5CB6">
        <w:rPr>
          <w:rFonts w:ascii="Verdana" w:eastAsia="Verdana" w:hAnsi="Verdana" w:cs="Verdana"/>
        </w:rPr>
        <w:t xml:space="preserve">Original Research Report </w:t>
      </w:r>
    </w:p>
    <w:p w:rsidR="00FB0B24" w:rsidRPr="005B5CB6" w:rsidP="00CF6BAD">
      <w:pPr>
        <w:spacing w:after="5" w:line="249" w:lineRule="auto"/>
        <w:ind w:left="550" w:hanging="10"/>
        <w:jc w:val="both"/>
        <w:rPr>
          <w:rFonts w:ascii="Verdana" w:hAnsi="Verdana"/>
        </w:rPr>
      </w:pPr>
      <w:r w:rsidRPr="005B5CB6">
        <w:rPr>
          <w:rFonts w:ascii="Verdana" w:eastAsia="Verdana" w:hAnsi="Verdana" w:cs="Verdana"/>
          <w:i/>
        </w:rPr>
        <w:t xml:space="preserve">British Journal of Educational Psychology </w:t>
      </w:r>
    </w:p>
    <w:p w:rsidR="00FB0B24" w:rsidRPr="005B5CB6" w:rsidP="00CF6BAD">
      <w:pPr>
        <w:spacing w:after="5" w:line="249" w:lineRule="auto"/>
        <w:ind w:left="550" w:hanging="10"/>
        <w:jc w:val="both"/>
        <w:rPr>
          <w:rFonts w:ascii="Verdana" w:hAnsi="Verdana"/>
        </w:rPr>
      </w:pPr>
      <w:r>
        <w:fldChar w:fldCharType="begin"/>
      </w:r>
      <w:r>
        <w:instrText xml:space="preserve"> HYPERLINK "https://onlinelibrary.wiley.com/doi/abs/10.1111/bjep.12279" </w:instrText>
      </w:r>
      <w:r>
        <w:fldChar w:fldCharType="separate"/>
      </w:r>
      <w:r w:rsidRPr="005B5CB6" w:rsidR="00A72806">
        <w:rPr>
          <w:rFonts w:ascii="Verdana" w:eastAsia="Verdana" w:hAnsi="Verdana" w:cs="Verdana"/>
          <w:color w:val="0563C1"/>
          <w:u w:val="single" w:color="0563C1"/>
        </w:rPr>
        <w:t>https://onlinelibrary.wiley.com/doi/abs/10.1111/bjep.12279</w:t>
      </w:r>
      <w:r>
        <w:fldChar w:fldCharType="end"/>
      </w:r>
      <w:r>
        <w:fldChar w:fldCharType="begin"/>
      </w:r>
      <w:r>
        <w:instrText xml:space="preserve"> HYPERLINK "https://onlinelibrary.wiley.com/doi/abs/10.1111/bjep.12279" </w:instrText>
      </w:r>
      <w:r>
        <w:fldChar w:fldCharType="separate"/>
      </w:r>
      <w:r w:rsidRPr="005B5CB6" w:rsidR="00A72806">
        <w:rPr>
          <w:rFonts w:ascii="Verdana" w:eastAsia="Verdana" w:hAnsi="Verdana" w:cs="Verdana"/>
          <w:color w:val="0563C1"/>
        </w:rPr>
        <w:t xml:space="preserve"> </w:t>
      </w:r>
      <w:r>
        <w:fldChar w:fldCharType="end"/>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646" w:right="11" w:hanging="631"/>
        <w:jc w:val="both"/>
        <w:rPr>
          <w:rFonts w:ascii="Verdana" w:hAnsi="Verdana"/>
        </w:rPr>
      </w:pPr>
      <w:r w:rsidRPr="005B5CB6">
        <w:rPr>
          <w:rFonts w:ascii="Verdana" w:eastAsia="Verdana" w:hAnsi="Verdana" w:cs="Verdana"/>
        </w:rPr>
        <w:t xml:space="preserve">For a talk I gave in London in September 2019 on our newest research </w:t>
      </w:r>
      <w:r>
        <w:fldChar w:fldCharType="begin"/>
      </w:r>
      <w:r>
        <w:instrText xml:space="preserve"> HYPERLINK "https://www.youtube.com/watch?v=VmpoPoUgsAc&amp;t=1s" </w:instrText>
      </w:r>
      <w:r>
        <w:fldChar w:fldCharType="separate"/>
      </w:r>
      <w:r w:rsidRPr="005B5CB6">
        <w:rPr>
          <w:rFonts w:ascii="Verdana" w:eastAsia="Verdana" w:hAnsi="Verdana" w:cs="Verdana"/>
          <w:color w:val="0563C1"/>
          <w:u w:val="single" w:color="0563C1"/>
        </w:rPr>
        <w:t>https://www.youtube.com/watch?v=VmpoPoUgsAc&amp;t=1s</w:t>
      </w:r>
      <w:r>
        <w:fldChar w:fldCharType="end"/>
      </w:r>
      <w:r>
        <w:fldChar w:fldCharType="begin"/>
      </w:r>
      <w:r>
        <w:instrText xml:space="preserve"> HYPERLINK "https://www.youtube.com/watch?v=VmpoPoUgsAc&amp;t=1s" </w:instrText>
      </w:r>
      <w:r>
        <w:fldChar w:fldCharType="separate"/>
      </w:r>
      <w:r w:rsidRPr="005B5CB6">
        <w:rPr>
          <w:rFonts w:ascii="Verdana" w:eastAsia="Verdana" w:hAnsi="Verdana" w:cs="Verdana"/>
        </w:rPr>
        <w:t xml:space="preserve"> </w:t>
      </w:r>
      <w:r>
        <w:fldChar w:fldCharType="end"/>
      </w:r>
    </w:p>
    <w:p w:rsidR="00FB0B24" w:rsidRPr="005B5CB6" w:rsidP="00CF6BAD">
      <w:pPr>
        <w:spacing w:after="0"/>
        <w:ind w:left="811"/>
        <w:jc w:val="both"/>
        <w:rPr>
          <w:rFonts w:ascii="Verdana" w:hAnsi="Verdana"/>
        </w:rPr>
      </w:pPr>
      <w:r w:rsidRPr="005B5CB6">
        <w:rPr>
          <w:rFonts w:ascii="Verdana" w:eastAsia="Verdana" w:hAnsi="Verdana" w:cs="Verdana"/>
        </w:rPr>
        <w:t xml:space="preserve"> </w:t>
      </w:r>
    </w:p>
    <w:p w:rsidR="00FB0B24" w:rsidRPr="005B5CB6" w:rsidP="00CF6BAD">
      <w:pPr>
        <w:spacing w:after="5" w:line="249" w:lineRule="auto"/>
        <w:ind w:left="525" w:hanging="540"/>
        <w:jc w:val="both"/>
        <w:rPr>
          <w:rFonts w:ascii="Verdana" w:hAnsi="Verdana"/>
        </w:rPr>
      </w:pPr>
      <w:r w:rsidRPr="005B5CB6">
        <w:rPr>
          <w:rFonts w:ascii="Verdana" w:eastAsia="Verdana" w:hAnsi="Verdana" w:cs="Verdana"/>
        </w:rPr>
        <w:t xml:space="preserve">Problems with “Checklists” </w:t>
      </w:r>
      <w:r>
        <w:fldChar w:fldCharType="begin"/>
      </w:r>
      <w:r>
        <w:instrText xml:space="preserve"> HYPERLINK "http://www.kappanonline.org/breakstone-need-new-approach-teaching-digital-literacy/" </w:instrText>
      </w:r>
      <w:r>
        <w:fldChar w:fldCharType="separate"/>
      </w:r>
      <w:r w:rsidRPr="005B5CB6">
        <w:rPr>
          <w:rFonts w:ascii="Verdana" w:eastAsia="Verdana" w:hAnsi="Verdana" w:cs="Verdana"/>
          <w:color w:val="0563C1"/>
          <w:u w:val="single" w:color="0563C1"/>
        </w:rPr>
        <w:t>http://www.kappanonline.org/breakstone-need-new-approach-teaching</w:t>
      </w:r>
      <w:r>
        <w:fldChar w:fldCharType="end"/>
      </w:r>
      <w:r>
        <w:fldChar w:fldCharType="begin"/>
      </w:r>
      <w:r>
        <w:instrText xml:space="preserve"> HYPERLINK "http://www.kappanonline.org/breakstone-need-new-approach-teaching-digital-literacy/" </w:instrText>
      </w:r>
      <w:r>
        <w:fldChar w:fldCharType="separate"/>
      </w:r>
      <w:r w:rsidRPr="005B5CB6">
        <w:rPr>
          <w:rFonts w:ascii="Verdana" w:eastAsia="Verdana" w:hAnsi="Verdana" w:cs="Verdana"/>
          <w:color w:val="0563C1"/>
          <w:u w:val="single" w:color="0563C1"/>
        </w:rPr>
        <w:t>digital-literacy/</w:t>
      </w:r>
      <w:r>
        <w:fldChar w:fldCharType="end"/>
      </w:r>
      <w:r>
        <w:fldChar w:fldCharType="begin"/>
      </w:r>
      <w:r>
        <w:instrText xml:space="preserve"> HYPERLINK "http://www.kappanonline.org/breakstone-need-new-approach-teaching-digital-literacy/" </w:instrText>
      </w:r>
      <w:r>
        <w:fldChar w:fldCharType="separate"/>
      </w:r>
      <w:r w:rsidRPr="005B5CB6">
        <w:rPr>
          <w:rFonts w:ascii="Verdana" w:eastAsia="Verdana" w:hAnsi="Verdana" w:cs="Verdana"/>
          <w:color w:val="0563C1"/>
        </w:rPr>
        <w:t xml:space="preserve"> </w:t>
      </w:r>
      <w:r>
        <w:fldChar w:fldCharType="end"/>
      </w:r>
    </w:p>
    <w:p w:rsidR="00FB0B24" w:rsidRPr="005B5CB6" w:rsidP="00CF6BAD">
      <w:pPr>
        <w:spacing w:after="0"/>
        <w:ind w:left="54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555" w:right="2745" w:hanging="540"/>
        <w:jc w:val="both"/>
        <w:rPr>
          <w:rFonts w:ascii="Verdana" w:hAnsi="Verdana"/>
        </w:rPr>
      </w:pPr>
      <w:r w:rsidRPr="005B5CB6">
        <w:rPr>
          <w:rFonts w:ascii="Verdana" w:eastAsia="Verdana" w:hAnsi="Verdana" w:cs="Verdana"/>
        </w:rPr>
        <w:t xml:space="preserve">Opinion pieces on how education should respond </w:t>
      </w:r>
      <w:r w:rsidRPr="005B5CB6">
        <w:rPr>
          <w:rFonts w:ascii="Verdana" w:eastAsia="Verdana" w:hAnsi="Verdana" w:cs="Verdana"/>
          <w:i/>
        </w:rPr>
        <w:t>USAToday</w:t>
      </w:r>
      <w:r w:rsidRPr="005B5CB6">
        <w:rPr>
          <w:rFonts w:ascii="Verdana" w:eastAsia="Verdana" w:hAnsi="Verdana" w:cs="Verdana"/>
        </w:rPr>
        <w:t xml:space="preserve"> Cri de Coeur </w:t>
      </w:r>
    </w:p>
    <w:p w:rsidR="00FB0B24" w:rsidRPr="005B5CB6" w:rsidP="00CF6BAD">
      <w:pPr>
        <w:spacing w:after="5" w:line="249" w:lineRule="auto"/>
        <w:ind w:left="550" w:right="436" w:hanging="10"/>
        <w:jc w:val="both"/>
        <w:rPr>
          <w:rFonts w:ascii="Verdana" w:hAnsi="Verdana"/>
        </w:rPr>
      </w:pPr>
      <w:r>
        <w:fldChar w:fldCharType="begin"/>
      </w:r>
      <w:r>
        <w:instrText xml:space="preserve"> HYPERLINK "https://www.usatoday.com/story/opinion/2019/02/12/internet-confusion-rethink-education-digital-sputnik-moment-column/2769781002/" </w:instrText>
      </w:r>
      <w:r>
        <w:fldChar w:fldCharType="separate"/>
      </w:r>
      <w:r w:rsidRPr="005B5CB6" w:rsidR="00A72806">
        <w:rPr>
          <w:rFonts w:ascii="Verdana" w:eastAsia="Verdana" w:hAnsi="Verdana" w:cs="Verdana"/>
          <w:color w:val="0563C1"/>
          <w:u w:val="single" w:color="0563C1"/>
        </w:rPr>
        <w:t>https://www.usatoday.com/story/opinion/2019/02/12/internet-confusion</w:t>
      </w:r>
      <w:r>
        <w:fldChar w:fldCharType="end"/>
      </w:r>
      <w:r>
        <w:fldChar w:fldCharType="begin"/>
      </w:r>
      <w:r>
        <w:instrText xml:space="preserve"> HYPERLINK "https://www.usatoday.com/story/opinion/2019/02/12/internet-confusion-rethink-education-digital-sputnik-moment-column/2769781002/" </w:instrText>
      </w:r>
      <w:r>
        <w:fldChar w:fldCharType="separate"/>
      </w:r>
      <w:r w:rsidRPr="005B5CB6" w:rsidR="00A72806">
        <w:rPr>
          <w:rFonts w:ascii="Verdana" w:eastAsia="Verdana" w:hAnsi="Verdana" w:cs="Verdana"/>
          <w:color w:val="0563C1"/>
          <w:u w:val="single" w:color="0563C1"/>
        </w:rPr>
        <w:t>rethink-education-digital-sputnik-moment-column/2769781002/</w:t>
      </w:r>
      <w:r>
        <w:fldChar w:fldCharType="end"/>
      </w:r>
      <w:r>
        <w:fldChar w:fldCharType="begin"/>
      </w:r>
      <w:r>
        <w:instrText xml:space="preserve"> HYPERLINK "https://www.usatoday.com/story/opinion/2019/02/12/internet-confusion-rethink-education-digital-sputnik-moment-column/2769781002/" </w:instrText>
      </w:r>
      <w:r>
        <w:fldChar w:fldCharType="separate"/>
      </w:r>
      <w:r w:rsidRPr="005B5CB6" w:rsidR="00A72806">
        <w:rPr>
          <w:rFonts w:ascii="Verdana" w:eastAsia="Verdana" w:hAnsi="Verdana" w:cs="Verdana"/>
          <w:b/>
        </w:rPr>
        <w:t xml:space="preserve"> </w:t>
      </w:r>
      <w:r>
        <w:fldChar w:fldCharType="end"/>
      </w:r>
      <w:r w:rsidRPr="005B5CB6" w:rsidR="00A72806">
        <w:rPr>
          <w:rFonts w:ascii="Verdana" w:eastAsia="Verdana" w:hAnsi="Verdana" w:cs="Verdana"/>
          <w:i/>
        </w:rPr>
        <w:t>Huffington Post</w:t>
      </w:r>
      <w:r w:rsidRPr="005B5CB6" w:rsidR="00A72806">
        <w:rPr>
          <w:rFonts w:ascii="Verdana" w:eastAsia="Verdana" w:hAnsi="Verdana" w:cs="Verdana"/>
        </w:rPr>
        <w:t xml:space="preserve"> (more than ‘critical thinking’) </w:t>
      </w:r>
    </w:p>
    <w:p w:rsidR="00FB0B24" w:rsidRPr="005B5CB6" w:rsidP="00CF6BAD">
      <w:pPr>
        <w:spacing w:after="5" w:line="249" w:lineRule="auto"/>
        <w:ind w:left="550" w:hanging="10"/>
        <w:jc w:val="both"/>
        <w:rPr>
          <w:rFonts w:ascii="Verdana" w:hAnsi="Verdana"/>
        </w:rPr>
      </w:pPr>
      <w:r>
        <w:fldChar w:fldCharType="begin"/>
      </w:r>
      <w:r>
        <w:instrText xml:space="preserve"> HYPERLINK "https://www.huffpost.com/entry/opinion-fake-news-web-literacy-propaganda-fact-checkers_n_5c1812f5e4b0432554c332e3" </w:instrText>
      </w:r>
      <w:r>
        <w:fldChar w:fldCharType="separate"/>
      </w:r>
      <w:r w:rsidRPr="005B5CB6" w:rsidR="00A72806">
        <w:rPr>
          <w:rFonts w:ascii="Verdana" w:eastAsia="Verdana" w:hAnsi="Verdana" w:cs="Verdana"/>
          <w:color w:val="0563C1"/>
          <w:u w:val="single" w:color="0563C1"/>
        </w:rPr>
        <w:t>https://www.huffpost.com/entry/opinion-fake-news-web-literacy-propaganda</w:t>
      </w:r>
      <w:r>
        <w:fldChar w:fldCharType="end"/>
      </w:r>
      <w:r>
        <w:fldChar w:fldCharType="begin"/>
      </w:r>
      <w:r>
        <w:instrText xml:space="preserve"> HYPERLINK "https://www.huffpost.com/entry/opinion-fake-news-web-literacy-propaganda-fact-checkers_n_5c1812f5e4b0432554c332e3" </w:instrText>
      </w:r>
      <w:r>
        <w:fldChar w:fldCharType="separate"/>
      </w:r>
      <w:r w:rsidRPr="005B5CB6" w:rsidR="00A72806">
        <w:rPr>
          <w:rFonts w:ascii="Verdana" w:eastAsia="Verdana" w:hAnsi="Verdana" w:cs="Verdana"/>
          <w:color w:val="0563C1"/>
          <w:u w:val="single" w:color="0563C1"/>
        </w:rPr>
        <w:t>fact-checkers_n_5c1812f5e4b0432554c332e3</w:t>
      </w:r>
      <w:r>
        <w:fldChar w:fldCharType="end"/>
      </w:r>
      <w:r>
        <w:fldChar w:fldCharType="begin"/>
      </w:r>
      <w:r>
        <w:instrText xml:space="preserve"> HYPERLINK "https://www.huffpost.com/entry/opinion-fake-news-web-literacy-propaganda-fact-checkers_n_5c1812f5e4b0432554c332e3" </w:instrText>
      </w:r>
      <w:r>
        <w:fldChar w:fldCharType="separate"/>
      </w:r>
      <w:r w:rsidRPr="005B5CB6" w:rsidR="00A72806">
        <w:rPr>
          <w:rFonts w:ascii="Verdana" w:eastAsia="Verdana" w:hAnsi="Verdana" w:cs="Verdana"/>
          <w:color w:val="0563C1"/>
        </w:rPr>
        <w:t xml:space="preserve"> </w:t>
      </w:r>
      <w:r>
        <w:fldChar w:fldCharType="end"/>
      </w:r>
    </w:p>
    <w:p w:rsidR="00FB0B24" w:rsidRPr="005B5CB6" w:rsidP="00CF6BAD">
      <w:pPr>
        <w:spacing w:after="5" w:line="249" w:lineRule="auto"/>
        <w:ind w:left="550" w:hanging="10"/>
        <w:jc w:val="both"/>
        <w:rPr>
          <w:rFonts w:ascii="Verdana" w:hAnsi="Verdana"/>
        </w:rPr>
      </w:pPr>
      <w:r w:rsidRPr="005B5CB6">
        <w:rPr>
          <w:rFonts w:ascii="Verdana" w:eastAsia="Verdana" w:hAnsi="Verdana" w:cs="Verdana"/>
          <w:i/>
        </w:rPr>
        <w:t>Washington Post</w:t>
      </w:r>
      <w:r w:rsidRPr="005B5CB6">
        <w:rPr>
          <w:rFonts w:ascii="Verdana" w:eastAsia="Verdana" w:hAnsi="Verdana" w:cs="Verdana"/>
        </w:rPr>
        <w:t xml:space="preserve"> Op-Ed on California’s Media Literacy Law </w:t>
      </w:r>
      <w:r>
        <w:fldChar w:fldCharType="begin"/>
      </w:r>
      <w:r>
        <w:instrText xml:space="preserve"> HYPERLINK "https://www.washingtonpost.com/education/2018/10/01/why-californias-new-media-literacy-law-schools-could-backfire/?utm_term=.36198174f8ac" </w:instrText>
      </w:r>
      <w:r>
        <w:fldChar w:fldCharType="separate"/>
      </w:r>
      <w:r w:rsidRPr="005B5CB6">
        <w:rPr>
          <w:rFonts w:ascii="Verdana" w:eastAsia="Verdana" w:hAnsi="Verdana" w:cs="Verdana"/>
          <w:color w:val="0563C1"/>
          <w:u w:val="single" w:color="0563C1"/>
        </w:rPr>
        <w:t>https://www.washingtonpost.com/education/2018/10/01/why-californias-new</w:t>
      </w:r>
      <w:r>
        <w:fldChar w:fldCharType="end"/>
      </w:r>
      <w:r>
        <w:fldChar w:fldCharType="begin"/>
      </w:r>
      <w:r>
        <w:instrText xml:space="preserve"> HYPERLINK "https://www.washingtonpost.com/education/2018/10/01/why-californias-new-media-literacy-law-schools-could-backfire/?utm_term=.36198174f8ac" </w:instrText>
      </w:r>
      <w:r>
        <w:fldChar w:fldCharType="separate"/>
      </w:r>
      <w:r w:rsidRPr="005B5CB6">
        <w:rPr>
          <w:rFonts w:ascii="Verdana" w:eastAsia="Verdana" w:hAnsi="Verdana" w:cs="Verdana"/>
          <w:color w:val="0563C1"/>
          <w:u w:val="single" w:color="0563C1"/>
        </w:rPr>
        <w:t>media-literacy-law-schools-could-backfire/?utm_term=.36198174f8ac</w:t>
      </w:r>
      <w:r>
        <w:fldChar w:fldCharType="end"/>
      </w:r>
      <w:r>
        <w:fldChar w:fldCharType="begin"/>
      </w:r>
      <w:r>
        <w:instrText xml:space="preserve"> HYPERLINK "https://www.washingtonpost.com/education/2018/10/01/why-californias-new-media-literacy-law-schools-could-backfire/?utm_term=.36198174f8ac" </w:instrText>
      </w:r>
      <w:r>
        <w:fldChar w:fldCharType="separate"/>
      </w:r>
      <w:r w:rsidRPr="005B5CB6">
        <w:rPr>
          <w:rFonts w:ascii="Verdana" w:eastAsia="Verdana" w:hAnsi="Verdana" w:cs="Verdana"/>
        </w:rPr>
        <w:t xml:space="preserve"> </w:t>
      </w:r>
      <w:r>
        <w:fldChar w:fldCharType="end"/>
      </w:r>
    </w:p>
    <w:p w:rsidR="00FB0B24" w:rsidRPr="005B5CB6" w:rsidP="00CF6BAD">
      <w:pPr>
        <w:spacing w:after="0"/>
        <w:ind w:left="540"/>
        <w:jc w:val="both"/>
        <w:rPr>
          <w:rFonts w:ascii="Verdana" w:hAnsi="Verdana"/>
        </w:rPr>
      </w:pPr>
      <w:r w:rsidRPr="005B5CB6">
        <w:rPr>
          <w:rFonts w:ascii="Verdana" w:eastAsia="Verdana" w:hAnsi="Verdana" w:cs="Verdana"/>
          <w:color w:val="0563C1"/>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I sincerely hope that some of this will be helpful to you in your deliberations.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Yours faithfully,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Margaret Jacks Professor of Education &amp;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Professor of History (by courtesy) </w:t>
      </w:r>
    </w:p>
    <w:p w:rsidR="00FB0B24" w:rsidRPr="005B5CB6" w:rsidP="00CF6BAD">
      <w:pPr>
        <w:jc w:val="both"/>
        <w:rPr>
          <w:rFonts w:ascii="Verdana" w:hAnsi="Verdana"/>
        </w:rPr>
        <w:sectPr w:rsidSect="00866125">
          <w:headerReference w:type="even" r:id="rId425"/>
          <w:headerReference w:type="default" r:id="rId426"/>
          <w:footerReference w:type="even" r:id="rId427"/>
          <w:footerReference w:type="default" r:id="rId428"/>
          <w:headerReference w:type="first" r:id="rId429"/>
          <w:footerReference w:type="first" r:id="rId430"/>
          <w:pgSz w:w="12240" w:h="15840"/>
          <w:pgMar w:top="1492" w:right="1439" w:bottom="1566" w:left="1440" w:header="720" w:footer="720" w:gutter="0"/>
          <w:cols w:space="720"/>
        </w:sectPr>
      </w:pPr>
    </w:p>
    <w:p w:rsidR="00FB0B24" w:rsidRPr="005B5CB6" w:rsidP="00A1624B">
      <w:pPr>
        <w:pStyle w:val="Heading1"/>
        <w:rPr>
          <w:sz w:val="22"/>
        </w:rPr>
      </w:pPr>
      <w:bookmarkStart w:id="70" w:name="_Toc44517758"/>
      <w:r w:rsidRPr="005B5CB6">
        <w:rPr>
          <w:sz w:val="22"/>
        </w:rPr>
        <w:t>Facebook – written evidence (DAD0081)</w:t>
      </w:r>
      <w:bookmarkEnd w:id="70"/>
      <w:r w:rsidRPr="005B5CB6">
        <w:rPr>
          <w:sz w:val="22"/>
        </w:rPr>
        <w:t xml:space="preserve"> </w:t>
      </w:r>
    </w:p>
    <w:p w:rsidR="00FB0B24" w:rsidRPr="005B5CB6" w:rsidP="006F32A5">
      <w:pPr>
        <w:spacing w:after="0"/>
        <w:jc w:val="both"/>
        <w:rPr>
          <w:rFonts w:ascii="Verdana" w:hAnsi="Verdana"/>
        </w:rPr>
      </w:pPr>
      <w:r w:rsidRPr="005B5CB6">
        <w:rPr>
          <w:rFonts w:ascii="Verdana" w:eastAsia="Verdana" w:hAnsi="Verdana" w:cs="Verdana"/>
          <w:b/>
        </w:rPr>
        <w:t xml:space="preserve"> </w:t>
      </w:r>
    </w:p>
    <w:p w:rsidR="00FB0B24" w:rsidRPr="005B5CB6" w:rsidP="006F32A5">
      <w:pPr>
        <w:spacing w:after="5" w:line="250" w:lineRule="auto"/>
        <w:ind w:left="23" w:right="11" w:hanging="8"/>
        <w:jc w:val="both"/>
        <w:rPr>
          <w:rFonts w:ascii="Verdana" w:hAnsi="Verdana"/>
        </w:rPr>
      </w:pPr>
      <w:r w:rsidRPr="005B5CB6">
        <w:rPr>
          <w:rFonts w:ascii="Verdana" w:eastAsia="Verdana" w:hAnsi="Verdana" w:cs="Verdana"/>
        </w:rPr>
        <w:t xml:space="preserve">Thank you for the opportunity to respond to this inquiry. Please find below our responses to the questions outlined in the call for evidence.  </w:t>
      </w:r>
    </w:p>
    <w:p w:rsidR="00FB0B24" w:rsidRPr="005B5CB6" w:rsidP="006F32A5">
      <w:pPr>
        <w:spacing w:after="0"/>
        <w:jc w:val="both"/>
        <w:rPr>
          <w:rFonts w:ascii="Verdana" w:hAnsi="Verdana"/>
        </w:rPr>
      </w:pPr>
      <w:r w:rsidRPr="005B5CB6">
        <w:rPr>
          <w:rFonts w:ascii="Verdana" w:eastAsia="Verdana" w:hAnsi="Verdana" w:cs="Verdana"/>
          <w:b/>
        </w:rPr>
        <w:t xml:space="preserve"> </w:t>
      </w:r>
    </w:p>
    <w:p w:rsidR="00FB0B24" w:rsidRPr="005B5CB6" w:rsidP="006F32A5">
      <w:pPr>
        <w:spacing w:after="273" w:line="250" w:lineRule="auto"/>
        <w:ind w:left="11" w:hanging="10"/>
        <w:jc w:val="both"/>
        <w:rPr>
          <w:rFonts w:ascii="Verdana" w:hAnsi="Verdana"/>
        </w:rPr>
      </w:pPr>
      <w:r w:rsidRPr="005B5CB6">
        <w:rPr>
          <w:rFonts w:ascii="Verdana" w:eastAsia="Verdana" w:hAnsi="Verdana" w:cs="Verdana"/>
          <w:b/>
        </w:rPr>
        <w:t>How can politicians and political institutions use technology to engage the public with national and local decision making and enhance democracy?</w:t>
      </w:r>
      <w:r w:rsidRPr="005B5CB6">
        <w:rPr>
          <w:rFonts w:ascii="Verdana" w:eastAsia="Verdana" w:hAnsi="Verdana" w:cs="Verdana"/>
        </w:rPr>
        <w:t xml:space="preserve">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Social media makes it easier for people to have a voice in government and politics.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Facebook is a great resource for candidates and for enabling those who are elected to engage with constituents, share information about their work and hear feedback.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Our own research shows that 85% of UK MPs have a Facebook profile and around 390 MPs use the platform regularly to post updates on their Westminster or constituency work. And this works both ways: 2.6 million people in the UK like or follow an MP's page.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According to ComRes' latest Insider Insights Report on Social Media, almost four in five MPs (78%) agree that social media is now an essential communication tool for political debate and seven in ten (70%) agree that it has changed the way campaigning is done in their constituency.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We also believe that democracies are stronger when more people are engaged, which is why we remind eligible voters on the day of the election to go vote and connect them with helpful resources.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On 10 April we launched a voter registration reminder ahead of the 12 </w:t>
      </w:r>
    </w:p>
    <w:p w:rsidR="00FB0B24" w:rsidRPr="005B5CB6" w:rsidP="006F32A5">
      <w:pPr>
        <w:spacing w:after="5" w:line="250" w:lineRule="auto"/>
        <w:ind w:left="1448" w:right="11" w:hanging="8"/>
        <w:jc w:val="both"/>
        <w:rPr>
          <w:rFonts w:ascii="Verdana" w:hAnsi="Verdana"/>
        </w:rPr>
      </w:pPr>
      <w:r w:rsidRPr="005B5CB6">
        <w:rPr>
          <w:rFonts w:ascii="Verdana" w:eastAsia="Verdana" w:hAnsi="Verdana" w:cs="Verdana"/>
        </w:rPr>
        <w:t xml:space="preserve">April deadline for registration in the local elections, and an Election </w:t>
      </w:r>
    </w:p>
    <w:p w:rsidR="00FB0B24" w:rsidRPr="005B5CB6" w:rsidP="006F32A5">
      <w:pPr>
        <w:spacing w:after="269" w:line="250" w:lineRule="auto"/>
        <w:ind w:left="1080" w:right="237" w:firstLine="360"/>
        <w:jc w:val="both"/>
        <w:rPr>
          <w:rFonts w:ascii="Verdana" w:hAnsi="Verdana"/>
        </w:rPr>
      </w:pPr>
      <w:r w:rsidRPr="005B5CB6">
        <w:rPr>
          <w:rFonts w:ascii="Verdana" w:eastAsia="Verdana" w:hAnsi="Verdana" w:cs="Verdana"/>
        </w:rPr>
        <w:t xml:space="preserve">Day Reminder on the day of the election,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On 23 May, the day of voting for the European election in the UK, we launched an Election Day Reminder. The reminder directed people to the official election information website and allowed people to share that they voted. </w:t>
      </w:r>
    </w:p>
    <w:p w:rsidR="00FB0B24" w:rsidRPr="005B5CB6" w:rsidP="006F32A5">
      <w:pPr>
        <w:spacing w:after="273" w:line="250" w:lineRule="auto"/>
        <w:ind w:left="11" w:hanging="10"/>
        <w:jc w:val="both"/>
        <w:rPr>
          <w:rFonts w:ascii="Verdana" w:hAnsi="Verdana"/>
        </w:rPr>
      </w:pPr>
      <w:r w:rsidRPr="005B5CB6">
        <w:rPr>
          <w:rFonts w:ascii="Verdana" w:eastAsia="Verdana" w:hAnsi="Verdana" w:cs="Verdana"/>
          <w:b/>
        </w:rPr>
        <w:t>What role should education play in helping create a healthy, active and digitally literate democracy?</w:t>
      </w:r>
      <w:r w:rsidRPr="005B5CB6">
        <w:rPr>
          <w:rFonts w:ascii="Verdana" w:eastAsia="Verdana" w:hAnsi="Verdana" w:cs="Verdana"/>
        </w:rPr>
        <w:t xml:space="preserve">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We want to help people make informed decisions on the information they're reading and empower them to decide for themselves what to read, trust, and share. We do so by partnering with local organisations, sponsoring media literacy programs, and sharing</w:t>
      </w:r>
      <w:r>
        <w:fldChar w:fldCharType="begin"/>
      </w:r>
      <w:r>
        <w:instrText xml:space="preserve"> HYPERLINK "https://www.facebook.com/help/188118808357379" </w:instrText>
      </w:r>
      <w:r>
        <w:fldChar w:fldCharType="separate"/>
      </w:r>
      <w:r w:rsidRPr="005B5CB6">
        <w:rPr>
          <w:rFonts w:ascii="Verdana" w:eastAsia="Verdana" w:hAnsi="Verdana" w:cs="Verdana"/>
          <w:color w:val="0000FF"/>
          <w:u w:val="single" w:color="0000FF"/>
        </w:rPr>
        <w:t xml:space="preserve"> tips to help spot false news</w:t>
      </w:r>
      <w:r>
        <w:fldChar w:fldCharType="end"/>
      </w:r>
      <w:r>
        <w:fldChar w:fldCharType="begin"/>
      </w:r>
      <w:r>
        <w:instrText xml:space="preserve"> HYPERLINK "https://www.facebook.com/help/188118808357379"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We are particularly interested in improving people's basic level of digital skills and familiarity with the digital world. This will be important if people are to make full use of the range of digital tools now available, including digital payment infrastructure.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In August 2018 we </w:t>
      </w:r>
      <w:r>
        <w:fldChar w:fldCharType="begin"/>
      </w:r>
      <w:r>
        <w:instrText xml:space="preserve"> HYPERLINK "https://newsroom.fb.com/news/2018/08/digitalliteracylibrary/" </w:instrText>
      </w:r>
      <w:r>
        <w:fldChar w:fldCharType="separate"/>
      </w:r>
      <w:r w:rsidRPr="005B5CB6">
        <w:rPr>
          <w:rFonts w:ascii="Verdana" w:eastAsia="Verdana" w:hAnsi="Verdana" w:cs="Verdana"/>
          <w:color w:val="0000FF"/>
          <w:u w:val="single" w:color="0000FF"/>
        </w:rPr>
        <w:t>launched</w:t>
      </w:r>
      <w:r>
        <w:fldChar w:fldCharType="end"/>
      </w:r>
      <w:r>
        <w:fldChar w:fldCharType="begin"/>
      </w:r>
      <w:r>
        <w:instrText xml:space="preserve"> HYPERLINK "https://newsroom.fb.com/news/2018/08/digitalliteracylibrary/"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our </w:t>
      </w:r>
      <w:r>
        <w:fldChar w:fldCharType="begin"/>
      </w:r>
      <w:r>
        <w:instrText xml:space="preserve"> HYPERLINK "http://facebook.com/safety/educators" </w:instrText>
      </w:r>
      <w:r>
        <w:fldChar w:fldCharType="separate"/>
      </w:r>
      <w:r w:rsidRPr="005B5CB6">
        <w:rPr>
          <w:rFonts w:ascii="Verdana" w:eastAsia="Verdana" w:hAnsi="Verdana" w:cs="Verdana"/>
          <w:color w:val="0000FF"/>
          <w:u w:val="single" w:color="0000FF"/>
        </w:rPr>
        <w:t>Digital Literacy Library</w:t>
      </w:r>
      <w:r>
        <w:fldChar w:fldCharType="end"/>
      </w:r>
      <w:r>
        <w:fldChar w:fldCharType="begin"/>
      </w:r>
      <w:r>
        <w:instrText xml:space="preserve"> HYPERLINK "http://facebook.com/safety/educators"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a collection of lessons to help young people think critically and share thoughtfully online. There are</w:t>
      </w:r>
      <w:r>
        <w:fldChar w:fldCharType="begin"/>
      </w:r>
      <w:r>
        <w:instrText xml:space="preserve"> HYPERLINK "https://www.itu.int/en/ITU-D/Statistics/Documents/facts/ICTFactsFigures2017.pdf" </w:instrText>
      </w:r>
      <w:r>
        <w:fldChar w:fldCharType="separate"/>
      </w:r>
      <w:r w:rsidRPr="005B5CB6">
        <w:rPr>
          <w:rFonts w:ascii="Verdana" w:eastAsia="Verdana" w:hAnsi="Verdana" w:cs="Verdana"/>
          <w:color w:val="0000FF"/>
          <w:u w:val="single" w:color="0000FF"/>
        </w:rPr>
        <w:t xml:space="preserve"> 830 million young people online</w:t>
      </w:r>
      <w:r>
        <w:fldChar w:fldCharType="end"/>
      </w:r>
      <w:r>
        <w:fldChar w:fldCharType="begin"/>
      </w:r>
      <w:r>
        <w:instrText xml:space="preserve"> HYPERLINK "https://www.itu.int/en/ITU-D/Statistics/Documents/facts/ICTFactsFigures2017.pdf"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around the world, and this library </w:t>
      </w:r>
    </w:p>
    <w:p w:rsidR="00FB0B24" w:rsidRPr="005B5CB6" w:rsidP="006F32A5">
      <w:pPr>
        <w:spacing w:after="5" w:line="250" w:lineRule="auto"/>
        <w:ind w:left="728" w:right="11" w:hanging="8"/>
        <w:jc w:val="both"/>
        <w:rPr>
          <w:rFonts w:ascii="Verdana" w:hAnsi="Verdana"/>
        </w:rPr>
      </w:pPr>
      <w:r w:rsidRPr="005B5CB6">
        <w:rPr>
          <w:rFonts w:ascii="Verdana" w:eastAsia="Verdana" w:hAnsi="Verdana" w:cs="Verdana"/>
        </w:rPr>
        <w:t xml:space="preserve">is a resource for educators looking to address digital literacy and help these young people build the skills they need to safely enjoy digital technology.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To help equip young people in the UK to spot false news, and improve their digital literacy, we worked with the APPG on Literacy, the National Literacy Trust, First News, and The Day to launch the Commission on Fake News and the Teaching of Critical Literacy Skills in Schools. As part of this work, we are working with these partners to survey young people on their experiences of fake news and help evidence gathering in this area. </w:t>
      </w:r>
    </w:p>
    <w:p w:rsidR="00FB0B24" w:rsidRPr="005B5CB6" w:rsidP="00575F14">
      <w:pPr>
        <w:numPr>
          <w:ilvl w:val="0"/>
          <w:numId w:val="247"/>
        </w:numPr>
        <w:spacing w:after="270" w:line="250" w:lineRule="auto"/>
        <w:ind w:right="11" w:hanging="360"/>
        <w:jc w:val="both"/>
        <w:rPr>
          <w:rFonts w:ascii="Verdana" w:hAnsi="Verdana"/>
        </w:rPr>
      </w:pPr>
      <w:r w:rsidRPr="005B5CB6">
        <w:rPr>
          <w:rFonts w:ascii="Verdana" w:eastAsia="Verdana" w:hAnsi="Verdana" w:cs="Verdana"/>
        </w:rPr>
        <w:t xml:space="preserve">We are also a contributor to the Media Smart media literacy programme for 7 to 16 year olds. It has free educational resources for teachers, parents and young people - including a dedicated body image programme for boys and girls. Media Smart helps young people think critically about the advertising they come across in their daily lives using real and current examples of advertising that we're all familiar with to help teach core media literacy skills. </w:t>
      </w:r>
    </w:p>
    <w:p w:rsidR="00FB0B24" w:rsidRPr="005B5CB6" w:rsidP="006F32A5">
      <w:pPr>
        <w:spacing w:after="273" w:line="249" w:lineRule="auto"/>
        <w:ind w:left="-2" w:hanging="10"/>
        <w:jc w:val="both"/>
        <w:rPr>
          <w:rFonts w:ascii="Verdana" w:hAnsi="Verdana"/>
        </w:rPr>
      </w:pPr>
      <w:r w:rsidRPr="005B5CB6">
        <w:rPr>
          <w:rFonts w:ascii="Verdana" w:eastAsia="Verdana" w:hAnsi="Verdana" w:cs="Verdana"/>
          <w:b/>
        </w:rPr>
        <w:t>Should there be more transparency in online spending and political campaigning by political parties and other groups? What is the effect of targeted online advertising?</w:t>
      </w:r>
      <w:r w:rsidRPr="005B5CB6">
        <w:rPr>
          <w:rFonts w:ascii="Verdana" w:eastAsia="Verdana" w:hAnsi="Verdana" w:cs="Verdana"/>
        </w:rPr>
        <w:t xml:space="preserve">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Advertising makes it possible for a message to reach many people, so it is especially important that advertisers are held accountable for what they promote and that fake accounts are not allowed to advertise.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hAnsi="Verdana"/>
          <w:noProof/>
        </w:rPr>
        <mc:AlternateContent>
          <mc:Choice Requires="wpg">
            <w:drawing>
              <wp:anchor distT="0" distB="0" distL="114300" distR="114300" simplePos="0" relativeHeight="251671552" behindDoc="0" locked="0" layoutInCell="1" allowOverlap="1">
                <wp:simplePos x="0" y="0"/>
                <wp:positionH relativeFrom="page">
                  <wp:posOffset>457200</wp:posOffset>
                </wp:positionH>
                <wp:positionV relativeFrom="page">
                  <wp:posOffset>8578596</wp:posOffset>
                </wp:positionV>
                <wp:extent cx="9144" cy="169164"/>
                <wp:effectExtent l="0" t="0" r="0" b="0"/>
                <wp:wrapSquare wrapText="bothSides"/>
                <wp:docPr id="601254" name="Group 601254"/>
                <wp:cNvGraphicFramePr/>
                <a:graphic xmlns:a="http://schemas.openxmlformats.org/drawingml/2006/main">
                  <a:graphicData uri="http://schemas.microsoft.com/office/word/2010/wordprocessingGroup">
                    <wpg:wgp xmlns:wpg="http://schemas.microsoft.com/office/word/2010/wordprocessingGroup">
                      <wpg:cNvGrpSpPr/>
                      <wpg:grpSpPr>
                        <a:xfrm>
                          <a:off x="0" y="0"/>
                          <a:ext cx="9144" cy="169164"/>
                          <a:chOff x="0" y="0"/>
                          <a:chExt cx="9144" cy="169164"/>
                        </a:xfrm>
                      </wpg:grpSpPr>
                      <wps:wsp xmlns:wps="http://schemas.microsoft.com/office/word/2010/wordprocessingShape">
                        <wps:cNvPr id="636617" name="Shape 636617"/>
                        <wps:cNvSpPr/>
                        <wps:spPr>
                          <a:xfrm>
                            <a:off x="0" y="0"/>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_x0000_s1435" style="height:13.32pt;margin-left:36pt;margin-top:675.48pt;mso-position-horizontal-relative:page;mso-position-vertical-relative:page;position:absolute;width:0.72pt;z-index:251664384" coordsize="91,1691">
                <v:shape id="_x0000_s1436" style="height:1691;position:absolute;width:91" coordsize="9144,169164" path="m,l9144,l9144,169164l,169164l,e">
                  <v:stroke joinstyle="miter" endcap="flat" opacity="0"/>
                </v:shape>
                <w10:wrap type="square"/>
              </v:group>
            </w:pict>
          </mc:Fallback>
        </mc:AlternateContent>
      </w:r>
      <w:r w:rsidRPr="005B5CB6">
        <w:rPr>
          <w:rFonts w:ascii="Verdana" w:eastAsia="Verdana" w:hAnsi="Verdana" w:cs="Verdana"/>
        </w:rPr>
        <w:t xml:space="preserve">Some people have argued that getting rid of political content and ads from Facebook is the only sure-fire way of guarding against foreign interference.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We believe that banning political ads on Facebook would tilt the scales in favour of incumbent politicians and candidates with deep pockets. Digital advertising is typically more affordable than TV or print ads, giving less wellfunded candidates a relatively economical way to reach their future constituents. Similarly, it would make it harder for people running for local office — who can’t afford larger media buys — to get their message out. And issue ads also help raise awareness of important challenges, mobilising people across communities to fight for a common cause.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As a result of changes we made in 2018, Facebook now has a higher standard of ads transparency than has ever existed with billboard or newspaper ads.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All advertisers wanting to run ads in the UK that reference political figures, political parties, elections, legislation before Parliament and past referenda that are the subject of national debate, now need to verify their identity and location and carry a “Paid for by” disclaimer. Starting late October, we will also require advertisers wanting to run ads about eight social issues - Immigration, Political Values and Governance, Civil and Social Rights, </w:t>
      </w:r>
    </w:p>
    <w:p w:rsidR="00FB0B24" w:rsidRPr="005B5CB6" w:rsidP="006F32A5">
      <w:pPr>
        <w:spacing w:after="270" w:line="250" w:lineRule="auto"/>
        <w:ind w:left="728" w:right="11" w:hanging="8"/>
        <w:jc w:val="both"/>
        <w:rPr>
          <w:rFonts w:ascii="Verdana" w:hAnsi="Verdana"/>
        </w:rPr>
      </w:pPr>
      <w:r w:rsidRPr="005B5CB6">
        <w:rPr>
          <w:rFonts w:ascii="Verdana" w:eastAsia="Verdana" w:hAnsi="Verdana" w:cs="Verdana"/>
        </w:rPr>
        <w:t xml:space="preserve">Security and Foreign Policy, Economy, Environmental Politics, Health, and Crime. We see this as an important part of ensuring electoral integrity and helping people understand who they are engaging with.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We recognise that this is </w:t>
      </w:r>
      <w:r w:rsidRPr="005B5CB6">
        <w:rPr>
          <w:rFonts w:ascii="Verdana" w:eastAsia="Verdana" w:hAnsi="Verdana" w:cs="Verdana"/>
          <w:strike/>
          <w:color w:val="1B9CAB"/>
        </w:rPr>
        <w:t xml:space="preserve">going to be </w:t>
      </w:r>
      <w:r w:rsidRPr="005B5CB6">
        <w:rPr>
          <w:rFonts w:ascii="Verdana" w:eastAsia="Verdana" w:hAnsi="Verdana" w:cs="Verdana"/>
        </w:rPr>
        <w:t xml:space="preserve">a significant change for people who use our service to publish this type of ad. While the vast majority of ads on Facebook are run by legitimate organisations, we know that there are bad </w:t>
      </w:r>
      <w:r w:rsidRPr="005B5CB6">
        <w:rPr>
          <w:rFonts w:ascii="Verdana" w:eastAsia="Verdana" w:hAnsi="Verdana" w:cs="Verdana"/>
        </w:rPr>
        <w:t xml:space="preserve">actors that try to misuse our platform. By having people verify who they are, we believe it will help prevent abuse. </w:t>
      </w:r>
    </w:p>
    <w:p w:rsidR="00FB0B24" w:rsidRPr="005B5CB6" w:rsidP="006F32A5">
      <w:pPr>
        <w:spacing w:after="5" w:line="250" w:lineRule="auto"/>
        <w:ind w:left="728" w:right="11" w:hanging="8"/>
        <w:jc w:val="both"/>
        <w:rPr>
          <w:rFonts w:ascii="Verdana" w:hAnsi="Verdana"/>
        </w:rPr>
      </w:pPr>
      <w:r w:rsidRPr="005B5CB6">
        <w:rPr>
          <w:rFonts w:ascii="Verdana" w:eastAsia="Verdana" w:hAnsi="Verdana" w:cs="Verdana"/>
        </w:rPr>
        <w:t xml:space="preserve">To further increase transparency, we launched a public </w:t>
      </w:r>
      <w:r>
        <w:fldChar w:fldCharType="begin"/>
      </w:r>
      <w:r>
        <w:instrText xml:space="preserve"> HYPERLINK "https://www.facebook.com/business/m/one-sheeters/ad-library" </w:instrText>
      </w:r>
      <w:r>
        <w:fldChar w:fldCharType="separate"/>
      </w:r>
      <w:r w:rsidRPr="005B5CB6">
        <w:rPr>
          <w:rFonts w:ascii="Verdana" w:eastAsia="Verdana" w:hAnsi="Verdana" w:cs="Verdana"/>
          <w:color w:val="0000FF"/>
          <w:u w:val="single" w:color="0000FF"/>
        </w:rPr>
        <w:t>Ad Library</w:t>
      </w:r>
      <w:r>
        <w:fldChar w:fldCharType="end"/>
      </w:r>
      <w:r>
        <w:fldChar w:fldCharType="begin"/>
      </w:r>
      <w:r>
        <w:instrText xml:space="preserve"> HYPERLINK "https://www.facebook.com/business/m/one-sheeters/ad-library"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that contains a comprehensive, searchable collection of all ads that are active and running on Facebook and Instagram. This includes non-political ads. Political ads, however, are archived and remain in the Ad Libary for seven years. The Ad Library shows range of impressions, range of spend, range of age, gender and geographical reach for each ad. Anyone can explore the Library, with or without a Facebook account.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We’ve also introduced the </w:t>
      </w:r>
      <w:r>
        <w:fldChar w:fldCharType="begin"/>
      </w:r>
      <w:r>
        <w:instrText xml:space="preserve"> HYPERLINK "https://www.facebook.com/ads/library/report" </w:instrText>
      </w:r>
      <w:r>
        <w:fldChar w:fldCharType="separate"/>
      </w:r>
      <w:r w:rsidRPr="005B5CB6">
        <w:rPr>
          <w:rFonts w:ascii="Verdana" w:eastAsia="Verdana" w:hAnsi="Verdana" w:cs="Verdana"/>
          <w:color w:val="0000FF"/>
          <w:u w:val="single" w:color="0000FF"/>
        </w:rPr>
        <w:t>Ad Library Report</w:t>
      </w:r>
      <w:r>
        <w:fldChar w:fldCharType="end"/>
      </w:r>
      <w:r>
        <w:fldChar w:fldCharType="begin"/>
      </w:r>
      <w:r>
        <w:instrText xml:space="preserve"> HYPERLINK "https://www.facebook.com/ads/library/report"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which provides aggregated insights about political ads in the Ad Library. The report shows the total number of ads and total spend on ads in the Ad Library by country, as well as total spend by advertiser, advertiser spend by day and top searched keywords from the past week. Users can explore, filter and download the data into a CSV file. The Ad Library Report is useful to people who are interested in understanding high-level activity in the Ad Archive since launch, while the Ad Library could be used to deep dive into specific ads.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In June 2018, we launched Page Transparency, a feature which provides information about historical and admin information about Pages, including the date the Page was created; whether the Page name has changed; whether the Page has merged with other pages; and the primary country locations of people who manage the Page. </w:t>
      </w:r>
    </w:p>
    <w:p w:rsidR="00FB0B24" w:rsidRPr="005B5CB6" w:rsidP="00575F14">
      <w:pPr>
        <w:numPr>
          <w:ilvl w:val="0"/>
          <w:numId w:val="247"/>
        </w:numPr>
        <w:spacing w:after="270" w:line="250" w:lineRule="auto"/>
        <w:ind w:right="11" w:hanging="360"/>
        <w:jc w:val="both"/>
        <w:rPr>
          <w:rFonts w:ascii="Verdana" w:hAnsi="Verdana"/>
        </w:rPr>
      </w:pPr>
      <w:r w:rsidRPr="005B5CB6">
        <w:rPr>
          <w:rFonts w:ascii="Verdana" w:eastAsia="Verdana" w:hAnsi="Verdana" w:cs="Verdana"/>
        </w:rPr>
        <w:t xml:space="preserve">We continue to update and improve </w:t>
      </w:r>
      <w:r>
        <w:fldChar w:fldCharType="begin"/>
      </w:r>
      <w:r>
        <w:instrText xml:space="preserve"> HYPERLINK "https://newsroom.fb.com/news/2019/07/understand-why-youre-seeing-ads/" </w:instrText>
      </w:r>
      <w:r>
        <w:fldChar w:fldCharType="separate"/>
      </w:r>
      <w:r w:rsidRPr="005B5CB6">
        <w:rPr>
          <w:rFonts w:ascii="Verdana" w:eastAsia="Verdana" w:hAnsi="Verdana" w:cs="Verdana"/>
          <w:color w:val="0000FF"/>
          <w:u w:val="single" w:color="0000FF"/>
        </w:rPr>
        <w:t>Why am I seeing this ad?</w:t>
      </w:r>
      <w:r>
        <w:fldChar w:fldCharType="end"/>
      </w:r>
      <w:r>
        <w:fldChar w:fldCharType="begin"/>
      </w:r>
      <w:r>
        <w:instrText xml:space="preserve"> HYPERLINK "https://newsroom.fb.com/news/2019/07/understand-why-youre-seeing-ads/"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and Ad Preferences - tools we introduced over four years ago to provide people greater transparency and control over the ads they see. In the recent updates, people can see more detailed targeting, including the interests or categories that matched them with a specific ad. It will also be clearer where that information came from (e.g. the website they may have visited or Page they may have liked), and we’ll highlight controls people can use to easily adjust their experience. We have also updated the </w:t>
      </w:r>
      <w:r>
        <w:fldChar w:fldCharType="begin"/>
      </w:r>
      <w:r>
        <w:instrText xml:space="preserve"> HYPERLINK "https://newsroom.fb.com/news/2019/07/understand-why-youre-seeing-ads/" </w:instrText>
      </w:r>
      <w:r>
        <w:fldChar w:fldCharType="separate"/>
      </w:r>
      <w:r w:rsidRPr="005B5CB6">
        <w:rPr>
          <w:rFonts w:ascii="Verdana" w:eastAsia="Verdana" w:hAnsi="Verdana" w:cs="Verdana"/>
          <w:color w:val="0000FF"/>
          <w:u w:val="single" w:color="0000FF"/>
        </w:rPr>
        <w:t>Ad Preferences</w:t>
      </w:r>
      <w:r>
        <w:fldChar w:fldCharType="end"/>
      </w:r>
      <w:r>
        <w:fldChar w:fldCharType="begin"/>
      </w:r>
      <w:r>
        <w:instrText xml:space="preserve"> HYPERLINK "https://newsroom.fb.com/news/2019/07/understand-why-youre-seeing-ads/"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tool to show people more about businesses that upload lists with their information, such as an email address or phone number. </w:t>
      </w:r>
    </w:p>
    <w:p w:rsidR="00FB0B24" w:rsidRPr="005B5CB6" w:rsidP="006F32A5">
      <w:pPr>
        <w:spacing w:after="266" w:line="250" w:lineRule="auto"/>
        <w:ind w:left="11" w:hanging="10"/>
        <w:jc w:val="both"/>
        <w:rPr>
          <w:rFonts w:ascii="Verdana" w:hAnsi="Verdana"/>
        </w:rPr>
      </w:pPr>
      <w:r w:rsidRPr="005B5CB6">
        <w:rPr>
          <w:rFonts w:ascii="Verdana" w:eastAsia="Verdana" w:hAnsi="Verdana" w:cs="Verdana"/>
          <w:b/>
        </w:rPr>
        <w:t>What steps can be taken to reduce the impact of misinformation online?</w:t>
      </w:r>
      <w:r w:rsidRPr="005B5CB6">
        <w:rPr>
          <w:rFonts w:ascii="Verdana" w:eastAsia="Verdana" w:hAnsi="Verdana" w:cs="Verdana"/>
        </w:rPr>
        <w:t xml:space="preserve">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Fighting false news and misinformation is a top priority for Facebook, and because the challenge is multifaceted, we take a variety of approaches through product and policy interventions. Our approach to misinformation is guided by the principle that we should not act as the arbiter of truth, and we should not have policies requiring everything our users post should be truthful. However, we also know that our users want to see high quality content on our platform which is why our strategy to combat misinformation has three parts: remove, reduce and inform.  </w:t>
      </w:r>
    </w:p>
    <w:p w:rsidR="00FB0B24" w:rsidRPr="005B5CB6" w:rsidP="00575F14">
      <w:pPr>
        <w:numPr>
          <w:ilvl w:val="0"/>
          <w:numId w:val="247"/>
        </w:numPr>
        <w:spacing w:after="5" w:line="250" w:lineRule="auto"/>
        <w:ind w:right="11" w:hanging="360"/>
        <w:jc w:val="both"/>
        <w:rPr>
          <w:rFonts w:ascii="Verdana" w:hAnsi="Verdana"/>
        </w:rPr>
      </w:pPr>
      <w:r w:rsidRPr="005B5CB6">
        <w:rPr>
          <w:rFonts w:ascii="Verdana" w:eastAsia="Verdana" w:hAnsi="Verdana" w:cs="Verdana"/>
        </w:rPr>
        <w:t xml:space="preserve">We think that reducing the distribution of misinformation—rather than removing it outright—strikes the right balance between giving people a place to express themselves and creating a community that’s safe and authentic. </w:t>
      </w:r>
      <w:r w:rsidRPr="005B5CB6">
        <w:rPr>
          <w:rFonts w:ascii="Verdana" w:eastAsia="Verdana" w:hAnsi="Verdana" w:cs="Verdana"/>
        </w:rPr>
        <w:t xml:space="preserve">There are some extreme forms of misinformation that violate our community standards that we remove from our platform. </w:t>
      </w:r>
    </w:p>
    <w:p w:rsidR="00FB0B24" w:rsidRPr="005B5CB6" w:rsidP="006F32A5">
      <w:pPr>
        <w:spacing w:after="5" w:line="250" w:lineRule="auto"/>
        <w:ind w:left="1440" w:right="11" w:hanging="360"/>
        <w:jc w:val="both"/>
        <w:rPr>
          <w:rFonts w:ascii="Verdana" w:hAnsi="Verdana"/>
        </w:rPr>
      </w:pP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Fake accounts are not permitted under our community standards, and are one of the primary vehicles for spreading misinformation -- especially politically-motivated misinformation and propaganda. We try to stop fake accounts abusing our platforms in three distinct ways. Of the accounts we remove, both at sign-up and those already on the platform, 99.8% of these are proactively detected by us before people report them to us. </w:t>
      </w:r>
    </w:p>
    <w:p w:rsidR="00FB0B24" w:rsidRPr="005B5CB6" w:rsidP="00575F14">
      <w:pPr>
        <w:numPr>
          <w:ilvl w:val="0"/>
          <w:numId w:val="248"/>
        </w:numPr>
        <w:spacing w:after="5" w:line="250" w:lineRule="auto"/>
        <w:ind w:right="11" w:hanging="360"/>
        <w:jc w:val="both"/>
        <w:rPr>
          <w:rFonts w:ascii="Verdana" w:hAnsi="Verdana"/>
        </w:rPr>
      </w:pPr>
      <w:r w:rsidRPr="005B5CB6">
        <w:rPr>
          <w:rFonts w:ascii="Verdana" w:eastAsia="Verdana" w:hAnsi="Verdana" w:cs="Verdana"/>
        </w:rPr>
        <w:t>Blocking accounts from being created</w:t>
      </w:r>
      <w:r w:rsidRPr="005B5CB6">
        <w:rPr>
          <w:rFonts w:ascii="Verdana" w:eastAsia="Verdana" w:hAnsi="Verdana" w:cs="Verdana"/>
          <w:b/>
        </w:rPr>
        <w:t>:</w:t>
      </w:r>
      <w:r w:rsidRPr="005B5CB6">
        <w:rPr>
          <w:rFonts w:ascii="Verdana" w:eastAsia="Verdana" w:hAnsi="Verdana" w:cs="Verdana"/>
        </w:rPr>
        <w:t xml:space="preserve"> The best way to fight fake accounts is to stop them from getting onto Facebook in the first place. We’ve built detection technology that can detect and block accounts even before they are created. Our systems look for a number of different signals that indicate if accounts are created in mass from one location. A simple example is blocking certain IP addresses altogether so that they can’t access our systems and thus can’t create accounts. </w:t>
      </w:r>
    </w:p>
    <w:p w:rsidR="00FB0B24" w:rsidRPr="005B5CB6" w:rsidP="00575F14">
      <w:pPr>
        <w:numPr>
          <w:ilvl w:val="0"/>
          <w:numId w:val="248"/>
        </w:numPr>
        <w:spacing w:after="5" w:line="250" w:lineRule="auto"/>
        <w:ind w:right="11" w:hanging="360"/>
        <w:jc w:val="both"/>
        <w:rPr>
          <w:rFonts w:ascii="Verdana" w:hAnsi="Verdana"/>
        </w:rPr>
      </w:pPr>
      <w:r w:rsidRPr="005B5CB6">
        <w:rPr>
          <w:rFonts w:ascii="Verdana" w:eastAsia="Verdana" w:hAnsi="Verdana" w:cs="Verdana"/>
        </w:rPr>
        <w:t>Removing accounts when they sign-up</w:t>
      </w:r>
      <w:r w:rsidRPr="005B5CB6">
        <w:rPr>
          <w:rFonts w:ascii="Verdana" w:eastAsia="Verdana" w:hAnsi="Verdana" w:cs="Verdana"/>
          <w:b/>
        </w:rPr>
        <w:t>:</w:t>
      </w:r>
      <w:r w:rsidRPr="005B5CB6">
        <w:rPr>
          <w:rFonts w:ascii="Verdana" w:eastAsia="Verdana" w:hAnsi="Verdana" w:cs="Verdana"/>
        </w:rPr>
        <w:t xml:space="preserve"> Our advanced detection systems look for potential fake accounts as soon as they signup, by spotting signs of malicious behavior. These systems use a combination of signals such as patterns of using suspicious email addresses, suspicious actions, or other signals previously associated with other fake accounts we’ve removed. Most of the accounts we currently remove, are blocked within minutes of their creation before they can do any harm. </w:t>
      </w:r>
    </w:p>
    <w:p w:rsidR="00FB0B24" w:rsidRPr="005B5CB6" w:rsidP="00575F14">
      <w:pPr>
        <w:numPr>
          <w:ilvl w:val="0"/>
          <w:numId w:val="248"/>
        </w:numPr>
        <w:spacing w:after="5" w:line="250" w:lineRule="auto"/>
        <w:ind w:right="11" w:hanging="360"/>
        <w:jc w:val="both"/>
        <w:rPr>
          <w:rFonts w:ascii="Verdana" w:hAnsi="Verdana"/>
        </w:rPr>
      </w:pPr>
      <w:r w:rsidRPr="005B5CB6">
        <w:rPr>
          <w:rFonts w:ascii="Verdana" w:eastAsia="Verdana" w:hAnsi="Verdana" w:cs="Verdana"/>
        </w:rPr>
        <w:t xml:space="preserve">Removing accounts already on Facebook: Some accounts may get past the above two defenses and still make it onto the platform. Often, this is because they don’t readily show signals of being fake or malicious at first, so we give them the benefit of the doubt until they exhibit signs of malicious activity. We find these accounts when our detection systems identify such behavior or if people using Facebook report them to us. We use a number of signals about how the account was created and is being used to determine whether it has a high probability of being fake and disable those that are.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We have learned that in some cases, people post content that, on its face, doesn't violate. However, coupled with an understanding of ethnic and religious tensions on the ground or a more complete view of the publisher and the target, seemingly benign online content has the potential to incite or cause real world harm. To address this reality, we updated our Community Standards such that we remove misinformation that may contribute to </w:t>
      </w:r>
      <w:r>
        <w:fldChar w:fldCharType="begin"/>
      </w:r>
      <w:r>
        <w:instrText xml:space="preserve"> HYPERLINK "https://www.facebook.com/communitystandards/credible_violence" </w:instrText>
      </w:r>
      <w:r>
        <w:fldChar w:fldCharType="separate"/>
      </w:r>
      <w:r w:rsidRPr="005B5CB6">
        <w:rPr>
          <w:rFonts w:ascii="Verdana" w:eastAsia="Verdana" w:hAnsi="Verdana" w:cs="Verdana"/>
          <w:color w:val="0000FF"/>
          <w:u w:val="single" w:color="0000FF"/>
        </w:rPr>
        <w:t>imminent violence or physical</w:t>
      </w:r>
      <w:r>
        <w:fldChar w:fldCharType="end"/>
      </w:r>
      <w:r>
        <w:fldChar w:fldCharType="begin"/>
      </w:r>
      <w:r>
        <w:instrText xml:space="preserve"> HYPERLINK "https://www.facebook.com/communitystandards/credible_violence" </w:instrText>
      </w:r>
      <w:r>
        <w:fldChar w:fldCharType="separate"/>
      </w:r>
      <w:r w:rsidRPr="005B5CB6">
        <w:rPr>
          <w:rFonts w:ascii="Verdana" w:eastAsia="Verdana" w:hAnsi="Verdana" w:cs="Verdana"/>
          <w:color w:val="0000FF"/>
        </w:rPr>
        <w:t xml:space="preserve"> </w:t>
      </w:r>
      <w:r>
        <w:fldChar w:fldCharType="end"/>
      </w:r>
      <w:r>
        <w:fldChar w:fldCharType="begin"/>
      </w:r>
      <w:r>
        <w:instrText xml:space="preserve"> HYPERLINK "https://www.facebook.com/communitystandards/credible_violence" </w:instrText>
      </w:r>
      <w:r>
        <w:fldChar w:fldCharType="separate"/>
      </w:r>
      <w:r w:rsidRPr="005B5CB6">
        <w:rPr>
          <w:rFonts w:ascii="Verdana" w:eastAsia="Verdana" w:hAnsi="Verdana" w:cs="Verdana"/>
          <w:color w:val="0000FF"/>
          <w:u w:val="single" w:color="0000FF"/>
        </w:rPr>
        <w:t>harm</w:t>
      </w:r>
      <w:r>
        <w:fldChar w:fldCharType="end"/>
      </w:r>
      <w:r>
        <w:fldChar w:fldCharType="begin"/>
      </w:r>
      <w:r>
        <w:instrText xml:space="preserve"> HYPERLINK "https://www.facebook.com/communitystandards/credible_violence"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To operationalize the policy, we have on-boarded local organizations and international institutions, who are often the first to become aware of inaccurate or misleading information that may contribute to real world harm. We have secure channels </w:t>
      </w:r>
      <w:r w:rsidRPr="005B5CB6">
        <w:rPr>
          <w:rFonts w:ascii="Verdana" w:eastAsia="Verdana" w:hAnsi="Verdana" w:cs="Verdana"/>
        </w:rPr>
        <w:t xml:space="preserve">for these organizations to reach out to us and escalate content quickly.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We also remove misinformation that contributes to voter suppression (actions that are designed to deter or prevent people from voting). </w:t>
      </w:r>
    </w:p>
    <w:p w:rsidR="00FB0B24" w:rsidRPr="005B5CB6" w:rsidP="006F32A5">
      <w:pPr>
        <w:spacing w:after="5" w:line="268" w:lineRule="auto"/>
        <w:ind w:left="289" w:right="43" w:hanging="10"/>
        <w:jc w:val="both"/>
        <w:rPr>
          <w:rFonts w:ascii="Verdana" w:hAnsi="Verdana"/>
        </w:rPr>
      </w:pPr>
      <w:r w:rsidRPr="005B5CB6">
        <w:rPr>
          <w:rFonts w:ascii="Verdana" w:eastAsia="Verdana" w:hAnsi="Verdana" w:cs="Verdana"/>
        </w:rPr>
        <w:t xml:space="preserve">This includes misrepresentation about how to vote, such as claims that you can vote using an online app, and statements about whether a vote will be counted.  </w:t>
      </w:r>
    </w:p>
    <w:p w:rsidR="00FB0B24" w:rsidRPr="005B5CB6" w:rsidP="006F32A5">
      <w:pPr>
        <w:spacing w:after="5" w:line="250" w:lineRule="auto"/>
        <w:ind w:left="728" w:right="11" w:hanging="8"/>
        <w:jc w:val="both"/>
        <w:rPr>
          <w:rFonts w:ascii="Verdana" w:hAnsi="Verdana"/>
        </w:rPr>
      </w:pPr>
      <w:r w:rsidRPr="005B5CB6">
        <w:rPr>
          <w:rFonts w:ascii="Verdana" w:eastAsia="Verdana" w:hAnsi="Verdana" w:cs="Verdana"/>
        </w:rPr>
        <w:t xml:space="preserve">As mentioned, we think that in most cases reducing the distribution of misinformation - rather than removing it outright - strikes the right balance between encouraging free expression and promoting a safe and authentic community, and we believe that down-ranking inauthentic content strikes that balance. In other words, we allow people to post it as a form of expression, but we’re not going to show it at the top of News Feed.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When we demote stories rated false by fact checkers, we are able to reduce its future views. News Feed is ranked based on hundreds of thousands of signals, and some signals can identify clickbait, false news or engagement bait, which can factor into that post’s ranking in a negative way if identified. Other signals we use to identify false content includes factors like the content’s source, who is sharing it, and how people engage with the content.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One way we reduce the distribution of spammy content or false news in News Feed is through our third-party fact-checking program. Our fact-checking partners have all been certified through a non-partisan International Fact-Checking Network. Today we have 55 partners in 43 languages, including two in the UK (Full Fact and Fact Check NI), and we’re working hard to continue expanding our third-party factchecking program. </w:t>
      </w:r>
    </w:p>
    <w:p w:rsidR="00FB0B24" w:rsidRPr="005B5CB6" w:rsidP="00575F14">
      <w:pPr>
        <w:numPr>
          <w:ilvl w:val="0"/>
          <w:numId w:val="248"/>
        </w:numPr>
        <w:spacing w:after="5" w:line="250" w:lineRule="auto"/>
        <w:ind w:right="11" w:hanging="360"/>
        <w:jc w:val="both"/>
        <w:rPr>
          <w:rFonts w:ascii="Verdana" w:hAnsi="Verdana"/>
        </w:rPr>
      </w:pPr>
      <w:r w:rsidRPr="005B5CB6">
        <w:rPr>
          <w:rFonts w:ascii="Verdana" w:eastAsia="Verdana" w:hAnsi="Verdana" w:cs="Verdana"/>
        </w:rPr>
        <w:t xml:space="preserve">We identify content to be reviewed by our fact-checkers through a combination of technology and human review. Our machine learning models identify links to articles which might be false and we can use the model predictions to prioritize the links we show third-party fact-checkers. Since there are hundreds of millions of links per week being shared on Facebook, we prioritize third-party fact-checkers’ time with algorithms to surface suspicious links.  </w:t>
      </w:r>
    </w:p>
    <w:p w:rsidR="00FB0B24" w:rsidRPr="005B5CB6" w:rsidP="00575F14">
      <w:pPr>
        <w:numPr>
          <w:ilvl w:val="0"/>
          <w:numId w:val="248"/>
        </w:numPr>
        <w:spacing w:after="5" w:line="250" w:lineRule="auto"/>
        <w:ind w:right="11" w:hanging="360"/>
        <w:jc w:val="both"/>
        <w:rPr>
          <w:rFonts w:ascii="Verdana" w:hAnsi="Verdana"/>
        </w:rPr>
      </w:pPr>
      <w:r w:rsidRPr="005B5CB6">
        <w:rPr>
          <w:rFonts w:ascii="Verdana" w:eastAsia="Verdana" w:hAnsi="Verdana" w:cs="Verdana"/>
        </w:rPr>
        <w:t xml:space="preserve">Fact-checkers can also proactively identify the content they would like to review themselves. We ask our partners to focus their fact-checking for Facebook on identifying and addressing the worst of the worst - clear misinformation and fake news intended to harm and mislead people. After consulting the public guidelines of our fact-checking partners, we identified four consistently emphasized criteria for fact-checkers to consider when prioritizing work on Facebook: verifiability, importance, relevance and virality. These fact-checkers then review the stories, check their facts, and rate their accuracy. False stories are demoted in News Feed so fewer people see them. These confirmed fact-checker ratings then help further train our machine learning model, creating a continuous cycle of improvement.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In addition to removing misinformation that violates our community standards, and reducing the distribution of false rated news in our News Feed, we are also </w:t>
      </w:r>
      <w:r w:rsidRPr="005B5CB6">
        <w:rPr>
          <w:rFonts w:ascii="Verdana" w:eastAsia="Verdana" w:hAnsi="Verdana" w:cs="Verdana"/>
        </w:rPr>
        <w:t xml:space="preserve">investing in new ways to provide more context to users about the information they are seeing on the platform. For Page owners, we notify them if they have shared something that was given a “false” or “mixture” rating by a fact-checker. We’ll also notify people who are about to share or have shared that post in the past.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We also recently developed a feature to give people more information about the publishers and articles they see. For example, when a factchecker writes an article that explains why a claim is false, misleading, or true, we'll show that explainer article alongside the content in question in News Feed.  </w:t>
      </w:r>
    </w:p>
    <w:p w:rsidR="00FB0B24" w:rsidRPr="005B5CB6" w:rsidP="00575F14">
      <w:pPr>
        <w:numPr>
          <w:ilvl w:val="1"/>
          <w:numId w:val="249"/>
        </w:numPr>
        <w:spacing w:after="5" w:line="250" w:lineRule="auto"/>
        <w:ind w:right="11" w:hanging="360"/>
        <w:jc w:val="both"/>
        <w:rPr>
          <w:rFonts w:ascii="Verdana" w:hAnsi="Verdana"/>
        </w:rPr>
      </w:pPr>
      <w:r w:rsidRPr="005B5CB6">
        <w:rPr>
          <w:rFonts w:ascii="Verdana" w:eastAsia="Verdana" w:hAnsi="Verdana" w:cs="Verdana"/>
        </w:rPr>
        <w:t xml:space="preserve">Last year we launched a new feature called the </w:t>
      </w:r>
      <w:r>
        <w:fldChar w:fldCharType="begin"/>
      </w:r>
      <w:r>
        <w:instrText xml:space="preserve"> HYPERLINK "https://newsroom.fb.com/news/2018/04/news-feed-fyi-more-context/" </w:instrText>
      </w:r>
      <w:r>
        <w:fldChar w:fldCharType="separate"/>
      </w:r>
      <w:r w:rsidRPr="005B5CB6">
        <w:rPr>
          <w:rFonts w:ascii="Verdana" w:eastAsia="Verdana" w:hAnsi="Verdana" w:cs="Verdana"/>
          <w:color w:val="0000FF"/>
          <w:u w:val="single" w:color="0000FF"/>
        </w:rPr>
        <w:t>Context Button</w:t>
      </w:r>
      <w:r>
        <w:fldChar w:fldCharType="end"/>
      </w:r>
      <w:r>
        <w:fldChar w:fldCharType="begin"/>
      </w:r>
      <w:r>
        <w:instrText xml:space="preserve"> HYPERLINK "https://newsroom.fb.com/news/2018/04/news-feed-fyi-more-context/"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to make it easier for people to view more information about websites and publishers they see on Facebook. This spring, we expanded the Context Button to images that have been fact-checked on Facebook.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And finally when it comes to fighting misinformation, one of the most effective approaches is removing economic incentives for traffickers of misinformation. We’ve found that a lot of fake news is financially motivated. These spammers make money by masquerading as legitimate news publishers and posting hoaxes that get people to visit their sites, which are often mostly ads.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For Pages and domains that repeatedly share false news, their distribution will be reduced and their ability to monetize and advertise will be removed. These repeat offenders will no longer be allowed to advertise on Facebook. This policy includes Pages that are sharing false news but didn’t create it themselves because we believe that they, like publishers, have a responsibility for the content they share with their audiences. Once pages and domains are no longer repeat offenders, we no longer reduce their distribution and once again allow them to advertise and monetize.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However, we've found that misinformation is spread in three main ways: </w:t>
      </w:r>
    </w:p>
    <w:p w:rsidR="00FB0B24" w:rsidRPr="005B5CB6" w:rsidP="00575F14">
      <w:pPr>
        <w:numPr>
          <w:ilvl w:val="1"/>
          <w:numId w:val="249"/>
        </w:numPr>
        <w:spacing w:after="5" w:line="250" w:lineRule="auto"/>
        <w:ind w:right="11" w:hanging="360"/>
        <w:jc w:val="both"/>
        <w:rPr>
          <w:rFonts w:ascii="Verdana" w:hAnsi="Verdana"/>
        </w:rPr>
      </w:pPr>
      <w:r w:rsidRPr="005B5CB6">
        <w:rPr>
          <w:rFonts w:ascii="Verdana" w:eastAsia="Verdana" w:hAnsi="Verdana" w:cs="Verdana"/>
        </w:rPr>
        <w:t xml:space="preserve">By fake accounts, including for political motivation;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By spammers, for economic motivation; and </w:t>
      </w:r>
    </w:p>
    <w:p w:rsidR="00FB0B24" w:rsidRPr="005B5CB6" w:rsidP="00575F14">
      <w:pPr>
        <w:numPr>
          <w:ilvl w:val="1"/>
          <w:numId w:val="249"/>
        </w:numPr>
        <w:spacing w:after="5" w:line="250" w:lineRule="auto"/>
        <w:ind w:right="11" w:hanging="360"/>
        <w:jc w:val="both"/>
        <w:rPr>
          <w:rFonts w:ascii="Verdana" w:hAnsi="Verdana"/>
        </w:rPr>
      </w:pPr>
      <w:r w:rsidRPr="005B5CB6">
        <w:rPr>
          <w:rFonts w:ascii="Verdana" w:eastAsia="Verdana" w:hAnsi="Verdana" w:cs="Verdana"/>
        </w:rPr>
        <w:t xml:space="preserve">By regular people, who often may not know they're spreading misinformation.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Misinformation that can contribute to real world violence has been one of the hardest issues we've faced. In places where viral misinformation may contribute to violence we now take it down. In other cases, we focus on reducing the distribution of viral misinformation rather than removing it outright.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Economically motivated misinformation is another challenge that may affect elections. In these cases, spammers make up sensationalist claims and push them onto the internet in the hope that people will click on them and they'll make money off the ads next to the content. This is the same business model spammers have used for a long time, and the techniques we've developed over the years to fight spammers apply here as well.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The key is to disrupt their economic incentives. If we make it harder for them to make money, then they'll typically just go and do something else instead. This is why we block anyone who has repeatedly spread misinformation from </w:t>
      </w:r>
      <w:r w:rsidRPr="005B5CB6">
        <w:rPr>
          <w:rFonts w:ascii="Verdana" w:eastAsia="Verdana" w:hAnsi="Verdana" w:cs="Verdana"/>
        </w:rPr>
        <w:t xml:space="preserve">using our ads to make money. We also significantly reduce the distribution of any page that has repeatedly spread misinformation and spam. These </w:t>
      </w:r>
    </w:p>
    <w:p w:rsidR="00FB0B24" w:rsidRPr="005B5CB6" w:rsidP="006F32A5">
      <w:pPr>
        <w:spacing w:after="5" w:line="250" w:lineRule="auto"/>
        <w:ind w:left="728" w:right="11" w:hanging="8"/>
        <w:jc w:val="both"/>
        <w:rPr>
          <w:rFonts w:ascii="Verdana" w:hAnsi="Verdana"/>
        </w:rPr>
      </w:pPr>
      <w:r w:rsidRPr="005B5CB6">
        <w:rPr>
          <w:rFonts w:ascii="Verdana" w:eastAsia="Verdana" w:hAnsi="Verdana" w:cs="Verdana"/>
        </w:rPr>
        <w:t xml:space="preserve">measures make it harder for them to stay profitable spamming our community. </w:t>
      </w:r>
    </w:p>
    <w:p w:rsidR="00FB0B24" w:rsidRPr="005B5CB6" w:rsidP="006F32A5">
      <w:pPr>
        <w:spacing w:after="5" w:line="250" w:lineRule="auto"/>
        <w:ind w:left="728" w:right="11" w:hanging="8"/>
        <w:jc w:val="both"/>
        <w:rPr>
          <w:rFonts w:ascii="Verdana" w:hAnsi="Verdana"/>
        </w:rPr>
      </w:pPr>
      <w:r w:rsidRPr="005B5CB6">
        <w:rPr>
          <w:rFonts w:ascii="Verdana" w:eastAsia="Verdana" w:hAnsi="Verdana" w:cs="Verdana"/>
        </w:rPr>
        <w:t xml:space="preserve">The third major category of misinformation is shared by regular people in their normal use of our services. This is particularly challenging to deal with because we cannot stop it upstream -- like we can by removing fake accounts or preventing spammers from using our ads. Instead, when a post is flagged as potentially false or is going viral, we pass it to independent factcheckers to review. All of the fact-checkers we use are certified by the nonpartisan </w:t>
      </w:r>
      <w:r>
        <w:fldChar w:fldCharType="begin"/>
      </w:r>
      <w:r>
        <w:instrText xml:space="preserve"> HYPERLINK "https://l.facebook.com/l.php?u=https%3A%2F%2Fwww.poynter.org%2Fchannels%2Ffact-checking%3Ffbclid%3DIwAR3Dxanr18B3Z-QYNuEPAw-ROHV2I_nS5JAt6Xs-prlk3X_ArXXKWKHo7mw&amp;h=AT2COweUAoZ0G5CiNAFYsUX9Kl2TkkolECgAZP6Z52VX1M7PwZ2e8oOkQ4pwX_BYyRKjPt8nES2UL84e24Y7M48v7JTHrWZ2YTQB99VSVuBurYHyvQrceCvRKtQfRk8EVsg" </w:instrText>
      </w:r>
      <w:r>
        <w:fldChar w:fldCharType="separate"/>
      </w:r>
      <w:r w:rsidRPr="005B5CB6">
        <w:rPr>
          <w:rFonts w:ascii="Verdana" w:eastAsia="Verdana" w:hAnsi="Verdana" w:cs="Verdana"/>
          <w:color w:val="0000FF"/>
          <w:u w:val="single" w:color="0000FF"/>
        </w:rPr>
        <w:t>International Fact-Checking Network</w:t>
      </w:r>
      <w:r>
        <w:fldChar w:fldCharType="end"/>
      </w:r>
      <w:r>
        <w:fldChar w:fldCharType="begin"/>
      </w:r>
      <w:r>
        <w:instrText xml:space="preserve"> HYPERLINK "https://l.facebook.com/l.php?u=https%3A%2F%2Fwww.poynter.org%2Fchannels%2Ffact-checking%3Ffbclid%3DIwAR3Dxanr18B3Z-QYNuEPAw-ROHV2I_nS5JAt6Xs-prlk3X_ArXXKWKHo7mw&amp;h=AT2COweUAoZ0G5CiNAFYsUX9Kl2TkkolECgAZP6Z52VX1M7PwZ2e8oOkQ4pwX_BYyRKjPt8nES2UL84e24Y7M48v7JTHrWZ2YTQB99VSVuBurYHyvQrceCvRKtQfRk8EVsg"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Posts that are rated as false are demoted.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Taking these strategies together, our goal around misinformation for elections is to make sure that few, if any, of the top links shared on Facebook will be viral hoaxes. </w:t>
      </w:r>
    </w:p>
    <w:p w:rsidR="00FB0B24" w:rsidRPr="005B5CB6" w:rsidP="00575F14">
      <w:pPr>
        <w:numPr>
          <w:ilvl w:val="0"/>
          <w:numId w:val="249"/>
        </w:numPr>
        <w:spacing w:after="270" w:line="250" w:lineRule="auto"/>
        <w:ind w:right="11" w:hanging="360"/>
        <w:jc w:val="both"/>
        <w:rPr>
          <w:rFonts w:ascii="Verdana" w:hAnsi="Verdana"/>
        </w:rPr>
      </w:pPr>
      <w:r w:rsidRPr="005B5CB6">
        <w:rPr>
          <w:rFonts w:ascii="Verdana" w:eastAsia="Verdana" w:hAnsi="Verdana" w:cs="Verdana"/>
        </w:rPr>
        <w:t xml:space="preserve">We have launched a joint research project with the National Literacy Trust in the UK which we are funding. It works with youth publishers 'The Day' and 'First News' and will survey young people on their experiences of fake news. </w:t>
      </w:r>
    </w:p>
    <w:p w:rsidR="00FB0B24" w:rsidRPr="005B5CB6" w:rsidP="006F32A5">
      <w:pPr>
        <w:spacing w:after="271" w:line="249" w:lineRule="auto"/>
        <w:ind w:left="-2" w:hanging="10"/>
        <w:jc w:val="both"/>
        <w:rPr>
          <w:rFonts w:ascii="Verdana" w:hAnsi="Verdana"/>
        </w:rPr>
      </w:pPr>
      <w:r w:rsidRPr="005B5CB6">
        <w:rPr>
          <w:rFonts w:ascii="Verdana" w:eastAsia="Verdana" w:hAnsi="Verdana" w:cs="Verdana"/>
          <w:b/>
        </w:rPr>
        <w:t>Does the increasing use of encrypted messaging and private groups on social media platforms present a challenge to democracy? What are the positive and negative effects of anonymity on online political debate?</w:t>
      </w:r>
      <w:r w:rsidRPr="005B5CB6">
        <w:rPr>
          <w:rFonts w:ascii="Verdana" w:eastAsia="Verdana" w:hAnsi="Verdana" w:cs="Verdana"/>
        </w:rPr>
        <w:t xml:space="preserve">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End-to-end encryption is a powerful tool for security and safety. It lets patients talk to their doctors in complete confidence. It helps journalists communicate with sources without governments listening in. It gives citizens in repressive regimes a lifeline to human rights advocates. And by end-toend encrypting sensitive information, a cyber attack aimed at revealing private conversations would be far less likely to succeed. </w:t>
      </w:r>
    </w:p>
    <w:p w:rsidR="00FB0B24" w:rsidRPr="005B5CB6" w:rsidP="00575F14">
      <w:pPr>
        <w:numPr>
          <w:ilvl w:val="0"/>
          <w:numId w:val="249"/>
        </w:numPr>
        <w:spacing w:after="270" w:line="250" w:lineRule="auto"/>
        <w:ind w:right="11" w:hanging="360"/>
        <w:jc w:val="both"/>
        <w:rPr>
          <w:rFonts w:ascii="Verdana" w:hAnsi="Verdana"/>
        </w:rPr>
      </w:pPr>
      <w:r w:rsidRPr="005B5CB6">
        <w:rPr>
          <w:rFonts w:ascii="Verdana" w:eastAsia="Verdana" w:hAnsi="Verdana" w:cs="Verdana"/>
        </w:rPr>
        <w:t xml:space="preserve">Encryption helps protect our information and safeguards its misuse by criminals and terrorists who could exploit it. Encryption plays an important role in securing our banking and e-commerce infrastructure and protects billions of communications and transactions every day, including those on Facebook. </w:t>
      </w:r>
    </w:p>
    <w:p w:rsidR="00FB0B24" w:rsidRPr="005B5CB6" w:rsidP="006F32A5">
      <w:pPr>
        <w:spacing w:after="271" w:line="249" w:lineRule="auto"/>
        <w:ind w:left="-2" w:hanging="10"/>
        <w:jc w:val="both"/>
        <w:rPr>
          <w:rFonts w:ascii="Verdana" w:hAnsi="Verdana"/>
        </w:rPr>
      </w:pPr>
      <w:r w:rsidRPr="005B5CB6">
        <w:rPr>
          <w:rFonts w:ascii="Verdana" w:eastAsia="Verdana" w:hAnsi="Verdana" w:cs="Verdana"/>
          <w:b/>
        </w:rPr>
        <w:t xml:space="preserve">How has the design of algorithms used by social media platforms shaped democratic debate? Should there be more accountability for the design of algorithms? </w:t>
      </w:r>
      <w:r w:rsidRPr="005B5CB6">
        <w:rPr>
          <w:rFonts w:ascii="Verdana" w:eastAsia="Verdana" w:hAnsi="Verdana" w:cs="Verdana"/>
        </w:rPr>
        <w:t xml:space="preserve">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Organizations of all shapes and sizes use algorithms -- a set of rules for solving a problem in a finite number of steps -- every day in countless ways. They help businesses, schools, hospitals and other institutions operate more efficiently and predictably.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At Facebook, we use algorithms to assist our internal teams, offer customized user experiences, and help us achieve our mission of building a global and informed community. This includes algorithms used to generate and display search results; prioritize the content people follow with their personalized News Feed; and match people with the ads most relevant to them.  </w:t>
      </w:r>
    </w:p>
    <w:p w:rsidR="00FB0B24" w:rsidRPr="005B5CB6" w:rsidP="006F32A5">
      <w:pPr>
        <w:jc w:val="both"/>
        <w:rPr>
          <w:rFonts w:ascii="Verdana" w:hAnsi="Verdana"/>
        </w:rPr>
        <w:sectPr w:rsidSect="00866125">
          <w:headerReference w:type="even" r:id="rId431"/>
          <w:headerReference w:type="default" r:id="rId432"/>
          <w:footerReference w:type="even" r:id="rId433"/>
          <w:footerReference w:type="default" r:id="rId434"/>
          <w:headerReference w:type="first" r:id="rId435"/>
          <w:footerReference w:type="first" r:id="rId436"/>
          <w:pgSz w:w="12240" w:h="15840"/>
          <w:pgMar w:top="1492" w:right="1439" w:bottom="1444" w:left="1440" w:header="720" w:footer="719" w:gutter="0"/>
          <w:cols w:space="720"/>
          <w:titlePg/>
        </w:sectPr>
      </w:pPr>
    </w:p>
    <w:p w:rsidR="00FB0B24" w:rsidRPr="005B5CB6" w:rsidP="006F32A5">
      <w:pPr>
        <w:spacing w:after="5" w:line="250" w:lineRule="auto"/>
        <w:ind w:left="728" w:right="11" w:hanging="8"/>
        <w:jc w:val="both"/>
        <w:rPr>
          <w:rFonts w:ascii="Verdana" w:hAnsi="Verdana"/>
        </w:rPr>
      </w:pPr>
      <w:r w:rsidRPr="005B5CB6">
        <w:rPr>
          <w:rFonts w:ascii="Verdana" w:eastAsia="Verdana" w:hAnsi="Verdana" w:cs="Verdana"/>
        </w:rPr>
        <w:t xml:space="preserve">Whether people are new to Facebook or have been using it for years, they should be able to easily understand and adjust how their information influences the ads and posts they see. We want to empower people to decide for themselves what to read, trust, and share, and we do this by providing greater transparency and control.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We are committed to being transparent with our users, including as it relates to policies and our use of algorithms.  </w:t>
      </w:r>
    </w:p>
    <w:p w:rsidR="00FB0B24" w:rsidRPr="005B5CB6" w:rsidP="006F32A5">
      <w:pPr>
        <w:spacing w:after="269" w:line="250" w:lineRule="auto"/>
        <w:ind w:left="1088" w:right="11" w:hanging="8"/>
        <w:jc w:val="both"/>
        <w:rPr>
          <w:rFonts w:ascii="Verdana" w:hAnsi="Verdana"/>
        </w:rPr>
      </w:pP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We publish a series of blog posts called </w:t>
      </w:r>
      <w:r>
        <w:fldChar w:fldCharType="begin"/>
      </w:r>
      <w:r>
        <w:instrText xml:space="preserve"> HYPERLINK "https://newsroom.fb.com/news/category/news-feed-fyi/" </w:instrText>
      </w:r>
      <w:r>
        <w:fldChar w:fldCharType="separate"/>
      </w:r>
      <w:r w:rsidRPr="005B5CB6">
        <w:rPr>
          <w:rFonts w:ascii="Verdana" w:eastAsia="Verdana" w:hAnsi="Verdana" w:cs="Verdana"/>
          <w:color w:val="0000FF"/>
          <w:u w:val="single" w:color="0000FF"/>
        </w:rPr>
        <w:t>News Feed FYI</w:t>
      </w:r>
      <w:r>
        <w:fldChar w:fldCharType="end"/>
      </w:r>
      <w:r>
        <w:fldChar w:fldCharType="begin"/>
      </w:r>
      <w:r>
        <w:instrText xml:space="preserve"> HYPERLINK "https://newsroom.fb.com/news/category/news-feed-fyi/"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that highlights major updates to News Feed and explains the thinking behind them.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We are also promoting a series of AI educational initiatives and campaigns to help people learn about the technology that underlies our various products and features, which includes AI and machine learning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We’ve also introduced tools and continue to add more information and features so that people can have more context and control over what they see in their News Feed. </w:t>
      </w:r>
    </w:p>
    <w:p w:rsidR="00FB0B24" w:rsidRPr="005B5CB6" w:rsidP="006F32A5">
      <w:pPr>
        <w:spacing w:after="270" w:line="250" w:lineRule="auto"/>
        <w:ind w:left="1088" w:right="11" w:hanging="8"/>
        <w:jc w:val="both"/>
        <w:rPr>
          <w:rFonts w:ascii="Verdana" w:hAnsi="Verdana"/>
        </w:rPr>
      </w:pP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In March, we introduced </w:t>
      </w:r>
      <w:r>
        <w:fldChar w:fldCharType="begin"/>
      </w:r>
      <w:r>
        <w:instrText xml:space="preserve"> HYPERLINK "https://newsroom.fb.com/news/2019/03/why-am-i-seeing-this/" </w:instrText>
      </w:r>
      <w:r>
        <w:fldChar w:fldCharType="separate"/>
      </w:r>
      <w:r w:rsidRPr="005B5CB6">
        <w:rPr>
          <w:rFonts w:ascii="Verdana" w:eastAsia="Verdana" w:hAnsi="Verdana" w:cs="Verdana"/>
          <w:color w:val="0000FF"/>
          <w:u w:val="single" w:color="0000FF"/>
        </w:rPr>
        <w:t>Why am I seeing this post?</w:t>
      </w:r>
      <w:r>
        <w:fldChar w:fldCharType="end"/>
      </w:r>
      <w:r>
        <w:fldChar w:fldCharType="begin"/>
      </w:r>
      <w:r>
        <w:instrText xml:space="preserve"> HYPERLINK "https://newsroom.fb.com/news/2019/03/why-am-i-seeing-this/"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Similar to </w:t>
      </w:r>
      <w:r>
        <w:fldChar w:fldCharType="begin"/>
      </w:r>
      <w:r>
        <w:instrText xml:space="preserve"> HYPERLINK "https://newsroom.fb.com/news/2019/07/understand-why-youre-seeing-ads/" </w:instrText>
      </w:r>
      <w:r>
        <w:fldChar w:fldCharType="separate"/>
      </w:r>
      <w:r w:rsidRPr="005B5CB6">
        <w:rPr>
          <w:rFonts w:ascii="Verdana" w:eastAsia="Verdana" w:hAnsi="Verdana" w:cs="Verdana"/>
          <w:color w:val="0000FF"/>
          <w:u w:val="single" w:color="0000FF"/>
        </w:rPr>
        <w:t>Why</w:t>
      </w:r>
      <w:r>
        <w:fldChar w:fldCharType="end"/>
      </w:r>
      <w:r>
        <w:fldChar w:fldCharType="begin"/>
      </w:r>
      <w:r>
        <w:instrText xml:space="preserve"> HYPERLINK "https://newsroom.fb.com/news/2019/07/understand-why-youre-seeing-ads/" </w:instrText>
      </w:r>
      <w:r>
        <w:fldChar w:fldCharType="separate"/>
      </w:r>
      <w:r w:rsidRPr="005B5CB6">
        <w:rPr>
          <w:rFonts w:ascii="Verdana" w:eastAsia="Verdana" w:hAnsi="Verdana" w:cs="Verdana"/>
          <w:color w:val="0000FF"/>
        </w:rPr>
        <w:t xml:space="preserve"> </w:t>
      </w:r>
      <w:r>
        <w:fldChar w:fldCharType="end"/>
      </w:r>
      <w:r>
        <w:fldChar w:fldCharType="begin"/>
      </w:r>
      <w:r>
        <w:instrText xml:space="preserve"> HYPERLINK "https://newsroom.fb.com/news/2019/07/understand-why-youre-seeing-ads/" </w:instrText>
      </w:r>
      <w:r>
        <w:fldChar w:fldCharType="separate"/>
      </w:r>
      <w:r w:rsidRPr="005B5CB6">
        <w:rPr>
          <w:rFonts w:ascii="Verdana" w:eastAsia="Verdana" w:hAnsi="Verdana" w:cs="Verdana"/>
          <w:color w:val="0000FF"/>
          <w:u w:val="single" w:color="0000FF"/>
        </w:rPr>
        <w:t>am I seeing this ad?</w:t>
      </w:r>
      <w:r>
        <w:fldChar w:fldCharType="end"/>
      </w:r>
      <w:r>
        <w:fldChar w:fldCharType="begin"/>
      </w:r>
      <w:r>
        <w:instrText xml:space="preserve"> HYPERLINK "https://newsroom.fb.com/news/2019/07/understand-why-youre-seeing-ads/"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it provides people with greater transparency and control over what they see from friends, Pages and Groups in their News Feed. This is the first time that we’ve built information on how our News Feed ranking works directly into the app. The new tool explains how people’s past interactions impact the ranking of posts in their News Feed. Shortcuts to controls - such as See First, Unfollow, News Feed Preferences and Privacy Shortcuts - have also been added to help people more easily personalize their News Feed.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In August, to help shed more light on these practices that are common yet not always well understood, we have introduced a new way for people to view and control their off-Facebook activity. </w:t>
      </w:r>
      <w:r>
        <w:fldChar w:fldCharType="begin"/>
      </w:r>
      <w:r>
        <w:instrText xml:space="preserve"> HYPERLINK "https://newsroom.fb.com/news/2019/08/off-facebook-activity/" </w:instrText>
      </w:r>
      <w:r>
        <w:fldChar w:fldCharType="separate"/>
      </w:r>
      <w:r w:rsidRPr="005B5CB6">
        <w:rPr>
          <w:rFonts w:ascii="Verdana" w:eastAsia="Verdana" w:hAnsi="Verdana" w:cs="Verdana"/>
          <w:color w:val="0000FF"/>
          <w:u w:val="single" w:color="0000FF"/>
        </w:rPr>
        <w:t>Off-Facebook</w:t>
      </w:r>
      <w:r>
        <w:fldChar w:fldCharType="end"/>
      </w:r>
      <w:r>
        <w:fldChar w:fldCharType="begin"/>
      </w:r>
      <w:r>
        <w:instrText xml:space="preserve"> HYPERLINK "https://newsroom.fb.com/news/2019/08/off-facebook-activity/" </w:instrText>
      </w:r>
      <w:r>
        <w:fldChar w:fldCharType="separate"/>
      </w:r>
      <w:r w:rsidRPr="005B5CB6">
        <w:rPr>
          <w:rFonts w:ascii="Verdana" w:eastAsia="Verdana" w:hAnsi="Verdana" w:cs="Verdana"/>
          <w:color w:val="0000FF"/>
        </w:rPr>
        <w:t xml:space="preserve"> </w:t>
      </w:r>
      <w:r>
        <w:fldChar w:fldCharType="end"/>
      </w:r>
      <w:r>
        <w:fldChar w:fldCharType="begin"/>
      </w:r>
      <w:r>
        <w:instrText xml:space="preserve"> HYPERLINK "https://newsroom.fb.com/news/2019/08/off-facebook-activity/" </w:instrText>
      </w:r>
      <w:r>
        <w:fldChar w:fldCharType="separate"/>
      </w:r>
      <w:r w:rsidRPr="005B5CB6">
        <w:rPr>
          <w:rFonts w:ascii="Verdana" w:eastAsia="Verdana" w:hAnsi="Verdana" w:cs="Verdana"/>
          <w:color w:val="0000FF"/>
          <w:u w:val="single" w:color="0000FF"/>
        </w:rPr>
        <w:t>Activity</w:t>
      </w:r>
      <w:r>
        <w:fldChar w:fldCharType="end"/>
      </w:r>
      <w:r>
        <w:fldChar w:fldCharType="begin"/>
      </w:r>
      <w:r>
        <w:instrText xml:space="preserve"> HYPERLINK "https://newsroom.fb.com/news/2019/08/off-facebook-activity/"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lets people see and control the data that other apps and websites share with Facebook. </w:t>
      </w:r>
    </w:p>
    <w:p w:rsidR="00FB0B24" w:rsidRPr="005B5CB6" w:rsidP="006F32A5">
      <w:pPr>
        <w:spacing w:after="270" w:line="250" w:lineRule="auto"/>
        <w:ind w:left="11" w:hanging="10"/>
        <w:jc w:val="both"/>
        <w:rPr>
          <w:rFonts w:ascii="Verdana" w:hAnsi="Verdana"/>
        </w:rPr>
      </w:pPr>
      <w:r w:rsidRPr="005B5CB6">
        <w:rPr>
          <w:rFonts w:ascii="Verdana" w:eastAsia="Verdana" w:hAnsi="Verdana" w:cs="Verdana"/>
          <w:b/>
        </w:rPr>
        <w:t>Are people or organisations deliberately using social media to undermine trust in democracy? How can this be combatted?</w:t>
      </w:r>
      <w:r w:rsidRPr="005B5CB6">
        <w:rPr>
          <w:rFonts w:ascii="Verdana" w:eastAsia="Verdana" w:hAnsi="Verdana" w:cs="Verdana"/>
        </w:rPr>
        <w:t xml:space="preserve">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Protecting the integrity of elections is one of Facebook's highest priorities. It's why we've worked to develop a comprehensive strategy to close previous vulnerabilities, while addressing new and emerging threats.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We've developed smarter tools, greater transparency, and stronger partnerships to help us do just that. We've blocked millions of fake accounts so they can't spread misinformation. We're working with independent factcheckers to reduce the spread of fake news. And we've set a new standard for transparency in Pages and political ads so people can see who is behind them.  </w:t>
      </w:r>
    </w:p>
    <w:p w:rsidR="00FB0B24" w:rsidRPr="005B5CB6" w:rsidP="00575F14">
      <w:pPr>
        <w:numPr>
          <w:ilvl w:val="0"/>
          <w:numId w:val="249"/>
        </w:numPr>
        <w:spacing w:after="5" w:line="250" w:lineRule="auto"/>
        <w:ind w:right="11" w:hanging="360"/>
        <w:jc w:val="both"/>
        <w:rPr>
          <w:rFonts w:ascii="Verdana" w:hAnsi="Verdana"/>
        </w:rPr>
      </w:pPr>
      <w:r w:rsidRPr="005B5CB6">
        <w:rPr>
          <w:rFonts w:ascii="Verdana" w:eastAsia="Verdana" w:hAnsi="Verdana" w:cs="Verdana"/>
        </w:rPr>
        <w:t xml:space="preserve">We know that security is never finished and we can't do this alone - that's why we continue to work with policymakers and experts to make sure we are constantly improving.  </w:t>
      </w:r>
    </w:p>
    <w:p w:rsidR="00FB0B24" w:rsidRPr="005B5CB6" w:rsidP="006F32A5">
      <w:pPr>
        <w:spacing w:after="5" w:line="250" w:lineRule="auto"/>
        <w:ind w:left="728" w:right="11" w:hanging="8"/>
        <w:jc w:val="both"/>
        <w:rPr>
          <w:rFonts w:ascii="Verdana" w:hAnsi="Verdana"/>
        </w:rPr>
      </w:pPr>
      <w:r w:rsidRPr="005B5CB6">
        <w:rPr>
          <w:rFonts w:ascii="Verdana" w:eastAsia="Verdana" w:hAnsi="Verdana" w:cs="Verdana"/>
        </w:rPr>
        <w:t xml:space="preserve">Security is an arms race, and as we continue to improve our defenses, our adversaries evolve their tactics. We will never be perfect, and we are up against determined opponents. But we are committed to doing everything we can to prevent people from using our platforms to interfere in elections. </w:t>
      </w:r>
    </w:p>
    <w:p w:rsidR="00FB0B24" w:rsidRPr="005B5CB6" w:rsidP="00575F14">
      <w:pPr>
        <w:numPr>
          <w:ilvl w:val="0"/>
          <w:numId w:val="249"/>
        </w:numPr>
        <w:spacing w:after="272" w:line="250" w:lineRule="auto"/>
        <w:ind w:right="11" w:hanging="360"/>
        <w:jc w:val="both"/>
        <w:rPr>
          <w:rFonts w:ascii="Verdana" w:hAnsi="Verdana"/>
        </w:rPr>
      </w:pPr>
      <w:r w:rsidRPr="005B5CB6">
        <w:rPr>
          <w:rFonts w:ascii="Verdana" w:eastAsia="Verdana" w:hAnsi="Verdana" w:cs="Verdana"/>
        </w:rPr>
        <w:t xml:space="preserve">We are also improving our rapid response efforts. We have more than 30,000 people working on safety and security, with 40 teams contributing to our work on elections globally. </w:t>
      </w:r>
    </w:p>
    <w:p w:rsidR="00FB0B24" w:rsidRPr="005B5CB6" w:rsidP="006F32A5">
      <w:pPr>
        <w:pStyle w:val="Heading2"/>
        <w:rPr>
          <w:sz w:val="22"/>
        </w:rPr>
      </w:pPr>
      <w:r w:rsidRPr="005B5CB6">
        <w:rPr>
          <w:b w:val="0"/>
          <w:sz w:val="22"/>
        </w:rPr>
        <w:t>Smarter Tools</w:t>
      </w:r>
      <w:r w:rsidRPr="005B5CB6">
        <w:rPr>
          <w:sz w:val="22"/>
        </w:rPr>
        <w:t xml:space="preserve"> </w:t>
      </w:r>
    </w:p>
    <w:p w:rsidR="00FB0B24" w:rsidRPr="005B5CB6" w:rsidP="00575F14">
      <w:pPr>
        <w:numPr>
          <w:ilvl w:val="0"/>
          <w:numId w:val="250"/>
        </w:numPr>
        <w:spacing w:after="5" w:line="250" w:lineRule="auto"/>
        <w:ind w:right="11" w:hanging="360"/>
        <w:jc w:val="both"/>
        <w:rPr>
          <w:rFonts w:ascii="Verdana" w:hAnsi="Verdana"/>
        </w:rPr>
      </w:pPr>
      <w:r w:rsidRPr="005B5CB6">
        <w:rPr>
          <w:rFonts w:ascii="Verdana" w:eastAsia="Verdana" w:hAnsi="Verdana" w:cs="Verdana"/>
        </w:rPr>
        <w:t xml:space="preserve">Our teams are working to build innovative new tools, combining stronger artificial intelligence with expert investigators, to find and prevent abuse, including:  </w:t>
      </w:r>
    </w:p>
    <w:p w:rsidR="00FB0B24" w:rsidRPr="005B5CB6" w:rsidP="00575F14">
      <w:pPr>
        <w:numPr>
          <w:ilvl w:val="2"/>
          <w:numId w:val="251"/>
        </w:numPr>
        <w:spacing w:after="5" w:line="250" w:lineRule="auto"/>
        <w:ind w:right="11" w:hanging="360"/>
        <w:jc w:val="both"/>
        <w:rPr>
          <w:rFonts w:ascii="Verdana" w:hAnsi="Verdana"/>
        </w:rPr>
      </w:pPr>
      <w:r w:rsidRPr="005B5CB6">
        <w:rPr>
          <w:rFonts w:ascii="Verdana" w:eastAsia="Verdana" w:hAnsi="Verdana" w:cs="Verdana"/>
        </w:rPr>
        <w:t xml:space="preserve">stopping millions of </w:t>
      </w:r>
      <w:r>
        <w:fldChar w:fldCharType="begin"/>
      </w:r>
      <w:r>
        <w:instrText xml:space="preserve"> HYPERLINK "https://transparency.facebook.com/community-standards-enforcement" \l "fake-accounts" </w:instrText>
      </w:r>
      <w:r>
        <w:fldChar w:fldCharType="separate"/>
      </w:r>
      <w:r w:rsidRPr="005B5CB6">
        <w:rPr>
          <w:rFonts w:ascii="Verdana" w:eastAsia="Verdana" w:hAnsi="Verdana" w:cs="Verdana"/>
          <w:color w:val="0000FF"/>
          <w:u w:val="single" w:color="0000FF"/>
        </w:rPr>
        <w:t>fake accounts</w:t>
      </w:r>
      <w:r>
        <w:fldChar w:fldCharType="end"/>
      </w:r>
      <w:r>
        <w:fldChar w:fldCharType="begin"/>
      </w:r>
      <w:r>
        <w:instrText xml:space="preserve"> HYPERLINK "https://transparency.facebook.com/community-standards-enforcement" \l "fake-accounts"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from being created every day; </w:t>
      </w:r>
    </w:p>
    <w:p w:rsidR="00FB0B24" w:rsidRPr="005B5CB6" w:rsidP="00575F14">
      <w:pPr>
        <w:numPr>
          <w:ilvl w:val="2"/>
          <w:numId w:val="251"/>
        </w:numPr>
        <w:spacing w:after="5" w:line="250" w:lineRule="auto"/>
        <w:ind w:right="11" w:hanging="360"/>
        <w:jc w:val="both"/>
        <w:rPr>
          <w:rFonts w:ascii="Verdana" w:hAnsi="Verdana"/>
        </w:rPr>
      </w:pPr>
      <w:r w:rsidRPr="005B5CB6">
        <w:rPr>
          <w:rFonts w:ascii="Verdana" w:eastAsia="Verdana" w:hAnsi="Verdana" w:cs="Verdana"/>
        </w:rPr>
        <w:t xml:space="preserve">finding and removing thousands of Pages, Groups, and accounts involved in </w:t>
      </w:r>
      <w:r>
        <w:fldChar w:fldCharType="begin"/>
      </w:r>
      <w:r>
        <w:instrText xml:space="preserve"> HYPERLINK "https://newsroom.fb.com/news/2019/09/removing-coordinated-inauthentic-behavior-from-iraq-and-ukraine/" </w:instrText>
      </w:r>
      <w:r>
        <w:fldChar w:fldCharType="separate"/>
      </w:r>
      <w:r w:rsidRPr="005B5CB6">
        <w:rPr>
          <w:rFonts w:ascii="Verdana" w:eastAsia="Verdana" w:hAnsi="Verdana" w:cs="Verdana"/>
          <w:color w:val="0000FF"/>
          <w:u w:val="single" w:color="0000FF"/>
        </w:rPr>
        <w:t>coordinated inauthentic behavior</w:t>
      </w:r>
      <w:r>
        <w:fldChar w:fldCharType="end"/>
      </w:r>
      <w:r>
        <w:fldChar w:fldCharType="begin"/>
      </w:r>
      <w:r>
        <w:instrText xml:space="preserve"> HYPERLINK "https://newsroom.fb.com/news/2019/09/removing-coordinated-inauthentic-behavior-from-iraq-and-ukraine/"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and </w:t>
      </w:r>
    </w:p>
    <w:p w:rsidR="00FB0B24" w:rsidRPr="005B5CB6" w:rsidP="00575F14">
      <w:pPr>
        <w:numPr>
          <w:ilvl w:val="2"/>
          <w:numId w:val="251"/>
        </w:numPr>
        <w:spacing w:after="5" w:line="250" w:lineRule="auto"/>
        <w:ind w:right="11" w:hanging="360"/>
        <w:jc w:val="both"/>
        <w:rPr>
          <w:rFonts w:ascii="Verdana" w:hAnsi="Verdana"/>
        </w:rPr>
      </w:pPr>
      <w:r w:rsidRPr="005B5CB6">
        <w:rPr>
          <w:rFonts w:ascii="Verdana" w:eastAsia="Verdana" w:hAnsi="Verdana" w:cs="Verdana"/>
        </w:rPr>
        <w:t xml:space="preserve">reducing the spread of </w:t>
      </w:r>
      <w:r>
        <w:fldChar w:fldCharType="begin"/>
      </w:r>
      <w:r>
        <w:instrText xml:space="preserve"> HYPERLINK "https://newsroom.fb.com/news/2019/04/remove-reduce-inform-new-steps/" </w:instrText>
      </w:r>
      <w:r>
        <w:fldChar w:fldCharType="separate"/>
      </w:r>
      <w:r w:rsidRPr="005B5CB6">
        <w:rPr>
          <w:rFonts w:ascii="Verdana" w:eastAsia="Verdana" w:hAnsi="Verdana" w:cs="Verdana"/>
          <w:color w:val="0000FF"/>
          <w:u w:val="single" w:color="0000FF"/>
        </w:rPr>
        <w:t>false news and misinformation</w:t>
      </w:r>
      <w:r>
        <w:fldChar w:fldCharType="end"/>
      </w:r>
      <w:r>
        <w:fldChar w:fldCharType="begin"/>
      </w:r>
      <w:r>
        <w:instrText xml:space="preserve"> HYPERLINK "https://newsroom.fb.com/news/2019/04/remove-reduce-inform-new-steps/"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as independent </w:t>
      </w:r>
      <w:r>
        <w:fldChar w:fldCharType="begin"/>
      </w:r>
      <w:r>
        <w:instrText xml:space="preserve"> HYPERLINK "https://newsroom.fb.com/news/2018/10/inside-feed-michigan-lemonde/" </w:instrText>
      </w:r>
      <w:r>
        <w:fldChar w:fldCharType="separate"/>
      </w:r>
      <w:r w:rsidRPr="005B5CB6">
        <w:rPr>
          <w:rFonts w:ascii="Verdana" w:eastAsia="Verdana" w:hAnsi="Verdana" w:cs="Verdana"/>
          <w:color w:val="0000FF"/>
          <w:u w:val="single" w:color="0000FF"/>
        </w:rPr>
        <w:t>studies</w:t>
      </w:r>
      <w:r>
        <w:fldChar w:fldCharType="end"/>
      </w:r>
      <w:r>
        <w:fldChar w:fldCharType="begin"/>
      </w:r>
      <w:r>
        <w:instrText xml:space="preserve"> HYPERLINK "https://newsroom.fb.com/news/2018/10/inside-feed-michigan-lemonde/"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have confirmed </w:t>
      </w:r>
    </w:p>
    <w:p w:rsidR="00FB0B24" w:rsidRPr="005B5CB6" w:rsidP="00575F14">
      <w:pPr>
        <w:numPr>
          <w:ilvl w:val="0"/>
          <w:numId w:val="250"/>
        </w:numPr>
        <w:spacing w:after="5" w:line="250" w:lineRule="auto"/>
        <w:ind w:right="11" w:hanging="360"/>
        <w:jc w:val="both"/>
        <w:rPr>
          <w:rFonts w:ascii="Verdana" w:hAnsi="Verdana"/>
        </w:rPr>
      </w:pPr>
      <w:r w:rsidRPr="005B5CB6">
        <w:rPr>
          <w:rFonts w:ascii="Verdana" w:eastAsia="Verdana" w:hAnsi="Verdana" w:cs="Verdana"/>
        </w:rPr>
        <w:t xml:space="preserve">We've introduced:  </w:t>
      </w:r>
    </w:p>
    <w:p w:rsidR="00FB0B24" w:rsidRPr="005B5CB6" w:rsidP="00575F14">
      <w:pPr>
        <w:numPr>
          <w:ilvl w:val="1"/>
          <w:numId w:val="250"/>
        </w:numPr>
        <w:spacing w:after="5" w:line="250" w:lineRule="auto"/>
        <w:ind w:right="11" w:hanging="360"/>
        <w:jc w:val="both"/>
        <w:rPr>
          <w:rFonts w:ascii="Verdana" w:hAnsi="Verdana"/>
        </w:rPr>
      </w:pPr>
      <w:r w:rsidRPr="005B5CB6">
        <w:rPr>
          <w:rFonts w:ascii="Verdana" w:eastAsia="Verdana" w:hAnsi="Verdana" w:cs="Verdana"/>
        </w:rPr>
        <w:t xml:space="preserve">sophisticated teams of specialized investigators to locate, analyze, and disrupt malicious actors; </w:t>
      </w:r>
    </w:p>
    <w:p w:rsidR="00FB0B24" w:rsidRPr="005B5CB6" w:rsidP="00575F14">
      <w:pPr>
        <w:numPr>
          <w:ilvl w:val="1"/>
          <w:numId w:val="250"/>
        </w:numPr>
        <w:spacing w:after="5" w:line="250" w:lineRule="auto"/>
        <w:ind w:right="11" w:hanging="360"/>
        <w:jc w:val="both"/>
        <w:rPr>
          <w:rFonts w:ascii="Verdana" w:hAnsi="Verdana"/>
        </w:rPr>
      </w:pPr>
      <w:r w:rsidRPr="005B5CB6">
        <w:rPr>
          <w:rFonts w:ascii="Verdana" w:eastAsia="Verdana" w:hAnsi="Verdana" w:cs="Verdana"/>
        </w:rPr>
        <w:t xml:space="preserve">better technology to proactively find and block voter suppression and other content that violates our </w:t>
      </w:r>
      <w:r>
        <w:fldChar w:fldCharType="begin"/>
      </w:r>
      <w:r>
        <w:instrText xml:space="preserve"> HYPERLINK "https://www.facebook.com/communitystandards/introduction" </w:instrText>
      </w:r>
      <w:r>
        <w:fldChar w:fldCharType="separate"/>
      </w:r>
      <w:r w:rsidRPr="005B5CB6">
        <w:rPr>
          <w:rFonts w:ascii="Verdana" w:eastAsia="Verdana" w:hAnsi="Verdana" w:cs="Verdana"/>
          <w:color w:val="0000FF"/>
          <w:u w:val="single" w:color="0000FF"/>
        </w:rPr>
        <w:t>Community Standards</w:t>
      </w:r>
      <w:r>
        <w:fldChar w:fldCharType="end"/>
      </w:r>
      <w:r>
        <w:fldChar w:fldCharType="begin"/>
      </w:r>
      <w:r>
        <w:instrText xml:space="preserve"> HYPERLINK "https://www.facebook.com/communitystandards/introduction"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575F14">
      <w:pPr>
        <w:numPr>
          <w:ilvl w:val="1"/>
          <w:numId w:val="250"/>
        </w:numPr>
        <w:spacing w:after="5" w:line="250" w:lineRule="auto"/>
        <w:ind w:right="11" w:hanging="360"/>
        <w:jc w:val="both"/>
        <w:rPr>
          <w:rFonts w:ascii="Verdana" w:hAnsi="Verdana"/>
        </w:rPr>
      </w:pPr>
      <w:r w:rsidRPr="005B5CB6">
        <w:rPr>
          <w:rFonts w:ascii="Verdana" w:eastAsia="Verdana" w:hAnsi="Verdana" w:cs="Verdana"/>
        </w:rPr>
        <w:t xml:space="preserve">improved capabilities to remove violating content in bulk and prevent it from being posted again; </w:t>
      </w:r>
    </w:p>
    <w:p w:rsidR="00FB0B24" w:rsidRPr="005B5CB6" w:rsidP="00575F14">
      <w:pPr>
        <w:numPr>
          <w:ilvl w:val="1"/>
          <w:numId w:val="250"/>
        </w:numPr>
        <w:spacing w:after="270" w:line="250" w:lineRule="auto"/>
        <w:ind w:right="11" w:hanging="360"/>
        <w:jc w:val="both"/>
        <w:rPr>
          <w:rFonts w:ascii="Verdana" w:hAnsi="Verdana"/>
        </w:rPr>
      </w:pPr>
      <w:r w:rsidRPr="005B5CB6">
        <w:rPr>
          <w:rFonts w:ascii="Verdana" w:eastAsia="Verdana" w:hAnsi="Verdana" w:cs="Verdana"/>
        </w:rPr>
        <w:t xml:space="preserve">and new abilities to detect tampered images, which we've already deployed for elections in the EU and India. </w:t>
      </w:r>
    </w:p>
    <w:p w:rsidR="00FB0B24" w:rsidRPr="005B5CB6" w:rsidP="006F32A5">
      <w:pPr>
        <w:pStyle w:val="Heading2"/>
        <w:rPr>
          <w:sz w:val="22"/>
        </w:rPr>
      </w:pPr>
      <w:r w:rsidRPr="005B5CB6">
        <w:rPr>
          <w:b w:val="0"/>
          <w:sz w:val="22"/>
        </w:rPr>
        <w:t>Greater Transparency</w:t>
      </w:r>
      <w:r w:rsidRPr="005B5CB6">
        <w:rPr>
          <w:sz w:val="22"/>
        </w:rPr>
        <w:t xml:space="preserve"> </w:t>
      </w:r>
    </w:p>
    <w:p w:rsidR="00FB0B24" w:rsidRPr="005B5CB6" w:rsidP="006F32A5">
      <w:pPr>
        <w:spacing w:after="5" w:line="250" w:lineRule="auto"/>
        <w:ind w:left="720" w:right="11" w:hanging="360"/>
        <w:jc w:val="both"/>
        <w:rPr>
          <w:rFonts w:ascii="Verdana" w:hAnsi="Verdana"/>
        </w:rPr>
      </w:pPr>
      <w:r w:rsidRPr="005B5CB6">
        <w:rPr>
          <w:rFonts w:ascii="Verdana" w:eastAsia="Segoe UI Symbol" w:hAnsi="Verdana" w:cs="Segoe UI Symbol"/>
        </w:rPr>
        <w:t>•</w:t>
      </w:r>
      <w:r w:rsidRPr="005B5CB6">
        <w:rPr>
          <w:rFonts w:ascii="Verdana" w:eastAsia="Arial" w:hAnsi="Verdana" w:cs="Arial"/>
        </w:rPr>
        <w:t xml:space="preserve"> </w:t>
      </w:r>
      <w:r w:rsidRPr="005B5CB6">
        <w:rPr>
          <w:rFonts w:ascii="Verdana" w:eastAsia="Verdana" w:hAnsi="Verdana" w:cs="Verdana"/>
        </w:rPr>
        <w:t xml:space="preserve">We've made some </w:t>
      </w:r>
      <w:r>
        <w:fldChar w:fldCharType="begin"/>
      </w:r>
      <w:r>
        <w:instrText xml:space="preserve"> HYPERLINK "https://newsroom.fb.com/news/2019/03/ads-transparency-in-the-eu/" </w:instrText>
      </w:r>
      <w:r>
        <w:fldChar w:fldCharType="separate"/>
      </w:r>
      <w:r w:rsidRPr="005B5CB6">
        <w:rPr>
          <w:rFonts w:ascii="Verdana" w:eastAsia="Verdana" w:hAnsi="Verdana" w:cs="Verdana"/>
          <w:color w:val="0000FF"/>
          <w:u w:val="single" w:color="0000FF"/>
        </w:rPr>
        <w:t>big changes</w:t>
      </w:r>
      <w:r>
        <w:fldChar w:fldCharType="end"/>
      </w:r>
      <w:r>
        <w:fldChar w:fldCharType="begin"/>
      </w:r>
      <w:r>
        <w:instrText xml:space="preserve"> HYPERLINK "https://newsroom.fb.com/news/2019/03/ads-transparency-in-the-eu/"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around political and issue ads so people can see who's trying to influence their vote:  </w:t>
      </w:r>
    </w:p>
    <w:p w:rsidR="00FB0B24" w:rsidRPr="005B5CB6" w:rsidP="00575F14">
      <w:pPr>
        <w:numPr>
          <w:ilvl w:val="0"/>
          <w:numId w:val="252"/>
        </w:numPr>
        <w:spacing w:after="5" w:line="250" w:lineRule="auto"/>
        <w:ind w:right="11" w:hanging="360"/>
        <w:jc w:val="both"/>
        <w:rPr>
          <w:rFonts w:ascii="Verdana" w:hAnsi="Verdana"/>
        </w:rPr>
      </w:pPr>
      <w:r w:rsidRPr="005B5CB6">
        <w:rPr>
          <w:rFonts w:ascii="Verdana" w:eastAsia="Verdana" w:hAnsi="Verdana" w:cs="Verdana"/>
        </w:rPr>
        <w:t xml:space="preserve">Advertisers that want to run political and issue ads now need to </w:t>
      </w:r>
      <w:r>
        <w:fldChar w:fldCharType="begin"/>
      </w:r>
      <w:r>
        <w:instrText xml:space="preserve"> HYPERLINK "https://www.facebook.com/business/m/one-sheeters/ads-with-political-content-EU" </w:instrText>
      </w:r>
      <w:r>
        <w:fldChar w:fldCharType="separate"/>
      </w:r>
      <w:r w:rsidRPr="005B5CB6">
        <w:rPr>
          <w:rFonts w:ascii="Verdana" w:eastAsia="Verdana" w:hAnsi="Verdana" w:cs="Verdana"/>
          <w:color w:val="0000FF"/>
          <w:u w:val="single" w:color="0000FF"/>
        </w:rPr>
        <w:t>get</w:t>
      </w:r>
      <w:r>
        <w:fldChar w:fldCharType="end"/>
      </w:r>
      <w:r>
        <w:fldChar w:fldCharType="begin"/>
      </w:r>
      <w:r>
        <w:instrText xml:space="preserve"> HYPERLINK "https://www.facebook.com/business/m/one-sheeters/ads-with-political-content-EU" </w:instrText>
      </w:r>
      <w:r>
        <w:fldChar w:fldCharType="separate"/>
      </w:r>
      <w:r w:rsidRPr="005B5CB6">
        <w:rPr>
          <w:rFonts w:ascii="Verdana" w:eastAsia="Verdana" w:hAnsi="Verdana" w:cs="Verdana"/>
          <w:color w:val="0000FF"/>
        </w:rPr>
        <w:t xml:space="preserve"> </w:t>
      </w:r>
      <w:r>
        <w:fldChar w:fldCharType="end"/>
      </w:r>
      <w:r>
        <w:fldChar w:fldCharType="begin"/>
      </w:r>
      <w:r>
        <w:instrText xml:space="preserve"> HYPERLINK "https://www.facebook.com/business/m/one-sheeters/ads-with-political-content-EU" </w:instrText>
      </w:r>
      <w:r>
        <w:fldChar w:fldCharType="separate"/>
      </w:r>
      <w:r w:rsidRPr="005B5CB6">
        <w:rPr>
          <w:rFonts w:ascii="Verdana" w:eastAsia="Verdana" w:hAnsi="Verdana" w:cs="Verdana"/>
          <w:color w:val="0000FF"/>
          <w:u w:val="single" w:color="0000FF"/>
        </w:rPr>
        <w:t>verified</w:t>
      </w:r>
      <w:r>
        <w:fldChar w:fldCharType="end"/>
      </w:r>
      <w:r>
        <w:fldChar w:fldCharType="begin"/>
      </w:r>
      <w:r>
        <w:instrText xml:space="preserve"> HYPERLINK "https://www.facebook.com/business/m/one-sheeters/ads-with-political-content-EU"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proving who they are and where they are located; </w:t>
      </w:r>
    </w:p>
    <w:p w:rsidR="00FB0B24" w:rsidRPr="005B5CB6" w:rsidP="00575F14">
      <w:pPr>
        <w:numPr>
          <w:ilvl w:val="0"/>
          <w:numId w:val="252"/>
        </w:numPr>
        <w:spacing w:after="268" w:line="250" w:lineRule="auto"/>
        <w:ind w:right="11" w:hanging="360"/>
        <w:jc w:val="both"/>
        <w:rPr>
          <w:rFonts w:ascii="Verdana" w:hAnsi="Verdana"/>
        </w:rPr>
      </w:pPr>
      <w:r w:rsidRPr="005B5CB6">
        <w:rPr>
          <w:rFonts w:ascii="Verdana" w:eastAsia="Verdana" w:hAnsi="Verdana" w:cs="Verdana"/>
        </w:rPr>
        <w:t xml:space="preserve">We label political and issue ads so people know who has paid for them;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We archive political ads in an </w:t>
      </w:r>
      <w:r>
        <w:fldChar w:fldCharType="begin"/>
      </w:r>
      <w:r>
        <w:instrText xml:space="preserve"> HYPERLINK "https://newsroom.fb.com/news/2019/03/a-better-way-to-learn-about-ads/" </w:instrText>
      </w:r>
      <w:r>
        <w:fldChar w:fldCharType="separate"/>
      </w:r>
      <w:r w:rsidRPr="005B5CB6">
        <w:rPr>
          <w:rFonts w:ascii="Verdana" w:eastAsia="Verdana" w:hAnsi="Verdana" w:cs="Verdana"/>
          <w:color w:val="0000FF"/>
          <w:u w:val="single" w:color="0000FF"/>
        </w:rPr>
        <w:t>Ad Library</w:t>
      </w:r>
      <w:r>
        <w:fldChar w:fldCharType="end"/>
      </w:r>
      <w:r>
        <w:fldChar w:fldCharType="begin"/>
      </w:r>
      <w:r>
        <w:instrText xml:space="preserve"> HYPERLINK "https://newsroom.fb.com/news/2019/03/a-better-way-to-learn-about-ads/"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so people can find more details like what types of people saw an ad and how much was spent.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The Ad Library now houses over 4 million ads and continues to be a critical tool for many - especially regulators, journalists, and researchers - to scrutinize and hold advertisers to account </w:t>
      </w:r>
    </w:p>
    <w:p w:rsidR="00FB0B24" w:rsidRPr="005B5CB6" w:rsidP="006F32A5">
      <w:pPr>
        <w:spacing w:after="0"/>
        <w:jc w:val="both"/>
        <w:rPr>
          <w:rFonts w:ascii="Verdana" w:hAnsi="Verdana"/>
        </w:rPr>
      </w:pPr>
      <w:r w:rsidRPr="005B5CB6">
        <w:rPr>
          <w:rFonts w:ascii="Verdana" w:eastAsia="Verdana" w:hAnsi="Verdana" w:cs="Verdana"/>
          <w:b/>
        </w:rPr>
        <w:t xml:space="preserve"> </w:t>
      </w:r>
    </w:p>
    <w:p w:rsidR="00FB0B24" w:rsidRPr="005B5CB6" w:rsidP="006F32A5">
      <w:pPr>
        <w:pStyle w:val="Heading2"/>
        <w:rPr>
          <w:sz w:val="22"/>
        </w:rPr>
      </w:pPr>
      <w:r w:rsidRPr="005B5CB6">
        <w:rPr>
          <w:b w:val="0"/>
          <w:sz w:val="22"/>
        </w:rPr>
        <w:t>Stronger Partnerships</w:t>
      </w:r>
      <w:r w:rsidRPr="005B5CB6">
        <w:rPr>
          <w:sz w:val="22"/>
        </w:rPr>
        <w:t xml:space="preserve"> </w:t>
      </w:r>
    </w:p>
    <w:p w:rsidR="00FB0B24" w:rsidRPr="005B5CB6" w:rsidP="00575F14">
      <w:pPr>
        <w:numPr>
          <w:ilvl w:val="0"/>
          <w:numId w:val="253"/>
        </w:numPr>
        <w:spacing w:after="5" w:line="250" w:lineRule="auto"/>
        <w:ind w:right="11" w:hanging="360"/>
        <w:jc w:val="both"/>
        <w:rPr>
          <w:rFonts w:ascii="Verdana" w:hAnsi="Verdana"/>
        </w:rPr>
      </w:pPr>
      <w:r w:rsidRPr="005B5CB6">
        <w:rPr>
          <w:rFonts w:ascii="Verdana" w:eastAsia="Verdana" w:hAnsi="Verdana" w:cs="Verdana"/>
        </w:rPr>
        <w:t xml:space="preserve">Today, we have over 55 independent fact-checking partners around the world covering 43 languages.  </w:t>
      </w:r>
    </w:p>
    <w:p w:rsidR="00FB0B24" w:rsidRPr="005B5CB6" w:rsidP="006F32A5">
      <w:pPr>
        <w:spacing w:after="5" w:line="250" w:lineRule="auto"/>
        <w:ind w:left="728" w:right="11" w:hanging="8"/>
        <w:jc w:val="both"/>
        <w:rPr>
          <w:rFonts w:ascii="Verdana" w:hAnsi="Verdana"/>
        </w:rPr>
      </w:pPr>
      <w:r w:rsidRPr="005B5CB6">
        <w:rPr>
          <w:rFonts w:ascii="Verdana" w:eastAsia="Verdana" w:hAnsi="Verdana" w:cs="Verdana"/>
        </w:rPr>
        <w:t xml:space="preserve">We continue to improve our coordination and cooperation with government authorities, to allow for better information sharing and threat detection. We are also working with academics, civil society groups, and researchers, including the Atlantic Council's Digital Forensic Research Laboratory, to get the best thinking on these issues. </w:t>
      </w:r>
    </w:p>
    <w:p w:rsidR="00FB0B24" w:rsidRPr="005B5CB6" w:rsidP="00575F14">
      <w:pPr>
        <w:numPr>
          <w:ilvl w:val="0"/>
          <w:numId w:val="253"/>
        </w:numPr>
        <w:spacing w:after="272" w:line="250" w:lineRule="auto"/>
        <w:ind w:right="11" w:hanging="360"/>
        <w:jc w:val="both"/>
        <w:rPr>
          <w:rFonts w:ascii="Verdana" w:hAnsi="Verdana"/>
        </w:rPr>
      </w:pPr>
      <w:r w:rsidRPr="005B5CB6">
        <w:rPr>
          <w:rFonts w:ascii="Verdana" w:eastAsia="Verdana" w:hAnsi="Verdana" w:cs="Verdana"/>
        </w:rPr>
        <w:t xml:space="preserve">We know we can't do this alone, and these partnerships are an important piece of our comprehensive efforts to fight election interference. </w:t>
      </w:r>
    </w:p>
    <w:p w:rsidR="00FB0B24" w:rsidRPr="005B5CB6" w:rsidP="006F32A5">
      <w:pPr>
        <w:pStyle w:val="Heading2"/>
        <w:rPr>
          <w:sz w:val="22"/>
        </w:rPr>
      </w:pPr>
      <w:r w:rsidRPr="005B5CB6">
        <w:rPr>
          <w:b w:val="0"/>
          <w:sz w:val="22"/>
        </w:rPr>
        <w:t>Supporting an Informed Electorate</w:t>
      </w:r>
      <w:r w:rsidRPr="005B5CB6">
        <w:rPr>
          <w:sz w:val="22"/>
        </w:rPr>
        <w:t xml:space="preserve"> </w:t>
      </w:r>
    </w:p>
    <w:p w:rsidR="00FB0B24" w:rsidRPr="005B5CB6" w:rsidP="00575F14">
      <w:pPr>
        <w:numPr>
          <w:ilvl w:val="0"/>
          <w:numId w:val="254"/>
        </w:numPr>
        <w:spacing w:after="5" w:line="250" w:lineRule="auto"/>
        <w:ind w:right="11" w:hanging="360"/>
        <w:jc w:val="both"/>
        <w:rPr>
          <w:rFonts w:ascii="Verdana" w:hAnsi="Verdana"/>
        </w:rPr>
      </w:pPr>
      <w:r w:rsidRPr="005B5CB6">
        <w:rPr>
          <w:rFonts w:ascii="Verdana" w:eastAsia="Verdana" w:hAnsi="Verdana" w:cs="Verdana"/>
        </w:rPr>
        <w:t xml:space="preserve">People are already using Facebook to talk about politics and issues that matter to them and to communicate with their elected officials. We want to support them and make it easier to vote and connect to reliable and accurate information.  </w:t>
      </w:r>
    </w:p>
    <w:p w:rsidR="00FB0B24" w:rsidRPr="005B5CB6" w:rsidP="00575F14">
      <w:pPr>
        <w:numPr>
          <w:ilvl w:val="0"/>
          <w:numId w:val="254"/>
        </w:numPr>
        <w:spacing w:after="270" w:line="250" w:lineRule="auto"/>
        <w:ind w:right="11" w:hanging="360"/>
        <w:jc w:val="both"/>
        <w:rPr>
          <w:rFonts w:ascii="Verdana" w:hAnsi="Verdana"/>
        </w:rPr>
      </w:pPr>
      <w:r w:rsidRPr="005B5CB6">
        <w:rPr>
          <w:rFonts w:ascii="Verdana" w:eastAsia="Verdana" w:hAnsi="Verdana" w:cs="Verdana"/>
        </w:rPr>
        <w:t xml:space="preserve">On election day, we will launch a reminder that it’s time to vote and help people find their </w:t>
      </w:r>
      <w:r>
        <w:fldChar w:fldCharType="begin"/>
      </w:r>
      <w:r>
        <w:instrText xml:space="preserve"> HYPERLINK "https://wybory.gov.pl/sejmsenat2019/pl" </w:instrText>
      </w:r>
      <w:r>
        <w:fldChar w:fldCharType="separate"/>
      </w:r>
      <w:r w:rsidRPr="005B5CB6">
        <w:rPr>
          <w:rFonts w:ascii="Verdana" w:eastAsia="Verdana" w:hAnsi="Verdana" w:cs="Verdana"/>
          <w:color w:val="0000FF"/>
          <w:u w:val="single" w:color="0000FF"/>
        </w:rPr>
        <w:t>polling information</w:t>
      </w:r>
      <w:r>
        <w:fldChar w:fldCharType="end"/>
      </w:r>
      <w:r>
        <w:fldChar w:fldCharType="begin"/>
      </w:r>
      <w:r>
        <w:instrText xml:space="preserve"> HYPERLINK "https://wybory.gov.pl/sejmsenat2019/pl"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This reminder will be displayed on people’s News Feed. </w:t>
      </w:r>
    </w:p>
    <w:p w:rsidR="00FB0B24" w:rsidRPr="005B5CB6" w:rsidP="006F32A5">
      <w:pPr>
        <w:pStyle w:val="Heading2"/>
        <w:rPr>
          <w:sz w:val="22"/>
        </w:rPr>
      </w:pPr>
      <w:r w:rsidRPr="005B5CB6">
        <w:rPr>
          <w:b w:val="0"/>
          <w:sz w:val="22"/>
        </w:rPr>
        <w:t>Prohibiting Coordinated Inauthentic Behaviour</w:t>
      </w:r>
      <w:r w:rsidRPr="005B5CB6">
        <w:rPr>
          <w:sz w:val="22"/>
        </w:rPr>
        <w:t xml:space="preserve"> </w:t>
      </w:r>
    </w:p>
    <w:p w:rsidR="00FB0B24" w:rsidRPr="005B5CB6" w:rsidP="00575F14">
      <w:pPr>
        <w:numPr>
          <w:ilvl w:val="0"/>
          <w:numId w:val="255"/>
        </w:numPr>
        <w:spacing w:after="5" w:line="250" w:lineRule="auto"/>
        <w:ind w:right="11" w:hanging="360"/>
        <w:jc w:val="both"/>
        <w:rPr>
          <w:rFonts w:ascii="Verdana" w:hAnsi="Verdana"/>
        </w:rPr>
      </w:pPr>
      <w:r w:rsidRPr="005B5CB6">
        <w:rPr>
          <w:rFonts w:ascii="Verdana" w:eastAsia="Verdana" w:hAnsi="Verdana" w:cs="Verdana"/>
        </w:rPr>
        <w:t xml:space="preserve">Accounts, Pages and Groups removed for violations of our </w:t>
      </w:r>
      <w:r>
        <w:fldChar w:fldCharType="begin"/>
      </w:r>
      <w:r>
        <w:instrText xml:space="preserve"> HYPERLINK "https://newsroom.fb.com/news/2018/12/inside-feed-coordinated-inauthentic-behavior/" </w:instrText>
      </w:r>
      <w:r>
        <w:fldChar w:fldCharType="separate"/>
      </w:r>
      <w:r w:rsidRPr="005B5CB6">
        <w:rPr>
          <w:rFonts w:ascii="Verdana" w:eastAsia="Verdana" w:hAnsi="Verdana" w:cs="Verdana"/>
          <w:color w:val="0000FF"/>
          <w:u w:val="single" w:color="0000FF"/>
        </w:rPr>
        <w:t>Coordinated</w:t>
      </w:r>
      <w:r>
        <w:fldChar w:fldCharType="end"/>
      </w:r>
      <w:r>
        <w:fldChar w:fldCharType="begin"/>
      </w:r>
      <w:r>
        <w:instrText xml:space="preserve"> HYPERLINK "https://newsroom.fb.com/news/2018/12/inside-feed-coordinated-inauthentic-behavior/" </w:instrText>
      </w:r>
      <w:r>
        <w:fldChar w:fldCharType="separate"/>
      </w:r>
      <w:r w:rsidRPr="005B5CB6">
        <w:rPr>
          <w:rFonts w:ascii="Verdana" w:eastAsia="Verdana" w:hAnsi="Verdana" w:cs="Verdana"/>
          <w:color w:val="0000FF"/>
        </w:rPr>
        <w:t xml:space="preserve"> </w:t>
      </w:r>
      <w:r>
        <w:fldChar w:fldCharType="end"/>
      </w:r>
      <w:r>
        <w:fldChar w:fldCharType="begin"/>
      </w:r>
      <w:r>
        <w:instrText xml:space="preserve"> HYPERLINK "https://newsroom.fb.com/news/2018/12/inside-feed-coordinated-inauthentic-behavior/" </w:instrText>
      </w:r>
      <w:r>
        <w:fldChar w:fldCharType="separate"/>
      </w:r>
      <w:r w:rsidRPr="005B5CB6">
        <w:rPr>
          <w:rFonts w:ascii="Verdana" w:eastAsia="Verdana" w:hAnsi="Verdana" w:cs="Verdana"/>
          <w:color w:val="0000FF"/>
          <w:u w:val="single" w:color="0000FF"/>
        </w:rPr>
        <w:t>Inauthentic Behavior</w:t>
      </w:r>
      <w:r>
        <w:fldChar w:fldCharType="end"/>
      </w:r>
      <w:r>
        <w:fldChar w:fldCharType="begin"/>
      </w:r>
      <w:r>
        <w:instrText xml:space="preserve"> HYPERLINK "https://newsroom.fb.com/news/2018/12/inside-feed-coordinated-inauthentic-behavior/"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(CIB) policy is a small subset of the overall accounts and content we remove from our platforms.  </w:t>
      </w:r>
    </w:p>
    <w:p w:rsidR="00FB0B24" w:rsidRPr="005B5CB6" w:rsidP="00575F14">
      <w:pPr>
        <w:numPr>
          <w:ilvl w:val="0"/>
          <w:numId w:val="255"/>
        </w:numPr>
        <w:spacing w:after="5" w:line="250" w:lineRule="auto"/>
        <w:ind w:right="11" w:hanging="360"/>
        <w:jc w:val="both"/>
        <w:rPr>
          <w:rFonts w:ascii="Verdana" w:hAnsi="Verdana"/>
        </w:rPr>
      </w:pPr>
      <w:r w:rsidRPr="005B5CB6">
        <w:rPr>
          <w:rFonts w:ascii="Verdana" w:eastAsia="Verdana" w:hAnsi="Verdana" w:cs="Verdana"/>
        </w:rPr>
        <w:t xml:space="preserve">We’re committed to continually improve to stay ahead by building better technology, hiring more people and working more closely with law enforcement, security experts and other companies. We have built an expert team of analysts with experience in law enforcement, cybersecurity, and intelligence to find, investigate, and disrupt these operations. We are also growing our technical teams to build scaled solutions to finding and preventing these behaviours. </w:t>
      </w:r>
    </w:p>
    <w:p w:rsidR="00FB0B24" w:rsidRPr="005B5CB6" w:rsidP="00575F14">
      <w:pPr>
        <w:numPr>
          <w:ilvl w:val="0"/>
          <w:numId w:val="255"/>
        </w:numPr>
        <w:spacing w:after="5" w:line="250" w:lineRule="auto"/>
        <w:ind w:right="11" w:hanging="360"/>
        <w:jc w:val="both"/>
        <w:rPr>
          <w:rFonts w:ascii="Verdana" w:hAnsi="Verdana"/>
        </w:rPr>
      </w:pPr>
      <w:r w:rsidRPr="005B5CB6">
        <w:rPr>
          <w:rFonts w:ascii="Verdana" w:eastAsia="Verdana" w:hAnsi="Verdana" w:cs="Verdana"/>
        </w:rPr>
        <w:t xml:space="preserve">We’re constantly working to detect and stop CIB activity because we don’t want our services to be used to manipulate people. When we take down Pages, Groups, accounts, or Instagram accounts we remove them for misleading behaviours, not for the content they post. These behaviours include the use of fake accounts, often in coordination with real accounts, designed to mislead people about the identity of people behind an operation or the source or origin of the content.  </w:t>
      </w:r>
    </w:p>
    <w:p w:rsidR="00FB0B24" w:rsidRPr="005B5CB6" w:rsidP="00575F14">
      <w:pPr>
        <w:numPr>
          <w:ilvl w:val="0"/>
          <w:numId w:val="255"/>
        </w:numPr>
        <w:spacing w:after="5" w:line="250" w:lineRule="auto"/>
        <w:ind w:right="11" w:hanging="360"/>
        <w:jc w:val="both"/>
        <w:rPr>
          <w:rFonts w:ascii="Verdana" w:hAnsi="Verdana"/>
        </w:rPr>
      </w:pPr>
      <w:r w:rsidRPr="005B5CB6">
        <w:rPr>
          <w:rFonts w:ascii="Verdana" w:eastAsia="Verdana" w:hAnsi="Verdana" w:cs="Verdana"/>
        </w:rPr>
        <w:t xml:space="preserve">We prioritise building partnerships with civil society organisations and sharing information with government partners about the types of operations we anticipate and key opportunities for joint action to disrupt these threats. </w:t>
      </w:r>
    </w:p>
    <w:p w:rsidR="00FB0B24" w:rsidRPr="005B5CB6" w:rsidP="00575F14">
      <w:pPr>
        <w:numPr>
          <w:ilvl w:val="0"/>
          <w:numId w:val="255"/>
        </w:numPr>
        <w:spacing w:after="5" w:line="250" w:lineRule="auto"/>
        <w:ind w:right="11" w:hanging="360"/>
        <w:jc w:val="both"/>
        <w:rPr>
          <w:rFonts w:ascii="Verdana" w:hAnsi="Verdana"/>
        </w:rPr>
      </w:pPr>
      <w:r w:rsidRPr="005B5CB6">
        <w:rPr>
          <w:rFonts w:ascii="Verdana" w:eastAsia="Verdana" w:hAnsi="Verdana" w:cs="Verdana"/>
        </w:rPr>
        <w:t xml:space="preserve">Security is a constant mission that is never complete. But we're making significant progress and are committed to staying ahead in protecting our </w:t>
      </w:r>
      <w:r w:rsidRPr="005B5CB6">
        <w:rPr>
          <w:rFonts w:ascii="Verdana" w:eastAsia="Verdana" w:hAnsi="Verdana" w:cs="Verdana"/>
        </w:rPr>
        <w:t xml:space="preserve">platforms against sophisticated information operations.  </w:t>
      </w:r>
      <w:r w:rsidRPr="005B5CB6">
        <w:rPr>
          <w:rFonts w:ascii="Verdana" w:eastAsia="Courier New" w:hAnsi="Verdana" w:cs="Courier New"/>
        </w:rPr>
        <w:t>o</w:t>
      </w:r>
      <w:r w:rsidRPr="005B5CB6">
        <w:rPr>
          <w:rFonts w:ascii="Verdana" w:eastAsia="Arial" w:hAnsi="Verdana" w:cs="Arial"/>
        </w:rPr>
        <w:t xml:space="preserve"> </w:t>
      </w:r>
      <w:r w:rsidRPr="005B5CB6">
        <w:rPr>
          <w:rFonts w:ascii="Verdana" w:eastAsia="Verdana" w:hAnsi="Verdana" w:cs="Verdana"/>
        </w:rPr>
        <w:t xml:space="preserve">In 2017, we only had 1 CIB operation taken down; in 2018, we had a couple dozen; in H1 2019 alone, we had more takedowns than 2017 and 2018 combined. </w:t>
      </w:r>
    </w:p>
    <w:p w:rsidR="00FB0B24" w:rsidRPr="005B5CB6" w:rsidP="00575F14">
      <w:pPr>
        <w:numPr>
          <w:ilvl w:val="0"/>
          <w:numId w:val="255"/>
        </w:numPr>
        <w:spacing w:after="5" w:line="250" w:lineRule="auto"/>
        <w:ind w:right="11" w:hanging="360"/>
        <w:jc w:val="both"/>
        <w:rPr>
          <w:rFonts w:ascii="Verdana" w:hAnsi="Verdana"/>
        </w:rPr>
      </w:pPr>
      <w:r w:rsidRPr="005B5CB6">
        <w:rPr>
          <w:rFonts w:ascii="Verdana" w:eastAsia="Verdana" w:hAnsi="Verdana" w:cs="Verdana"/>
        </w:rPr>
        <w:t xml:space="preserve">In 2019, the following CIB takedowns were announced in our Newsroom: </w:t>
      </w:r>
    </w:p>
    <w:p w:rsidR="00FB0B24" w:rsidRPr="005B5CB6" w:rsidP="00CF6BAD">
      <w:pPr>
        <w:jc w:val="both"/>
        <w:rPr>
          <w:rFonts w:ascii="Verdana" w:hAnsi="Verdana"/>
        </w:rPr>
        <w:sectPr w:rsidSect="006562C6">
          <w:headerReference w:type="even" r:id="rId437"/>
          <w:headerReference w:type="default" r:id="rId438"/>
          <w:footerReference w:type="even" r:id="rId439"/>
          <w:footerReference w:type="default" r:id="rId440"/>
          <w:headerReference w:type="first" r:id="rId441"/>
          <w:footerReference w:type="first" r:id="rId442"/>
          <w:pgSz w:w="12240" w:h="15840"/>
          <w:pgMar w:top="1492" w:right="1440" w:bottom="1758" w:left="1440" w:header="1516" w:footer="719" w:gutter="0"/>
          <w:cols w:space="720"/>
        </w:sectPr>
      </w:pPr>
    </w:p>
    <w:p w:rsidR="00FB0B24" w:rsidRPr="005B5CB6" w:rsidP="00CF6BAD">
      <w:pPr>
        <w:spacing w:after="5" w:line="249" w:lineRule="auto"/>
        <w:ind w:left="1090" w:right="6" w:hanging="10"/>
        <w:jc w:val="both"/>
        <w:rPr>
          <w:rFonts w:ascii="Verdana" w:hAnsi="Verdana"/>
        </w:rPr>
      </w:pPr>
      <w:r w:rsidRPr="005B5CB6">
        <w:rPr>
          <w:rFonts w:ascii="Verdana" w:eastAsia="Courier New" w:hAnsi="Verdana" w:cs="Courier New"/>
        </w:rPr>
        <w:t>o</w:t>
      </w:r>
      <w:r w:rsidRPr="005B5CB6">
        <w:rPr>
          <w:rFonts w:ascii="Verdana" w:eastAsia="Arial" w:hAnsi="Verdana" w:cs="Arial"/>
        </w:rPr>
        <w:t xml:space="preserve"> </w:t>
      </w:r>
      <w:r>
        <w:fldChar w:fldCharType="begin"/>
      </w:r>
      <w:r>
        <w:instrText xml:space="preserve"> HYPERLINK "http://newsroom.fb.com/news/2019/01/banning-twinmark-media-enterprises/" </w:instrText>
      </w:r>
      <w:r>
        <w:fldChar w:fldCharType="separate"/>
      </w:r>
      <w:r w:rsidRPr="005B5CB6">
        <w:rPr>
          <w:rFonts w:ascii="Verdana" w:eastAsia="Verdana" w:hAnsi="Verdana" w:cs="Verdana"/>
          <w:color w:val="0000FF"/>
          <w:u w:val="single" w:color="0000FF"/>
        </w:rPr>
        <w:t>Banning Twinmark Media Enterprises in the Philippines from Facebook</w:t>
      </w:r>
      <w:r>
        <w:fldChar w:fldCharType="end"/>
      </w:r>
      <w:r>
        <w:fldChar w:fldCharType="begin"/>
      </w:r>
      <w:r>
        <w:instrText xml:space="preserve"> HYPERLINK "http://newsroom.fb.com/news/2019/01/banning-twinmark-media-enterprises/" </w:instrText>
      </w:r>
      <w:r>
        <w:fldChar w:fldCharType="separate"/>
      </w:r>
      <w:r w:rsidRPr="005B5CB6">
        <w:rPr>
          <w:rFonts w:ascii="Verdana" w:eastAsia="Verdana" w:hAnsi="Verdana" w:cs="Verdana"/>
        </w:rPr>
        <w:t xml:space="preserve"> </w:t>
      </w:r>
      <w:r>
        <w:fldChar w:fldCharType="end"/>
      </w:r>
    </w:p>
    <w:p w:rsidR="00FB0B24" w:rsidRPr="005B5CB6" w:rsidP="00CF6BAD">
      <w:pPr>
        <w:spacing w:after="5" w:line="249" w:lineRule="auto"/>
        <w:ind w:left="1080" w:right="111" w:firstLine="360"/>
        <w:jc w:val="both"/>
        <w:rPr>
          <w:rFonts w:ascii="Verdana" w:hAnsi="Verdana"/>
        </w:rPr>
      </w:pPr>
      <w:r w:rsidRPr="005B5CB6">
        <w:rPr>
          <w:rFonts w:ascii="Verdana" w:eastAsia="Verdana" w:hAnsi="Verdana" w:cs="Verdana"/>
        </w:rPr>
        <w:t xml:space="preserve">(January 10) </w:t>
      </w:r>
      <w:r w:rsidRPr="005B5CB6">
        <w:rPr>
          <w:rFonts w:ascii="Verdana" w:eastAsia="Courier New" w:hAnsi="Verdana" w:cs="Courier New"/>
        </w:rPr>
        <w:t>o</w:t>
      </w:r>
      <w:r w:rsidRPr="005B5CB6">
        <w:rPr>
          <w:rFonts w:ascii="Verdana" w:eastAsia="Arial" w:hAnsi="Verdana" w:cs="Arial"/>
        </w:rPr>
        <w:t xml:space="preserve"> </w:t>
      </w:r>
      <w:r>
        <w:fldChar w:fldCharType="begin"/>
      </w:r>
      <w:r>
        <w:instrText xml:space="preserve"> HYPERLINK "http://newsroom.fb.com/news/2019/01/removing-cib-from-russia/" </w:instrText>
      </w:r>
      <w:r>
        <w:fldChar w:fldCharType="separate"/>
      </w:r>
      <w:r w:rsidRPr="005B5CB6">
        <w:rPr>
          <w:rFonts w:ascii="Verdana" w:eastAsia="Verdana" w:hAnsi="Verdana" w:cs="Verdana"/>
          <w:color w:val="0000FF"/>
          <w:u w:val="single" w:color="0000FF"/>
        </w:rPr>
        <w:t>Removing Coordinated Inauthentic Behavior from Russia</w:t>
      </w:r>
      <w:r>
        <w:fldChar w:fldCharType="end"/>
      </w:r>
      <w:r>
        <w:fldChar w:fldCharType="begin"/>
      </w:r>
      <w:r>
        <w:instrText xml:space="preserve"> HYPERLINK "http://newsroom.fb.com/news/2019/01/removing-cib-from-russia/"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(January 17) </w:t>
      </w:r>
      <w:r w:rsidRPr="005B5CB6">
        <w:rPr>
          <w:rFonts w:ascii="Verdana" w:eastAsia="Courier New" w:hAnsi="Verdana" w:cs="Courier New"/>
        </w:rPr>
        <w:t>o</w:t>
      </w:r>
      <w:r w:rsidRPr="005B5CB6">
        <w:rPr>
          <w:rFonts w:ascii="Verdana" w:eastAsia="Arial" w:hAnsi="Verdana" w:cs="Arial"/>
        </w:rPr>
        <w:t xml:space="preserve"> </w:t>
      </w:r>
      <w:r>
        <w:fldChar w:fldCharType="begin"/>
      </w:r>
      <w:r>
        <w:instrText xml:space="preserve"> HYPERLINK "https://newsroom.fb.com/news/2019/01/removing-cib-iran/" </w:instrText>
      </w:r>
      <w:r>
        <w:fldChar w:fldCharType="separate"/>
      </w:r>
      <w:r w:rsidRPr="005B5CB6">
        <w:rPr>
          <w:rFonts w:ascii="Verdana" w:eastAsia="Verdana" w:hAnsi="Verdana" w:cs="Verdana"/>
          <w:color w:val="0000FF"/>
          <w:u w:val="single" w:color="0000FF"/>
        </w:rPr>
        <w:t>Removing Coordinated Inauthentic Behavior From Iran</w:t>
      </w:r>
      <w:r>
        <w:fldChar w:fldCharType="end"/>
      </w:r>
      <w:r>
        <w:fldChar w:fldCharType="begin"/>
      </w:r>
      <w:r>
        <w:instrText xml:space="preserve"> HYPERLINK "https://newsroom.fb.com/news/2019/01/removing-cib-iran/"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(January 31) </w:t>
      </w:r>
      <w:r w:rsidRPr="005B5CB6">
        <w:rPr>
          <w:rFonts w:ascii="Verdana" w:eastAsia="Courier New" w:hAnsi="Verdana" w:cs="Courier New"/>
        </w:rPr>
        <w:t>o</w:t>
      </w:r>
      <w:r w:rsidRPr="005B5CB6">
        <w:rPr>
          <w:rFonts w:ascii="Verdana" w:eastAsia="Arial" w:hAnsi="Verdana" w:cs="Arial"/>
        </w:rPr>
        <w:t xml:space="preserve"> </w:t>
      </w:r>
      <w:r>
        <w:fldChar w:fldCharType="begin"/>
      </w:r>
      <w:r>
        <w:instrText xml:space="preserve"> HYPERLINK "https://newsroom.fb.com/news/2019/01/taking-down-coordinated-inauthentic-behavior-in-indonesia/" </w:instrText>
      </w:r>
      <w:r>
        <w:fldChar w:fldCharType="separate"/>
      </w:r>
      <w:r w:rsidRPr="005B5CB6">
        <w:rPr>
          <w:rFonts w:ascii="Verdana" w:eastAsia="Verdana" w:hAnsi="Verdana" w:cs="Verdana"/>
          <w:color w:val="0000FF"/>
          <w:u w:val="single" w:color="0000FF"/>
        </w:rPr>
        <w:t>Taking Down Coordinated Inauthentic Behavior in Indonesia</w:t>
      </w:r>
      <w:r>
        <w:fldChar w:fldCharType="end"/>
      </w:r>
      <w:r>
        <w:fldChar w:fldCharType="begin"/>
      </w:r>
      <w:r>
        <w:instrText xml:space="preserve"> HYPERLINK "https://newsroom.fb.com/news/2019/01/taking-down-coordinated-inauthentic-behavior-in-indonesia/"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(January </w:t>
      </w:r>
    </w:p>
    <w:p w:rsidR="00FB0B24" w:rsidRPr="005B5CB6" w:rsidP="00CF6BAD">
      <w:pPr>
        <w:spacing w:after="5" w:line="249" w:lineRule="auto"/>
        <w:ind w:left="1080" w:right="205" w:firstLine="360"/>
        <w:jc w:val="both"/>
        <w:rPr>
          <w:rFonts w:ascii="Verdana" w:hAnsi="Verdana"/>
        </w:rPr>
      </w:pPr>
      <w:r w:rsidRPr="005B5CB6">
        <w:rPr>
          <w:rFonts w:ascii="Verdana" w:eastAsia="Verdana" w:hAnsi="Verdana" w:cs="Verdana"/>
        </w:rPr>
        <w:t xml:space="preserve">31) </w:t>
      </w:r>
      <w:r w:rsidRPr="005B5CB6">
        <w:rPr>
          <w:rFonts w:ascii="Verdana" w:eastAsia="Courier New" w:hAnsi="Verdana" w:cs="Courier New"/>
        </w:rPr>
        <w:t>o</w:t>
      </w:r>
      <w:r w:rsidRPr="005B5CB6">
        <w:rPr>
          <w:rFonts w:ascii="Verdana" w:eastAsia="Arial" w:hAnsi="Verdana" w:cs="Arial"/>
        </w:rPr>
        <w:t xml:space="preserve"> </w:t>
      </w:r>
      <w:r>
        <w:fldChar w:fldCharType="begin"/>
      </w:r>
      <w:r>
        <w:instrText xml:space="preserve"> HYPERLINK "https://newsroom.fb.com/news/2019/02/cib-from-moldova/" </w:instrText>
      </w:r>
      <w:r>
        <w:fldChar w:fldCharType="separate"/>
      </w:r>
      <w:r w:rsidRPr="005B5CB6">
        <w:rPr>
          <w:rFonts w:ascii="Verdana" w:eastAsia="Verdana" w:hAnsi="Verdana" w:cs="Verdana"/>
          <w:color w:val="0000FF"/>
          <w:u w:val="single" w:color="0000FF"/>
        </w:rPr>
        <w:t>Removing Coordinated Inauthentic Behavior From Moldova</w:t>
      </w:r>
      <w:r>
        <w:fldChar w:fldCharType="end"/>
      </w:r>
      <w:r>
        <w:fldChar w:fldCharType="begin"/>
      </w:r>
      <w:r>
        <w:instrText xml:space="preserve"> HYPERLINK "https://newsroom.fb.com/news/2019/02/cib-from-moldova/"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(February </w:t>
      </w:r>
    </w:p>
    <w:p w:rsidR="00FB0B24" w:rsidRPr="005B5CB6" w:rsidP="00CF6BAD">
      <w:pPr>
        <w:spacing w:after="5" w:line="249" w:lineRule="auto"/>
        <w:ind w:left="1080" w:right="6" w:firstLine="360"/>
        <w:jc w:val="both"/>
        <w:rPr>
          <w:rFonts w:ascii="Verdana" w:hAnsi="Verdana"/>
        </w:rPr>
      </w:pPr>
      <w:r w:rsidRPr="005B5CB6">
        <w:rPr>
          <w:rFonts w:ascii="Verdana" w:eastAsia="Verdana" w:hAnsi="Verdana" w:cs="Verdana"/>
        </w:rPr>
        <w:t xml:space="preserve">13) </w:t>
      </w:r>
      <w:r w:rsidRPr="005B5CB6">
        <w:rPr>
          <w:rFonts w:ascii="Verdana" w:eastAsia="Courier New" w:hAnsi="Verdana" w:cs="Courier New"/>
        </w:rPr>
        <w:t>o</w:t>
      </w:r>
      <w:r w:rsidRPr="005B5CB6">
        <w:rPr>
          <w:rFonts w:ascii="Verdana" w:eastAsia="Arial" w:hAnsi="Verdana" w:cs="Arial"/>
        </w:rPr>
        <w:t xml:space="preserve"> </w:t>
      </w:r>
      <w:r>
        <w:fldChar w:fldCharType="begin"/>
      </w:r>
      <w:r>
        <w:instrText xml:space="preserve"> HYPERLINK "https://newsroom.fb.com/news/2019/03/removing-cib-uk-and-romania/" </w:instrText>
      </w:r>
      <w:r>
        <w:fldChar w:fldCharType="separate"/>
      </w:r>
      <w:r w:rsidRPr="005B5CB6">
        <w:rPr>
          <w:rFonts w:ascii="Verdana" w:eastAsia="Verdana" w:hAnsi="Verdana" w:cs="Verdana"/>
          <w:color w:val="0000FF"/>
          <w:u w:val="single" w:color="0000FF"/>
        </w:rPr>
        <w:t>Removing Coordinated Inauthentic Behavior From the UK and Romania</w:t>
      </w:r>
      <w:r>
        <w:fldChar w:fldCharType="end"/>
      </w:r>
      <w:r>
        <w:fldChar w:fldCharType="begin"/>
      </w:r>
      <w:r>
        <w:instrText xml:space="preserve"> HYPERLINK "https://newsroom.fb.com/news/2019/03/removing-cib-uk-and-romania/" </w:instrText>
      </w:r>
      <w:r>
        <w:fldChar w:fldCharType="separate"/>
      </w:r>
      <w:r w:rsidRPr="005B5CB6">
        <w:rPr>
          <w:rFonts w:ascii="Verdana" w:eastAsia="Verdana" w:hAnsi="Verdana" w:cs="Verdana"/>
        </w:rPr>
        <w:t xml:space="preserve"> </w:t>
      </w:r>
      <w:r>
        <w:fldChar w:fldCharType="end"/>
      </w:r>
    </w:p>
    <w:p w:rsidR="00FB0B24" w:rsidRPr="005B5CB6" w:rsidP="00CF6BAD">
      <w:pPr>
        <w:spacing w:after="5" w:line="249" w:lineRule="auto"/>
        <w:ind w:left="1080" w:right="918" w:firstLine="360"/>
        <w:jc w:val="both"/>
        <w:rPr>
          <w:rFonts w:ascii="Verdana" w:hAnsi="Verdana"/>
        </w:rPr>
      </w:pPr>
      <w:r w:rsidRPr="005B5CB6">
        <w:rPr>
          <w:rFonts w:ascii="Verdana" w:eastAsia="Verdana" w:hAnsi="Verdana" w:cs="Verdana"/>
        </w:rPr>
        <w:t xml:space="preserve">(March 7) </w:t>
      </w:r>
      <w:r w:rsidRPr="005B5CB6">
        <w:rPr>
          <w:rFonts w:ascii="Verdana" w:eastAsia="Courier New" w:hAnsi="Verdana" w:cs="Courier New"/>
        </w:rPr>
        <w:t>o</w:t>
      </w:r>
      <w:r w:rsidRPr="005B5CB6">
        <w:rPr>
          <w:rFonts w:ascii="Verdana" w:eastAsia="Arial" w:hAnsi="Verdana" w:cs="Arial"/>
        </w:rPr>
        <w:t xml:space="preserve"> </w:t>
      </w:r>
      <w:r>
        <w:fldChar w:fldCharType="begin"/>
      </w:r>
      <w:r>
        <w:instrText xml:space="preserve"> HYPERLINK "https://newsroom.fb.com/news/2019/03/cib-iran-russia-macedonia-kosovo/" </w:instrText>
      </w:r>
      <w:r>
        <w:fldChar w:fldCharType="separate"/>
      </w:r>
      <w:r w:rsidRPr="005B5CB6">
        <w:rPr>
          <w:rFonts w:ascii="Verdana" w:eastAsia="Verdana" w:hAnsi="Verdana" w:cs="Verdana"/>
          <w:color w:val="0000FF"/>
          <w:u w:val="single" w:color="0000FF"/>
        </w:rPr>
        <w:t>Removing Coordinated Inauthentic Behavior from Iran, Russia,</w:t>
      </w:r>
      <w:r>
        <w:fldChar w:fldCharType="end"/>
      </w:r>
      <w:r>
        <w:fldChar w:fldCharType="begin"/>
      </w:r>
      <w:r>
        <w:instrText xml:space="preserve"> HYPERLINK "https://newsroom.fb.com/news/2019/03/cib-iran-russia-macedonia-kosovo/" </w:instrText>
      </w:r>
      <w:r>
        <w:fldChar w:fldCharType="separate"/>
      </w:r>
      <w:r w:rsidRPr="005B5CB6">
        <w:rPr>
          <w:rFonts w:ascii="Verdana" w:eastAsia="Verdana" w:hAnsi="Verdana" w:cs="Verdana"/>
          <w:color w:val="0000FF"/>
        </w:rPr>
        <w:t xml:space="preserve"> </w:t>
      </w:r>
      <w:r>
        <w:fldChar w:fldCharType="end"/>
      </w:r>
    </w:p>
    <w:p w:rsidR="00FB0B24" w:rsidRPr="005B5CB6" w:rsidP="00CF6BAD">
      <w:pPr>
        <w:spacing w:after="5" w:line="249" w:lineRule="auto"/>
        <w:ind w:left="1080" w:right="672" w:firstLine="360"/>
        <w:jc w:val="both"/>
        <w:rPr>
          <w:rFonts w:ascii="Verdana" w:hAnsi="Verdana"/>
        </w:rPr>
      </w:pPr>
      <w:r>
        <w:fldChar w:fldCharType="begin"/>
      </w:r>
      <w:r>
        <w:instrText xml:space="preserve"> HYPERLINK "https://newsroom.fb.com/news/2019/03/cib-iran-russia-macedonia-kosovo/" </w:instrText>
      </w:r>
      <w:r>
        <w:fldChar w:fldCharType="separate"/>
      </w:r>
      <w:r w:rsidRPr="005B5CB6" w:rsidR="00A72806">
        <w:rPr>
          <w:rFonts w:ascii="Verdana" w:eastAsia="Verdana" w:hAnsi="Verdana" w:cs="Verdana"/>
          <w:color w:val="0000FF"/>
          <w:u w:val="single" w:color="0000FF"/>
        </w:rPr>
        <w:t>Macedonia and Kosovo</w:t>
      </w:r>
      <w:r>
        <w:fldChar w:fldCharType="end"/>
      </w:r>
      <w:r>
        <w:fldChar w:fldCharType="begin"/>
      </w:r>
      <w:r>
        <w:instrText xml:space="preserve"> HYPERLINK "https://newsroom.fb.com/news/2019/03/cib-iran-russia-macedonia-kosovo/"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(March 26) </w:t>
      </w:r>
      <w:r w:rsidRPr="005B5CB6" w:rsidR="00A72806">
        <w:rPr>
          <w:rFonts w:ascii="Verdana" w:eastAsia="Courier New" w:hAnsi="Verdana" w:cs="Courier New"/>
        </w:rPr>
        <w:t>o</w:t>
      </w:r>
      <w:r w:rsidRPr="005B5CB6" w:rsidR="00A72806">
        <w:rPr>
          <w:rFonts w:ascii="Verdana" w:eastAsia="Arial" w:hAnsi="Verdana" w:cs="Arial"/>
        </w:rPr>
        <w:t xml:space="preserve"> </w:t>
      </w:r>
      <w:r>
        <w:fldChar w:fldCharType="begin"/>
      </w:r>
      <w:r>
        <w:instrText xml:space="preserve"> HYPERLINK "https://newsroom.fb.com/news/2019/03/cib-from-the-philippines/" </w:instrText>
      </w:r>
      <w:r>
        <w:fldChar w:fldCharType="separate"/>
      </w:r>
      <w:r w:rsidRPr="005B5CB6" w:rsidR="00A72806">
        <w:rPr>
          <w:rFonts w:ascii="Verdana" w:eastAsia="Verdana" w:hAnsi="Verdana" w:cs="Verdana"/>
          <w:color w:val="0000FF"/>
          <w:u w:val="single" w:color="0000FF"/>
        </w:rPr>
        <w:t>Removing Coordinated Inauthentic Behavior From the Philippines</w:t>
      </w:r>
      <w:r>
        <w:fldChar w:fldCharType="end"/>
      </w:r>
      <w:r>
        <w:fldChar w:fldCharType="begin"/>
      </w:r>
      <w:r>
        <w:instrText xml:space="preserve"> HYPERLINK "https://newsroom.fb.com/news/2019/03/cib-from-the-philippines/" </w:instrText>
      </w:r>
      <w:r>
        <w:fldChar w:fldCharType="separate"/>
      </w:r>
      <w:r w:rsidRPr="005B5CB6" w:rsidR="00A72806">
        <w:rPr>
          <w:rFonts w:ascii="Verdana" w:eastAsia="Verdana" w:hAnsi="Verdana" w:cs="Verdana"/>
        </w:rPr>
        <w:t xml:space="preserve"> </w:t>
      </w:r>
      <w:r>
        <w:fldChar w:fldCharType="end"/>
      </w:r>
    </w:p>
    <w:p w:rsidR="00FB0B24" w:rsidRPr="005B5CB6" w:rsidP="00CF6BAD">
      <w:pPr>
        <w:spacing w:after="5" w:line="249" w:lineRule="auto"/>
        <w:ind w:left="1080" w:right="6" w:firstLine="360"/>
        <w:jc w:val="both"/>
        <w:rPr>
          <w:rFonts w:ascii="Verdana" w:hAnsi="Verdana"/>
        </w:rPr>
      </w:pPr>
      <w:r w:rsidRPr="005B5CB6">
        <w:rPr>
          <w:rFonts w:ascii="Verdana" w:eastAsia="Verdana" w:hAnsi="Verdana" w:cs="Verdana"/>
        </w:rPr>
        <w:t xml:space="preserve">(March 28) </w:t>
      </w:r>
      <w:r w:rsidRPr="005B5CB6">
        <w:rPr>
          <w:rFonts w:ascii="Verdana" w:eastAsia="Courier New" w:hAnsi="Verdana" w:cs="Courier New"/>
        </w:rPr>
        <w:t>o</w:t>
      </w:r>
      <w:r w:rsidRPr="005B5CB6">
        <w:rPr>
          <w:rFonts w:ascii="Verdana" w:eastAsia="Arial" w:hAnsi="Verdana" w:cs="Arial"/>
        </w:rPr>
        <w:t xml:space="preserve"> </w:t>
      </w:r>
      <w:r>
        <w:fldChar w:fldCharType="begin"/>
      </w:r>
      <w:r>
        <w:instrText xml:space="preserve"> HYPERLINK "https://newsroom.fb.com/news/2019/04/cib-and-spam-from-india-pakistan/" </w:instrText>
      </w:r>
      <w:r>
        <w:fldChar w:fldCharType="separate"/>
      </w:r>
      <w:r w:rsidRPr="005B5CB6">
        <w:rPr>
          <w:rFonts w:ascii="Verdana" w:eastAsia="Verdana" w:hAnsi="Verdana" w:cs="Verdana"/>
          <w:color w:val="0000FF"/>
          <w:u w:val="single" w:color="0000FF"/>
        </w:rPr>
        <w:t>Removing Coordinated Inauthentic Behavior and Spam From India and</w:t>
      </w:r>
      <w:r>
        <w:fldChar w:fldCharType="end"/>
      </w:r>
      <w:r>
        <w:fldChar w:fldCharType="begin"/>
      </w:r>
      <w:r>
        <w:instrText xml:space="preserve"> HYPERLINK "https://newsroom.fb.com/news/2019/04/cib-and-spam-from-india-pakistan/" </w:instrText>
      </w:r>
      <w:r>
        <w:fldChar w:fldCharType="separate"/>
      </w:r>
      <w:r w:rsidRPr="005B5CB6">
        <w:rPr>
          <w:rFonts w:ascii="Verdana" w:eastAsia="Verdana" w:hAnsi="Verdana" w:cs="Verdana"/>
          <w:color w:val="0000FF"/>
        </w:rPr>
        <w:t xml:space="preserve"> </w:t>
      </w:r>
      <w:r>
        <w:fldChar w:fldCharType="end"/>
      </w:r>
    </w:p>
    <w:p w:rsidR="00FB0B24" w:rsidRPr="005B5CB6" w:rsidP="00CF6BAD">
      <w:pPr>
        <w:spacing w:after="5" w:line="249" w:lineRule="auto"/>
        <w:ind w:left="1080" w:right="6" w:firstLine="360"/>
        <w:jc w:val="both"/>
        <w:rPr>
          <w:rFonts w:ascii="Verdana" w:hAnsi="Verdana"/>
        </w:rPr>
      </w:pPr>
      <w:r>
        <w:fldChar w:fldCharType="begin"/>
      </w:r>
      <w:r>
        <w:instrText xml:space="preserve"> HYPERLINK "https://newsroom.fb.com/news/2019/04/cib-and-spam-from-india-pakistan/" </w:instrText>
      </w:r>
      <w:r>
        <w:fldChar w:fldCharType="separate"/>
      </w:r>
      <w:r w:rsidRPr="005B5CB6" w:rsidR="00A72806">
        <w:rPr>
          <w:rFonts w:ascii="Verdana" w:eastAsia="Verdana" w:hAnsi="Verdana" w:cs="Verdana"/>
          <w:color w:val="0000FF"/>
          <w:u w:val="single" w:color="0000FF"/>
        </w:rPr>
        <w:t>Pakistan</w:t>
      </w:r>
      <w:r>
        <w:fldChar w:fldCharType="end"/>
      </w:r>
      <w:r>
        <w:fldChar w:fldCharType="begin"/>
      </w:r>
      <w:r>
        <w:instrText xml:space="preserve"> HYPERLINK "https://newsroom.fb.com/news/2019/04/cib-and-spam-from-india-pakistan/"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(April 1) </w:t>
      </w:r>
      <w:r w:rsidRPr="005B5CB6" w:rsidR="00A72806">
        <w:rPr>
          <w:rFonts w:ascii="Verdana" w:eastAsia="Courier New" w:hAnsi="Verdana" w:cs="Courier New"/>
        </w:rPr>
        <w:t>o</w:t>
      </w:r>
      <w:r w:rsidRPr="005B5CB6" w:rsidR="00A72806">
        <w:rPr>
          <w:rFonts w:ascii="Verdana" w:eastAsia="Arial" w:hAnsi="Verdana" w:cs="Arial"/>
        </w:rPr>
        <w:t xml:space="preserve"> </w:t>
      </w:r>
      <w:r>
        <w:fldChar w:fldCharType="begin"/>
      </w:r>
      <w:r>
        <w:instrText xml:space="preserve"> HYPERLINK "https://newsroom.fb.com/news/2019/05/more-cib-from-russia/" </w:instrText>
      </w:r>
      <w:r>
        <w:fldChar w:fldCharType="separate"/>
      </w:r>
      <w:r w:rsidRPr="005B5CB6" w:rsidR="00A72806">
        <w:rPr>
          <w:rFonts w:ascii="Verdana" w:eastAsia="Verdana" w:hAnsi="Verdana" w:cs="Verdana"/>
          <w:color w:val="0000FF"/>
          <w:u w:val="single" w:color="0000FF"/>
        </w:rPr>
        <w:t>Removing More Coordinated Inauthentic Behavior From Russia</w:t>
      </w:r>
      <w:r>
        <w:fldChar w:fldCharType="end"/>
      </w:r>
      <w:r>
        <w:fldChar w:fldCharType="begin"/>
      </w:r>
      <w:r>
        <w:instrText xml:space="preserve"> HYPERLINK "https://newsroom.fb.com/news/2019/05/more-cib-from-russia/"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(May 6) </w:t>
      </w:r>
      <w:r w:rsidRPr="005B5CB6" w:rsidR="00A72806">
        <w:rPr>
          <w:rFonts w:ascii="Verdana" w:eastAsia="Courier New" w:hAnsi="Verdana" w:cs="Courier New"/>
        </w:rPr>
        <w:t>o</w:t>
      </w:r>
      <w:r w:rsidRPr="005B5CB6" w:rsidR="00A72806">
        <w:rPr>
          <w:rFonts w:ascii="Verdana" w:eastAsia="Arial" w:hAnsi="Verdana" w:cs="Arial"/>
        </w:rPr>
        <w:t xml:space="preserve"> </w:t>
      </w:r>
      <w:r>
        <w:fldChar w:fldCharType="begin"/>
      </w:r>
      <w:r>
        <w:instrText xml:space="preserve"> HYPERLINK "https://newsroom.fb.com/news/2019/05/removing-coordinated-inauthentic-behavior-from-israel/" </w:instrText>
      </w:r>
      <w:r>
        <w:fldChar w:fldCharType="separate"/>
      </w:r>
      <w:r w:rsidRPr="005B5CB6" w:rsidR="00A72806">
        <w:rPr>
          <w:rFonts w:ascii="Verdana" w:eastAsia="Verdana" w:hAnsi="Verdana" w:cs="Verdana"/>
          <w:color w:val="0000FF"/>
          <w:u w:val="single" w:color="0000FF"/>
        </w:rPr>
        <w:t>Removing Coordinated Inauthentic Behavior From Israel</w:t>
      </w:r>
      <w:r>
        <w:fldChar w:fldCharType="end"/>
      </w:r>
      <w:r>
        <w:fldChar w:fldCharType="begin"/>
      </w:r>
      <w:r>
        <w:instrText xml:space="preserve"> HYPERLINK "https://newsroom.fb.com/news/2019/05/removing-coordinated-inauthentic-behavior-from-israel/"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(May 16) </w:t>
      </w:r>
      <w:r w:rsidRPr="005B5CB6" w:rsidR="00A72806">
        <w:rPr>
          <w:rFonts w:ascii="Verdana" w:eastAsia="Courier New" w:hAnsi="Verdana" w:cs="Courier New"/>
        </w:rPr>
        <w:t>o</w:t>
      </w:r>
      <w:r w:rsidRPr="005B5CB6" w:rsidR="00A72806">
        <w:rPr>
          <w:rFonts w:ascii="Verdana" w:eastAsia="Arial" w:hAnsi="Verdana" w:cs="Arial"/>
        </w:rPr>
        <w:t xml:space="preserve"> </w:t>
      </w:r>
      <w:r>
        <w:fldChar w:fldCharType="begin"/>
      </w:r>
      <w:r>
        <w:instrText xml:space="preserve"> HYPERLINK "https://newsroom.fb.com/news/2019/05/removing-more-cib-from-iran/" </w:instrText>
      </w:r>
      <w:r>
        <w:fldChar w:fldCharType="separate"/>
      </w:r>
      <w:r w:rsidRPr="005B5CB6" w:rsidR="00A72806">
        <w:rPr>
          <w:rFonts w:ascii="Verdana" w:eastAsia="Verdana" w:hAnsi="Verdana" w:cs="Verdana"/>
          <w:color w:val="0000FF"/>
          <w:u w:val="single" w:color="0000FF"/>
        </w:rPr>
        <w:t>Removing More Coordinated Inauthentic Behavior From Iran</w:t>
      </w:r>
      <w:r>
        <w:fldChar w:fldCharType="end"/>
      </w:r>
      <w:r>
        <w:fldChar w:fldCharType="begin"/>
      </w:r>
      <w:r>
        <w:instrText xml:space="preserve"> HYPERLINK "https://newsroom.fb.com/news/2019/05/removing-more-cib-from-iran/"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(May 28) </w:t>
      </w:r>
      <w:r w:rsidRPr="005B5CB6" w:rsidR="00A72806">
        <w:rPr>
          <w:rFonts w:ascii="Verdana" w:eastAsia="Courier New" w:hAnsi="Verdana" w:cs="Courier New"/>
        </w:rPr>
        <w:t>o</w:t>
      </w:r>
      <w:r w:rsidRPr="005B5CB6" w:rsidR="00A72806">
        <w:rPr>
          <w:rFonts w:ascii="Verdana" w:eastAsia="Arial" w:hAnsi="Verdana" w:cs="Arial"/>
        </w:rPr>
        <w:t xml:space="preserve"> </w:t>
      </w:r>
      <w:r>
        <w:fldChar w:fldCharType="begin"/>
      </w:r>
      <w:r>
        <w:instrText xml:space="preserve"> HYPERLINK "https://newsroom.fb.com/news/2019/07/removing-cib-thailand-russia-ukraine-honduras/" </w:instrText>
      </w:r>
      <w:r>
        <w:fldChar w:fldCharType="separate"/>
      </w:r>
      <w:r w:rsidRPr="005B5CB6" w:rsidR="00A72806">
        <w:rPr>
          <w:rFonts w:ascii="Verdana" w:eastAsia="Verdana" w:hAnsi="Verdana" w:cs="Verdana"/>
          <w:color w:val="0000FF"/>
          <w:u w:val="single" w:color="0000FF"/>
        </w:rPr>
        <w:t>Removing Coordinated Inauthentic Behavior in Thailand, Russia,</w:t>
      </w:r>
      <w:r>
        <w:fldChar w:fldCharType="end"/>
      </w:r>
      <w:r>
        <w:fldChar w:fldCharType="begin"/>
      </w:r>
      <w:r>
        <w:instrText xml:space="preserve"> HYPERLINK "https://newsroom.fb.com/news/2019/07/removing-cib-thailand-russia-ukraine-honduras/" </w:instrText>
      </w:r>
      <w:r>
        <w:fldChar w:fldCharType="separate"/>
      </w:r>
      <w:r w:rsidRPr="005B5CB6" w:rsidR="00A72806">
        <w:rPr>
          <w:rFonts w:ascii="Verdana" w:eastAsia="Verdana" w:hAnsi="Verdana" w:cs="Verdana"/>
          <w:color w:val="0000FF"/>
        </w:rPr>
        <w:t xml:space="preserve"> </w:t>
      </w:r>
      <w:r>
        <w:fldChar w:fldCharType="end"/>
      </w:r>
    </w:p>
    <w:p w:rsidR="00FB0B24" w:rsidRPr="005B5CB6" w:rsidP="00CF6BAD">
      <w:pPr>
        <w:spacing w:after="5" w:line="249" w:lineRule="auto"/>
        <w:ind w:left="1080" w:right="227" w:firstLine="360"/>
        <w:jc w:val="both"/>
        <w:rPr>
          <w:rFonts w:ascii="Verdana" w:hAnsi="Verdana"/>
        </w:rPr>
      </w:pPr>
      <w:r>
        <w:fldChar w:fldCharType="begin"/>
      </w:r>
      <w:r>
        <w:instrText xml:space="preserve"> HYPERLINK "https://newsroom.fb.com/news/2019/07/removing-cib-thailand-russia-ukraine-honduras/" </w:instrText>
      </w:r>
      <w:r>
        <w:fldChar w:fldCharType="separate"/>
      </w:r>
      <w:r w:rsidRPr="005B5CB6" w:rsidR="00A72806">
        <w:rPr>
          <w:rFonts w:ascii="Verdana" w:eastAsia="Verdana" w:hAnsi="Verdana" w:cs="Verdana"/>
          <w:color w:val="0000FF"/>
          <w:u w:val="single" w:color="0000FF"/>
        </w:rPr>
        <w:t>Ukraine and Honduras</w:t>
      </w:r>
      <w:r>
        <w:fldChar w:fldCharType="end"/>
      </w:r>
      <w:r>
        <w:fldChar w:fldCharType="begin"/>
      </w:r>
      <w:r>
        <w:instrText xml:space="preserve"> HYPERLINK "https://newsroom.fb.com/news/2019/07/removing-cib-thailand-russia-ukraine-honduras/"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(July 25) </w:t>
      </w:r>
      <w:r w:rsidRPr="005B5CB6" w:rsidR="00A72806">
        <w:rPr>
          <w:rFonts w:ascii="Verdana" w:eastAsia="Courier New" w:hAnsi="Verdana" w:cs="Courier New"/>
        </w:rPr>
        <w:t>o</w:t>
      </w:r>
      <w:r w:rsidRPr="005B5CB6" w:rsidR="00A72806">
        <w:rPr>
          <w:rFonts w:ascii="Verdana" w:eastAsia="Arial" w:hAnsi="Verdana" w:cs="Arial"/>
        </w:rPr>
        <w:t xml:space="preserve"> </w:t>
      </w:r>
      <w:r>
        <w:fldChar w:fldCharType="begin"/>
      </w:r>
      <w:r>
        <w:instrText xml:space="preserve"> HYPERLINK "https://newsroom.fb.com/news/2019/08/cib-uae-egypt-saudi-arabia/" </w:instrText>
      </w:r>
      <w:r>
        <w:fldChar w:fldCharType="separate"/>
      </w:r>
      <w:r w:rsidRPr="005B5CB6" w:rsidR="00A72806">
        <w:rPr>
          <w:rFonts w:ascii="Verdana" w:eastAsia="Verdana" w:hAnsi="Verdana" w:cs="Verdana"/>
          <w:color w:val="0000FF"/>
          <w:u w:val="single" w:color="0000FF"/>
        </w:rPr>
        <w:t>Removing Coordinated Inauthentic Behavior in UAE, Egypt and Saudi</w:t>
      </w:r>
      <w:r>
        <w:fldChar w:fldCharType="end"/>
      </w:r>
      <w:r>
        <w:fldChar w:fldCharType="begin"/>
      </w:r>
      <w:r>
        <w:instrText xml:space="preserve"> HYPERLINK "https://newsroom.fb.com/news/2019/08/cib-uae-egypt-saudi-arabia/" </w:instrText>
      </w:r>
      <w:r>
        <w:fldChar w:fldCharType="separate"/>
      </w:r>
      <w:r w:rsidRPr="005B5CB6" w:rsidR="00A72806">
        <w:rPr>
          <w:rFonts w:ascii="Verdana" w:eastAsia="Verdana" w:hAnsi="Verdana" w:cs="Verdana"/>
          <w:color w:val="0000FF"/>
        </w:rPr>
        <w:t xml:space="preserve"> </w:t>
      </w:r>
      <w:r>
        <w:fldChar w:fldCharType="end"/>
      </w:r>
    </w:p>
    <w:p w:rsidR="00FB0B24" w:rsidRPr="005B5CB6" w:rsidP="00CF6BAD">
      <w:pPr>
        <w:spacing w:after="5" w:line="249" w:lineRule="auto"/>
        <w:ind w:left="1080" w:right="252" w:firstLine="360"/>
        <w:jc w:val="both"/>
        <w:rPr>
          <w:rFonts w:ascii="Verdana" w:hAnsi="Verdana"/>
        </w:rPr>
      </w:pPr>
      <w:r>
        <w:fldChar w:fldCharType="begin"/>
      </w:r>
      <w:r>
        <w:instrText xml:space="preserve"> HYPERLINK "https://newsroom.fb.com/news/2019/08/cib-uae-egypt-saudi-arabia/" </w:instrText>
      </w:r>
      <w:r>
        <w:fldChar w:fldCharType="separate"/>
      </w:r>
      <w:r w:rsidRPr="005B5CB6" w:rsidR="00A72806">
        <w:rPr>
          <w:rFonts w:ascii="Verdana" w:eastAsia="Verdana" w:hAnsi="Verdana" w:cs="Verdana"/>
          <w:color w:val="0000FF"/>
          <w:u w:val="single" w:color="0000FF"/>
        </w:rPr>
        <w:t>Arabia</w:t>
      </w:r>
      <w:r>
        <w:fldChar w:fldCharType="end"/>
      </w:r>
      <w:r>
        <w:fldChar w:fldCharType="begin"/>
      </w:r>
      <w:r>
        <w:instrText xml:space="preserve"> HYPERLINK "https://newsroom.fb.com/news/2019/08/cib-uae-egypt-saudi-arabia/"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(August 1) </w:t>
      </w:r>
      <w:r w:rsidRPr="005B5CB6" w:rsidR="00A72806">
        <w:rPr>
          <w:rFonts w:ascii="Verdana" w:eastAsia="Courier New" w:hAnsi="Verdana" w:cs="Courier New"/>
        </w:rPr>
        <w:t>o</w:t>
      </w:r>
      <w:r w:rsidRPr="005B5CB6" w:rsidR="00A72806">
        <w:rPr>
          <w:rFonts w:ascii="Verdana" w:eastAsia="Arial" w:hAnsi="Verdana" w:cs="Arial"/>
        </w:rPr>
        <w:t xml:space="preserve"> </w:t>
      </w:r>
      <w:r>
        <w:fldChar w:fldCharType="begin"/>
      </w:r>
      <w:r>
        <w:instrText xml:space="preserve"> HYPERLINK "https://newsroom.fb.com/news/2019/08/removing-cib-china/" </w:instrText>
      </w:r>
      <w:r>
        <w:fldChar w:fldCharType="separate"/>
      </w:r>
      <w:r w:rsidRPr="005B5CB6" w:rsidR="00A72806">
        <w:rPr>
          <w:rFonts w:ascii="Verdana" w:eastAsia="Verdana" w:hAnsi="Verdana" w:cs="Verdana"/>
          <w:color w:val="0000FF"/>
          <w:u w:val="single" w:color="0000FF"/>
        </w:rPr>
        <w:t>Removing Coordinated Inauthentic Behavior From China</w:t>
      </w:r>
      <w:r>
        <w:fldChar w:fldCharType="end"/>
      </w:r>
      <w:r>
        <w:fldChar w:fldCharType="begin"/>
      </w:r>
      <w:r>
        <w:instrText xml:space="preserve"> HYPERLINK "https://newsroom.fb.com/news/2019/08/removing-cib-china/"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(August 19) </w:t>
      </w:r>
      <w:r w:rsidRPr="005B5CB6" w:rsidR="00A72806">
        <w:rPr>
          <w:rFonts w:ascii="Verdana" w:eastAsia="Courier New" w:hAnsi="Verdana" w:cs="Courier New"/>
        </w:rPr>
        <w:t>o</w:t>
      </w:r>
      <w:r w:rsidRPr="005B5CB6" w:rsidR="00A72806">
        <w:rPr>
          <w:rFonts w:ascii="Verdana" w:eastAsia="Arial" w:hAnsi="Verdana" w:cs="Arial"/>
        </w:rPr>
        <w:t xml:space="preserve"> </w:t>
      </w:r>
      <w:r>
        <w:fldChar w:fldCharType="begin"/>
      </w:r>
      <w:r>
        <w:instrText xml:space="preserve"> HYPERLINK "https://newsroom.fb.com/news/2019/08/more-cib-myanmar/" </w:instrText>
      </w:r>
      <w:r>
        <w:fldChar w:fldCharType="separate"/>
      </w:r>
      <w:r w:rsidRPr="005B5CB6" w:rsidR="00A72806">
        <w:rPr>
          <w:rFonts w:ascii="Verdana" w:eastAsia="Verdana" w:hAnsi="Verdana" w:cs="Verdana"/>
          <w:color w:val="0000FF"/>
          <w:u w:val="single" w:color="0000FF"/>
        </w:rPr>
        <w:t>Taking Down More Coordinated Inauthentic Behavior in Myanmar</w:t>
      </w:r>
      <w:r>
        <w:fldChar w:fldCharType="end"/>
      </w:r>
      <w:r>
        <w:fldChar w:fldCharType="begin"/>
      </w:r>
      <w:r>
        <w:instrText xml:space="preserve"> HYPERLINK "https://newsroom.fb.com/news/2019/08/more-cib-myanmar/" </w:instrText>
      </w:r>
      <w:r>
        <w:fldChar w:fldCharType="separate"/>
      </w:r>
      <w:r w:rsidRPr="005B5CB6" w:rsidR="00A72806">
        <w:rPr>
          <w:rFonts w:ascii="Verdana" w:eastAsia="Verdana" w:hAnsi="Verdana" w:cs="Verdana"/>
        </w:rPr>
        <w:t xml:space="preserve"> </w:t>
      </w:r>
      <w:r>
        <w:fldChar w:fldCharType="end"/>
      </w:r>
    </w:p>
    <w:p w:rsidR="00FB0B24" w:rsidRPr="005B5CB6" w:rsidP="00CF6BAD">
      <w:pPr>
        <w:spacing w:after="5" w:line="249" w:lineRule="auto"/>
        <w:ind w:left="1080" w:right="413" w:firstLine="360"/>
        <w:jc w:val="both"/>
        <w:rPr>
          <w:rFonts w:ascii="Verdana" w:hAnsi="Verdana"/>
        </w:rPr>
      </w:pPr>
      <w:r w:rsidRPr="005B5CB6">
        <w:rPr>
          <w:rFonts w:ascii="Verdana" w:eastAsia="Verdana" w:hAnsi="Verdana" w:cs="Verdana"/>
        </w:rPr>
        <w:t xml:space="preserve">(August 21) </w:t>
      </w:r>
      <w:r w:rsidRPr="005B5CB6">
        <w:rPr>
          <w:rFonts w:ascii="Verdana" w:eastAsia="Courier New" w:hAnsi="Verdana" w:cs="Courier New"/>
        </w:rPr>
        <w:t>o</w:t>
      </w:r>
      <w:r w:rsidRPr="005B5CB6">
        <w:rPr>
          <w:rFonts w:ascii="Verdana" w:eastAsia="Arial" w:hAnsi="Verdana" w:cs="Arial"/>
        </w:rPr>
        <w:t xml:space="preserve"> </w:t>
      </w:r>
      <w:r>
        <w:fldChar w:fldCharType="begin"/>
      </w:r>
      <w:r>
        <w:instrText xml:space="preserve"> HYPERLINK "https://newsroom.fb.com/news/2019/09/removing-coordinated-inauthentic-behavior-from-iraq-and-ukraine/" </w:instrText>
      </w:r>
      <w:r>
        <w:fldChar w:fldCharType="separate"/>
      </w:r>
      <w:r w:rsidRPr="005B5CB6">
        <w:rPr>
          <w:rFonts w:ascii="Verdana" w:eastAsia="Verdana" w:hAnsi="Verdana" w:cs="Verdana"/>
          <w:color w:val="0000FF"/>
          <w:u w:val="single" w:color="0000FF"/>
        </w:rPr>
        <w:t>Removing Coordinated Inauthentic Behavior From Iraq and Ukraine</w:t>
      </w:r>
      <w:r>
        <w:fldChar w:fldCharType="end"/>
      </w:r>
      <w:r>
        <w:fldChar w:fldCharType="begin"/>
      </w:r>
      <w:r>
        <w:instrText xml:space="preserve"> HYPERLINK "https://newsroom.fb.com/news/2019/09/removing-coordinated-inauthentic-behavior-from-iraq-and-ukraine/" </w:instrText>
      </w:r>
      <w:r>
        <w:fldChar w:fldCharType="separate"/>
      </w:r>
      <w:r w:rsidRPr="005B5CB6">
        <w:rPr>
          <w:rFonts w:ascii="Verdana" w:eastAsia="Verdana" w:hAnsi="Verdana" w:cs="Verdana"/>
        </w:rPr>
        <w:t xml:space="preserve"> </w:t>
      </w:r>
      <w:r>
        <w:fldChar w:fldCharType="end"/>
      </w:r>
    </w:p>
    <w:p w:rsidR="00FB0B24" w:rsidRPr="005B5CB6" w:rsidP="00CF6BAD">
      <w:pPr>
        <w:spacing w:after="269" w:line="249" w:lineRule="auto"/>
        <w:ind w:left="1080" w:right="6" w:firstLine="360"/>
        <w:jc w:val="both"/>
        <w:rPr>
          <w:rFonts w:ascii="Verdana" w:hAnsi="Verdana"/>
        </w:rPr>
      </w:pPr>
      <w:r w:rsidRPr="005B5CB6">
        <w:rPr>
          <w:rFonts w:ascii="Verdana" w:eastAsia="Verdana" w:hAnsi="Verdana" w:cs="Verdana"/>
        </w:rPr>
        <w:t xml:space="preserve">(September 16) </w:t>
      </w:r>
      <w:r w:rsidRPr="005B5CB6">
        <w:rPr>
          <w:rFonts w:ascii="Verdana" w:eastAsia="Courier New" w:hAnsi="Verdana" w:cs="Courier New"/>
        </w:rPr>
        <w:t>o</w:t>
      </w:r>
      <w:r w:rsidRPr="005B5CB6">
        <w:rPr>
          <w:rFonts w:ascii="Verdana" w:eastAsia="Arial" w:hAnsi="Verdana" w:cs="Arial"/>
        </w:rPr>
        <w:t xml:space="preserve"> </w:t>
      </w:r>
      <w:r>
        <w:fldChar w:fldCharType="begin"/>
      </w:r>
      <w:r>
        <w:instrText xml:space="preserve"> HYPERLINK "https://newsroom.fb.com/news/2019/09/removing-coordinated-inauthentic-behavior-in-spain/" </w:instrText>
      </w:r>
      <w:r>
        <w:fldChar w:fldCharType="separate"/>
      </w:r>
      <w:r w:rsidRPr="005B5CB6">
        <w:rPr>
          <w:rFonts w:ascii="Verdana" w:eastAsia="Verdana" w:hAnsi="Verdana" w:cs="Verdana"/>
          <w:color w:val="0000FF"/>
          <w:u w:val="single" w:color="0000FF"/>
        </w:rPr>
        <w:t>Removing Coordinated Inauthentic Behavior in Spain</w:t>
      </w:r>
      <w:r>
        <w:fldChar w:fldCharType="end"/>
      </w:r>
      <w:r>
        <w:fldChar w:fldCharType="begin"/>
      </w:r>
      <w:r>
        <w:instrText xml:space="preserve"> HYPERLINK "https://newsroom.fb.com/news/2019/09/removing-coordinated-inauthentic-behavior-in-spain/"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(September 20) </w:t>
      </w:r>
      <w:r w:rsidRPr="005B5CB6">
        <w:rPr>
          <w:rFonts w:ascii="Verdana" w:eastAsia="Courier New" w:hAnsi="Verdana" w:cs="Courier New"/>
        </w:rPr>
        <w:t>o</w:t>
      </w:r>
      <w:r w:rsidRPr="005B5CB6">
        <w:rPr>
          <w:rFonts w:ascii="Verdana" w:eastAsia="Arial" w:hAnsi="Verdana" w:cs="Arial"/>
        </w:rPr>
        <w:t xml:space="preserve"> </w:t>
      </w:r>
      <w:r>
        <w:fldChar w:fldCharType="begin"/>
      </w:r>
      <w:r>
        <w:instrText xml:space="preserve"> HYPERLINK "https://newsroom.fb.com/news/2019/10/removing-coordinated-inauthentic-behavior-in-uae-nigeria-indonesia-and-egypt/" </w:instrText>
      </w:r>
      <w:r>
        <w:fldChar w:fldCharType="separate"/>
      </w:r>
      <w:r w:rsidRPr="005B5CB6">
        <w:rPr>
          <w:rFonts w:ascii="Verdana" w:eastAsia="Verdana" w:hAnsi="Verdana" w:cs="Verdana"/>
          <w:color w:val="0000FF"/>
          <w:u w:val="single" w:color="0000FF"/>
        </w:rPr>
        <w:t>Removing Coordinated Inauthentic Behavior in UAE, Nigeria, Indonesia</w:t>
      </w:r>
      <w:r>
        <w:fldChar w:fldCharType="end"/>
      </w:r>
      <w:r>
        <w:fldChar w:fldCharType="begin"/>
      </w:r>
      <w:r>
        <w:instrText xml:space="preserve"> HYPERLINK "https://newsroom.fb.com/news/2019/10/removing-coordinated-inauthentic-behavior-in-uae-nigeria-indonesia-and-egypt/" </w:instrText>
      </w:r>
      <w:r>
        <w:fldChar w:fldCharType="separate"/>
      </w:r>
      <w:r w:rsidRPr="005B5CB6">
        <w:rPr>
          <w:rFonts w:ascii="Verdana" w:eastAsia="Verdana" w:hAnsi="Verdana" w:cs="Verdana"/>
          <w:color w:val="0000FF"/>
        </w:rPr>
        <w:t xml:space="preserve"> </w:t>
      </w:r>
      <w:r>
        <w:fldChar w:fldCharType="end"/>
      </w:r>
      <w:r>
        <w:fldChar w:fldCharType="begin"/>
      </w:r>
      <w:r>
        <w:instrText xml:space="preserve"> HYPERLINK "https://newsroom.fb.com/news/2019/10/removing-coordinated-inauthentic-behavior-in-uae-nigeria-indonesia-and-egypt/" </w:instrText>
      </w:r>
      <w:r>
        <w:fldChar w:fldCharType="separate"/>
      </w:r>
      <w:r w:rsidRPr="005B5CB6">
        <w:rPr>
          <w:rFonts w:ascii="Verdana" w:eastAsia="Verdana" w:hAnsi="Verdana" w:cs="Verdana"/>
          <w:color w:val="0000FF"/>
          <w:u w:val="single" w:color="0000FF"/>
        </w:rPr>
        <w:t>and Egypt</w:t>
      </w:r>
      <w:r>
        <w:fldChar w:fldCharType="end"/>
      </w:r>
      <w:r>
        <w:fldChar w:fldCharType="begin"/>
      </w:r>
      <w:r>
        <w:instrText xml:space="preserve"> HYPERLINK "https://newsroom.fb.com/news/2019/10/removing-coordinated-inauthentic-behavior-in-uae-nigeria-indonesia-and-egypt/"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(October 3)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jc w:val="both"/>
        <w:rPr>
          <w:rFonts w:ascii="Verdana" w:hAnsi="Verdana"/>
        </w:rPr>
        <w:sectPr w:rsidSect="006562C6">
          <w:headerReference w:type="even" r:id="rId443"/>
          <w:headerReference w:type="default" r:id="rId444"/>
          <w:footerReference w:type="even" r:id="rId445"/>
          <w:footerReference w:type="default" r:id="rId446"/>
          <w:headerReference w:type="first" r:id="rId447"/>
          <w:footerReference w:type="first" r:id="rId448"/>
          <w:pgSz w:w="12240" w:h="15840"/>
          <w:pgMar w:top="1440" w:right="1457" w:bottom="1440" w:left="1440" w:header="720" w:footer="719" w:gutter="0"/>
          <w:cols w:space="720"/>
        </w:sectPr>
      </w:pPr>
    </w:p>
    <w:p w:rsidR="00FB0B24" w:rsidRPr="005B5CB6" w:rsidP="00A1624B">
      <w:pPr>
        <w:pStyle w:val="Heading1"/>
        <w:rPr>
          <w:sz w:val="22"/>
        </w:rPr>
      </w:pPr>
      <w:bookmarkStart w:id="71" w:name="_Toc44517759"/>
      <w:r w:rsidRPr="005B5CB6">
        <w:rPr>
          <w:sz w:val="22"/>
        </w:rPr>
        <w:t>5rights Foundation – written evidence (DAD0082)</w:t>
      </w:r>
      <w:bookmarkEnd w:id="71"/>
      <w:r w:rsidRPr="005B5CB6">
        <w:rPr>
          <w:sz w:val="22"/>
        </w:rPr>
        <w:t xml:space="preserve"> </w:t>
      </w:r>
    </w:p>
    <w:p w:rsidR="00FB0B24" w:rsidRPr="005B5CB6" w:rsidP="006F32A5">
      <w:pPr>
        <w:spacing w:after="17"/>
        <w:ind w:left="1"/>
        <w:jc w:val="both"/>
        <w:rPr>
          <w:rFonts w:ascii="Verdana" w:hAnsi="Verdana"/>
        </w:rPr>
      </w:pPr>
      <w:r w:rsidRPr="005B5CB6">
        <w:rPr>
          <w:rFonts w:ascii="Verdana" w:eastAsia="Verdana" w:hAnsi="Verdana" w:cs="Verdana"/>
          <w:b/>
        </w:rPr>
        <w:t xml:space="preserve"> </w:t>
      </w:r>
    </w:p>
    <w:p w:rsidR="00FB0B24" w:rsidRPr="005B5CB6" w:rsidP="006F32A5">
      <w:pPr>
        <w:spacing w:after="26" w:line="250" w:lineRule="auto"/>
        <w:ind w:left="11" w:hanging="10"/>
        <w:jc w:val="both"/>
        <w:rPr>
          <w:rFonts w:ascii="Verdana" w:hAnsi="Verdana"/>
        </w:rPr>
      </w:pPr>
      <w:r w:rsidRPr="005B5CB6">
        <w:rPr>
          <w:rFonts w:ascii="Verdana" w:eastAsia="Verdana" w:hAnsi="Verdana" w:cs="Verdana"/>
          <w:b/>
        </w:rPr>
        <w:t xml:space="preserve">About 5Rights Foundation </w:t>
      </w:r>
    </w:p>
    <w:p w:rsidR="00FB0B24" w:rsidRPr="005B5CB6" w:rsidP="006F32A5">
      <w:pPr>
        <w:spacing w:after="26" w:line="249" w:lineRule="auto"/>
        <w:ind w:left="10" w:right="12" w:hanging="9"/>
        <w:jc w:val="both"/>
        <w:rPr>
          <w:rFonts w:ascii="Verdana" w:hAnsi="Verdana"/>
        </w:rPr>
      </w:pPr>
      <w:r w:rsidRPr="005B5CB6">
        <w:rPr>
          <w:rFonts w:ascii="Verdana" w:eastAsia="Verdana" w:hAnsi="Verdana" w:cs="Verdana"/>
        </w:rPr>
        <w:t xml:space="preserve">The digital world was imagined as one in which all users would be equal, yet 1/3rd of internet users are children.  Nearly one billion children are therefore growing up in an environment that systematically fails to recognise their age and the protections, privileges, legal frameworks and rights that together constitute the concept of childhood.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Working closely with children, we operate in the engine room of the digital world: supporting enforceable regulation and international agreements, developing technical standards and protocols, and helping businesses re-imagine the design of their digital services.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26" w:line="249" w:lineRule="auto"/>
        <w:ind w:left="10" w:right="12" w:hanging="9"/>
        <w:jc w:val="both"/>
        <w:rPr>
          <w:rFonts w:ascii="Verdana" w:hAnsi="Verdana"/>
        </w:rPr>
      </w:pPr>
      <w:r w:rsidRPr="005B5CB6">
        <w:rPr>
          <w:rFonts w:ascii="Verdana" w:eastAsia="Verdana" w:hAnsi="Verdana" w:cs="Verdana"/>
        </w:rPr>
        <w:t xml:space="preserve">We fight for systemic change to ensure that the digital world caters for children and young people by design and by default, so they can navigate it creatively, knowledgeably and fearlessly.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26" w:line="250" w:lineRule="auto"/>
        <w:ind w:left="23" w:right="11" w:hanging="8"/>
        <w:jc w:val="both"/>
        <w:rPr>
          <w:rFonts w:ascii="Verdana" w:hAnsi="Verdana"/>
        </w:rPr>
      </w:pPr>
      <w:r w:rsidRPr="005B5CB6">
        <w:rPr>
          <w:rFonts w:ascii="Verdana" w:eastAsia="Verdana" w:hAnsi="Verdana" w:cs="Verdana"/>
        </w:rPr>
        <w:t xml:space="preserve">5Rights’ submission focuses on the place of children in this important discussion.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26" w:line="250" w:lineRule="auto"/>
        <w:ind w:left="11" w:hanging="10"/>
        <w:jc w:val="both"/>
        <w:rPr>
          <w:rFonts w:ascii="Verdana" w:hAnsi="Verdana"/>
        </w:rPr>
      </w:pPr>
      <w:r w:rsidRPr="005B5CB6">
        <w:rPr>
          <w:rFonts w:ascii="Verdana" w:eastAsia="Verdana" w:hAnsi="Verdana" w:cs="Verdana"/>
          <w:b/>
        </w:rPr>
        <w:t xml:space="preserve">Overview </w:t>
      </w:r>
    </w:p>
    <w:p w:rsidR="00FB0B24" w:rsidRPr="005B5CB6" w:rsidP="006F32A5">
      <w:pPr>
        <w:spacing w:after="222" w:line="249" w:lineRule="auto"/>
        <w:ind w:left="10" w:right="12" w:hanging="9"/>
        <w:jc w:val="both"/>
        <w:rPr>
          <w:rFonts w:ascii="Verdana" w:hAnsi="Verdana"/>
        </w:rPr>
      </w:pPr>
      <w:r w:rsidRPr="005B5CB6">
        <w:rPr>
          <w:rFonts w:ascii="Verdana" w:eastAsia="Verdana" w:hAnsi="Verdana" w:cs="Verdana"/>
        </w:rPr>
        <w:t xml:space="preserve">We want to congratulate the Committee for recognising the need to consider the effects of technology on democracy, public discourse, and the public square. We share the Committee’s optimism about the potential benefits that the digital environment can bring both to the individual and to society more broadly. But we also share the Committee’s concern that digital technology can frustrate the democratic process, too, and undermine the participation and information rights of individuals and communities, on which the democratic process relies – including those of children.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A fifth of all internet users in the UK, and third of users around the world, are children. Despite this, children are consistently overlooked in both the design of digital technologies and consideration of its impact.  Where children are included in the conversation, technologists and policy-makers focus narrowly on child </w:t>
      </w:r>
      <w:r w:rsidRPr="005B5CB6">
        <w:rPr>
          <w:rFonts w:ascii="Verdana" w:eastAsia="Verdana" w:hAnsi="Verdana" w:cs="Verdana"/>
          <w:i/>
        </w:rPr>
        <w:t>protection</w:t>
      </w:r>
      <w:r w:rsidRPr="005B5CB6">
        <w:rPr>
          <w:rFonts w:ascii="Verdana" w:eastAsia="Verdana" w:hAnsi="Verdana" w:cs="Verdana"/>
        </w:rPr>
        <w:t xml:space="preserve">, to the exclusion of children’s participation rights, their childhood development needs and their welfare more broadly.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This is seen most clearly where discussions of the digital environment intersect with discussion of democracy. In all the attention currently given to electoral interference, disinformation, polarisation, fraud, data protection, end-to-end encryption, algorithmic bias, and online targeting, children have remained largely absent from the conversation.   </w:t>
      </w:r>
    </w:p>
    <w:p w:rsidR="00FB0B24" w:rsidRPr="005B5CB6" w:rsidP="006F32A5">
      <w:pPr>
        <w:spacing w:after="0"/>
        <w:ind w:left="2"/>
        <w:jc w:val="both"/>
        <w:rPr>
          <w:rFonts w:ascii="Verdana" w:hAnsi="Verdana"/>
        </w:rPr>
      </w:pPr>
      <w:r w:rsidRPr="005B5CB6">
        <w:rPr>
          <w:rFonts w:ascii="Verdana" w:eastAsia="Verdana" w:hAnsi="Verdana" w:cs="Verdana"/>
        </w:rPr>
        <w:t xml:space="preserve"> </w:t>
      </w:r>
    </w:p>
    <w:p w:rsidR="00FB0B24" w:rsidRPr="005B5CB6" w:rsidP="006F32A5">
      <w:pPr>
        <w:spacing w:after="408"/>
        <w:jc w:val="both"/>
        <w:rPr>
          <w:rFonts w:ascii="Verdana" w:hAnsi="Verdana"/>
        </w:rPr>
      </w:pPr>
      <w:r w:rsidRPr="005B5CB6">
        <w:rPr>
          <w:rFonts w:ascii="Verdana" w:hAnsi="Verdana"/>
        </w:rPr>
        <w:t xml:space="preserve"> </w:t>
      </w:r>
    </w:p>
    <w:p w:rsidR="00FB0B24" w:rsidRPr="005B5CB6" w:rsidP="006F32A5">
      <w:pPr>
        <w:spacing w:after="28" w:line="249" w:lineRule="auto"/>
        <w:ind w:left="10" w:right="12" w:hanging="9"/>
        <w:jc w:val="both"/>
        <w:rPr>
          <w:rFonts w:ascii="Verdana" w:hAnsi="Verdana"/>
        </w:rPr>
      </w:pPr>
      <w:r w:rsidRPr="005B5CB6">
        <w:rPr>
          <w:rFonts w:ascii="Verdana" w:eastAsia="Verdana" w:hAnsi="Verdana" w:cs="Verdana"/>
        </w:rPr>
        <w:t xml:space="preserve">However, these issues actually affect children </w:t>
      </w:r>
      <w:r w:rsidRPr="005B5CB6">
        <w:rPr>
          <w:rFonts w:ascii="Verdana" w:eastAsia="Verdana" w:hAnsi="Verdana" w:cs="Verdana"/>
          <w:i/>
        </w:rPr>
        <w:t>disproportionately</w:t>
      </w:r>
      <w:r w:rsidRPr="005B5CB6">
        <w:rPr>
          <w:rFonts w:ascii="Verdana" w:eastAsia="Verdana" w:hAnsi="Verdana" w:cs="Verdana"/>
        </w:rPr>
        <w:t xml:space="preserve">, given both their developmental vulnerabilities and the fact that children’s status as ‘early adopters’ of emerging technologies make them ‘the canaries in the coal mine for threats to </w:t>
      </w:r>
      <w:r w:rsidRPr="005B5CB6">
        <w:rPr>
          <w:rFonts w:ascii="Verdana" w:eastAsia="Verdana" w:hAnsi="Verdana" w:cs="Verdana"/>
        </w:rPr>
        <w:t>all.’</w:t>
      </w:r>
      <w:r>
        <w:rPr>
          <w:rFonts w:ascii="Verdana" w:eastAsia="Verdana" w:hAnsi="Verdana" w:cs="Verdana"/>
          <w:vertAlign w:val="superscript"/>
        </w:rPr>
        <w:footnoteReference w:id="424"/>
      </w:r>
      <w:r w:rsidRPr="005B5CB6">
        <w:rPr>
          <w:rFonts w:ascii="Verdana" w:eastAsia="Verdana" w:hAnsi="Verdana" w:cs="Verdana"/>
        </w:rPr>
        <w:t xml:space="preserve"> Children consume far more of their news from social media than adults do.</w:t>
      </w:r>
      <w:r>
        <w:rPr>
          <w:rFonts w:ascii="Verdana" w:eastAsia="Verdana" w:hAnsi="Verdana" w:cs="Verdana"/>
          <w:vertAlign w:val="superscript"/>
        </w:rPr>
        <w:footnoteReference w:id="425"/>
      </w:r>
      <w:r w:rsidRPr="005B5CB6">
        <w:rPr>
          <w:rFonts w:ascii="Verdana" w:eastAsia="Verdana" w:hAnsi="Verdana" w:cs="Verdana"/>
        </w:rPr>
        <w:t xml:space="preserve"> They are more vulnerable to the risks associated with profiling and behavioural advertising.</w:t>
      </w:r>
      <w:r>
        <w:rPr>
          <w:rFonts w:ascii="Verdana" w:eastAsia="Verdana" w:hAnsi="Verdana" w:cs="Verdana"/>
          <w:vertAlign w:val="superscript"/>
        </w:rPr>
        <w:footnoteReference w:id="426"/>
      </w:r>
      <w:r w:rsidRPr="005B5CB6">
        <w:rPr>
          <w:rFonts w:ascii="Verdana" w:eastAsia="Verdana" w:hAnsi="Verdana" w:cs="Verdana"/>
        </w:rPr>
        <w:t xml:space="preserve"> They are more likely to be affected by internet-related health threats, such as the growing anti-vax movement and gaming addiction.</w:t>
      </w:r>
      <w:r>
        <w:rPr>
          <w:rFonts w:ascii="Verdana" w:eastAsia="Verdana" w:hAnsi="Verdana" w:cs="Verdana"/>
          <w:vertAlign w:val="superscript"/>
        </w:rPr>
        <w:footnoteReference w:id="427"/>
      </w:r>
      <w:r w:rsidRPr="005B5CB6">
        <w:rPr>
          <w:rFonts w:ascii="Verdana" w:eastAsia="Verdana" w:hAnsi="Verdana" w:cs="Verdana"/>
        </w:rPr>
        <w:t xml:space="preserve"> They stand to be disproportionately affected by the move to encryption of online services, as we discuss in our response to Question 6. And, of course, they grow up with the consequences of democratic decisions in which they are given no part.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2" w:line="249" w:lineRule="auto"/>
        <w:ind w:left="-12" w:right="-10"/>
        <w:jc w:val="both"/>
        <w:rPr>
          <w:rFonts w:ascii="Verdana" w:hAnsi="Verdana"/>
        </w:rPr>
      </w:pPr>
      <w:r w:rsidRPr="005B5CB6">
        <w:rPr>
          <w:rFonts w:ascii="Verdana" w:eastAsia="Verdana" w:hAnsi="Verdana" w:cs="Verdana"/>
        </w:rPr>
        <w:t xml:space="preserve">Article 3 of the UN Convention on the Rights of the Child (UNCRC) states that: </w:t>
      </w:r>
      <w:r w:rsidRPr="005B5CB6">
        <w:rPr>
          <w:rFonts w:ascii="Verdana" w:eastAsia="Verdana" w:hAnsi="Verdana" w:cs="Verdana"/>
          <w:i/>
        </w:rPr>
        <w:t>‘In all actions concerning children, whether undertaken by public or private social welfare institutions, courts of law, administrative authorities or legislative bodies, the best interests of the child shall be a primary consideration.’</w:t>
      </w:r>
      <w:r w:rsidRPr="005B5CB6">
        <w:rPr>
          <w:rFonts w:ascii="Verdana" w:eastAsia="Verdana" w:hAnsi="Verdana" w:cs="Verdana"/>
        </w:rPr>
        <w:t xml:space="preserve"> Article 12 requires that </w:t>
      </w:r>
      <w:r w:rsidRPr="005B5CB6">
        <w:rPr>
          <w:rFonts w:ascii="Verdana" w:eastAsia="Verdana" w:hAnsi="Verdana" w:cs="Verdana"/>
          <w:i/>
        </w:rPr>
        <w:t>‘States Parties shall assure to the child who is capable of forming his or her own views the right to express those views freely in all matters affecting the child’</w:t>
      </w:r>
      <w:r w:rsidRPr="005B5CB6">
        <w:rPr>
          <w:rFonts w:ascii="Verdana" w:eastAsia="Verdana" w:hAnsi="Verdana" w:cs="Verdana"/>
        </w:rPr>
        <w:t xml:space="preserve">.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b/>
        </w:rPr>
        <w:t>We recommend</w:t>
      </w:r>
      <w:r w:rsidRPr="005B5CB6">
        <w:rPr>
          <w:rFonts w:ascii="Verdana" w:eastAsia="Verdana" w:hAnsi="Verdana" w:cs="Verdana"/>
        </w:rPr>
        <w:t xml:space="preserve">, therefore, that in each of its recommendations the Committee properly accounts for the rights, needs and specific views of children and young people. </w:t>
      </w:r>
    </w:p>
    <w:p w:rsidR="00FB0B24" w:rsidRPr="005B5CB6" w:rsidP="006F32A5">
      <w:pPr>
        <w:spacing w:after="19"/>
        <w:ind w:left="1"/>
        <w:jc w:val="both"/>
        <w:rPr>
          <w:rFonts w:ascii="Verdana" w:hAnsi="Verdana"/>
        </w:rPr>
      </w:pPr>
      <w:r w:rsidRPr="005B5CB6">
        <w:rPr>
          <w:rFonts w:ascii="Verdana" w:eastAsia="Verdana" w:hAnsi="Verdana" w:cs="Verdana"/>
        </w:rPr>
        <w:t xml:space="preserve"> </w:t>
      </w:r>
    </w:p>
    <w:p w:rsidR="00FB0B24" w:rsidRPr="005B5CB6" w:rsidP="006F32A5">
      <w:pPr>
        <w:spacing w:after="26" w:line="250" w:lineRule="auto"/>
        <w:ind w:left="11" w:hanging="10"/>
        <w:jc w:val="both"/>
        <w:rPr>
          <w:rFonts w:ascii="Verdana" w:hAnsi="Verdana"/>
        </w:rPr>
      </w:pPr>
      <w:r w:rsidRPr="005B5CB6">
        <w:rPr>
          <w:rFonts w:ascii="Verdana" w:eastAsia="Verdana" w:hAnsi="Verdana" w:cs="Verdana"/>
          <w:b/>
        </w:rPr>
        <w:t xml:space="preserve">Answers to Questions 3, 5 &amp; 6 </w:t>
      </w:r>
    </w:p>
    <w:p w:rsidR="00FB0B24" w:rsidRPr="005B5CB6" w:rsidP="006F32A5">
      <w:pPr>
        <w:spacing w:after="18"/>
        <w:ind w:left="1"/>
        <w:jc w:val="both"/>
        <w:rPr>
          <w:rFonts w:ascii="Verdana" w:hAnsi="Verdana"/>
        </w:rPr>
      </w:pPr>
      <w:r w:rsidRPr="005B5CB6">
        <w:rPr>
          <w:rFonts w:ascii="Verdana" w:eastAsia="Verdana" w:hAnsi="Verdana" w:cs="Verdana"/>
          <w:b/>
        </w:rPr>
        <w:t xml:space="preserve"> </w:t>
      </w:r>
    </w:p>
    <w:p w:rsidR="00FB0B24" w:rsidRPr="005B5CB6" w:rsidP="006F32A5">
      <w:pPr>
        <w:spacing w:after="223" w:line="249" w:lineRule="auto"/>
        <w:ind w:left="-4" w:hanging="10"/>
        <w:jc w:val="both"/>
        <w:rPr>
          <w:rFonts w:ascii="Verdana" w:hAnsi="Verdana"/>
        </w:rPr>
      </w:pPr>
      <w:r w:rsidRPr="005B5CB6">
        <w:rPr>
          <w:rFonts w:ascii="Verdana" w:eastAsia="Verdana" w:hAnsi="Verdana" w:cs="Verdana"/>
          <w:u w:val="single" w:color="000000"/>
        </w:rPr>
        <w:t>QUESTION 3: What role should every stage of education play in helping to create</w:t>
      </w:r>
      <w:r w:rsidRPr="005B5CB6">
        <w:rPr>
          <w:rFonts w:ascii="Verdana" w:eastAsia="Verdana" w:hAnsi="Verdana" w:cs="Verdana"/>
        </w:rPr>
        <w:t xml:space="preserve"> </w:t>
      </w:r>
      <w:r w:rsidRPr="005B5CB6">
        <w:rPr>
          <w:rFonts w:ascii="Verdana" w:eastAsia="Verdana" w:hAnsi="Verdana" w:cs="Verdana"/>
          <w:u w:val="single" w:color="000000"/>
        </w:rPr>
        <w:t>a healthy, active, digitally literate democracy?</w:t>
      </w:r>
      <w:r w:rsidRPr="005B5CB6">
        <w:rPr>
          <w:rFonts w:ascii="Verdana" w:eastAsia="Verdana" w:hAnsi="Verdana" w:cs="Verdana"/>
        </w:rPr>
        <w:t xml:space="preserve"> </w:t>
      </w:r>
    </w:p>
    <w:p w:rsidR="00FB0B24" w:rsidRPr="005B5CB6" w:rsidP="006F32A5">
      <w:pPr>
        <w:spacing w:after="27" w:line="249" w:lineRule="auto"/>
        <w:ind w:left="10" w:right="12" w:hanging="9"/>
        <w:jc w:val="both"/>
        <w:rPr>
          <w:rFonts w:ascii="Verdana" w:hAnsi="Verdana"/>
        </w:rPr>
      </w:pPr>
      <w:r w:rsidRPr="005B5CB6">
        <w:rPr>
          <w:rFonts w:ascii="Verdana" w:eastAsia="Verdana" w:hAnsi="Verdana" w:cs="Verdana"/>
        </w:rPr>
        <w:t xml:space="preserve">5Rights’ 2019 report </w:t>
      </w:r>
      <w:r w:rsidRPr="005B5CB6">
        <w:rPr>
          <w:rFonts w:ascii="Verdana" w:eastAsia="Verdana" w:hAnsi="Verdana" w:cs="Verdana"/>
          <w:i/>
        </w:rPr>
        <w:t xml:space="preserve">Towards an Internet Safety </w:t>
      </w:r>
      <w:r w:rsidRPr="005B5CB6">
        <w:rPr>
          <w:rFonts w:ascii="Verdana" w:eastAsia="Verdana" w:hAnsi="Verdana" w:cs="Verdana"/>
        </w:rPr>
        <w:t>Strategy identifies education as one of the seven pillars of a framework for promoting children’s welfare in the digital environment.</w:t>
      </w:r>
      <w:r w:rsidRPr="005B5CB6">
        <w:rPr>
          <w:rFonts w:ascii="Verdana" w:eastAsia="Verdana" w:hAnsi="Verdana" w:cs="Verdana"/>
          <w:vertAlign w:val="superscript"/>
        </w:rPr>
        <w:t>5</w:t>
      </w:r>
      <w:r w:rsidRPr="005B5CB6">
        <w:rPr>
          <w:rFonts w:ascii="Verdana" w:eastAsia="Verdana" w:hAnsi="Verdana" w:cs="Verdana"/>
        </w:rPr>
        <w:t xml:space="preserve"> Education </w:t>
      </w:r>
      <w:r w:rsidRPr="005B5CB6">
        <w:rPr>
          <w:rFonts w:ascii="Verdana" w:eastAsia="Verdana" w:hAnsi="Verdana" w:cs="Verdana"/>
          <w:i/>
        </w:rPr>
        <w:t>is not a replacement</w:t>
      </w:r>
      <w:r w:rsidRPr="005B5CB6">
        <w:rPr>
          <w:rFonts w:ascii="Verdana" w:eastAsia="Verdana" w:hAnsi="Verdana" w:cs="Verdana"/>
        </w:rPr>
        <w:t xml:space="preserve"> for a digital world that recognises childhood by design and default; but it is vital that children have the necessary skills and understanding of the digital systems that impact on their life experiences and life outcomes.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252" w:line="249" w:lineRule="auto"/>
        <w:ind w:left="10" w:right="12" w:hanging="9"/>
        <w:jc w:val="both"/>
        <w:rPr>
          <w:rFonts w:ascii="Verdana" w:hAnsi="Verdana"/>
        </w:rPr>
      </w:pPr>
      <w:r w:rsidRPr="005B5CB6">
        <w:rPr>
          <w:rFonts w:ascii="Verdana" w:eastAsia="Verdana" w:hAnsi="Verdana" w:cs="Verdana"/>
        </w:rPr>
        <w:t xml:space="preserve">5Rights has worked for several years directly with children and young people - from deliberative juries to co-creation workshops - and over time has developed a series of ‘Data Literacy Workshops’. Crucially, the workshops, which focus on Data, AI Systems, Persuasion, and Consent, treat tech companies as neutral players.  For the Committee’s interest, please see some of the statements made </w:t>
      </w:r>
    </w:p>
    <w:p w:rsidR="00FB0B24" w:rsidRPr="005B5CB6" w:rsidP="006F32A5">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10668"/>
                <wp:effectExtent l="0" t="0" r="0" b="0"/>
                <wp:docPr id="602802" name="Group 60280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68"/>
                          <a:chOff x="0" y="0"/>
                          <a:chExt cx="1828800" cy="10668"/>
                        </a:xfrm>
                      </wpg:grpSpPr>
                      <wps:wsp xmlns:wps="http://schemas.microsoft.com/office/word/2010/wordprocessingShape">
                        <wps:cNvPr id="636619" name="Shape 636619"/>
                        <wps:cNvSpPr/>
                        <wps:spPr>
                          <a:xfrm>
                            <a:off x="0" y="0"/>
                            <a:ext cx="1828800" cy="10668"/>
                          </a:xfrm>
                          <a:custGeom>
                            <a:avLst/>
                            <a:gdLst/>
                            <a:ahLst/>
                            <a:cxnLst/>
                            <a:rect l="0" t="0" r="0" b="0"/>
                            <a:pathLst>
                              <a:path w="1828800" h="10668">
                                <a:moveTo>
                                  <a:pt x="0" y="0"/>
                                </a:moveTo>
                                <a:lnTo>
                                  <a:pt x="1828800" y="0"/>
                                </a:lnTo>
                                <a:lnTo>
                                  <a:pt x="1828800"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37" style="height:0.84pt;mso-position-horizontal-relative:char;mso-position-vertical-relative:line;width:2in" coordsize="18288,106">
                <v:shape id="_x0000_s1438" style="height:106;position:absolute;width:18288" coordsize="1828800,10668" path="m,l1828800,l1828800,10668l,10668l,e">
                  <v:stroke joinstyle="miter" endcap="flat" opacity="0"/>
                </v:shape>
                <w10:wrap type="none"/>
              </v:group>
            </w:pict>
          </mc:Fallback>
        </mc:AlternateContent>
      </w:r>
      <w:r w:rsidRPr="005B5CB6">
        <w:rPr>
          <w:rFonts w:ascii="Verdana" w:hAnsi="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by the participants of the workshop through the following link: </w:t>
      </w:r>
      <w:r>
        <w:fldChar w:fldCharType="begin"/>
      </w:r>
      <w:r>
        <w:instrText xml:space="preserve"> HYPERLINK "https://5rightsfoundation.com/images/5Rights%20Data%20Literacy%20Quotes.pdf" </w:instrText>
      </w:r>
      <w:r>
        <w:fldChar w:fldCharType="separate"/>
      </w:r>
      <w:r w:rsidRPr="005B5CB6">
        <w:rPr>
          <w:rFonts w:ascii="Verdana" w:eastAsia="Verdana" w:hAnsi="Verdana" w:cs="Verdana"/>
          <w:u w:val="single" w:color="000000"/>
        </w:rPr>
        <w:t>https://5rightsfoundation.com/images/5Rights Data Literacy Quotes.pdf</w:t>
      </w:r>
      <w:r>
        <w:fldChar w:fldCharType="end"/>
      </w:r>
      <w:r>
        <w:fldChar w:fldCharType="begin"/>
      </w:r>
      <w:r>
        <w:instrText xml:space="preserve"> HYPERLINK "https://5rightsfoundation.com/images/5Rights%20Data%20Literacy%20Quotes.pdf"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5Rights has also co-created a newspaper – </w:t>
      </w:r>
      <w:r w:rsidRPr="005B5CB6">
        <w:rPr>
          <w:rFonts w:ascii="Verdana" w:eastAsia="Verdana" w:hAnsi="Verdana" w:cs="Verdana"/>
          <w:i/>
        </w:rPr>
        <w:t xml:space="preserve">The Digital Times </w:t>
      </w:r>
      <w:r w:rsidRPr="005B5CB6">
        <w:rPr>
          <w:rFonts w:ascii="Verdana" w:eastAsia="Verdana" w:hAnsi="Verdana" w:cs="Verdana"/>
        </w:rPr>
        <w:t>– with the young people involved in the workshops, which we will share with the Committee</w:t>
      </w:r>
      <w:r w:rsidRPr="005B5CB6">
        <w:rPr>
          <w:rFonts w:ascii="Verdana" w:eastAsia="Verdana" w:hAnsi="Verdana" w:cs="Verdana"/>
          <w:i/>
        </w:rPr>
        <w:t xml:space="preserve"> </w:t>
      </w:r>
      <w:r w:rsidRPr="005B5CB6">
        <w:rPr>
          <w:rFonts w:ascii="Verdana" w:eastAsia="Verdana" w:hAnsi="Verdana" w:cs="Verdana"/>
        </w:rPr>
        <w:t xml:space="preserve">shortly.  </w:t>
      </w:r>
    </w:p>
    <w:p w:rsidR="00FB0B24" w:rsidRPr="005B5CB6" w:rsidP="006F32A5">
      <w:pPr>
        <w:spacing w:after="19"/>
        <w:ind w:left="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We would like to draw the Committee’s attention to the fact that children have strong views on privacy, transparency, fair-terms and harmful content.  And that both our work and the wider academic consensus forcefully support education that departs from the traditional, narrow focus on safety and teaches children about the motivations, mechanisms and technologies underlying their digital experience.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In 2018, 5Rights in partnership with BT surveyed the education programmes of 73 providers of digital literacy. Only one mentioned the commercial drivers that dictate the design of services that children use online. We also note that there is both parental and political concern around the world about children’s data protection in the age of edtech.  The irony of being taught digital literacy whilst having your data gathered and commercially exploited will not be lost on the Committee.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26" w:line="249" w:lineRule="auto"/>
        <w:ind w:left="10" w:right="12" w:hanging="9"/>
        <w:jc w:val="both"/>
        <w:rPr>
          <w:rFonts w:ascii="Verdana" w:hAnsi="Verdana"/>
        </w:rPr>
      </w:pPr>
      <w:r w:rsidRPr="005B5CB6">
        <w:rPr>
          <w:rFonts w:ascii="Verdana" w:eastAsia="Verdana" w:hAnsi="Verdana" w:cs="Verdana"/>
        </w:rPr>
        <w:t xml:space="preserve"> As we explain in </w:t>
      </w:r>
      <w:r w:rsidRPr="005B5CB6">
        <w:rPr>
          <w:rFonts w:ascii="Verdana" w:eastAsia="Verdana" w:hAnsi="Verdana" w:cs="Verdana"/>
          <w:i/>
        </w:rPr>
        <w:t>Towards an Internet Safety Strategy</w:t>
      </w:r>
      <w:r w:rsidRPr="005B5CB6">
        <w:rPr>
          <w:rFonts w:ascii="Verdana" w:eastAsia="Verdana" w:hAnsi="Verdana" w:cs="Verdana"/>
        </w:rPr>
        <w:t xml:space="preserve">, </w:t>
      </w:r>
      <w:r w:rsidRPr="005B5CB6">
        <w:rPr>
          <w:rFonts w:ascii="Verdana" w:eastAsia="Verdana" w:hAnsi="Verdana" w:cs="Verdana"/>
          <w:i/>
        </w:rPr>
        <w:t>‘There is considerable evidence that children want a very different approach to education; focused on the purposes of technology, and offering social and critical skills.’</w:t>
      </w:r>
      <w:r w:rsidRPr="005B5CB6">
        <w:rPr>
          <w:rFonts w:ascii="Verdana" w:eastAsia="Verdana" w:hAnsi="Verdana" w:cs="Verdana"/>
          <w:vertAlign w:val="superscript"/>
        </w:rPr>
        <w:t xml:space="preserve"> </w:t>
      </w:r>
      <w:r>
        <w:rPr>
          <w:rFonts w:ascii="Verdana" w:eastAsia="Verdana" w:hAnsi="Verdana" w:cs="Verdana"/>
          <w:vertAlign w:val="superscript"/>
        </w:rPr>
        <w:footnoteReference w:id="428"/>
      </w:r>
      <w:r w:rsidRPr="005B5CB6">
        <w:rPr>
          <w:rFonts w:ascii="Verdana" w:eastAsia="Verdana" w:hAnsi="Verdana" w:cs="Verdana"/>
        </w:rPr>
        <w:t xml:space="preserve"> A more holistic approach to digital and data literacy helps equip children to identify, challenge, and overcome the obstacles to responsible online participation, allows them to advocate for their own digital experience and contribute positively to the democratic process and debate as a result.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26" w:line="250" w:lineRule="auto"/>
        <w:ind w:left="23" w:right="11" w:hanging="8"/>
        <w:jc w:val="both"/>
        <w:rPr>
          <w:rFonts w:ascii="Verdana" w:hAnsi="Verdana"/>
        </w:rPr>
      </w:pPr>
      <w:r w:rsidRPr="005B5CB6">
        <w:rPr>
          <w:rFonts w:ascii="Verdana" w:eastAsia="Verdana" w:hAnsi="Verdana" w:cs="Verdana"/>
        </w:rPr>
        <w:t xml:space="preserve">Education and awareness must also extend beyond children: </w:t>
      </w:r>
    </w:p>
    <w:p w:rsidR="00FB0B24" w:rsidRPr="005B5CB6" w:rsidP="00575F14">
      <w:pPr>
        <w:numPr>
          <w:ilvl w:val="0"/>
          <w:numId w:val="256"/>
        </w:numPr>
        <w:spacing w:after="26" w:line="249" w:lineRule="auto"/>
        <w:ind w:right="-10" w:hanging="360"/>
        <w:jc w:val="both"/>
        <w:rPr>
          <w:rFonts w:ascii="Verdana" w:hAnsi="Verdana"/>
        </w:rPr>
      </w:pPr>
      <w:r w:rsidRPr="005B5CB6">
        <w:rPr>
          <w:rFonts w:ascii="Verdana" w:eastAsia="Verdana" w:hAnsi="Verdana" w:cs="Verdana"/>
          <w:i/>
        </w:rPr>
        <w:t>‘</w:t>
      </w:r>
      <w:r w:rsidRPr="005B5CB6">
        <w:rPr>
          <w:rFonts w:ascii="Verdana" w:eastAsia="Verdana" w:hAnsi="Verdana" w:cs="Verdana"/>
          <w:b/>
          <w:i/>
        </w:rPr>
        <w:t>Tertiary education</w:t>
      </w:r>
      <w:r w:rsidRPr="005B5CB6">
        <w:rPr>
          <w:rFonts w:ascii="Verdana" w:eastAsia="Verdana" w:hAnsi="Verdana" w:cs="Verdana"/>
          <w:i/>
        </w:rPr>
        <w:t xml:space="preserve"> must introduce ethics and safety and rights by design modules to computer science and related disciplines at all levels, including degrees and professional qualifications.’  </w:t>
      </w:r>
    </w:p>
    <w:p w:rsidR="00FB0B24" w:rsidRPr="005B5CB6" w:rsidP="00575F14">
      <w:pPr>
        <w:numPr>
          <w:ilvl w:val="0"/>
          <w:numId w:val="256"/>
        </w:numPr>
        <w:spacing w:after="2" w:line="249" w:lineRule="auto"/>
        <w:ind w:right="-10" w:hanging="360"/>
        <w:jc w:val="both"/>
        <w:rPr>
          <w:rFonts w:ascii="Verdana" w:hAnsi="Verdana"/>
        </w:rPr>
      </w:pPr>
      <w:r w:rsidRPr="005B5CB6">
        <w:rPr>
          <w:rFonts w:ascii="Verdana" w:eastAsia="Verdana" w:hAnsi="Verdana" w:cs="Verdana"/>
          <w:i/>
        </w:rPr>
        <w:t>‘</w:t>
      </w:r>
      <w:r w:rsidRPr="005B5CB6">
        <w:rPr>
          <w:rFonts w:ascii="Verdana" w:eastAsia="Verdana" w:hAnsi="Verdana" w:cs="Verdana"/>
          <w:b/>
          <w:i/>
        </w:rPr>
        <w:t>Professional training</w:t>
      </w:r>
      <w:r w:rsidRPr="005B5CB6">
        <w:rPr>
          <w:rFonts w:ascii="Verdana" w:eastAsia="Verdana" w:hAnsi="Verdana" w:cs="Verdana"/>
          <w:i/>
        </w:rPr>
        <w:t xml:space="preserve"> (for example, teachers, social workers, health and legal professionals) must include a broad understanding of the full range of opportunities and risks in the digital environment… Training should be included as part of degree accreditation, professional standards and continued professional development (CPD).’ </w:t>
      </w:r>
    </w:p>
    <w:p w:rsidR="00FB0B24" w:rsidRPr="005B5CB6" w:rsidP="00575F14">
      <w:pPr>
        <w:numPr>
          <w:ilvl w:val="0"/>
          <w:numId w:val="256"/>
        </w:numPr>
        <w:spacing w:after="2" w:line="249" w:lineRule="auto"/>
        <w:ind w:right="-10" w:hanging="360"/>
        <w:jc w:val="both"/>
        <w:rPr>
          <w:rFonts w:ascii="Verdana" w:hAnsi="Verdana"/>
        </w:rPr>
      </w:pPr>
      <w:r w:rsidRPr="005B5CB6">
        <w:rPr>
          <w:rFonts w:ascii="Verdana" w:eastAsia="Verdana" w:hAnsi="Verdana" w:cs="Verdana"/>
          <w:b/>
        </w:rPr>
        <w:t xml:space="preserve">For parents and the public, </w:t>
      </w:r>
      <w:r w:rsidRPr="005B5CB6">
        <w:rPr>
          <w:rFonts w:ascii="Verdana" w:eastAsia="Verdana" w:hAnsi="Verdana" w:cs="Verdana"/>
          <w:i/>
        </w:rPr>
        <w:t>‘Government should make a single set of comprehensive messages and information available on the Government Digital Service website. This information should be practical, contain the concerns of children and be free of commercial bias.</w:t>
      </w:r>
      <w:r w:rsidRPr="005B5CB6">
        <w:rPr>
          <w:rFonts w:ascii="Verdana" w:eastAsia="Verdana" w:hAnsi="Verdana" w:cs="Verdana"/>
          <w:b/>
        </w:rPr>
        <w:t xml:space="preserve">’  </w:t>
      </w:r>
    </w:p>
    <w:p w:rsidR="00FB0B24" w:rsidRPr="005B5CB6" w:rsidP="006F32A5">
      <w:pPr>
        <w:spacing w:after="17"/>
        <w:ind w:left="1"/>
        <w:jc w:val="both"/>
        <w:rPr>
          <w:rFonts w:ascii="Verdana" w:hAnsi="Verdana"/>
        </w:rPr>
      </w:pPr>
      <w:r w:rsidRPr="005B5CB6">
        <w:rPr>
          <w:rFonts w:ascii="Verdana" w:eastAsia="Verdana" w:hAnsi="Verdana" w:cs="Verdana"/>
          <w:i/>
        </w:rPr>
        <w:t xml:space="preserve"> </w:t>
      </w:r>
    </w:p>
    <w:p w:rsidR="00FB0B24" w:rsidRPr="005B5CB6" w:rsidP="006F32A5">
      <w:pPr>
        <w:spacing w:after="233" w:line="250" w:lineRule="auto"/>
        <w:ind w:left="23" w:right="11" w:hanging="8"/>
        <w:jc w:val="both"/>
        <w:rPr>
          <w:rFonts w:ascii="Verdana" w:hAnsi="Verdana"/>
        </w:rPr>
      </w:pPr>
      <w:r w:rsidRPr="005B5CB6">
        <w:rPr>
          <w:rFonts w:ascii="Verdana" w:eastAsia="Verdana" w:hAnsi="Verdana" w:cs="Verdana"/>
          <w:b/>
        </w:rPr>
        <w:t>We recommend</w:t>
      </w:r>
      <w:r w:rsidRPr="005B5CB6">
        <w:rPr>
          <w:rFonts w:ascii="Verdana" w:eastAsia="Verdana" w:hAnsi="Verdana" w:cs="Verdana"/>
        </w:rPr>
        <w:t xml:space="preserve"> that to be a healthy, active, digitally literate democracy, children must understand the purposes of the technology they use, have a critical </w:t>
      </w:r>
    </w:p>
    <w:p w:rsidR="00FB0B24" w:rsidRPr="005B5CB6" w:rsidP="006F32A5">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10668"/>
                <wp:effectExtent l="0" t="0" r="0" b="0"/>
                <wp:docPr id="602963" name="Group 60296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68"/>
                          <a:chOff x="0" y="0"/>
                          <a:chExt cx="1828800" cy="10668"/>
                        </a:xfrm>
                      </wpg:grpSpPr>
                      <wps:wsp xmlns:wps="http://schemas.microsoft.com/office/word/2010/wordprocessingShape">
                        <wps:cNvPr id="636621" name="Shape 636621"/>
                        <wps:cNvSpPr/>
                        <wps:spPr>
                          <a:xfrm>
                            <a:off x="0" y="0"/>
                            <a:ext cx="1828800" cy="10668"/>
                          </a:xfrm>
                          <a:custGeom>
                            <a:avLst/>
                            <a:gdLst/>
                            <a:ahLst/>
                            <a:cxnLst/>
                            <a:rect l="0" t="0" r="0" b="0"/>
                            <a:pathLst>
                              <a:path w="1828800" h="10668">
                                <a:moveTo>
                                  <a:pt x="0" y="0"/>
                                </a:moveTo>
                                <a:lnTo>
                                  <a:pt x="1828800" y="0"/>
                                </a:lnTo>
                                <a:lnTo>
                                  <a:pt x="1828800"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39" style="height:0.84pt;mso-position-horizontal-relative:char;mso-position-vertical-relative:line;width:2in" coordsize="18288,106">
                <v:shape id="_x0000_s1440" style="height:106;position:absolute;width:18288" coordsize="1828800,10668" path="m,l1828800,l1828800,10668l,10668l,e">
                  <v:stroke joinstyle="miter" endcap="flat" opacity="0"/>
                </v:shape>
                <w10:wrap type="none"/>
              </v:group>
            </w:pict>
          </mc:Fallback>
        </mc:AlternateContent>
      </w:r>
      <w:r w:rsidRPr="005B5CB6">
        <w:rPr>
          <w:rFonts w:ascii="Verdana" w:hAnsi="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understanding of the content it delivers, have the skills and competencies to participate creatively, and a reasonable, age-appropriate understanding of potential outcomes, including – but not narrowly focused on – harms.</w:t>
      </w:r>
      <w:r w:rsidRPr="005B5CB6">
        <w:rPr>
          <w:rFonts w:ascii="Verdana" w:eastAsia="Verdana" w:hAnsi="Verdana" w:cs="Verdana"/>
          <w:b/>
        </w:rPr>
        <w:t xml:space="preserve">  </w:t>
      </w:r>
    </w:p>
    <w:p w:rsidR="00FB0B24" w:rsidRPr="005B5CB6" w:rsidP="006F32A5">
      <w:pPr>
        <w:spacing w:after="17"/>
        <w:ind w:left="1"/>
        <w:jc w:val="both"/>
        <w:rPr>
          <w:rFonts w:ascii="Verdana" w:hAnsi="Verdana"/>
        </w:rPr>
      </w:pPr>
      <w:r w:rsidRPr="005B5CB6">
        <w:rPr>
          <w:rFonts w:ascii="Verdana" w:eastAsia="Verdana" w:hAnsi="Verdana" w:cs="Verdana"/>
          <w:b/>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b/>
        </w:rPr>
        <w:t xml:space="preserve">We recommend </w:t>
      </w:r>
      <w:r w:rsidRPr="005B5CB6">
        <w:rPr>
          <w:rFonts w:ascii="Verdana" w:eastAsia="Verdana" w:hAnsi="Verdana" w:cs="Verdana"/>
        </w:rPr>
        <w:t xml:space="preserve">that those providing digital literacy in schools, must be mandated to follow a broad (agreed) curriculum, and be required to deliver those services in a manner that protects children’s personal, educational and other data. </w:t>
      </w:r>
    </w:p>
    <w:p w:rsidR="00FB0B24" w:rsidRPr="005B5CB6" w:rsidP="006F32A5">
      <w:pPr>
        <w:spacing w:after="17"/>
        <w:ind w:left="1"/>
        <w:jc w:val="both"/>
        <w:rPr>
          <w:rFonts w:ascii="Verdana" w:hAnsi="Verdana"/>
        </w:rPr>
      </w:pPr>
      <w:r w:rsidRPr="005B5CB6">
        <w:rPr>
          <w:rFonts w:ascii="Verdana" w:eastAsia="Verdana" w:hAnsi="Verdana" w:cs="Verdana"/>
          <w:b/>
        </w:rPr>
        <w:t xml:space="preserve"> </w:t>
      </w:r>
    </w:p>
    <w:p w:rsidR="00FB0B24" w:rsidRPr="005B5CB6" w:rsidP="006F32A5">
      <w:pPr>
        <w:spacing w:after="202" w:line="274" w:lineRule="auto"/>
        <w:ind w:left="1" w:right="53"/>
        <w:jc w:val="both"/>
        <w:rPr>
          <w:rFonts w:ascii="Verdana" w:hAnsi="Verdana"/>
        </w:rPr>
      </w:pPr>
      <w:r w:rsidRPr="005B5CB6">
        <w:rPr>
          <w:rFonts w:ascii="Verdana" w:eastAsia="Verdana" w:hAnsi="Verdana" w:cs="Verdana"/>
          <w:u w:val="single" w:color="000000"/>
        </w:rPr>
        <w:t>QUESTION 5: What effect does targeted advertising have on the political process,</w:t>
      </w:r>
      <w:r w:rsidRPr="005B5CB6">
        <w:rPr>
          <w:rFonts w:ascii="Verdana" w:eastAsia="Verdana" w:hAnsi="Verdana" w:cs="Verdana"/>
        </w:rPr>
        <w:t xml:space="preserve"> </w:t>
      </w:r>
      <w:r w:rsidRPr="005B5CB6">
        <w:rPr>
          <w:rFonts w:ascii="Verdana" w:eastAsia="Verdana" w:hAnsi="Verdana" w:cs="Verdana"/>
          <w:u w:val="single" w:color="000000"/>
        </w:rPr>
        <w:t>and what effects could it have in the future? Should there be additional regulation</w:t>
      </w:r>
      <w:r w:rsidRPr="005B5CB6">
        <w:rPr>
          <w:rFonts w:ascii="Verdana" w:eastAsia="Verdana" w:hAnsi="Verdana" w:cs="Verdana"/>
        </w:rPr>
        <w:t xml:space="preserve"> </w:t>
      </w:r>
      <w:r w:rsidRPr="005B5CB6">
        <w:rPr>
          <w:rFonts w:ascii="Verdana" w:eastAsia="Verdana" w:hAnsi="Verdana" w:cs="Verdana"/>
          <w:u w:val="single" w:color="000000"/>
        </w:rPr>
        <w:t>of political advertising?</w:t>
      </w:r>
      <w:r w:rsidRPr="005B5CB6">
        <w:rPr>
          <w:rFonts w:ascii="Verdana" w:eastAsia="Verdana" w:hAnsi="Verdana" w:cs="Verdana"/>
        </w:rPr>
        <w:t xml:space="preserve"> </w:t>
      </w:r>
    </w:p>
    <w:p w:rsidR="00FB0B24" w:rsidRPr="005B5CB6" w:rsidP="006F32A5">
      <w:pPr>
        <w:spacing w:after="5" w:line="250" w:lineRule="auto"/>
        <w:ind w:left="23" w:right="11" w:hanging="8"/>
        <w:jc w:val="both"/>
        <w:rPr>
          <w:rFonts w:ascii="Verdana" w:hAnsi="Verdana"/>
        </w:rPr>
      </w:pPr>
      <w:r w:rsidRPr="005B5CB6">
        <w:rPr>
          <w:rFonts w:ascii="Verdana" w:eastAsia="Verdana" w:hAnsi="Verdana" w:cs="Verdana"/>
        </w:rPr>
        <w:t>The question of targeting is of profound importance to democracy, and the Committee should note that children have repeatedly been found to be more susceptible and vulnerable to online targeting of all kinds.</w:t>
      </w:r>
      <w:r>
        <w:rPr>
          <w:rFonts w:ascii="Verdana" w:eastAsia="Verdana" w:hAnsi="Verdana" w:cs="Verdana"/>
          <w:vertAlign w:val="superscript"/>
        </w:rPr>
        <w:footnoteReference w:id="429"/>
      </w:r>
      <w:r w:rsidRPr="005B5CB6">
        <w:rPr>
          <w:rFonts w:ascii="Verdana" w:eastAsia="Verdana" w:hAnsi="Verdana" w:cs="Verdana"/>
        </w:rPr>
        <w:t xml:space="preserve"> Regulation should reflect this, but it should also ensure that the same ethical controls are applied to digital advertising as to advertising in other settings. We support others who have made the detailed case that political advertising online should be subject to the same level of accountability as political advertising offline – including being clear about the financial and editorial source.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23" w:right="11" w:hanging="8"/>
        <w:jc w:val="both"/>
        <w:rPr>
          <w:rFonts w:ascii="Verdana" w:hAnsi="Verdana"/>
        </w:rPr>
      </w:pPr>
      <w:r w:rsidRPr="005B5CB6">
        <w:rPr>
          <w:rFonts w:ascii="Verdana" w:eastAsia="Verdana" w:hAnsi="Verdana" w:cs="Verdana"/>
        </w:rPr>
        <w:t xml:space="preserve">On the question of children specifically, 5Rights has previously made the following points: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57"/>
        </w:numPr>
        <w:spacing w:after="2" w:line="249" w:lineRule="auto"/>
        <w:ind w:right="-10" w:hanging="367"/>
        <w:jc w:val="both"/>
        <w:rPr>
          <w:rFonts w:ascii="Verdana" w:hAnsi="Verdana"/>
        </w:rPr>
      </w:pPr>
      <w:r w:rsidRPr="005B5CB6">
        <w:rPr>
          <w:rFonts w:ascii="Verdana" w:eastAsia="Verdana" w:hAnsi="Verdana" w:cs="Verdana"/>
          <w:i/>
        </w:rPr>
        <w:t xml:space="preserve">‘Personalised loops of auto-recommended content may impact on children’s access to information and material from a diversity of sources (Article 17, UNCRC).  </w:t>
      </w:r>
    </w:p>
    <w:p w:rsidR="00FB0B24" w:rsidRPr="005B5CB6" w:rsidP="00575F14">
      <w:pPr>
        <w:numPr>
          <w:ilvl w:val="0"/>
          <w:numId w:val="257"/>
        </w:numPr>
        <w:spacing w:after="25" w:line="249" w:lineRule="auto"/>
        <w:ind w:right="-10" w:hanging="367"/>
        <w:jc w:val="both"/>
        <w:rPr>
          <w:rFonts w:ascii="Verdana" w:hAnsi="Verdana"/>
        </w:rPr>
      </w:pPr>
      <w:r w:rsidRPr="005B5CB6">
        <w:rPr>
          <w:rFonts w:ascii="Verdana" w:eastAsia="Verdana" w:hAnsi="Verdana" w:cs="Verdana"/>
          <w:i/>
        </w:rPr>
        <w:t xml:space="preserve">Personalised auto-recommendation systems often suggest progressively extreme content.’ </w:t>
      </w:r>
    </w:p>
    <w:p w:rsidR="00FB0B24" w:rsidRPr="005B5CB6" w:rsidP="00575F14">
      <w:pPr>
        <w:numPr>
          <w:ilvl w:val="0"/>
          <w:numId w:val="257"/>
        </w:numPr>
        <w:spacing w:after="30" w:line="249" w:lineRule="auto"/>
        <w:ind w:right="-10" w:hanging="367"/>
        <w:jc w:val="both"/>
        <w:rPr>
          <w:rFonts w:ascii="Verdana" w:hAnsi="Verdana"/>
        </w:rPr>
      </w:pPr>
      <w:r w:rsidRPr="005B5CB6">
        <w:rPr>
          <w:rFonts w:ascii="Verdana" w:eastAsia="Verdana" w:hAnsi="Verdana" w:cs="Verdana"/>
          <w:i/>
        </w:rPr>
        <w:t>‘Personalisation and online targeting have been seen to improve certain outcomes for children in education and safeguarding,</w:t>
      </w:r>
      <w:r>
        <w:rPr>
          <w:rFonts w:ascii="Verdana" w:eastAsia="Verdana" w:hAnsi="Verdana" w:cs="Verdana"/>
          <w:i/>
          <w:vertAlign w:val="superscript"/>
        </w:rPr>
        <w:footnoteReference w:id="430"/>
      </w:r>
      <w:r w:rsidRPr="005B5CB6">
        <w:rPr>
          <w:rFonts w:ascii="Verdana" w:eastAsia="Verdana" w:hAnsi="Verdana" w:cs="Verdana"/>
          <w:i/>
        </w:rPr>
        <w:t xml:space="preserve"> healthcare and mental health support.</w:t>
      </w:r>
      <w:r>
        <w:rPr>
          <w:rFonts w:ascii="Verdana" w:eastAsia="Verdana" w:hAnsi="Verdana" w:cs="Verdana"/>
          <w:i/>
          <w:vertAlign w:val="superscript"/>
        </w:rPr>
        <w:footnoteReference w:id="431"/>
      </w:r>
      <w:r w:rsidRPr="005B5CB6">
        <w:rPr>
          <w:rFonts w:ascii="Verdana" w:eastAsia="Verdana" w:hAnsi="Verdana" w:cs="Verdana"/>
          <w:i/>
        </w:rPr>
        <w:t xml:space="preserve"> However, it is often the case that the same data processing and personalisation that is beneficial to children is only made available to them if that data is simultaneously accessed for commercial reasons – which exposes them to additional or different risks. </w:t>
      </w:r>
    </w:p>
    <w:p w:rsidR="00FB0B24" w:rsidRPr="005B5CB6" w:rsidP="00575F14">
      <w:pPr>
        <w:numPr>
          <w:ilvl w:val="0"/>
          <w:numId w:val="257"/>
        </w:numPr>
        <w:spacing w:after="57" w:line="249" w:lineRule="auto"/>
        <w:ind w:right="-10" w:hanging="367"/>
        <w:jc w:val="both"/>
        <w:rPr>
          <w:rFonts w:ascii="Verdana" w:hAnsi="Verdana"/>
        </w:rPr>
      </w:pPr>
      <w:r w:rsidRPr="005B5CB6">
        <w:rPr>
          <w:rFonts w:ascii="Verdana" w:eastAsia="Verdana" w:hAnsi="Verdana" w:cs="Verdana"/>
          <w:i/>
        </w:rPr>
        <w:t>‘Children are less able than adults to identify paid-for content, whether in the form of native advertising, promoted search results, campaign material, or otherwise.</w:t>
      </w:r>
      <w:r>
        <w:rPr>
          <w:rFonts w:ascii="Verdana" w:eastAsia="Verdana" w:hAnsi="Verdana" w:cs="Verdana"/>
          <w:i/>
          <w:vertAlign w:val="superscript"/>
        </w:rPr>
        <w:footnoteReference w:id="432"/>
      </w:r>
      <w:r w:rsidRPr="005B5CB6">
        <w:rPr>
          <w:rFonts w:ascii="Verdana" w:eastAsia="Verdana" w:hAnsi="Verdana" w:cs="Verdana"/>
          <w:i/>
        </w:rPr>
        <w:t xml:space="preserve">  </w:t>
      </w:r>
    </w:p>
    <w:p w:rsidR="00FB0B24" w:rsidRPr="005B5CB6" w:rsidP="00575F14">
      <w:pPr>
        <w:numPr>
          <w:ilvl w:val="0"/>
          <w:numId w:val="257"/>
        </w:numPr>
        <w:spacing w:after="233" w:line="249" w:lineRule="auto"/>
        <w:ind w:right="-10" w:hanging="367"/>
        <w:jc w:val="both"/>
        <w:rPr>
          <w:rFonts w:ascii="Verdana" w:hAnsi="Verdana"/>
        </w:rPr>
      </w:pPr>
      <w:r w:rsidRPr="005B5CB6">
        <w:rPr>
          <w:rFonts w:ascii="Verdana" w:eastAsia="Verdana" w:hAnsi="Verdana" w:cs="Verdana"/>
          <w:i/>
        </w:rPr>
        <w:t>“Cognitive development is in its early stages, meaning they sometimes cannot recognise more integrated online marketing communications”.</w:t>
      </w:r>
      <w:r w:rsidRPr="005B5CB6">
        <w:rPr>
          <w:rFonts w:ascii="Verdana" w:eastAsia="Verdana" w:hAnsi="Verdana" w:cs="Verdana"/>
          <w:i/>
          <w:vertAlign w:val="superscript"/>
        </w:rPr>
        <w:t xml:space="preserve"> </w:t>
      </w:r>
      <w:r>
        <w:rPr>
          <w:rFonts w:ascii="Verdana" w:eastAsia="Verdana" w:hAnsi="Verdana" w:cs="Verdana"/>
          <w:i/>
          <w:vertAlign w:val="superscript"/>
        </w:rPr>
        <w:footnoteReference w:id="433"/>
      </w:r>
      <w:r w:rsidRPr="005B5CB6">
        <w:rPr>
          <w:rFonts w:ascii="Verdana" w:eastAsia="Verdana" w:hAnsi="Verdana" w:cs="Verdana"/>
          <w:i/>
        </w:rPr>
        <w:t xml:space="preserve">  </w:t>
      </w:r>
    </w:p>
    <w:p w:rsidR="00FB0B24" w:rsidRPr="005B5CB6" w:rsidP="006F32A5">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10682"/>
                <wp:effectExtent l="0" t="0" r="0" b="0"/>
                <wp:docPr id="603910" name="Group 60391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2"/>
                          <a:chOff x="0" y="0"/>
                          <a:chExt cx="1828800" cy="10682"/>
                        </a:xfrm>
                      </wpg:grpSpPr>
                      <wps:wsp xmlns:wps="http://schemas.microsoft.com/office/word/2010/wordprocessingShape">
                        <wps:cNvPr id="636629" name="Shape 636629"/>
                        <wps:cNvSpPr/>
                        <wps:spPr>
                          <a:xfrm>
                            <a:off x="0" y="0"/>
                            <a:ext cx="1828800" cy="10682"/>
                          </a:xfrm>
                          <a:custGeom>
                            <a:avLst/>
                            <a:gdLst/>
                            <a:ahLst/>
                            <a:cxnLst/>
                            <a:rect l="0" t="0" r="0" b="0"/>
                            <a:pathLst>
                              <a:path w="1828800" h="10682">
                                <a:moveTo>
                                  <a:pt x="0" y="0"/>
                                </a:moveTo>
                                <a:lnTo>
                                  <a:pt x="1828800" y="0"/>
                                </a:lnTo>
                                <a:lnTo>
                                  <a:pt x="1828800" y="10682"/>
                                </a:lnTo>
                                <a:lnTo>
                                  <a:pt x="0" y="106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41" style="height:0.84pt;mso-position-horizontal-relative:char;mso-position-vertical-relative:line;width:2in" coordsize="18288,106">
                <v:shape id="_x0000_s1442" style="height:106;position:absolute;width:18288" coordsize="1828800,10682" path="m,l1828800,l1828800,10682l,10682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257"/>
        </w:numPr>
        <w:spacing w:after="255" w:line="249" w:lineRule="auto"/>
        <w:ind w:right="-10" w:hanging="367"/>
        <w:jc w:val="both"/>
        <w:rPr>
          <w:rFonts w:ascii="Verdana" w:hAnsi="Verdana"/>
        </w:rPr>
      </w:pPr>
      <w:r w:rsidRPr="005B5CB6">
        <w:rPr>
          <w:rFonts w:ascii="Verdana" w:eastAsia="Verdana" w:hAnsi="Verdana" w:cs="Verdana"/>
          <w:i/>
        </w:rPr>
        <w:t>That we are asking Children to make healthy and intricate decisions about their own best interest in a context in which digital advertising was found to be “highly opaque”, “murky”, and even “fraudulent”.’</w:t>
      </w:r>
      <w:r>
        <w:rPr>
          <w:rFonts w:ascii="Verdana" w:eastAsia="Verdana" w:hAnsi="Verdana" w:cs="Verdana"/>
          <w:i/>
          <w:vertAlign w:val="superscript"/>
        </w:rPr>
        <w:footnoteReference w:id="434"/>
      </w:r>
      <w:r w:rsidRPr="005B5CB6">
        <w:rPr>
          <w:rFonts w:ascii="Verdana" w:eastAsia="Verdana" w:hAnsi="Verdana" w:cs="Verdana"/>
          <w:i/>
        </w:rPr>
        <w:t xml:space="preserve"> </w:t>
      </w:r>
    </w:p>
    <w:p w:rsidR="00FB0B24" w:rsidRPr="005B5CB6" w:rsidP="006F32A5">
      <w:pPr>
        <w:spacing w:after="5" w:line="250" w:lineRule="auto"/>
        <w:ind w:left="23" w:right="11" w:hanging="8"/>
        <w:jc w:val="both"/>
        <w:rPr>
          <w:rFonts w:ascii="Verdana" w:hAnsi="Verdana"/>
        </w:rPr>
      </w:pPr>
      <w:r w:rsidRPr="005B5CB6">
        <w:rPr>
          <w:rFonts w:ascii="Verdana" w:eastAsia="Verdana" w:hAnsi="Verdana" w:cs="Verdana"/>
        </w:rPr>
        <w:t xml:space="preserve">In summary, emerging technologies provide more opportunity for children’s data to be collected for the purposes of targeting, more opportunity for children to be subject to targeting, and more opportunity for children to be impacted by targeting. </w:t>
      </w:r>
      <w:r w:rsidRPr="005B5CB6">
        <w:rPr>
          <w:rFonts w:ascii="Verdana" w:eastAsia="Verdana" w:hAnsi="Verdana" w:cs="Verdana"/>
          <w:b/>
          <w:i/>
        </w:rPr>
        <w:t xml:space="preserve">This impact could, if ethical rules are established and upheld, be </w:t>
      </w:r>
      <w:r w:rsidRPr="005B5CB6">
        <w:rPr>
          <w:rFonts w:ascii="Verdana" w:eastAsia="Verdana" w:hAnsi="Verdana" w:cs="Verdana"/>
          <w:b/>
          <w:i/>
        </w:rPr>
        <w:t xml:space="preserve">positive </w:t>
      </w:r>
      <w:r w:rsidRPr="005B5CB6">
        <w:rPr>
          <w:rFonts w:ascii="Verdana" w:eastAsia="Verdana" w:hAnsi="Verdana" w:cs="Verdana"/>
        </w:rPr>
        <w:t xml:space="preserve">– but so long as targeting is so significantly motivated by commercial considerations, and remains unregulated, then negative impacts are likely to be amplified. Societal norms and expectations should be clearly stated, mandated and enforced in the digital environment – particularly where children are concerned. </w:t>
      </w:r>
    </w:p>
    <w:p w:rsidR="00FB0B24" w:rsidRPr="005B5CB6" w:rsidP="006F32A5">
      <w:pPr>
        <w:spacing w:after="17"/>
        <w:ind w:left="1"/>
        <w:jc w:val="both"/>
        <w:rPr>
          <w:rFonts w:ascii="Verdana" w:hAnsi="Verdana"/>
        </w:rPr>
      </w:pPr>
      <w:r w:rsidRPr="005B5CB6">
        <w:rPr>
          <w:rFonts w:ascii="Verdana" w:eastAsia="Verdana" w:hAnsi="Verdana" w:cs="Verdana"/>
          <w:i/>
        </w:rPr>
        <w:t xml:space="preserve"> </w:t>
      </w:r>
    </w:p>
    <w:p w:rsidR="00FB0B24" w:rsidRPr="005B5CB6" w:rsidP="006F32A5">
      <w:pPr>
        <w:spacing w:after="5" w:line="249" w:lineRule="auto"/>
        <w:ind w:left="-2" w:hanging="10"/>
        <w:jc w:val="both"/>
        <w:rPr>
          <w:rFonts w:ascii="Verdana" w:hAnsi="Verdana"/>
        </w:rPr>
      </w:pPr>
      <w:r w:rsidRPr="005B5CB6">
        <w:rPr>
          <w:rFonts w:ascii="Verdana" w:eastAsia="Verdana" w:hAnsi="Verdana" w:cs="Verdana"/>
          <w:b/>
        </w:rPr>
        <w:t xml:space="preserve">*5Rights is currently producing a paper on the impact of targeted advertising on children and would be happy to share it with the Committee once it is published.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2" w:hanging="10"/>
        <w:jc w:val="both"/>
        <w:rPr>
          <w:rFonts w:ascii="Verdana" w:hAnsi="Verdana"/>
        </w:rPr>
      </w:pPr>
      <w:r w:rsidRPr="005B5CB6">
        <w:rPr>
          <w:rFonts w:ascii="Verdana" w:eastAsia="Verdana" w:hAnsi="Verdana" w:cs="Verdana"/>
          <w:b/>
        </w:rPr>
        <w:t xml:space="preserve">*5Rights is currently working on behalf of the Council on the Rights of the Child, on the creation of a General Comment on children’s rights in relation to the digital environment. We would be happy to share a draft with the Committee when it goes out for consultation in the New Year. </w:t>
      </w:r>
    </w:p>
    <w:p w:rsidR="00FB0B24" w:rsidRPr="005B5CB6" w:rsidP="006F32A5">
      <w:pPr>
        <w:spacing w:after="17"/>
        <w:ind w:left="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b/>
        </w:rPr>
        <w:t xml:space="preserve">We recommend </w:t>
      </w:r>
      <w:r w:rsidRPr="005B5CB6">
        <w:rPr>
          <w:rFonts w:ascii="Verdana" w:eastAsia="Verdana" w:hAnsi="Verdana" w:cs="Verdana"/>
        </w:rPr>
        <w:t>that children be recognised, in law, as a group in need of greater protection from the impact of targeting online. Specifically, children should not be subject to behavioural advertising and associated profiling.</w:t>
      </w:r>
      <w:r w:rsidRPr="005B5CB6">
        <w:rPr>
          <w:rFonts w:ascii="Verdana" w:eastAsia="Verdana" w:hAnsi="Verdana" w:cs="Verdana"/>
          <w:b/>
        </w:rPr>
        <w:t xml:space="preserve"> </w:t>
      </w:r>
    </w:p>
    <w:p w:rsidR="00FB0B24" w:rsidRPr="005B5CB6" w:rsidP="006F32A5">
      <w:pPr>
        <w:spacing w:after="17"/>
        <w:ind w:left="1"/>
        <w:jc w:val="both"/>
        <w:rPr>
          <w:rFonts w:ascii="Verdana" w:hAnsi="Verdana"/>
        </w:rPr>
      </w:pPr>
      <w:r w:rsidRPr="005B5CB6">
        <w:rPr>
          <w:rFonts w:ascii="Verdana" w:eastAsia="Verdana" w:hAnsi="Verdana" w:cs="Verdana"/>
          <w:b/>
        </w:rPr>
        <w:t xml:space="preserve"> </w:t>
      </w:r>
    </w:p>
    <w:p w:rsidR="00FB0B24" w:rsidRPr="005B5CB6" w:rsidP="006F32A5">
      <w:pPr>
        <w:spacing w:after="25" w:line="250" w:lineRule="auto"/>
        <w:ind w:left="23" w:right="11" w:hanging="8"/>
        <w:jc w:val="both"/>
        <w:rPr>
          <w:rFonts w:ascii="Verdana" w:hAnsi="Verdana"/>
        </w:rPr>
      </w:pPr>
      <w:r w:rsidRPr="005B5CB6">
        <w:rPr>
          <w:rFonts w:ascii="Verdana" w:eastAsia="Verdana" w:hAnsi="Verdana" w:cs="Verdana"/>
          <w:b/>
        </w:rPr>
        <w:t xml:space="preserve">We recommend </w:t>
      </w:r>
      <w:r w:rsidRPr="005B5CB6">
        <w:rPr>
          <w:rFonts w:ascii="Verdana" w:eastAsia="Verdana" w:hAnsi="Verdana" w:cs="Verdana"/>
        </w:rPr>
        <w:t xml:space="preserve">mandated transparency and accountability reporting within both the commercial and political advertising sector.  </w:t>
      </w:r>
    </w:p>
    <w:p w:rsidR="00FB0B24" w:rsidRPr="005B5CB6" w:rsidP="006F32A5">
      <w:pPr>
        <w:spacing w:after="19"/>
        <w:ind w:left="1"/>
        <w:jc w:val="both"/>
        <w:rPr>
          <w:rFonts w:ascii="Verdana" w:hAnsi="Verdana"/>
        </w:rPr>
      </w:pPr>
      <w:r w:rsidRPr="005B5CB6">
        <w:rPr>
          <w:rFonts w:ascii="Verdana" w:eastAsia="Verdana" w:hAnsi="Verdana" w:cs="Verdana"/>
        </w:rPr>
        <w:t xml:space="preserve"> </w:t>
      </w:r>
    </w:p>
    <w:p w:rsidR="00FB0B24" w:rsidRPr="005B5CB6" w:rsidP="006F32A5">
      <w:pPr>
        <w:pStyle w:val="Heading2"/>
        <w:rPr>
          <w:sz w:val="22"/>
        </w:rPr>
      </w:pPr>
      <w:r w:rsidRPr="005B5CB6">
        <w:rPr>
          <w:b w:val="0"/>
          <w:sz w:val="22"/>
        </w:rPr>
        <w:t xml:space="preserve">QUESTION 6 To what extent does increasing use of encrypted messaging and private groups present a challenge to the democratic process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rPr>
        <w:t xml:space="preserve">The growing trend of internet companies implementing end-to-end encryption across their services presents a challenge not just to the democratic process, but to wider efforts to promote the welfare of individuals, communities, and society. 5Rights is a pro-privacy organisation and recognises the societal value of end-toend encryption to both individuals and specific user groups. However, there are several unanswered questions and consequences in the current adoption of endto-end encryption. </w:t>
      </w:r>
    </w:p>
    <w:p w:rsidR="00FB0B24" w:rsidRPr="005B5CB6" w:rsidP="00CF6BAD">
      <w:pPr>
        <w:spacing w:after="17"/>
        <w:ind w:left="1"/>
        <w:jc w:val="both"/>
        <w:rPr>
          <w:rFonts w:ascii="Verdana" w:hAnsi="Verdana"/>
        </w:rPr>
      </w:pPr>
      <w:r w:rsidRPr="005B5CB6">
        <w:rPr>
          <w:rFonts w:ascii="Verdana" w:eastAsia="Verdana" w:hAnsi="Verdana" w:cs="Verdana"/>
        </w:rPr>
        <w:t xml:space="preserve"> </w:t>
      </w:r>
    </w:p>
    <w:p w:rsidR="00FB0B24" w:rsidRPr="005B5CB6" w:rsidP="00CF6BAD">
      <w:pPr>
        <w:spacing w:after="26" w:line="250" w:lineRule="auto"/>
        <w:ind w:left="23" w:right="11" w:hanging="8"/>
        <w:jc w:val="both"/>
        <w:rPr>
          <w:rFonts w:ascii="Verdana" w:hAnsi="Verdana"/>
        </w:rPr>
      </w:pPr>
      <w:r w:rsidRPr="005B5CB6">
        <w:rPr>
          <w:rFonts w:ascii="Verdana" w:eastAsia="Verdana" w:hAnsi="Verdana" w:cs="Verdana"/>
        </w:rPr>
        <w:t xml:space="preserve">Specifically, we would like the Committee to ask the relevant stakeholders: </w:t>
      </w:r>
    </w:p>
    <w:p w:rsidR="00FB0B24" w:rsidRPr="005B5CB6" w:rsidP="00CF6BAD">
      <w:pPr>
        <w:spacing w:after="246"/>
        <w:ind w:left="1"/>
        <w:jc w:val="both"/>
        <w:rPr>
          <w:rFonts w:ascii="Verdana" w:hAnsi="Verdana"/>
        </w:rPr>
      </w:pPr>
      <w:r w:rsidRPr="005B5CB6">
        <w:rPr>
          <w:rFonts w:ascii="Verdana" w:eastAsia="Verdana" w:hAnsi="Verdana" w:cs="Verdana"/>
        </w:rPr>
        <w:t xml:space="preserve">  </w:t>
      </w:r>
    </w:p>
    <w:p w:rsidR="00FB0B24" w:rsidRPr="005B5CB6" w:rsidP="00CF6BAD">
      <w:pPr>
        <w:spacing w:after="0"/>
        <w:ind w:left="1"/>
        <w:jc w:val="both"/>
        <w:rPr>
          <w:rFonts w:ascii="Verdana" w:hAnsi="Verdana"/>
        </w:rPr>
      </w:pPr>
      <w:r w:rsidRPr="005B5CB6">
        <w:rPr>
          <w:rFonts w:ascii="Verdana" w:hAnsi="Verdana"/>
          <w:noProof/>
        </w:rPr>
        <mc:AlternateContent>
          <mc:Choice Requires="wpg">
            <w:drawing>
              <wp:inline distT="0" distB="0" distL="0" distR="0">
                <wp:extent cx="1828800" cy="10681"/>
                <wp:effectExtent l="0" t="0" r="0" b="0"/>
                <wp:docPr id="604035" name="Group 60403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1"/>
                          <a:chOff x="0" y="0"/>
                          <a:chExt cx="1828800" cy="10681"/>
                        </a:xfrm>
                      </wpg:grpSpPr>
                      <wps:wsp xmlns:wps="http://schemas.microsoft.com/office/word/2010/wordprocessingShape">
                        <wps:cNvPr id="636631" name="Shape 636631"/>
                        <wps:cNvSpPr/>
                        <wps:spPr>
                          <a:xfrm>
                            <a:off x="0" y="0"/>
                            <a:ext cx="1828800" cy="10681"/>
                          </a:xfrm>
                          <a:custGeom>
                            <a:avLst/>
                            <a:gdLst/>
                            <a:ahLst/>
                            <a:cxnLst/>
                            <a:rect l="0" t="0" r="0" b="0"/>
                            <a:pathLst>
                              <a:path w="1828800" h="10681">
                                <a:moveTo>
                                  <a:pt x="0" y="0"/>
                                </a:moveTo>
                                <a:lnTo>
                                  <a:pt x="1828800" y="0"/>
                                </a:lnTo>
                                <a:lnTo>
                                  <a:pt x="1828800" y="10681"/>
                                </a:lnTo>
                                <a:lnTo>
                                  <a:pt x="0" y="10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43" style="height:0.84pt;mso-position-horizontal-relative:char;mso-position-vertical-relative:line;width:2in" coordsize="18288,106">
                <v:shape id="_x0000_s1444" style="height:106;position:absolute;width:18288" coordsize="1828800,10681" path="m,l1828800,l1828800,10681l,10681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258"/>
        </w:numPr>
        <w:spacing w:after="5" w:line="249" w:lineRule="auto"/>
        <w:ind w:right="12" w:hanging="360"/>
        <w:jc w:val="both"/>
        <w:rPr>
          <w:rFonts w:ascii="Verdana" w:hAnsi="Verdana"/>
        </w:rPr>
      </w:pPr>
      <w:r w:rsidRPr="005B5CB6">
        <w:rPr>
          <w:rFonts w:ascii="Verdana" w:eastAsia="Verdana" w:hAnsi="Verdana" w:cs="Verdana"/>
        </w:rPr>
        <w:t xml:space="preserve">What information are providers of encrypted services able to access - including by automated means - while messages are on devices, i.e. before they are sent, and once they are opened on receipt? </w:t>
      </w:r>
    </w:p>
    <w:p w:rsidR="00FB0B24" w:rsidRPr="005B5CB6" w:rsidP="00CF6BAD">
      <w:pPr>
        <w:spacing w:after="17"/>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58"/>
        </w:numPr>
        <w:spacing w:after="5" w:line="249" w:lineRule="auto"/>
        <w:ind w:right="12" w:hanging="360"/>
        <w:jc w:val="both"/>
        <w:rPr>
          <w:rFonts w:ascii="Verdana" w:hAnsi="Verdana"/>
        </w:rPr>
      </w:pPr>
      <w:r w:rsidRPr="005B5CB6">
        <w:rPr>
          <w:rFonts w:ascii="Verdana" w:eastAsia="Verdana" w:hAnsi="Verdana" w:cs="Verdana"/>
        </w:rPr>
        <w:t xml:space="preserve">In light of ostensible concerns about the potential for child protection tools to be re-appropriated for other purposes, are there any known instances in which photoDNA has been compromised or exploited? </w:t>
      </w:r>
    </w:p>
    <w:p w:rsidR="00FB0B24" w:rsidRPr="005B5CB6" w:rsidP="00CF6BAD">
      <w:pPr>
        <w:spacing w:after="17"/>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58"/>
        </w:numPr>
        <w:spacing w:after="5" w:line="249" w:lineRule="auto"/>
        <w:ind w:right="12" w:hanging="360"/>
        <w:jc w:val="both"/>
        <w:rPr>
          <w:rFonts w:ascii="Verdana" w:hAnsi="Verdana"/>
        </w:rPr>
      </w:pPr>
      <w:r w:rsidRPr="005B5CB6">
        <w:rPr>
          <w:rFonts w:ascii="Verdana" w:eastAsia="Verdana" w:hAnsi="Verdana" w:cs="Verdana"/>
        </w:rPr>
        <w:t xml:space="preserve">What proportion and number of known child sexual abuse images currently being detected will no longer be detected once end-to-end encryption is implemented? </w:t>
      </w:r>
    </w:p>
    <w:p w:rsidR="00FB0B24" w:rsidRPr="005B5CB6" w:rsidP="00CF6BAD">
      <w:pPr>
        <w:spacing w:after="17"/>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58"/>
        </w:numPr>
        <w:spacing w:after="25" w:line="250" w:lineRule="auto"/>
        <w:ind w:right="12" w:hanging="360"/>
        <w:jc w:val="both"/>
        <w:rPr>
          <w:rFonts w:ascii="Verdana" w:hAnsi="Verdana"/>
        </w:rPr>
      </w:pPr>
      <w:r w:rsidRPr="005B5CB6">
        <w:rPr>
          <w:rFonts w:ascii="Verdana" w:eastAsia="Verdana" w:hAnsi="Verdana" w:cs="Verdana"/>
        </w:rPr>
        <w:t xml:space="preserve">What plans does Facebook Messenger have to replace existing tools for detecting child sexual abuse material? </w:t>
      </w:r>
    </w:p>
    <w:p w:rsidR="00FB0B24" w:rsidRPr="005B5CB6" w:rsidP="00CF6BAD">
      <w:pPr>
        <w:spacing w:after="17"/>
        <w:jc w:val="both"/>
        <w:rPr>
          <w:rFonts w:ascii="Verdana" w:hAnsi="Verdana"/>
        </w:rPr>
      </w:pPr>
      <w:r w:rsidRPr="005B5CB6">
        <w:rPr>
          <w:rFonts w:ascii="Verdana" w:eastAsia="Verdana" w:hAnsi="Verdana" w:cs="Verdana"/>
        </w:rPr>
        <w:t xml:space="preserve"> </w:t>
      </w:r>
    </w:p>
    <w:p w:rsidR="00FB0B24" w:rsidRPr="005B5CB6" w:rsidP="00575F14">
      <w:pPr>
        <w:numPr>
          <w:ilvl w:val="0"/>
          <w:numId w:val="258"/>
        </w:numPr>
        <w:spacing w:after="5" w:line="249" w:lineRule="auto"/>
        <w:ind w:right="12" w:hanging="360"/>
        <w:jc w:val="both"/>
        <w:rPr>
          <w:rFonts w:ascii="Verdana" w:hAnsi="Verdana"/>
        </w:rPr>
      </w:pPr>
      <w:r w:rsidRPr="005B5CB6">
        <w:rPr>
          <w:rFonts w:ascii="Verdana" w:eastAsia="Verdana" w:hAnsi="Verdana" w:cs="Verdana"/>
        </w:rPr>
        <w:t xml:space="preserve">Why have companies such as Facebook not committed to implementing photoDNA at the client/device-side, as opposed to the server-side, as a means of continuing to scan for CSAM after the move to end-to-end encryption? (The co-inventor of PhotoDNA, Professor Hany Farid, has repeatedly stated that this is entirely possible). </w:t>
      </w:r>
    </w:p>
    <w:p w:rsidR="00FB0B24" w:rsidRPr="005B5CB6" w:rsidP="00CF6BAD">
      <w:pPr>
        <w:spacing w:after="17"/>
        <w:jc w:val="both"/>
        <w:rPr>
          <w:rFonts w:ascii="Verdana" w:hAnsi="Verdana"/>
        </w:rPr>
      </w:pPr>
      <w:r w:rsidRPr="005B5CB6">
        <w:rPr>
          <w:rFonts w:ascii="Verdana" w:eastAsia="Verdana" w:hAnsi="Verdana" w:cs="Verdana"/>
        </w:rPr>
        <w:t xml:space="preserve"> </w:t>
      </w:r>
    </w:p>
    <w:p w:rsidR="00FB0B24" w:rsidRPr="005B5CB6" w:rsidP="00575F14">
      <w:pPr>
        <w:numPr>
          <w:ilvl w:val="0"/>
          <w:numId w:val="258"/>
        </w:numPr>
        <w:spacing w:after="5" w:line="249" w:lineRule="auto"/>
        <w:ind w:right="12" w:hanging="360"/>
        <w:jc w:val="both"/>
        <w:rPr>
          <w:rFonts w:ascii="Verdana" w:hAnsi="Verdana"/>
        </w:rPr>
      </w:pPr>
      <w:r w:rsidRPr="005B5CB6">
        <w:rPr>
          <w:rFonts w:ascii="Verdana" w:eastAsia="Verdana" w:hAnsi="Verdana" w:cs="Verdana"/>
        </w:rPr>
        <w:t xml:space="preserve">Is mixing up the specific issue of tackling CSAM with wider issues about security and crime is a cynical attempt to make more controversial invasions of privacy seem acceptable? </w:t>
      </w:r>
    </w:p>
    <w:p w:rsidR="00FB0B24" w:rsidRPr="005B5CB6" w:rsidP="00CF6BAD">
      <w:pPr>
        <w:spacing w:after="17"/>
        <w:jc w:val="both"/>
        <w:rPr>
          <w:rFonts w:ascii="Verdana" w:hAnsi="Verdana"/>
        </w:rPr>
      </w:pPr>
      <w:r w:rsidRPr="005B5CB6">
        <w:rPr>
          <w:rFonts w:ascii="Verdana" w:eastAsia="Verdana" w:hAnsi="Verdana" w:cs="Verdana"/>
        </w:rPr>
        <w:t xml:space="preserve">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rPr>
        <w:t xml:space="preserve">We note the recent position taken by HMG on this issue and whilst we are partly in agreement, we are deeply concerned that the issue of CSAM has been rolled into a broader political fight in which children will be the losers.  5Rights concern is that the push for/ fight against end-to-end encryption is a commercial vs state battle for information – and neither party is taking full account of the threat this represents to children.  </w:t>
      </w:r>
    </w:p>
    <w:p w:rsidR="00FB0B24" w:rsidRPr="005B5CB6" w:rsidP="00CF6BAD">
      <w:pPr>
        <w:spacing w:after="17"/>
        <w:jc w:val="both"/>
        <w:rPr>
          <w:rFonts w:ascii="Verdana" w:hAnsi="Verdana"/>
        </w:rPr>
      </w:pPr>
      <w:r w:rsidRPr="005B5CB6">
        <w:rPr>
          <w:rFonts w:ascii="Verdana" w:eastAsia="Verdana" w:hAnsi="Verdana" w:cs="Verdana"/>
        </w:rPr>
        <w:t xml:space="preserve"> </w:t>
      </w:r>
    </w:p>
    <w:p w:rsidR="00FB0B24" w:rsidRPr="005B5CB6" w:rsidP="00CF6BAD">
      <w:pPr>
        <w:spacing w:after="26" w:line="249" w:lineRule="auto"/>
        <w:ind w:left="10" w:right="12" w:hanging="9"/>
        <w:jc w:val="both"/>
        <w:rPr>
          <w:rFonts w:ascii="Verdana" w:hAnsi="Verdana"/>
        </w:rPr>
      </w:pPr>
      <w:r w:rsidRPr="005B5CB6">
        <w:rPr>
          <w:rFonts w:ascii="Verdana" w:eastAsia="Verdana" w:hAnsi="Verdana" w:cs="Verdana"/>
        </w:rPr>
        <w:t xml:space="preserve">In summary, whilst perhaps not in the Committee’s immediate focus, it is possible that in the name of the democratic process, end-to-end encryption will devastate the global effort to disrupt the distribution of child sexual abuse material (CSAM) online. 5Rights has produced a briefing on this issue with Professor Hany Farid, one of the inventors of photoDNA, which can be found here: </w:t>
      </w:r>
      <w:r w:rsidRPr="005B5CB6">
        <w:rPr>
          <w:rFonts w:ascii="Verdana" w:eastAsia="Verdana" w:hAnsi="Verdana" w:cs="Verdana"/>
          <w:u w:val="single" w:color="000000"/>
        </w:rPr>
        <w:t>https://5rightsfoundation.com/uploads/5Rights E2E encryption &amp; CSAM</w:t>
      </w:r>
      <w:r>
        <w:fldChar w:fldCharType="begin"/>
      </w:r>
      <w:r>
        <w:instrText xml:space="preserve"> HYPERLINK "https://5rightsfoundation.com/uploads/5Rights%20E2E%20encryption%20%26%20CSAM%20briefing.pdf"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"https://5rightsfoundation.com/uploads/5Rights%20E2E%20encryption%20%26%20CSAM%20briefing.pdf" </w:instrText>
      </w:r>
      <w:r>
        <w:fldChar w:fldCharType="separate"/>
      </w:r>
      <w:r w:rsidRPr="005B5CB6">
        <w:rPr>
          <w:rFonts w:ascii="Verdana" w:eastAsia="Verdana" w:hAnsi="Verdana" w:cs="Verdana"/>
          <w:u w:val="single" w:color="000000"/>
        </w:rPr>
        <w:t>briefing.pdf.</w:t>
      </w:r>
      <w:r>
        <w:fldChar w:fldCharType="end"/>
      </w:r>
      <w:r>
        <w:fldChar w:fldCharType="begin"/>
      </w:r>
      <w:r>
        <w:instrText xml:space="preserve"> HYPERLINK "https://5rightsfoundation.com/uploads/5Rights%20E2E%20encryption%20%26%20CSAM%20briefing.pdf"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p>
    <w:p w:rsidR="00FB0B24" w:rsidRPr="005B5CB6" w:rsidP="00CF6BAD">
      <w:pPr>
        <w:spacing w:after="17"/>
        <w:ind w:left="1"/>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b/>
        </w:rPr>
        <w:t xml:space="preserve">We recommend </w:t>
      </w:r>
      <w:r w:rsidRPr="005B5CB6">
        <w:rPr>
          <w:rFonts w:ascii="Verdana" w:eastAsia="Verdana" w:hAnsi="Verdana" w:cs="Verdana"/>
        </w:rPr>
        <w:t xml:space="preserve">that the Committee questions the Government, relevant internet companies, and experts in the field, along the lines we have outlined.   </w:t>
      </w:r>
    </w:p>
    <w:p w:rsidR="00FB0B24" w:rsidRPr="005B5CB6" w:rsidP="00CF6BAD">
      <w:pPr>
        <w:spacing w:after="17"/>
        <w:ind w:left="1"/>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b/>
        </w:rPr>
        <w:t>We recommend</w:t>
      </w:r>
      <w:r w:rsidRPr="005B5CB6">
        <w:rPr>
          <w:rFonts w:ascii="Verdana" w:eastAsia="Verdana" w:hAnsi="Verdana" w:cs="Verdana"/>
        </w:rPr>
        <w:t xml:space="preserve"> a commitment from all internet companies that the encryption of their services, offered as default or otherwise, will be implemented in a way that allows photoDNA and other technologies for disrupting the distribution of CSAM to operate. This commitment should be mandated by national governments and international institutions, and disentangled from wider security and criminal concerns.</w:t>
      </w:r>
      <w:r w:rsidRPr="005B5CB6">
        <w:rPr>
          <w:rFonts w:ascii="Verdana" w:eastAsia="Verdana" w:hAnsi="Verdana" w:cs="Verdana"/>
          <w:b/>
        </w:rPr>
        <w:t xml:space="preserve">  </w:t>
      </w:r>
    </w:p>
    <w:p w:rsidR="00FB0B24" w:rsidRPr="005B5CB6" w:rsidP="00CF6BAD">
      <w:pPr>
        <w:spacing w:after="19"/>
        <w:ind w:left="1"/>
        <w:jc w:val="both"/>
        <w:rPr>
          <w:rFonts w:ascii="Verdana" w:hAnsi="Verdana"/>
        </w:rPr>
      </w:pPr>
      <w:r w:rsidRPr="005B5CB6">
        <w:rPr>
          <w:rFonts w:ascii="Verdana" w:eastAsia="Verdana" w:hAnsi="Verdana" w:cs="Verdana"/>
        </w:rPr>
        <w:t xml:space="preserve"> </w:t>
      </w:r>
    </w:p>
    <w:p w:rsidR="00FB0B24" w:rsidRPr="005B5CB6" w:rsidP="00CF6BAD">
      <w:pPr>
        <w:spacing w:after="26" w:line="250" w:lineRule="auto"/>
        <w:ind w:left="11" w:hanging="10"/>
        <w:jc w:val="both"/>
        <w:rPr>
          <w:rFonts w:ascii="Verdana" w:hAnsi="Verdana"/>
        </w:rPr>
      </w:pPr>
      <w:r w:rsidRPr="005B5CB6">
        <w:rPr>
          <w:rFonts w:ascii="Verdana" w:eastAsia="Verdana" w:hAnsi="Verdana" w:cs="Verdana"/>
          <w:b/>
        </w:rPr>
        <w:t xml:space="preserve">For more evidence or information, please contact Jay Harman on 020 </w:t>
      </w:r>
    </w:p>
    <w:p w:rsidR="00FB0B24" w:rsidRPr="005B5CB6" w:rsidP="00CF6BAD">
      <w:pPr>
        <w:spacing w:after="4" w:line="265" w:lineRule="auto"/>
        <w:ind w:left="-4" w:hanging="10"/>
        <w:jc w:val="both"/>
        <w:rPr>
          <w:rFonts w:ascii="Verdana" w:hAnsi="Verdana"/>
        </w:rPr>
      </w:pPr>
      <w:r w:rsidRPr="005B5CB6">
        <w:rPr>
          <w:rFonts w:ascii="Verdana" w:eastAsia="Verdana" w:hAnsi="Verdana" w:cs="Verdana"/>
          <w:b/>
        </w:rPr>
        <w:t xml:space="preserve">7502 3818 or </w:t>
      </w:r>
      <w:r w:rsidRPr="005B5CB6">
        <w:rPr>
          <w:rFonts w:ascii="Verdana" w:eastAsia="Verdana" w:hAnsi="Verdana" w:cs="Verdana"/>
          <w:b/>
          <w:u w:val="single" w:color="000000"/>
        </w:rPr>
        <w:t>jay@5Rightsfoundation.com</w:t>
      </w:r>
      <w:r w:rsidRPr="005B5CB6">
        <w:rPr>
          <w:rFonts w:ascii="Verdana" w:eastAsia="Verdana" w:hAnsi="Verdana" w:cs="Verdana"/>
          <w:b/>
        </w:rPr>
        <w:t xml:space="preserve">  </w:t>
      </w:r>
    </w:p>
    <w:p w:rsidR="00FB0B24" w:rsidRPr="005B5CB6" w:rsidP="00CF6BAD">
      <w:pPr>
        <w:jc w:val="both"/>
        <w:rPr>
          <w:rFonts w:ascii="Verdana" w:hAnsi="Verdana"/>
        </w:rPr>
        <w:sectPr w:rsidSect="006063B1">
          <w:headerReference w:type="even" r:id="rId449"/>
          <w:headerReference w:type="default" r:id="rId450"/>
          <w:footerReference w:type="even" r:id="rId451"/>
          <w:footerReference w:type="default" r:id="rId452"/>
          <w:headerReference w:type="first" r:id="rId453"/>
          <w:footerReference w:type="first" r:id="rId454"/>
          <w:pgSz w:w="11899" w:h="16841"/>
          <w:pgMar w:top="756" w:right="1386" w:bottom="1440" w:left="1439" w:header="720" w:footer="708" w:gutter="0"/>
          <w:cols w:space="720"/>
          <w:titlePg/>
        </w:sectPr>
      </w:pPr>
    </w:p>
    <w:p w:rsidR="00FB0B24" w:rsidRPr="005B5CB6" w:rsidP="00A1624B">
      <w:pPr>
        <w:pStyle w:val="Heading1"/>
        <w:rPr>
          <w:sz w:val="22"/>
        </w:rPr>
      </w:pPr>
      <w:bookmarkStart w:id="72" w:name="_Toc44517760"/>
      <w:r w:rsidRPr="005B5CB6">
        <w:rPr>
          <w:sz w:val="22"/>
        </w:rPr>
        <w:t>UK Parliament Education and Engagement Team – written evidence (DAD0083)</w:t>
      </w:r>
      <w:bookmarkEnd w:id="72"/>
      <w:r w:rsidRPr="005B5CB6">
        <w:rPr>
          <w:sz w:val="22"/>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This evidence has been prepared by the UK Parliament Education and Engagement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Teams and mainly focuses on the work of this team and the wider Participation Team it sits within and the departments across the UK Parliament that they regularly interact with. The Education and Engagement Team is a bicameral team designed to give the public voice, engage the public with the work of the UK Parliament, and shape UK Parliament in the interests of the public.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This response will answer the following questions from the terms of reference: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59"/>
        </w:numPr>
        <w:spacing w:after="163" w:line="249" w:lineRule="auto"/>
        <w:ind w:hanging="10"/>
        <w:jc w:val="both"/>
        <w:rPr>
          <w:rFonts w:ascii="Verdana" w:hAnsi="Verdana"/>
        </w:rPr>
      </w:pPr>
      <w:r w:rsidRPr="005B5CB6">
        <w:rPr>
          <w:rFonts w:ascii="Verdana" w:eastAsia="Verdana" w:hAnsi="Verdana" w:cs="Verdana"/>
          <w:b/>
        </w:rPr>
        <w:t xml:space="preserve">How could the Government better support the positive work of civil society organisations using technology to facilitate engagement with democratic processes? </w:t>
      </w:r>
      <w:r w:rsidRPr="005B5CB6">
        <w:rPr>
          <w:rFonts w:ascii="Verdana" w:eastAsia="Verdana" w:hAnsi="Verdana" w:cs="Verdana"/>
        </w:rPr>
        <w:t xml:space="preserve"> </w:t>
      </w:r>
    </w:p>
    <w:p w:rsidR="00FB0B24" w:rsidRPr="005B5CB6" w:rsidP="00575F14">
      <w:pPr>
        <w:numPr>
          <w:ilvl w:val="0"/>
          <w:numId w:val="259"/>
        </w:numPr>
        <w:spacing w:after="166" w:line="249" w:lineRule="auto"/>
        <w:ind w:hanging="10"/>
        <w:jc w:val="both"/>
        <w:rPr>
          <w:rFonts w:ascii="Verdana" w:hAnsi="Verdana"/>
        </w:rPr>
      </w:pPr>
      <w:r w:rsidRPr="005B5CB6">
        <w:rPr>
          <w:rFonts w:ascii="Verdana" w:eastAsia="Verdana" w:hAnsi="Verdana" w:cs="Verdana"/>
          <w:b/>
        </w:rPr>
        <w:t>How can elected representatives use technology to engage with the public in local and national decision making?  What can UK Parliament and Government do to better use technology to support democratic engagement and ensure the efficacy of the democratic process?</w:t>
      </w:r>
      <w:r w:rsidRPr="005B5CB6">
        <w:rPr>
          <w:rFonts w:ascii="Verdana" w:eastAsia="Verdana" w:hAnsi="Verdana" w:cs="Verdana"/>
        </w:rPr>
        <w:t xml:space="preserve"> </w:t>
      </w:r>
    </w:p>
    <w:p w:rsidR="00FB0B24" w:rsidRPr="005B5CB6" w:rsidP="00575F14">
      <w:pPr>
        <w:numPr>
          <w:ilvl w:val="0"/>
          <w:numId w:val="259"/>
        </w:numPr>
        <w:spacing w:after="165" w:line="250" w:lineRule="auto"/>
        <w:ind w:hanging="10"/>
        <w:jc w:val="both"/>
        <w:rPr>
          <w:rFonts w:ascii="Verdana" w:hAnsi="Verdana"/>
        </w:rPr>
      </w:pPr>
      <w:r w:rsidRPr="005B5CB6">
        <w:rPr>
          <w:rFonts w:ascii="Verdana" w:eastAsia="Verdana" w:hAnsi="Verdana" w:cs="Verdana"/>
          <w:b/>
        </w:rPr>
        <w:t>What positive examples are there of technology being used to enhance democracy?</w:t>
      </w:r>
      <w:r w:rsidRPr="005B5CB6">
        <w:rPr>
          <w:rFonts w:ascii="Verdana" w:eastAsia="Verdana" w:hAnsi="Verdana" w:cs="Verdana"/>
        </w:rPr>
        <w:t xml:space="preserve"> </w:t>
      </w:r>
    </w:p>
    <w:p w:rsidR="00FB0B24" w:rsidRPr="005B5CB6" w:rsidP="00CF6BAD">
      <w:pPr>
        <w:spacing w:after="167" w:line="250" w:lineRule="auto"/>
        <w:ind w:left="11" w:hanging="10"/>
        <w:jc w:val="both"/>
        <w:rPr>
          <w:rFonts w:ascii="Verdana" w:hAnsi="Verdana"/>
        </w:rPr>
      </w:pPr>
      <w:r w:rsidRPr="005B5CB6">
        <w:rPr>
          <w:rFonts w:ascii="Verdana" w:eastAsia="Verdana" w:hAnsi="Verdana" w:cs="Verdana"/>
          <w:b/>
        </w:rPr>
        <w:t xml:space="preserve">3. What role should every stage of education play in helping to create a healthy, active, digitally literate democracy? </w:t>
      </w:r>
    </w:p>
    <w:p w:rsidR="00FB0B24" w:rsidRPr="005B5CB6" w:rsidP="00CF6BAD">
      <w:pPr>
        <w:spacing w:after="156"/>
        <w:jc w:val="both"/>
        <w:rPr>
          <w:rFonts w:ascii="Verdana" w:hAnsi="Verdana"/>
        </w:rPr>
      </w:pPr>
      <w:r w:rsidRPr="005B5CB6">
        <w:rPr>
          <w:rFonts w:ascii="Verdana" w:eastAsia="Verdana" w:hAnsi="Verdana" w:cs="Verdana"/>
          <w:b/>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The UK Parliament works towards supporting the positive work of civil society organisations using technology to facilitate engagement with democratic processes in several ways; including through the Petitions Committee</w:t>
      </w:r>
      <w:r>
        <w:rPr>
          <w:rFonts w:ascii="Verdana" w:eastAsia="Verdana" w:hAnsi="Verdana" w:cs="Verdana"/>
          <w:vertAlign w:val="superscript"/>
        </w:rPr>
        <w:footnoteReference w:id="435"/>
      </w:r>
      <w:r w:rsidRPr="005B5CB6">
        <w:rPr>
          <w:rFonts w:ascii="Verdana" w:eastAsia="Verdana" w:hAnsi="Verdana" w:cs="Verdana"/>
        </w:rPr>
        <w:t xml:space="preserve">, digital engagement through select committee work, the Digital Engagement Team, the Education Centre and UK Parliaments use of social media. </w:t>
      </w:r>
    </w:p>
    <w:p w:rsidR="00FB0B24" w:rsidRPr="005B5CB6" w:rsidP="00CF6BAD">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35" w:line="250" w:lineRule="auto"/>
        <w:ind w:right="11" w:hanging="360"/>
        <w:jc w:val="both"/>
        <w:rPr>
          <w:rFonts w:ascii="Verdana" w:hAnsi="Verdana"/>
        </w:rPr>
      </w:pPr>
      <w:r w:rsidRPr="005B5CB6">
        <w:rPr>
          <w:rFonts w:ascii="Verdana" w:eastAsia="Verdana" w:hAnsi="Verdana" w:cs="Verdana"/>
        </w:rPr>
        <w:t>The Petitions Committee invites and encourages the public to engage with it through digital means. For example, signing an online petition, participating in online surveys and forums, visiting the website, or tweeting the committee. Petitions are promoted organically via the general public and civil society organisations and can reach many people in a short amount of time. There is a recent example of the Petitions Committee blending online engagement and offline engagement through their inquiry into Fireworks.</w:t>
      </w:r>
      <w:r>
        <w:rPr>
          <w:rFonts w:ascii="Verdana" w:eastAsia="Verdana" w:hAnsi="Verdana" w:cs="Verdana"/>
          <w:vertAlign w:val="superscript"/>
        </w:rPr>
        <w:footnoteReference w:id="436"/>
      </w:r>
      <w:r w:rsidRPr="005B5CB6">
        <w:rPr>
          <w:rFonts w:ascii="Verdana" w:eastAsia="Verdana" w:hAnsi="Verdana" w:cs="Verdana"/>
        </w:rPr>
        <w:t xml:space="preserve"> </w:t>
      </w:r>
    </w:p>
    <w:p w:rsidR="00FB0B24" w:rsidRPr="005B5CB6" w:rsidP="00CF6BAD">
      <w:pPr>
        <w:spacing w:after="5" w:line="268" w:lineRule="auto"/>
        <w:ind w:left="289" w:right="43" w:hanging="10"/>
        <w:jc w:val="both"/>
        <w:rPr>
          <w:rFonts w:ascii="Verdana" w:hAnsi="Verdana"/>
        </w:rPr>
      </w:pPr>
      <w:r w:rsidRPr="005B5CB6">
        <w:rPr>
          <w:rFonts w:ascii="Verdana" w:eastAsia="Verdana" w:hAnsi="Verdana" w:cs="Verdana"/>
        </w:rPr>
        <w:t xml:space="preserve">The Committee created an online survey to gather people’s views. The online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604824" name="Group 60482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639" name="Shape 63663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45" style="height:0.72pt;mso-position-horizontal-relative:char;mso-position-vertical-relative:line;width:2in" coordsize="18288,91">
                <v:shape id="_x0000_s1446"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CF6BAD">
      <w:pPr>
        <w:spacing w:after="5" w:line="250" w:lineRule="auto"/>
        <w:ind w:left="728" w:right="11" w:hanging="8"/>
        <w:jc w:val="both"/>
        <w:rPr>
          <w:rFonts w:ascii="Verdana" w:hAnsi="Verdana"/>
        </w:rPr>
      </w:pPr>
      <w:r w:rsidRPr="005B5CB6">
        <w:rPr>
          <w:rFonts w:ascii="Verdana" w:eastAsia="Verdana" w:hAnsi="Verdana" w:cs="Verdana"/>
        </w:rPr>
        <w:t xml:space="preserve">survey highlighted specific groups in society who were particularly impacted by fireworks informing who it would be valuable for the committee to hear from in face to face events to share their experiences further. For example, events were held for veterans and for people with health conditions and disabilities and the attendees were partly sourced from those that took part in the online engagement.  The signing of a petition can be a participant’s first engagement point with the UK Parliament and this should be utilised more to offer these participants further opportunity to engage, for example, signposting them to UK Parliamentary business such as making them aware of Select Committee inquiries they could contribute to linked to the petition they have signed. </w:t>
      </w:r>
    </w:p>
    <w:p w:rsidR="00FB0B24" w:rsidRPr="005B5CB6" w:rsidP="00CF6BAD">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The Digital Engagement Team within Participation are a small team of 4 people but have had 182k engagements with their work between April and August 2019. The team run online activities such as digital debates, online discussion cards through the use of Facebook and external forums.</w:t>
      </w:r>
      <w:r>
        <w:rPr>
          <w:rFonts w:ascii="Verdana" w:eastAsia="Verdana" w:hAnsi="Verdana" w:cs="Verdana"/>
          <w:vertAlign w:val="superscript"/>
        </w:rPr>
        <w:footnoteReference w:id="437"/>
      </w:r>
      <w:r w:rsidRPr="005B5CB6">
        <w:rPr>
          <w:rFonts w:ascii="Verdana" w:eastAsia="Verdana" w:hAnsi="Verdana" w:cs="Verdana"/>
        </w:rPr>
        <w:t xml:space="preserve"> Digital discussions happen most weeks in preparation for Westminster Hall debates and take the form of comments under Facebook posts. Examples include those on </w:t>
      </w:r>
      <w:r>
        <w:fldChar w:fldCharType="begin"/>
      </w:r>
      <w:r>
        <w:instrText xml:space="preserve"> HYPERLINK "https://www.facebook.com/UKHouseofCommons/photos/a.183499548715839/856646841401103/?type=3&amp;theater" </w:instrText>
      </w:r>
      <w:r>
        <w:fldChar w:fldCharType="separate"/>
      </w:r>
      <w:r w:rsidRPr="005B5CB6">
        <w:rPr>
          <w:rFonts w:ascii="Verdana" w:eastAsia="Verdana" w:hAnsi="Verdana" w:cs="Verdana"/>
          <w:color w:val="0000FF"/>
          <w:u w:val="single" w:color="0000FF"/>
        </w:rPr>
        <w:t>authorised absence from schools</w:t>
      </w:r>
      <w:r>
        <w:fldChar w:fldCharType="end"/>
      </w:r>
      <w:r>
        <w:fldChar w:fldCharType="begin"/>
      </w:r>
      <w:r>
        <w:instrText xml:space="preserve"> HYPERLINK "https://www.facebook.com/UKHouseofCommons/photos/a.183499548715839/856646841401103/?type=3&amp;theater" </w:instrText>
      </w:r>
      <w:r>
        <w:fldChar w:fldCharType="separate"/>
      </w:r>
      <w:r w:rsidRPr="005B5CB6">
        <w:rPr>
          <w:rFonts w:ascii="Verdana" w:eastAsia="Verdana" w:hAnsi="Verdana" w:cs="Verdana"/>
        </w:rPr>
        <w:t>,</w:t>
      </w:r>
      <w:r>
        <w:fldChar w:fldCharType="end"/>
      </w:r>
      <w:r>
        <w:fldChar w:fldCharType="begin"/>
      </w:r>
      <w:r>
        <w:instrText xml:space="preserve"> HYPERLINK "https://www.facebook.com/UKHouseofCommons/photos/a.183499548715839/839729419759512/?type=3&amp;theater"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"https://www.facebook.com/UKHouseofCommons/photos/a.183499548715839/839729419759512/?type=3&amp;theater" </w:instrText>
      </w:r>
      <w:r>
        <w:fldChar w:fldCharType="separate"/>
      </w:r>
      <w:r w:rsidRPr="005B5CB6">
        <w:rPr>
          <w:rFonts w:ascii="Verdana" w:eastAsia="Verdana" w:hAnsi="Verdana" w:cs="Verdana"/>
          <w:color w:val="0000FF"/>
          <w:u w:val="single" w:color="0000FF"/>
        </w:rPr>
        <w:t>child food poverty</w:t>
      </w:r>
      <w:r>
        <w:fldChar w:fldCharType="end"/>
      </w:r>
      <w:r>
        <w:fldChar w:fldCharType="begin"/>
      </w:r>
      <w:r>
        <w:instrText xml:space="preserve"> HYPERLINK "https://www.facebook.com/UKHouseofCommons/photos/a.183499548715839/839729419759512/?type=3&amp;theater" </w:instrText>
      </w:r>
      <w:r>
        <w:fldChar w:fldCharType="separate"/>
      </w:r>
      <w:r w:rsidRPr="005B5CB6">
        <w:rPr>
          <w:rFonts w:ascii="Verdana" w:eastAsia="Verdana" w:hAnsi="Verdana" w:cs="Verdana"/>
        </w:rPr>
        <w:t>,</w:t>
      </w:r>
      <w:r>
        <w:fldChar w:fldCharType="end"/>
      </w:r>
      <w:r>
        <w:fldChar w:fldCharType="begin"/>
      </w:r>
      <w:r>
        <w:instrText xml:space="preserve"> HYPERLINK "https://www.facebook.com/UKHouseofCommons/photos/a.183499548715839/914250392307414/?type=3&amp;theater"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"https://www.facebook.com/UKHouseofCommons/photos/a.183499548715839/914250392307414/?type=3&amp;theater" </w:instrText>
      </w:r>
      <w:r>
        <w:fldChar w:fldCharType="separate"/>
      </w:r>
      <w:r w:rsidRPr="005B5CB6">
        <w:rPr>
          <w:rFonts w:ascii="Verdana" w:eastAsia="Verdana" w:hAnsi="Verdana" w:cs="Verdana"/>
          <w:color w:val="0000FF"/>
          <w:u w:val="single" w:color="0000FF"/>
        </w:rPr>
        <w:t>teaching</w:t>
      </w:r>
      <w:r>
        <w:fldChar w:fldCharType="end"/>
      </w:r>
      <w:r>
        <w:fldChar w:fldCharType="begin"/>
      </w:r>
      <w:r>
        <w:instrText xml:space="preserve"> HYPERLINK "https://www.facebook.com/UKHouseofCommons/photos/a.183499548715839/914250392307414/?type=3&amp;theater" </w:instrText>
      </w:r>
      <w:r>
        <w:fldChar w:fldCharType="separate"/>
      </w:r>
      <w:r w:rsidRPr="005B5CB6">
        <w:rPr>
          <w:rFonts w:ascii="Verdana" w:eastAsia="Verdana" w:hAnsi="Verdana" w:cs="Verdana"/>
          <w:color w:val="0000FF"/>
        </w:rPr>
        <w:t xml:space="preserve"> </w:t>
      </w:r>
      <w:r>
        <w:fldChar w:fldCharType="end"/>
      </w:r>
      <w:r>
        <w:fldChar w:fldCharType="begin"/>
      </w:r>
      <w:r>
        <w:instrText xml:space="preserve"> HYPERLINK "https://www.facebook.com/UKHouseofCommons/photos/a.183499548715839/914250392307414/?type=3&amp;theater" </w:instrText>
      </w:r>
      <w:r>
        <w:fldChar w:fldCharType="separate"/>
      </w:r>
      <w:r w:rsidRPr="005B5CB6">
        <w:rPr>
          <w:rFonts w:ascii="Verdana" w:eastAsia="Verdana" w:hAnsi="Verdana" w:cs="Verdana"/>
          <w:color w:val="0000FF"/>
          <w:u w:val="single" w:color="0000FF"/>
        </w:rPr>
        <w:t>LGBTQ+ acceptance in schools</w:t>
      </w:r>
      <w:r>
        <w:fldChar w:fldCharType="end"/>
      </w:r>
      <w:r>
        <w:fldChar w:fldCharType="begin"/>
      </w:r>
      <w:r>
        <w:instrText xml:space="preserve"> HYPERLINK "https://www.facebook.com/UKHouseofCommons/photos/a.183499548715839/914250392307414/?type=3&amp;theater"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and </w:t>
      </w:r>
      <w:r>
        <w:fldChar w:fldCharType="begin"/>
      </w:r>
      <w:r>
        <w:instrText xml:space="preserve"> HYPERLINK "https://www.facebook.com/pg/UKHouseofCommons/photos/" </w:instrText>
      </w:r>
      <w:r>
        <w:fldChar w:fldCharType="separate"/>
      </w:r>
      <w:r w:rsidRPr="005B5CB6">
        <w:rPr>
          <w:rFonts w:ascii="Verdana" w:eastAsia="Verdana" w:hAnsi="Verdana" w:cs="Verdana"/>
          <w:color w:val="0000FF"/>
          <w:u w:val="single" w:color="0000FF"/>
        </w:rPr>
        <w:t>several others</w:t>
      </w:r>
      <w:r>
        <w:fldChar w:fldCharType="end"/>
      </w:r>
      <w:r>
        <w:fldChar w:fldCharType="begin"/>
      </w:r>
      <w:r>
        <w:instrText xml:space="preserve"> HYPERLINK "https://www.facebook.com/pg/UKHouseofCommons/photos/"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For sensitive topics, they have also enabled people to submit comments through a private platform.  </w:t>
      </w:r>
    </w:p>
    <w:p w:rsidR="00FB0B24" w:rsidRPr="005B5CB6" w:rsidP="00CF6BAD">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 xml:space="preserve">Digital debates happen live and are based around debates taking place in the chamber or Westminster Hall. The MP leading the debate leads the digital debate and lasts for an hour – these are done much less frequently then discussions as they’re more difficult to organise and work best when they’re focused on a topic which has gained a lot of attention. Two good recent examples are those on </w:t>
      </w:r>
      <w:r>
        <w:fldChar w:fldCharType="begin"/>
      </w:r>
      <w:r>
        <w:instrText xml:space="preserve"> HYPERLINK "https://www.facebook.com/UKHouseofCommons/photos/a.183499548715839/839717169760737/?type=3&amp;theater" </w:instrText>
      </w:r>
      <w:r>
        <w:fldChar w:fldCharType="separate"/>
      </w:r>
      <w:r w:rsidRPr="005B5CB6">
        <w:rPr>
          <w:rFonts w:ascii="Verdana" w:eastAsia="Verdana" w:hAnsi="Verdana" w:cs="Verdana"/>
          <w:color w:val="0000FF"/>
          <w:u w:val="single" w:color="0000FF"/>
        </w:rPr>
        <w:t>hedgerow netting</w:t>
      </w:r>
      <w:r>
        <w:fldChar w:fldCharType="end"/>
      </w:r>
      <w:r>
        <w:fldChar w:fldCharType="begin"/>
      </w:r>
      <w:r>
        <w:instrText xml:space="preserve"> HYPERLINK "https://www.facebook.com/UKHouseofCommons/photos/a.183499548715839/839717169760737/?type=3&amp;theater"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and </w:t>
      </w:r>
      <w:r>
        <w:fldChar w:fldCharType="begin"/>
      </w:r>
      <w:r>
        <w:instrText xml:space="preserve"> HYPERLINK "https://www.facebook.com/UKHouseofCommons/photos/a.183499548715839/750297535369368/?type=3&amp;theater" </w:instrText>
      </w:r>
      <w:r>
        <w:fldChar w:fldCharType="separate"/>
      </w:r>
      <w:r w:rsidRPr="005B5CB6">
        <w:rPr>
          <w:rFonts w:ascii="Verdana" w:eastAsia="Verdana" w:hAnsi="Verdana" w:cs="Verdana"/>
          <w:color w:val="0000FF"/>
          <w:u w:val="single" w:color="0000FF"/>
        </w:rPr>
        <w:t>new build houses</w:t>
      </w:r>
      <w:r>
        <w:fldChar w:fldCharType="end"/>
      </w:r>
      <w:r>
        <w:fldChar w:fldCharType="begin"/>
      </w:r>
      <w:r>
        <w:instrText xml:space="preserve"> HYPERLINK "https://www.facebook.com/UKHouseofCommons/photos/a.183499548715839/750297535369368/?type=3&amp;theater"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 xml:space="preserve">The team have recently trialled the use of AMAs (Ask me anything’s) on the website Reddit; one with </w:t>
      </w:r>
      <w:r w:rsidRPr="005B5CB6">
        <w:rPr>
          <w:rFonts w:ascii="Verdana" w:eastAsia="Verdana" w:hAnsi="Verdana" w:cs="Verdana"/>
          <w:color w:val="0000FF"/>
          <w:u w:val="single" w:color="0000FF"/>
        </w:rPr>
        <w:t>the Digital Engagement Team itself</w:t>
      </w:r>
      <w:r w:rsidRPr="005B5CB6">
        <w:rPr>
          <w:rFonts w:ascii="Verdana" w:eastAsia="Verdana" w:hAnsi="Verdana" w:cs="Verdana"/>
        </w:rPr>
        <w:t xml:space="preserve"> and one with </w:t>
      </w:r>
      <w:r>
        <w:fldChar w:fldCharType="begin"/>
      </w:r>
      <w:r>
        <w:instrText xml:space="preserve"> HYPERLINK "https://www.reddit.com/r/ukpolitics/comments/c9grfx/ama_announcement_tonia_antoniazzi_mp_9_july_10am/" </w:instrText>
      </w:r>
      <w:r>
        <w:fldChar w:fldCharType="separate"/>
      </w:r>
      <w:r w:rsidRPr="005B5CB6">
        <w:rPr>
          <w:rFonts w:ascii="Verdana" w:eastAsia="Verdana" w:hAnsi="Verdana" w:cs="Verdana"/>
          <w:color w:val="0000FF"/>
          <w:u w:val="single" w:color="0000FF"/>
        </w:rPr>
        <w:t>Tonia Antoniazzi</w:t>
      </w:r>
      <w:r>
        <w:fldChar w:fldCharType="end"/>
      </w:r>
      <w:r>
        <w:fldChar w:fldCharType="begin"/>
      </w:r>
      <w:r>
        <w:instrText xml:space="preserve"> HYPERLINK "https://www.reddit.com/r/ukpolitics/comments/c9grfx/ama_announcement_tonia_antoniazzi_mp_9_july_10am/"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Labour MP for Gower. It’s not something they plan to do more of, but it helps to engage the audience on Reddit who enjoy the different content to that which they are usually asked such as “Tell us your experience about xyz.”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197" w:line="250" w:lineRule="auto"/>
        <w:ind w:right="11" w:hanging="360"/>
        <w:jc w:val="both"/>
        <w:rPr>
          <w:rFonts w:ascii="Verdana" w:hAnsi="Verdana"/>
        </w:rPr>
      </w:pPr>
      <w:r w:rsidRPr="005B5CB6">
        <w:rPr>
          <w:rFonts w:ascii="Verdana" w:eastAsia="Verdana" w:hAnsi="Verdana" w:cs="Verdana"/>
        </w:rPr>
        <w:t xml:space="preserve">Select Committees currently use technology in a number of ways, for example they cultivate their own online communities through Twitter and can use the platform to quickly and easily communicate with their stakeholders, engaging them with their activities and helping with scrutiny. The House of Commons Foreign Affairs Committee used Twitter to source video testimony from </w:t>
      </w:r>
      <w:r w:rsidRPr="005B5CB6">
        <w:rPr>
          <w:rFonts w:ascii="Verdana" w:eastAsia="Verdana" w:hAnsi="Verdana" w:cs="Verdana"/>
        </w:rPr>
        <w:t>journalists around the world for their inquiry into press freedom</w:t>
      </w:r>
      <w:r>
        <w:rPr>
          <w:rFonts w:ascii="Verdana" w:eastAsia="Verdana" w:hAnsi="Verdana" w:cs="Verdana"/>
          <w:vertAlign w:val="superscript"/>
        </w:rPr>
        <w:footnoteReference w:id="438"/>
      </w:r>
      <w:r w:rsidRPr="005B5CB6">
        <w:rPr>
          <w:rFonts w:ascii="Verdana" w:eastAsia="Verdana" w:hAnsi="Verdana" w:cs="Verdana"/>
        </w:rPr>
        <w:t xml:space="preserve"> and the House of Commons Science and Technology Committee used Twitter to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605611" name="Group 605611"/>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641" name="Shape 63664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47" style="height:0.72pt;mso-position-horizontal-relative:char;mso-position-vertical-relative:line;width:2in" coordsize="18288,91">
                <v:shape id="_x0000_s144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CF6BAD">
      <w:pPr>
        <w:spacing w:after="5" w:line="250" w:lineRule="auto"/>
        <w:ind w:left="728" w:right="11" w:hanging="8"/>
        <w:jc w:val="both"/>
        <w:rPr>
          <w:rFonts w:ascii="Verdana" w:hAnsi="Verdana"/>
        </w:rPr>
      </w:pPr>
      <w:r w:rsidRPr="005B5CB6">
        <w:rPr>
          <w:rFonts w:ascii="Verdana" w:eastAsia="Verdana" w:hAnsi="Verdana" w:cs="Verdana"/>
        </w:rPr>
        <w:t>ask for ideas for future inquiries, using the hashtag #MyScienceInquiry</w:t>
      </w:r>
      <w:r>
        <w:rPr>
          <w:rFonts w:ascii="Verdana" w:eastAsia="Verdana" w:hAnsi="Verdana" w:cs="Verdana"/>
          <w:vertAlign w:val="superscript"/>
        </w:rPr>
        <w:footnoteReference w:id="439"/>
      </w:r>
      <w:r w:rsidRPr="005B5CB6">
        <w:rPr>
          <w:rFonts w:ascii="Verdana" w:eastAsia="Verdana" w:hAnsi="Verdana" w:cs="Verdana"/>
        </w:rPr>
        <w:t>. They were then invited in to pitch their ideas to the Committee in person. In 2013 the Commons Education Committee used the hashtag #AskGove to collect questions for the then Education Secretary, which were then asked in an evidence session.</w:t>
      </w:r>
      <w:r>
        <w:rPr>
          <w:rFonts w:ascii="Verdana" w:eastAsia="Verdana" w:hAnsi="Verdana" w:cs="Verdana"/>
          <w:vertAlign w:val="superscript"/>
        </w:rPr>
        <w:footnoteReference w:id="440"/>
      </w:r>
      <w:r w:rsidRPr="005B5CB6">
        <w:rPr>
          <w:rFonts w:ascii="Verdana" w:eastAsia="Verdana" w:hAnsi="Verdana" w:cs="Verdana"/>
        </w:rPr>
        <w:t xml:space="preserve"> The issue here is to reach beyond these communities that actively seek them out and engage with those that don’t follow them on social media but would be interested in their activities. </w:t>
      </w:r>
    </w:p>
    <w:p w:rsidR="00FB0B24" w:rsidRPr="005B5CB6" w:rsidP="00CF6BAD">
      <w:pPr>
        <w:spacing w:after="0"/>
        <w:ind w:left="36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 xml:space="preserve">Committees often create their own online forums or are hosted by a thirdparty provider to ask groups about a topic or question. Using third party forums. For example, </w:t>
      </w:r>
      <w:r w:rsidRPr="005B5CB6">
        <w:rPr>
          <w:rFonts w:ascii="Verdana" w:eastAsia="Verdana" w:hAnsi="Verdana" w:cs="Verdana"/>
          <w:color w:val="222222"/>
        </w:rPr>
        <w:t xml:space="preserve">The House of Commons Work and Pensions Committee had launched </w:t>
      </w:r>
      <w:r w:rsidRPr="005B5CB6">
        <w:rPr>
          <w:rFonts w:ascii="Verdana" w:eastAsia="Verdana" w:hAnsi="Verdana" w:cs="Verdana"/>
        </w:rPr>
        <w:t>an inquiry into the Child Maintenance Service</w:t>
      </w:r>
      <w:r w:rsidRPr="005B5CB6">
        <w:rPr>
          <w:rFonts w:ascii="Verdana" w:eastAsia="Verdana" w:hAnsi="Verdana" w:cs="Verdana"/>
          <w:color w:val="0061A1"/>
        </w:rPr>
        <w:t xml:space="preserve"> </w:t>
      </w:r>
      <w:r w:rsidRPr="005B5CB6">
        <w:rPr>
          <w:rFonts w:ascii="Verdana" w:eastAsia="Verdana" w:hAnsi="Verdana" w:cs="Verdana"/>
        </w:rPr>
        <w:t>and used Mumsnet to speak to parents about the service.</w:t>
      </w:r>
      <w:r>
        <w:rPr>
          <w:rFonts w:ascii="Verdana" w:eastAsia="Verdana" w:hAnsi="Verdana" w:cs="Verdana"/>
          <w:vertAlign w:val="superscript"/>
        </w:rPr>
        <w:footnoteReference w:id="441"/>
      </w:r>
      <w:r w:rsidRPr="005B5CB6">
        <w:rPr>
          <w:rFonts w:ascii="Verdana" w:eastAsia="Verdana" w:hAnsi="Verdana" w:cs="Verdana"/>
        </w:rPr>
        <w:t xml:space="preserve"> This allows committees to reach beyond their normal audiences. Using technology can be an effective way of engaging with targeted groups who may not otherwise feel able to take part. The issue with the current forum technology is that it has poor functionality so committees can be reluctant to use it as it doesn’t do what committees would like it to do. There are also issues around resources and moderating the formats; for example, some committees are worried that if they receive too much information, they won't have enough staff or resources to efficiently deal with the extra data.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 xml:space="preserve">The Education Centre uses technology such as Zoom to connect the Speaker of the House of Commons and Members of the House of Lords to school groups remotely, allowing them to speak to groups of young people that they couldn’t reach otherwise. For the academic year 2018-2019, 27 schools took part in the Ask the Speaker programme, reaching 1220 students. These sessions took place around the Speakers other duties.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 xml:space="preserve">Outreach Officers, the Education Centre and the Select Committee </w:t>
      </w:r>
    </w:p>
    <w:p w:rsidR="00FB0B24" w:rsidRPr="005B5CB6" w:rsidP="00CF6BAD">
      <w:pPr>
        <w:spacing w:after="272" w:line="250" w:lineRule="auto"/>
        <w:ind w:left="728" w:right="11" w:hanging="8"/>
        <w:jc w:val="both"/>
        <w:rPr>
          <w:rFonts w:ascii="Verdana" w:hAnsi="Verdana"/>
        </w:rPr>
      </w:pPr>
      <w:r w:rsidRPr="005B5CB6">
        <w:rPr>
          <w:rFonts w:ascii="Verdana" w:eastAsia="Verdana" w:hAnsi="Verdana" w:cs="Verdana"/>
        </w:rPr>
        <w:t xml:space="preserve">Engagement Team have started using voting pods to poll people's views and thoughts on a wide variety of questions and inquiry topics, providing opportunity for the audiences that the Outreach and Education Centre teams are already delivering sessions to the chance to feed into UK Parliamentary business. The groups being reached using this technology tend to be young people and members of groups UK Parliament finds hard to reach. The use of </w:t>
      </w:r>
      <w:r w:rsidRPr="005B5CB6">
        <w:rPr>
          <w:rFonts w:ascii="Verdana" w:eastAsia="Verdana" w:hAnsi="Verdana" w:cs="Verdana"/>
        </w:rPr>
        <w:t>the pods also allows a change of relationship between officers and the groups they poll; switching from broadcasting information about UK Parliament to actively participating in its work. Voting pods have been used to collect people’s views for a number of different inquires including those on fireworks</w:t>
      </w:r>
      <w:r>
        <w:rPr>
          <w:rFonts w:ascii="Verdana" w:eastAsia="Verdana" w:hAnsi="Verdana" w:cs="Verdana"/>
          <w:vertAlign w:val="superscript"/>
        </w:rPr>
        <w:footnoteReference w:id="442"/>
      </w:r>
      <w:r w:rsidRPr="005B5CB6">
        <w:rPr>
          <w:rFonts w:ascii="Verdana" w:eastAsia="Verdana" w:hAnsi="Verdana" w:cs="Verdana"/>
        </w:rPr>
        <w:t xml:space="preserve"> for the Petitions Committee and the Science and Technology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605688" name="Group 60568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643" name="Shape 63664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49" style="height:0.72pt;mso-position-horizontal-relative:char;mso-position-vertical-relative:line;width:2in" coordsize="18288,91">
                <v:shape id="_x0000_s1450"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CF6BAD">
      <w:pPr>
        <w:spacing w:after="5" w:line="250" w:lineRule="auto"/>
        <w:ind w:left="728" w:right="11" w:hanging="8"/>
        <w:jc w:val="both"/>
        <w:rPr>
          <w:rFonts w:ascii="Verdana" w:hAnsi="Verdana"/>
        </w:rPr>
      </w:pPr>
      <w:r w:rsidRPr="005B5CB6">
        <w:rPr>
          <w:rFonts w:ascii="Verdana" w:eastAsia="Verdana" w:hAnsi="Verdana" w:cs="Verdana"/>
        </w:rPr>
        <w:t>Committee inquiry into the impact of social media and screen use on young people’s health.</w:t>
      </w:r>
      <w:r>
        <w:rPr>
          <w:rFonts w:ascii="Verdana" w:eastAsia="Verdana" w:hAnsi="Verdana" w:cs="Verdana"/>
          <w:vertAlign w:val="superscript"/>
        </w:rPr>
        <w:footnoteReference w:id="443"/>
      </w:r>
      <w:r w:rsidRPr="005B5CB6">
        <w:rPr>
          <w:rFonts w:ascii="Verdana" w:eastAsia="Verdana" w:hAnsi="Verdana" w:cs="Verdana"/>
        </w:rPr>
        <w:t xml:space="preserve"> Voting pods and polling are a quick, easy and fun way to engage with groups on a topic whilst raising their awareness about committees and inquiries.  </w:t>
      </w:r>
    </w:p>
    <w:p w:rsidR="00FB0B24" w:rsidRPr="005B5CB6" w:rsidP="00CF6BAD">
      <w:pPr>
        <w:spacing w:after="0"/>
        <w:ind w:left="36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 xml:space="preserve">In the case of the social media and screen use inquiry, committee staff met with a visiting school to UK Parliament (the school were already booked in for a visit to UK Parliament’s Education Centre) and consulted directly with 25 students from year 9 and year 11. These connections were further utilised during this inquiry to trial two innovative methods of engagement. The Committee polled 942 young people (aged 8-16) from 31 different schools visiting the Education Centre at UK Parliament and those being visited by Education and Engagement Outreach Officers across the UK, were anonymously polled using hand held voting pods, where they picked responses to closed questions written by the engagement team and committee staff.  The results of the polling activity were included in the Committee’s final report (Fourteenth report of session 2017-19, HC 822) and helped to strengthen the recommendations.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 xml:space="preserve">Online voting is the next step in using technology to enhance democratic participation. While there are lots of arguments for and against it, it seems striking that these have not been given the attention and scrutiny that they warrant in a UK Parliamentary setting. It should be the subject of a committee inquiry, so that the relevant issues can be thoroughly assessed by UK Parliamentarians.  </w:t>
      </w:r>
    </w:p>
    <w:p w:rsidR="00FB0B24" w:rsidRPr="005B5CB6" w:rsidP="00CF6BAD">
      <w:pPr>
        <w:spacing w:after="0"/>
        <w:ind w:left="357"/>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 xml:space="preserve">We have mentioned above the use of technologies for institutions and elected representatives to connect with remote or rural groups, those that cannot make it to London or to face-to-face events organised in other regions by the UK Parliament. Using tools like zoom would engage remote communities, connecting them to the decision making centre and potentially reducing their isolation; it would allow voices that usually aren’t heard to speak directly to MPs, engage those voices in a positive way and reducing their alienation from the decision making process; and it would add value and improve the decision making process by adding new experiences, ideas and testimony that wouldn’t </w:t>
      </w:r>
      <w:r w:rsidRPr="005B5CB6">
        <w:rPr>
          <w:rFonts w:ascii="Verdana" w:eastAsia="Verdana" w:hAnsi="Verdana" w:cs="Verdana"/>
        </w:rPr>
        <w:t xml:space="preserve">be heard otherwise.  Before proceeding with the use of this technology, such as Zoom, The Select Committee Engagement Team needs to understand the appetite within committees for using these tools to hear from the public in this way. </w:t>
      </w:r>
    </w:p>
    <w:p w:rsidR="00FB0B24" w:rsidRPr="005B5CB6" w:rsidP="00CF6BAD">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277" w:line="250" w:lineRule="auto"/>
        <w:ind w:right="11" w:hanging="360"/>
        <w:jc w:val="both"/>
        <w:rPr>
          <w:rFonts w:ascii="Verdana" w:hAnsi="Verdana"/>
        </w:rPr>
      </w:pPr>
      <w:r w:rsidRPr="005B5CB6">
        <w:rPr>
          <w:rFonts w:ascii="Verdana" w:eastAsia="Verdana" w:hAnsi="Verdana" w:cs="Verdana"/>
        </w:rPr>
        <w:t xml:space="preserve">The Participation team aims to ensure that as much information as possible is available to the public and, through the House of Commons Inquiry Service regularly provides information for the public to be able to understand the processes of UK Parliament and how they relate to current events, for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605386" name="Group 605386"/>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645" name="Shape 63664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51" style="height:0.72pt;mso-position-horizontal-relative:char;mso-position-vertical-relative:line;width:2in" coordsize="18288,91">
                <v:shape id="_x0000_s1452"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CF6BAD">
      <w:pPr>
        <w:spacing w:after="165" w:line="250" w:lineRule="auto"/>
        <w:ind w:left="728" w:right="11" w:hanging="8"/>
        <w:jc w:val="both"/>
        <w:rPr>
          <w:rFonts w:ascii="Verdana" w:hAnsi="Verdana"/>
        </w:rPr>
      </w:pPr>
      <w:r w:rsidRPr="005B5CB6">
        <w:rPr>
          <w:rFonts w:ascii="Verdana" w:eastAsia="Verdana" w:hAnsi="Verdana" w:cs="Verdana"/>
        </w:rPr>
        <w:t>example around the Brexit votes that have taken place in the chamber or prorogation. Some information is online</w:t>
      </w:r>
      <w:r>
        <w:rPr>
          <w:rFonts w:ascii="Verdana" w:eastAsia="Verdana" w:hAnsi="Verdana" w:cs="Verdana"/>
          <w:vertAlign w:val="superscript"/>
        </w:rPr>
        <w:footnoteReference w:id="444"/>
      </w:r>
      <w:r w:rsidRPr="005B5CB6">
        <w:rPr>
          <w:rFonts w:ascii="Verdana" w:eastAsia="Verdana" w:hAnsi="Verdana" w:cs="Verdana"/>
        </w:rPr>
        <w:t xml:space="preserve"> and other information is provided through social media</w:t>
      </w:r>
      <w:r>
        <w:rPr>
          <w:rFonts w:ascii="Verdana" w:eastAsia="Verdana" w:hAnsi="Verdana" w:cs="Verdana"/>
          <w:vertAlign w:val="superscript"/>
        </w:rPr>
        <w:footnoteReference w:id="445"/>
      </w:r>
      <w:r w:rsidRPr="005B5CB6">
        <w:rPr>
          <w:rFonts w:ascii="Verdana" w:eastAsia="Verdana" w:hAnsi="Verdana" w:cs="Verdana"/>
        </w:rPr>
        <w:t xml:space="preserve"> for example, when UK Parliament returned after prorogation was deemed unlawful, the UK Parliament tweeted a thread about what would happen next. A central digital engagement space could be created for people to engage with UK Parliament that includes an online digital toolkit to encourage citizen participation, a consultation platform where people can be reached, their contributions managed appropriately and effectively, and the data they supply used to help make or to inform decisions. It’s also important that this technology helps to close the feedback loop to ensure participants are informed of any decisions taken following their contribution. This platform should be accessible from many different platforms e.g. phones, desktop etc.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 xml:space="preserve">The Digital Engagement Team contains team members who currently also work for / have worked for the House of Commons Enquiry Service, and from their experience one thing which would be very beneficial would be a central Government Enquiry Service. While technology provides opportunities to connect citizens with the government, we should not forget that new technologies are not universally accessible. The Government could be contactable by the public via all reasonable channels, with a central phoneline to redirect calls to specific departments where appropriate.  </w:t>
      </w:r>
    </w:p>
    <w:p w:rsidR="00FB0B24" w:rsidRPr="005B5CB6" w:rsidP="00CF6BAD">
      <w:pPr>
        <w:spacing w:after="0"/>
        <w:ind w:left="721"/>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165" w:line="250" w:lineRule="auto"/>
        <w:ind w:right="11" w:hanging="360"/>
        <w:jc w:val="both"/>
        <w:rPr>
          <w:rFonts w:ascii="Verdana" w:hAnsi="Verdana"/>
        </w:rPr>
      </w:pPr>
      <w:r w:rsidRPr="005B5CB6">
        <w:rPr>
          <w:rFonts w:ascii="Verdana" w:eastAsia="Verdana" w:hAnsi="Verdana" w:cs="Verdana"/>
        </w:rPr>
        <w:t>UK Parliament and elected representatives could use the current tools at their disposal, and new innovative tools and forums, to highlight and digitally scrutinise relevant legislation There are digital tools used by various national and local governments and UK Parliaments all over the world (best highlighted in this document created by NESTA</w:t>
      </w:r>
      <w:r>
        <w:rPr>
          <w:rFonts w:ascii="Verdana" w:eastAsia="Verdana" w:hAnsi="Verdana" w:cs="Verdana"/>
          <w:vertAlign w:val="superscript"/>
        </w:rPr>
        <w:footnoteReference w:id="446"/>
      </w:r>
      <w:r w:rsidRPr="005B5CB6">
        <w:rPr>
          <w:rFonts w:ascii="Verdana" w:eastAsia="Verdana" w:hAnsi="Verdana" w:cs="Verdana"/>
        </w:rPr>
        <w:t xml:space="preserve">) to engage their citizens in scrutinising their laws and decision making. Using open, digital platforms targeted at those most likely to be affected by legislation could produce better, more effective and efficient legislation.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260" w:line="250" w:lineRule="auto"/>
        <w:ind w:right="11" w:hanging="360"/>
        <w:jc w:val="both"/>
        <w:rPr>
          <w:rFonts w:ascii="Verdana" w:hAnsi="Verdana"/>
        </w:rPr>
      </w:pPr>
      <w:r w:rsidRPr="005B5CB6">
        <w:rPr>
          <w:rFonts w:ascii="Verdana" w:eastAsia="Verdana" w:hAnsi="Verdana" w:cs="Verdana"/>
        </w:rPr>
        <w:t xml:space="preserve">The UK Parliament engages people best when its different teams collaborate, and technology can help drive that collaboration. the example of outreach teams and select committees use of voting pods to engage participants with inquiries is a good example of this, linking engagement work to the work of the House. Similarly using the institutions social media channels to inform people of what is happening in the chambers and behind the scenes. The UK Parliament should encourage this continued cooperation between the different teams that exist within UK Parliament; Particularly using the parts that are public facing to encourage people towards the work of the House.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604742" name="Group 60474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647" name="Shape 63664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53" style="height:0.72pt;mso-position-horizontal-relative:char;mso-position-vertical-relative:line;width:2in" coordsize="18288,91">
                <v:shape id="_x0000_s1454"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A positive example within the UK Parliament of technology being used to benefit democracy is the petition into funding for brain tumour research</w:t>
      </w:r>
      <w:r>
        <w:rPr>
          <w:rFonts w:ascii="Verdana" w:eastAsia="Verdana" w:hAnsi="Verdana" w:cs="Verdana"/>
          <w:vertAlign w:val="superscript"/>
        </w:rPr>
        <w:footnoteReference w:id="447"/>
      </w:r>
      <w:r w:rsidRPr="005B5CB6">
        <w:rPr>
          <w:rFonts w:ascii="Verdana" w:eastAsia="Verdana" w:hAnsi="Verdana" w:cs="Verdana"/>
        </w:rPr>
        <w:t xml:space="preserve">. The Petitions system has been criticised for its failures to result in real change, even when petitions have gathered substantial support. This can be seen particularly with petitions relating to Brexit. However, the petition into funding for brain tumour research did result in a tangible change to government policy - the change it suggested was considered thoroughly and acted on relatively swiftly. It is inevitably impossible for all petitions to result in a change to government policy, but any changes, even small and infrequent ones, as a result of direct action like signing a petition show people that engaging with the system matters.    </w:t>
      </w:r>
    </w:p>
    <w:p w:rsidR="00FB0B24" w:rsidRPr="005B5CB6" w:rsidP="00CF6BAD">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UK Parliament now needs to take the next step and move from using technology to ‘broadcast’ to and inform the public to embracing and embedding, the more interactive ways to engage the public that allow them to have direct engagement, with the potential to shape UK Parliamentary business.  The UK Parliament has launched things like the UK Parliament Explained podcast</w:t>
      </w:r>
      <w:r w:rsidRPr="005B5CB6">
        <w:rPr>
          <w:rFonts w:ascii="Verdana" w:eastAsia="Verdana" w:hAnsi="Verdana" w:cs="Verdana"/>
          <w:vertAlign w:val="superscript"/>
        </w:rPr>
        <w:t>14</w:t>
      </w:r>
      <w:r w:rsidRPr="005B5CB6">
        <w:rPr>
          <w:rFonts w:ascii="Verdana" w:eastAsia="Verdana" w:hAnsi="Verdana" w:cs="Verdana"/>
        </w:rPr>
        <w:t>. This podcast guides the listener through the inner workings of the UK Parliament – what UK Parliament is, how UK Parliament scrutinises the work of the Government, and how they can get involved. Committees have started working with academics to trial digital engagement methods, such as Discourse</w:t>
      </w:r>
      <w:r>
        <w:rPr>
          <w:rFonts w:ascii="Verdana" w:eastAsia="Verdana" w:hAnsi="Verdana" w:cs="Verdana"/>
          <w:vertAlign w:val="superscript"/>
        </w:rPr>
        <w:footnoteReference w:id="448"/>
      </w:r>
      <w:r w:rsidRPr="005B5CB6">
        <w:rPr>
          <w:rFonts w:ascii="Verdana" w:eastAsia="Verdana" w:hAnsi="Verdana" w:cs="Verdana"/>
        </w:rPr>
        <w:t xml:space="preserve">, to improve the conversations and feedback they are getting from forums. Elected representatives need to have adequate training in how to use i new technology  </w:t>
      </w:r>
    </w:p>
    <w:p w:rsidR="00FB0B24" w:rsidRPr="005B5CB6" w:rsidP="00CF6BAD">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 xml:space="preserve">Several examples also exist outside of UK Parliament. Estonia is often referred to as a digital democracy. Most government services are fully digitised and available online, and citizens can engage with democracy in a range of areas including online voting in elections.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0"/>
        <w:ind w:left="68"/>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5" w:line="250" w:lineRule="auto"/>
        <w:ind w:right="11" w:hanging="360"/>
        <w:jc w:val="both"/>
        <w:rPr>
          <w:rFonts w:ascii="Verdana" w:hAnsi="Verdana"/>
        </w:rPr>
      </w:pPr>
      <w:r w:rsidRPr="005B5CB6">
        <w:rPr>
          <w:rFonts w:ascii="Verdana" w:eastAsia="Verdana" w:hAnsi="Verdana" w:cs="Verdana"/>
        </w:rPr>
        <w:t>The ‘Talk London’ platform</w:t>
      </w:r>
      <w:r w:rsidRPr="005B5CB6">
        <w:rPr>
          <w:rFonts w:ascii="Verdana" w:eastAsia="Verdana" w:hAnsi="Verdana" w:cs="Verdana"/>
          <w:vertAlign w:val="superscript"/>
        </w:rPr>
        <w:t>16</w:t>
      </w:r>
      <w:r w:rsidRPr="005B5CB6">
        <w:rPr>
          <w:rFonts w:ascii="Verdana" w:eastAsia="Verdana" w:hAnsi="Verdana" w:cs="Verdana"/>
        </w:rPr>
        <w:t xml:space="preserve"> provides London residents with the opportunity to engage with policy proposals, directed both centrally from the Mayor’s Office and from residents themselves. This is something which would be valuable if rolled out in other cities too. It may work to inform whether / how a similar platform could ever exist for national issues.   </w:t>
      </w:r>
    </w:p>
    <w:p w:rsidR="00FB0B24" w:rsidRPr="005B5CB6" w:rsidP="00CF6BAD">
      <w:pPr>
        <w:spacing w:after="0"/>
        <w:ind w:left="67"/>
        <w:jc w:val="both"/>
        <w:rPr>
          <w:rFonts w:ascii="Verdana" w:hAnsi="Verdana"/>
        </w:rPr>
      </w:pPr>
      <w:r w:rsidRPr="005B5CB6">
        <w:rPr>
          <w:rFonts w:ascii="Verdana" w:eastAsia="Verdana" w:hAnsi="Verdana" w:cs="Verdana"/>
        </w:rPr>
        <w:t xml:space="preserve"> </w:t>
      </w:r>
    </w:p>
    <w:p w:rsidR="00FB0B24" w:rsidRPr="005B5CB6" w:rsidP="00575F14">
      <w:pPr>
        <w:numPr>
          <w:ilvl w:val="0"/>
          <w:numId w:val="260"/>
        </w:numPr>
        <w:spacing w:after="188" w:line="250" w:lineRule="auto"/>
        <w:ind w:right="11" w:hanging="360"/>
        <w:jc w:val="both"/>
        <w:rPr>
          <w:rFonts w:ascii="Verdana" w:hAnsi="Verdana"/>
        </w:rPr>
      </w:pPr>
      <w:r w:rsidRPr="005B5CB6">
        <w:rPr>
          <w:rFonts w:ascii="Verdana" w:eastAsia="Verdana" w:hAnsi="Verdana" w:cs="Verdana"/>
        </w:rPr>
        <w:t xml:space="preserve">Participatory Budgeting happens in a variety of cities around the world including those in Spain, Iceland, and some Latin American countries. There is a wealth of research showing how this can be done effectively in a way which prompts citizens to deepen their engagement with democracy.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604595" name="Group 60459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651" name="Shape 63665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55" style="height:0.72pt;mso-position-horizontal-relative:char;mso-position-vertical-relative:line;width:2in" coordsize="18288,91">
                <v:shape id="_x0000_s1456"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CF6BAD">
      <w:pPr>
        <w:spacing w:after="159"/>
        <w:jc w:val="both"/>
        <w:rPr>
          <w:rFonts w:ascii="Verdana" w:hAnsi="Verdana"/>
        </w:rPr>
      </w:pPr>
      <w:r w:rsidRPr="005B5CB6">
        <w:rPr>
          <w:rFonts w:ascii="Verdana" w:eastAsia="Verdana" w:hAnsi="Verdana" w:cs="Verdana"/>
        </w:rPr>
        <w:t xml:space="preserve"> </w:t>
      </w:r>
    </w:p>
    <w:p w:rsidR="00FB0B24" w:rsidRPr="005B5CB6" w:rsidP="00CF6BAD">
      <w:pPr>
        <w:pStyle w:val="Heading2"/>
        <w:rPr>
          <w:sz w:val="22"/>
        </w:rPr>
      </w:pPr>
      <w:r w:rsidRPr="005B5CB6">
        <w:rPr>
          <w:b w:val="0"/>
          <w:sz w:val="22"/>
        </w:rPr>
        <w:t xml:space="preserve"> Education </w:t>
      </w:r>
      <w:r w:rsidRPr="005B5CB6">
        <w:rPr>
          <w:sz w:val="22"/>
        </w:rPr>
        <w:t xml:space="preserve"> </w:t>
      </w:r>
    </w:p>
    <w:p w:rsidR="00FB0B24" w:rsidRPr="005B5CB6" w:rsidP="00575F14">
      <w:pPr>
        <w:numPr>
          <w:ilvl w:val="0"/>
          <w:numId w:val="261"/>
        </w:numPr>
        <w:spacing w:after="36" w:line="250" w:lineRule="auto"/>
        <w:ind w:right="11" w:hanging="360"/>
        <w:jc w:val="both"/>
        <w:rPr>
          <w:rFonts w:ascii="Verdana" w:hAnsi="Verdana"/>
        </w:rPr>
      </w:pPr>
      <w:r w:rsidRPr="005B5CB6">
        <w:rPr>
          <w:rFonts w:ascii="Verdana" w:eastAsia="Verdana" w:hAnsi="Verdana" w:cs="Verdana"/>
        </w:rPr>
        <w:t>Young people are digital natives and will expect to engage with the UK Parliament through digital means. A key to engaging with young people will be through the educational process. The Education and Engagement Team engages young people and teaches them about UK Parliament and democracy in numerous ways, including the Education Centre, Outreach sessions in schools</w:t>
      </w:r>
      <w:r>
        <w:rPr>
          <w:rFonts w:ascii="Verdana" w:eastAsia="Verdana" w:hAnsi="Verdana" w:cs="Verdana"/>
          <w:vertAlign w:val="superscript"/>
        </w:rPr>
        <w:footnoteReference w:id="449"/>
      </w:r>
      <w:r w:rsidRPr="005B5CB6">
        <w:rPr>
          <w:rFonts w:ascii="Verdana" w:eastAsia="Verdana" w:hAnsi="Verdana" w:cs="Verdana"/>
        </w:rPr>
        <w:t>, teacher engagement through the Teachers Institute programme</w:t>
      </w:r>
      <w:r>
        <w:rPr>
          <w:rFonts w:ascii="Verdana" w:eastAsia="Verdana" w:hAnsi="Verdana" w:cs="Verdana"/>
          <w:vertAlign w:val="superscript"/>
        </w:rPr>
        <w:footnoteReference w:id="450"/>
      </w:r>
      <w:r w:rsidRPr="005B5CB6">
        <w:rPr>
          <w:rFonts w:ascii="Verdana" w:eastAsia="Verdana" w:hAnsi="Verdana" w:cs="Verdana"/>
        </w:rPr>
        <w:t xml:space="preserve"> and online through digital resources.  </w:t>
      </w:r>
    </w:p>
    <w:p w:rsidR="00FB0B24" w:rsidRPr="005B5CB6" w:rsidP="00CF6BAD">
      <w:pPr>
        <w:spacing w:after="1"/>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261"/>
        </w:numPr>
        <w:spacing w:after="5" w:line="250" w:lineRule="auto"/>
        <w:ind w:right="11" w:hanging="360"/>
        <w:jc w:val="both"/>
        <w:rPr>
          <w:rFonts w:ascii="Verdana" w:hAnsi="Verdana"/>
        </w:rPr>
      </w:pPr>
      <w:r w:rsidRPr="005B5CB6">
        <w:rPr>
          <w:rFonts w:ascii="Verdana" w:eastAsia="Verdana" w:hAnsi="Verdana" w:cs="Verdana"/>
        </w:rPr>
        <w:t>The UK Parliament has been working with Future Learn</w:t>
      </w:r>
      <w:r>
        <w:rPr>
          <w:rFonts w:ascii="Verdana" w:eastAsia="Verdana" w:hAnsi="Verdana" w:cs="Verdana"/>
          <w:vertAlign w:val="superscript"/>
        </w:rPr>
        <w:footnoteReference w:id="451"/>
      </w:r>
      <w:r w:rsidRPr="005B5CB6">
        <w:rPr>
          <w:rFonts w:ascii="Verdana" w:eastAsia="Verdana" w:hAnsi="Verdana" w:cs="Verdana"/>
        </w:rPr>
        <w:t>, the social learning platform, to offer a variety of courses on the work and role of the UK Parliament. We have created a Massive Online Open Course, or MOOC, to help those that want to learn more about UK Parliament and in this particular example learn about select committees and how they scrutinise the work of government - UK Parliament Explored: the Work and Role of Select Committees.</w:t>
      </w:r>
      <w:r>
        <w:rPr>
          <w:rFonts w:ascii="Verdana" w:eastAsia="Verdana" w:hAnsi="Verdana" w:cs="Verdana"/>
          <w:vertAlign w:val="superscript"/>
        </w:rPr>
        <w:footnoteReference w:id="452"/>
      </w:r>
      <w:r w:rsidRPr="005B5CB6">
        <w:rPr>
          <w:rFonts w:ascii="Verdana" w:eastAsia="Verdana" w:hAnsi="Verdana" w:cs="Verdana"/>
        </w:rPr>
        <w:t xml:space="preserve"> People work through the course at their own speed, can communicate with other learners through a comments section and ask questions of moderators who can explain more, point towards further reading or give practical examples. Open to all, these free courses are valuable for teachers to undertake Continuous Personal Development but are also suitable for older students looking to enhance their understanding of the UK Parliament and Government. </w:t>
      </w:r>
    </w:p>
    <w:p w:rsidR="00FB0B24" w:rsidRPr="005B5CB6" w:rsidP="00CF6BAD">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261"/>
        </w:numPr>
        <w:spacing w:after="5" w:line="250" w:lineRule="auto"/>
        <w:ind w:right="11" w:hanging="360"/>
        <w:jc w:val="both"/>
        <w:rPr>
          <w:rFonts w:ascii="Verdana" w:hAnsi="Verdana"/>
        </w:rPr>
      </w:pPr>
      <w:r w:rsidRPr="005B5CB6">
        <w:rPr>
          <w:rFonts w:ascii="Verdana" w:eastAsia="Verdana" w:hAnsi="Verdana" w:cs="Verdana"/>
        </w:rPr>
        <w:t>The UK Parliament website allows teachers to download a host of resources for teachers to use.</w:t>
      </w:r>
      <w:r>
        <w:rPr>
          <w:rFonts w:ascii="Verdana" w:eastAsia="Verdana" w:hAnsi="Verdana" w:cs="Verdana"/>
          <w:vertAlign w:val="superscript"/>
        </w:rPr>
        <w:footnoteReference w:id="453"/>
      </w:r>
      <w:r w:rsidRPr="005B5CB6">
        <w:rPr>
          <w:rFonts w:ascii="Verdana" w:eastAsia="Verdana" w:hAnsi="Verdana" w:cs="Verdana"/>
        </w:rPr>
        <w:t xml:space="preserve"> We offer a range of curriculum-based resources to support </w:t>
      </w:r>
      <w:r w:rsidRPr="005B5CB6">
        <w:rPr>
          <w:rFonts w:ascii="Verdana" w:eastAsia="Verdana" w:hAnsi="Verdana" w:cs="Verdana"/>
        </w:rPr>
        <w:t>teaching about UK Parliament and democracy, informed by a development framework.</w:t>
      </w:r>
      <w:r>
        <w:rPr>
          <w:rFonts w:ascii="Verdana" w:eastAsia="Verdana" w:hAnsi="Verdana" w:cs="Verdana"/>
          <w:vertAlign w:val="superscript"/>
        </w:rPr>
        <w:footnoteReference w:id="454"/>
      </w:r>
      <w:r w:rsidRPr="005B5CB6">
        <w:rPr>
          <w:rFonts w:ascii="Verdana" w:eastAsia="Verdana" w:hAnsi="Verdana" w:cs="Verdana"/>
        </w:rPr>
        <w:t xml:space="preserve"> This framework places our key messages in the appropriate curricular context, maximising UK Parliament's educational value to teachers and learners. </w:t>
      </w:r>
    </w:p>
    <w:p w:rsidR="00FB0B24" w:rsidRPr="005B5CB6" w:rsidP="00CF6BAD">
      <w:pPr>
        <w:spacing w:after="159"/>
        <w:ind w:left="720"/>
        <w:jc w:val="both"/>
        <w:rPr>
          <w:rFonts w:ascii="Verdana" w:hAnsi="Verdana"/>
        </w:rPr>
      </w:pPr>
      <w:r w:rsidRPr="005B5CB6">
        <w:rPr>
          <w:rFonts w:ascii="Verdana" w:eastAsia="Verdana" w:hAnsi="Verdana" w:cs="Verdana"/>
        </w:rPr>
        <w:t xml:space="preserve"> </w:t>
      </w:r>
    </w:p>
    <w:p w:rsidR="00FB0B24" w:rsidRPr="005B5CB6" w:rsidP="00CF6BAD">
      <w:pPr>
        <w:pStyle w:val="Heading2"/>
        <w:rPr>
          <w:sz w:val="22"/>
        </w:rPr>
      </w:pPr>
      <w:r w:rsidRPr="005B5CB6">
        <w:rPr>
          <w:b w:val="0"/>
          <w:sz w:val="22"/>
        </w:rPr>
        <w:t xml:space="preserve">Recommendations </w:t>
      </w:r>
    </w:p>
    <w:p w:rsidR="00FB0B24" w:rsidRPr="005B5CB6" w:rsidP="00575F14">
      <w:pPr>
        <w:numPr>
          <w:ilvl w:val="0"/>
          <w:numId w:val="262"/>
        </w:numPr>
        <w:spacing w:after="5" w:line="250" w:lineRule="auto"/>
        <w:ind w:right="11" w:hanging="355"/>
        <w:jc w:val="both"/>
        <w:rPr>
          <w:rFonts w:ascii="Verdana" w:hAnsi="Verdana"/>
        </w:rPr>
      </w:pPr>
      <w:r w:rsidRPr="005B5CB6">
        <w:rPr>
          <w:rFonts w:ascii="Verdana" w:eastAsia="Verdana" w:hAnsi="Verdana" w:cs="Verdana"/>
        </w:rPr>
        <w:t xml:space="preserve">Connect the large numbers of people that use the Petitions Committee website to the other UK Parliamentary business they can get involved in. </w:t>
      </w:r>
    </w:p>
    <w:p w:rsidR="00FB0B24" w:rsidRPr="005B5CB6" w:rsidP="00575F14">
      <w:pPr>
        <w:numPr>
          <w:ilvl w:val="0"/>
          <w:numId w:val="262"/>
        </w:numPr>
        <w:spacing w:after="5" w:line="250" w:lineRule="auto"/>
        <w:ind w:right="11" w:hanging="355"/>
        <w:jc w:val="both"/>
        <w:rPr>
          <w:rFonts w:ascii="Verdana" w:hAnsi="Verdana"/>
        </w:rPr>
      </w:pPr>
      <w:r w:rsidRPr="005B5CB6">
        <w:rPr>
          <w:rFonts w:ascii="Verdana" w:eastAsia="Verdana" w:hAnsi="Verdana" w:cs="Verdana"/>
        </w:rPr>
        <w:t xml:space="preserve">Use technology to help Select Committees reach beyond their core audiences by providing them with the confidence and resources to use innovative new technology and software.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605200" name="Group 60520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653" name="Shape 63665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57" style="height:0.72pt;mso-position-horizontal-relative:char;mso-position-vertical-relative:line;width:2in" coordsize="18288,91">
                <v:shape id="_x0000_s145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0"/>
          <w:numId w:val="262"/>
        </w:numPr>
        <w:spacing w:after="5" w:line="250" w:lineRule="auto"/>
        <w:ind w:right="11" w:hanging="355"/>
        <w:jc w:val="both"/>
        <w:rPr>
          <w:rFonts w:ascii="Verdana" w:hAnsi="Verdana"/>
        </w:rPr>
      </w:pPr>
      <w:r w:rsidRPr="005B5CB6">
        <w:rPr>
          <w:rFonts w:ascii="Verdana" w:eastAsia="Verdana" w:hAnsi="Verdana" w:cs="Verdana"/>
        </w:rPr>
        <w:t xml:space="preserve">Take advantage of new tele communications software and better internet links and wireless technology to connect remote communities with the work of UK Parliament and to help explain decisions or issues and create real conversation. This means that engagement that traditionally would’ve happened face-to-face or ‘in person’ can now happen online allowing more people to be reached across the UK. </w:t>
      </w:r>
    </w:p>
    <w:p w:rsidR="00FB0B24" w:rsidRPr="005B5CB6" w:rsidP="00575F14">
      <w:pPr>
        <w:numPr>
          <w:ilvl w:val="0"/>
          <w:numId w:val="262"/>
        </w:numPr>
        <w:spacing w:after="5" w:line="250" w:lineRule="auto"/>
        <w:ind w:right="11" w:hanging="355"/>
        <w:jc w:val="both"/>
        <w:rPr>
          <w:rFonts w:ascii="Verdana" w:hAnsi="Verdana"/>
        </w:rPr>
      </w:pPr>
      <w:r w:rsidRPr="005B5CB6">
        <w:rPr>
          <w:rFonts w:ascii="Verdana" w:eastAsia="Verdana" w:hAnsi="Verdana" w:cs="Verdana"/>
        </w:rPr>
        <w:t xml:space="preserve">Use technology, such as polling, to gather people’s views and experiences to allow people to invest more in the scrutiny process and use technology to ensure they receive feedback on their engagement. </w:t>
      </w:r>
    </w:p>
    <w:p w:rsidR="00FB0B24" w:rsidRPr="005B5CB6" w:rsidP="00575F14">
      <w:pPr>
        <w:numPr>
          <w:ilvl w:val="0"/>
          <w:numId w:val="262"/>
        </w:numPr>
        <w:spacing w:after="5" w:line="250" w:lineRule="auto"/>
        <w:ind w:right="11" w:hanging="355"/>
        <w:jc w:val="both"/>
        <w:rPr>
          <w:rFonts w:ascii="Verdana" w:hAnsi="Verdana"/>
        </w:rPr>
      </w:pPr>
      <w:r w:rsidRPr="005B5CB6">
        <w:rPr>
          <w:rFonts w:ascii="Verdana" w:eastAsia="Verdana" w:hAnsi="Verdana" w:cs="Verdana"/>
        </w:rPr>
        <w:t xml:space="preserve">Make information accessible to all online through a better digital platform that is easy to use. This digital platform should give opportunity for participants to shape and directly participate in UK Parliamentary business. </w:t>
      </w:r>
    </w:p>
    <w:p w:rsidR="00FB0B24" w:rsidRPr="005B5CB6" w:rsidP="00575F14">
      <w:pPr>
        <w:numPr>
          <w:ilvl w:val="0"/>
          <w:numId w:val="262"/>
        </w:numPr>
        <w:spacing w:after="5" w:line="250" w:lineRule="auto"/>
        <w:ind w:right="11" w:hanging="355"/>
        <w:jc w:val="both"/>
        <w:rPr>
          <w:rFonts w:ascii="Verdana" w:hAnsi="Verdana"/>
        </w:rPr>
      </w:pPr>
      <w:r w:rsidRPr="005B5CB6">
        <w:rPr>
          <w:rFonts w:ascii="Verdana" w:eastAsia="Verdana" w:hAnsi="Verdana" w:cs="Verdana"/>
        </w:rPr>
        <w:t xml:space="preserve">Increase cooperation between departments in the UK Parliament to better connect the offline work of UK Parliament with online engagement. </w:t>
      </w:r>
    </w:p>
    <w:p w:rsidR="00FB0B24" w:rsidRPr="005B5CB6" w:rsidP="00575F14">
      <w:pPr>
        <w:numPr>
          <w:ilvl w:val="0"/>
          <w:numId w:val="262"/>
        </w:numPr>
        <w:spacing w:after="5" w:line="250" w:lineRule="auto"/>
        <w:ind w:right="11" w:hanging="355"/>
        <w:jc w:val="both"/>
        <w:rPr>
          <w:rFonts w:ascii="Verdana" w:hAnsi="Verdana"/>
        </w:rPr>
      </w:pPr>
      <w:r w:rsidRPr="005B5CB6">
        <w:rPr>
          <w:rFonts w:ascii="Verdana" w:eastAsia="Verdana" w:hAnsi="Verdana" w:cs="Verdana"/>
        </w:rPr>
        <w:t xml:space="preserve">Building on the use of online forums to gather experiences, trial and if successful invest in innovative online platforms to help scrutinize legislation.  </w:t>
      </w:r>
    </w:p>
    <w:p w:rsidR="00FB0B24" w:rsidRPr="005B5CB6" w:rsidP="00575F14">
      <w:pPr>
        <w:numPr>
          <w:ilvl w:val="0"/>
          <w:numId w:val="262"/>
        </w:numPr>
        <w:spacing w:after="5" w:line="250" w:lineRule="auto"/>
        <w:ind w:right="11" w:hanging="355"/>
        <w:jc w:val="both"/>
        <w:rPr>
          <w:rFonts w:ascii="Verdana" w:hAnsi="Verdana"/>
        </w:rPr>
      </w:pPr>
      <w:r w:rsidRPr="005B5CB6">
        <w:rPr>
          <w:rFonts w:ascii="Verdana" w:eastAsia="Verdana" w:hAnsi="Verdana" w:cs="Verdana"/>
        </w:rPr>
        <w:t xml:space="preserve">Encourage online learning and consultation in addition to classroom and faceto-face sessions.  </w:t>
      </w:r>
    </w:p>
    <w:p w:rsidR="00FB0B24" w:rsidRPr="005B5CB6" w:rsidP="00575F14">
      <w:pPr>
        <w:numPr>
          <w:ilvl w:val="0"/>
          <w:numId w:val="262"/>
        </w:numPr>
        <w:spacing w:after="152" w:line="250" w:lineRule="auto"/>
        <w:ind w:right="11" w:hanging="355"/>
        <w:jc w:val="both"/>
        <w:rPr>
          <w:rFonts w:ascii="Verdana" w:hAnsi="Verdana"/>
        </w:rPr>
      </w:pPr>
      <w:r w:rsidRPr="005B5CB6">
        <w:rPr>
          <w:rFonts w:ascii="Verdana" w:eastAsia="Verdana" w:hAnsi="Verdana" w:cs="Verdana"/>
        </w:rPr>
        <w:t xml:space="preserve">A central Government Enquiry Service, similar to that which UK Parliament runs. </w:t>
      </w:r>
    </w:p>
    <w:p w:rsidR="00FB0B24" w:rsidRPr="005B5CB6" w:rsidP="00CF6BAD">
      <w:pPr>
        <w:spacing w:after="159"/>
        <w:ind w:left="1"/>
        <w:jc w:val="both"/>
        <w:rPr>
          <w:rFonts w:ascii="Verdana" w:hAnsi="Verdana"/>
        </w:rPr>
      </w:pPr>
      <w:r w:rsidRPr="005B5CB6">
        <w:rPr>
          <w:rFonts w:ascii="Verdana" w:eastAsia="Verdana" w:hAnsi="Verdana" w:cs="Verdana"/>
        </w:rPr>
        <w:t xml:space="preserve"> </w:t>
      </w:r>
    </w:p>
    <w:p w:rsidR="00FB0B24" w:rsidRPr="005B5CB6" w:rsidP="00CF6BAD">
      <w:pPr>
        <w:spacing w:after="159"/>
        <w:ind w:left="1"/>
        <w:jc w:val="both"/>
        <w:rPr>
          <w:rFonts w:ascii="Verdana" w:hAnsi="Verdana"/>
        </w:rPr>
      </w:pPr>
      <w:r w:rsidRPr="005B5CB6">
        <w:rPr>
          <w:rFonts w:ascii="Verdana" w:eastAsia="Verdana" w:hAnsi="Verdana" w:cs="Verdana"/>
        </w:rPr>
        <w:t xml:space="preserve"> </w:t>
      </w:r>
    </w:p>
    <w:p w:rsidR="00FB0B24" w:rsidRPr="005B5CB6" w:rsidP="00CF6BAD">
      <w:pPr>
        <w:spacing w:after="156"/>
        <w:ind w:left="1"/>
        <w:jc w:val="both"/>
        <w:rPr>
          <w:rFonts w:ascii="Verdana" w:hAnsi="Verdana"/>
        </w:rPr>
      </w:pPr>
      <w:r w:rsidRPr="005B5CB6">
        <w:rPr>
          <w:rFonts w:ascii="Verdana" w:eastAsia="Verdana" w:hAnsi="Verdana" w:cs="Verdana"/>
        </w:rPr>
        <w:t xml:space="preserve"> </w:t>
      </w:r>
    </w:p>
    <w:p w:rsidR="00FB0B24" w:rsidRPr="005B5CB6" w:rsidP="00CF6BAD">
      <w:pPr>
        <w:spacing w:after="0"/>
        <w:ind w:left="1"/>
        <w:jc w:val="both"/>
        <w:rPr>
          <w:rFonts w:ascii="Verdana" w:hAnsi="Verdana"/>
        </w:rPr>
      </w:pPr>
      <w:r w:rsidRPr="005B5CB6">
        <w:rPr>
          <w:rFonts w:ascii="Verdana" w:eastAsia="Verdana" w:hAnsi="Verdana" w:cs="Verdana"/>
        </w:rPr>
        <w:t xml:space="preserve"> </w:t>
      </w:r>
    </w:p>
    <w:p w:rsidR="00FB0B24" w:rsidRPr="005B5CB6" w:rsidP="00CF6BAD">
      <w:pPr>
        <w:jc w:val="both"/>
        <w:rPr>
          <w:rFonts w:ascii="Verdana" w:hAnsi="Verdana"/>
        </w:rPr>
        <w:sectPr w:rsidSect="006063B1">
          <w:headerReference w:type="even" r:id="rId455"/>
          <w:headerReference w:type="default" r:id="rId456"/>
          <w:footerReference w:type="even" r:id="rId457"/>
          <w:footerReference w:type="default" r:id="rId458"/>
          <w:headerReference w:type="first" r:id="rId459"/>
          <w:footerReference w:type="first" r:id="rId460"/>
          <w:pgSz w:w="12240" w:h="15840"/>
          <w:pgMar w:top="1492" w:right="1443" w:bottom="1439" w:left="1440" w:header="720" w:footer="721" w:gutter="0"/>
          <w:cols w:space="720"/>
        </w:sectPr>
      </w:pPr>
    </w:p>
    <w:p w:rsidR="00FB0B24" w:rsidRPr="005B5CB6" w:rsidP="00A1624B">
      <w:pPr>
        <w:pStyle w:val="Heading1"/>
        <w:rPr>
          <w:sz w:val="22"/>
        </w:rPr>
      </w:pPr>
      <w:bookmarkStart w:id="73" w:name="_Toc44517761"/>
      <w:r w:rsidRPr="005B5CB6">
        <w:rPr>
          <w:sz w:val="22"/>
        </w:rPr>
        <w:t>Royal Statistical Society – written evidence (DAD0084)</w:t>
      </w:r>
      <w:bookmarkEnd w:id="73"/>
      <w:r w:rsidRPr="005B5CB6">
        <w:rPr>
          <w:sz w:val="22"/>
        </w:rPr>
        <w:t xml:space="preserve"> </w:t>
      </w:r>
    </w:p>
    <w:p w:rsidR="00FB0B24" w:rsidRPr="005B5CB6" w:rsidP="006F32A5">
      <w:pPr>
        <w:spacing w:after="154"/>
        <w:ind w:left="72"/>
        <w:jc w:val="both"/>
        <w:rPr>
          <w:rFonts w:ascii="Verdana" w:hAnsi="Verdana"/>
        </w:rPr>
      </w:pPr>
      <w:r w:rsidRPr="005B5CB6">
        <w:rPr>
          <w:rFonts w:ascii="Verdana" w:eastAsia="Verdana" w:hAnsi="Verdana" w:cs="Verdana"/>
          <w:b/>
        </w:rPr>
        <w:t xml:space="preserve"> </w:t>
      </w:r>
    </w:p>
    <w:p w:rsidR="00FB0B24" w:rsidRPr="005B5CB6" w:rsidP="006F32A5">
      <w:pPr>
        <w:pStyle w:val="Heading2"/>
        <w:rPr>
          <w:sz w:val="22"/>
        </w:rPr>
      </w:pPr>
      <w:r w:rsidRPr="005B5CB6">
        <w:rPr>
          <w:b w:val="0"/>
          <w:sz w:val="22"/>
        </w:rPr>
        <w:t xml:space="preserve">Preface </w:t>
      </w:r>
    </w:p>
    <w:p w:rsidR="00FB0B24" w:rsidRPr="005B5CB6" w:rsidP="006F32A5">
      <w:pPr>
        <w:spacing w:after="167" w:line="249" w:lineRule="auto"/>
        <w:ind w:left="10" w:right="12" w:hanging="9"/>
        <w:jc w:val="both"/>
        <w:rPr>
          <w:rFonts w:ascii="Verdana" w:hAnsi="Verdana"/>
        </w:rPr>
      </w:pPr>
      <w:r w:rsidRPr="005B5CB6">
        <w:rPr>
          <w:rFonts w:ascii="Verdana" w:eastAsia="Verdana" w:hAnsi="Verdana" w:cs="Verdana"/>
        </w:rPr>
        <w:t xml:space="preserve">1.1 The </w:t>
      </w:r>
      <w:r>
        <w:fldChar w:fldCharType="begin"/>
      </w:r>
      <w:r>
        <w:instrText xml:space="preserve"> HYPERLINK "https://www.rss.org.uk/" </w:instrText>
      </w:r>
      <w:r>
        <w:fldChar w:fldCharType="separate"/>
      </w:r>
      <w:r w:rsidRPr="005B5CB6">
        <w:rPr>
          <w:rFonts w:ascii="Verdana" w:eastAsia="Verdana" w:hAnsi="Verdana" w:cs="Verdana"/>
          <w:color w:val="0563C1"/>
          <w:u w:val="single" w:color="0563C1"/>
        </w:rPr>
        <w:t>Royal Statistical Society</w:t>
      </w:r>
      <w:r>
        <w:fldChar w:fldCharType="end"/>
      </w:r>
      <w:r>
        <w:fldChar w:fldCharType="begin"/>
      </w:r>
      <w:r>
        <w:instrText xml:space="preserve"> HYPERLINK "https://www.rss.org.uk/"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(RSS) is a professional body for statisticians and data scientists with over 10,000 members around the world.  Our strategic and charitable goals focus on the use of statistics and data in the public interest, improving statistical literacy, developing professional skills, and the strength of statistics and data in academia and research. </w:t>
      </w:r>
    </w:p>
    <w:p w:rsidR="00FB0B24" w:rsidRPr="005B5CB6" w:rsidP="006F32A5">
      <w:pPr>
        <w:spacing w:after="167" w:line="249" w:lineRule="auto"/>
        <w:ind w:left="10" w:right="12" w:hanging="9"/>
        <w:jc w:val="both"/>
        <w:rPr>
          <w:rFonts w:ascii="Verdana" w:hAnsi="Verdana"/>
        </w:rPr>
      </w:pPr>
      <w:r w:rsidRPr="005B5CB6">
        <w:rPr>
          <w:rFonts w:ascii="Verdana" w:eastAsia="Verdana" w:hAnsi="Verdana" w:cs="Verdana"/>
        </w:rPr>
        <w:t xml:space="preserve">1.2 The RSS has answered five of the fourteen questions detailed in the Select Committee’s call for evidence, due to their alignment with the expertise and interests of our members. Our answers cover four of the six areas outlined by the Committee: transparency in political discourse; the effects of digital technologies on public discourse; misinformation; and how technology can facilitate democracy. </w:t>
      </w:r>
    </w:p>
    <w:p w:rsidR="00FB0B24" w:rsidRPr="005B5CB6" w:rsidP="006F32A5">
      <w:pPr>
        <w:spacing w:after="152" w:line="265" w:lineRule="auto"/>
        <w:ind w:left="-4" w:hanging="10"/>
        <w:jc w:val="both"/>
        <w:rPr>
          <w:rFonts w:ascii="Verdana" w:hAnsi="Verdana"/>
        </w:rPr>
      </w:pPr>
      <w:r w:rsidRPr="005B5CB6">
        <w:rPr>
          <w:rFonts w:ascii="Verdana" w:eastAsia="Verdana" w:hAnsi="Verdana" w:cs="Verdana"/>
          <w:b/>
          <w:u w:val="single" w:color="000000"/>
        </w:rPr>
        <w:t>How have the design of algorithms used by social media platforms shaped</w:t>
      </w:r>
      <w:r w:rsidRPr="005B5CB6">
        <w:rPr>
          <w:rFonts w:ascii="Verdana" w:eastAsia="Verdana" w:hAnsi="Verdana" w:cs="Verdana"/>
          <w:b/>
        </w:rPr>
        <w:t xml:space="preserve"> </w:t>
      </w:r>
      <w:r w:rsidRPr="005B5CB6">
        <w:rPr>
          <w:rFonts w:ascii="Verdana" w:eastAsia="Verdana" w:hAnsi="Verdana" w:cs="Verdana"/>
          <w:b/>
          <w:u w:val="single" w:color="000000"/>
        </w:rPr>
        <w:t>democratic debate? To what extent should there be greater accountability</w:t>
      </w:r>
      <w:r w:rsidRPr="005B5CB6">
        <w:rPr>
          <w:rFonts w:ascii="Verdana" w:eastAsia="Verdana" w:hAnsi="Verdana" w:cs="Verdana"/>
          <w:b/>
        </w:rPr>
        <w:t xml:space="preserve"> </w:t>
      </w:r>
      <w:r w:rsidRPr="005B5CB6">
        <w:rPr>
          <w:rFonts w:ascii="Verdana" w:eastAsia="Verdana" w:hAnsi="Verdana" w:cs="Verdana"/>
          <w:b/>
          <w:u w:val="single" w:color="000000"/>
        </w:rPr>
        <w:t>for the design of these algorithms?</w:t>
      </w:r>
      <w:r w:rsidRPr="005B5CB6">
        <w:rPr>
          <w:rFonts w:ascii="Verdana" w:eastAsia="Verdana" w:hAnsi="Verdana" w:cs="Verdana"/>
          <w:b/>
        </w:rPr>
        <w:t xml:space="preserve"> </w:t>
      </w:r>
    </w:p>
    <w:p w:rsidR="00FB0B24" w:rsidRPr="005B5CB6" w:rsidP="006F32A5">
      <w:pPr>
        <w:spacing w:after="164" w:line="249" w:lineRule="auto"/>
        <w:ind w:left="10" w:right="12" w:hanging="9"/>
        <w:jc w:val="both"/>
        <w:rPr>
          <w:rFonts w:ascii="Verdana" w:hAnsi="Verdana"/>
        </w:rPr>
      </w:pPr>
      <w:r w:rsidRPr="005B5CB6">
        <w:rPr>
          <w:rFonts w:ascii="Verdana" w:eastAsia="Verdana" w:hAnsi="Verdana" w:cs="Verdana"/>
        </w:rPr>
        <w:t xml:space="preserve">2.1 The RSS will answer the second part of this question, owing to our expertise regarding algorithmic accountability, as laid out in our </w:t>
      </w:r>
      <w:r>
        <w:fldChar w:fldCharType="begin"/>
      </w:r>
      <w:r>
        <w:instrText xml:space="preserve"> HYPERLINK "http://www.rss.org.uk/Images/PDF/influencing-change/2019/RSS_response_to_CDEIevidence_algorithmic_biasv2_.pdf" </w:instrText>
      </w:r>
      <w:r>
        <w:fldChar w:fldCharType="separate"/>
      </w:r>
      <w:r w:rsidRPr="005B5CB6">
        <w:rPr>
          <w:rFonts w:ascii="Verdana" w:eastAsia="Verdana" w:hAnsi="Verdana" w:cs="Verdana"/>
          <w:color w:val="0563C1"/>
          <w:u w:val="single" w:color="0563C1"/>
        </w:rPr>
        <w:t>submission</w:t>
      </w:r>
      <w:r>
        <w:fldChar w:fldCharType="end"/>
      </w:r>
      <w:r>
        <w:fldChar w:fldCharType="begin"/>
      </w:r>
      <w:r>
        <w:instrText xml:space="preserve"> HYPERLINK "http://www.rss.org.uk/Images/PDF/influencing-change/2019/RSS_response_to_CDEIevidence_algorithmic_biasv2_.pdf"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to the Centre for Data Ethics and Innovation’s call for evidence earlier this year, on bias in algorithmic decision-making, and other previous submissions. Algorithms are designed to discriminate, but the nature of bias is not well defined. There is a potential role for the use of counterfactuals</w:t>
      </w:r>
      <w:r>
        <w:rPr>
          <w:rFonts w:ascii="Verdana" w:eastAsia="Verdana" w:hAnsi="Verdana" w:cs="Verdana"/>
          <w:vertAlign w:val="superscript"/>
        </w:rPr>
        <w:footnoteReference w:id="455"/>
      </w:r>
      <w:r w:rsidRPr="005B5CB6">
        <w:rPr>
          <w:rFonts w:ascii="Verdana" w:eastAsia="Verdana" w:hAnsi="Verdana" w:cs="Verdana"/>
        </w:rPr>
        <w:t xml:space="preserve"> in defining and mitigating algorithmic bias. This would entail using a counterfactual to highlight through simulation if differing data sets produce another outcome. If not, this highlights an inherent bias within the algorithm. However, there are unlikely to be comprehensive solutions. For example, oversight, and therefore governance, of algorithms that use the outputs from other algorithms as their inputs, and which could generate damaging feedback loops, is a challenge. Facebook and other social media companies are now information (and misinformation) conveyors that affect our democracies. They need to ensure that their algorithms do not promote misinformation as clickbait. It should be in the interests of social media platforms to do more to ensure that reliable content fuels its users’ interactions. Much good could be done if social media platforms were obliged to put just 1% of their profits into an independent trust to fund quality media, especially local media, and fact-checkers.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2.2 Every part of the process - from the data used to train the algorithm to the design of the algorithm, to the way humans respond to the algorithmic output - should be tested thoroughly. This process would ensure greater accountability of </w:t>
      </w:r>
    </w:p>
    <w:p w:rsidR="00FB0B24" w:rsidRPr="005B5CB6" w:rsidP="006F32A5">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606169" name="Group 60616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655" name="Shape 63665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59" style="height:0.72pt;mso-position-horizontal-relative:char;mso-position-vertical-relative:line;width:2in" coordsize="18288,91">
                <v:shape id="_x0000_s1460"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6F32A5">
      <w:pPr>
        <w:spacing w:after="176" w:line="249" w:lineRule="auto"/>
        <w:ind w:left="10" w:right="12" w:hanging="9"/>
        <w:jc w:val="both"/>
        <w:rPr>
          <w:rFonts w:ascii="Verdana" w:hAnsi="Verdana"/>
        </w:rPr>
      </w:pPr>
      <w:r w:rsidRPr="005B5CB6">
        <w:rPr>
          <w:rFonts w:ascii="Verdana" w:eastAsia="Verdana" w:hAnsi="Verdana" w:cs="Verdana"/>
        </w:rPr>
        <w:t xml:space="preserve">algorithms and protect the interests of the public and democratic debate. A highly explainable system that has poor accuracy is at least as capable of creating an ethical breach as one with poor explainability but high accuracy. Both </w:t>
      </w:r>
      <w:r>
        <w:fldChar w:fldCharType="begin"/>
      </w:r>
      <w:r>
        <w:instrText xml:space="preserve"> HYPERLINK "http://data.parliament.uk/writtenevidence/committeeevidence.svc/evidencedocument/science-and-technology-committee/algorithms-in-decisionmaking/written/71681.html" </w:instrText>
      </w:r>
      <w:r>
        <w:fldChar w:fldCharType="separate"/>
      </w:r>
      <w:r w:rsidRPr="005B5CB6">
        <w:rPr>
          <w:rFonts w:ascii="Verdana" w:eastAsia="Verdana" w:hAnsi="Verdana" w:cs="Verdana"/>
          <w:color w:val="0563C1"/>
          <w:u w:val="single" w:color="0563C1"/>
        </w:rPr>
        <w:t>Google</w:t>
      </w:r>
      <w:r>
        <w:fldChar w:fldCharType="end"/>
      </w:r>
      <w:r>
        <w:fldChar w:fldCharType="begin"/>
      </w:r>
      <w:r>
        <w:instrText xml:space="preserve"> HYPERLINK "http://data.parliament.uk/writtenevidence/committeeevidence.svc/evidencedocument/science-and-technology-committee/algorithms-in-decisionmaking/written/71681.html"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and the </w:t>
      </w:r>
      <w:r>
        <w:fldChar w:fldCharType="begin"/>
      </w:r>
      <w:r>
        <w:instrText xml:space="preserve"> HYPERLINK "http://data.parliament.uk/writtenevidence/committeeevidence.svc/evidencedocument/science-and-technology-committee/algorithms-in-decisionmaking/written/71674.html" </w:instrText>
      </w:r>
      <w:r>
        <w:fldChar w:fldCharType="separate"/>
      </w:r>
      <w:r w:rsidRPr="005B5CB6">
        <w:rPr>
          <w:rFonts w:ascii="Verdana" w:eastAsia="Verdana" w:hAnsi="Verdana" w:cs="Verdana"/>
          <w:color w:val="0563C1"/>
          <w:u w:val="single" w:color="0563C1"/>
        </w:rPr>
        <w:t>Department for Digital, Culture, Media and Sport</w:t>
      </w:r>
      <w:r>
        <w:fldChar w:fldCharType="end"/>
      </w:r>
      <w:r>
        <w:fldChar w:fldCharType="begin"/>
      </w:r>
      <w:r>
        <w:instrText xml:space="preserve"> HYPERLINK "http://data.parliament.uk/writtenevidence/committeeevidence.svc/evidencedocument/science-and-technology-committee/algorithms-in-decisionmaking/written/71674.html"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(with a contribution from the Government Digital Service) pointed out, in their written evidence to the ‘</w:t>
      </w:r>
      <w:r>
        <w:fldChar w:fldCharType="begin"/>
      </w:r>
      <w:r>
        <w:instrText xml:space="preserve"> HYPERLINK "https://publications.parliament.uk/pa/cm201719/cmselect/cmsctech/351/351.pdf" </w:instrText>
      </w:r>
      <w:r>
        <w:fldChar w:fldCharType="separate"/>
      </w:r>
      <w:r w:rsidRPr="005B5CB6">
        <w:rPr>
          <w:rFonts w:ascii="Verdana" w:eastAsia="Verdana" w:hAnsi="Verdana" w:cs="Verdana"/>
          <w:color w:val="0563C1"/>
          <w:u w:val="single" w:color="0563C1"/>
        </w:rPr>
        <w:t>UK</w:t>
      </w:r>
      <w:r>
        <w:fldChar w:fldCharType="end"/>
      </w:r>
      <w:r>
        <w:fldChar w:fldCharType="begin"/>
      </w:r>
      <w:r>
        <w:instrText xml:space="preserve"> HYPERLINK "https://publications.parliament.uk/pa/cm201719/cmselect/cmsctech/351/351.pdf" </w:instrText>
      </w:r>
      <w:r>
        <w:fldChar w:fldCharType="separate"/>
      </w:r>
      <w:r w:rsidRPr="005B5CB6">
        <w:rPr>
          <w:rFonts w:ascii="Verdana" w:eastAsia="Verdana" w:hAnsi="Verdana" w:cs="Verdana"/>
          <w:color w:val="0563C1"/>
        </w:rPr>
        <w:t xml:space="preserve"> </w:t>
      </w:r>
      <w:r>
        <w:fldChar w:fldCharType="end"/>
      </w:r>
      <w:r>
        <w:fldChar w:fldCharType="begin"/>
      </w:r>
      <w:r>
        <w:instrText xml:space="preserve"> HYPERLINK "https://publications.parliament.uk/pa/cm201719/cmselect/cmsctech/351/351.pdf" </w:instrText>
      </w:r>
      <w:r>
        <w:fldChar w:fldCharType="separate"/>
      </w:r>
      <w:r w:rsidRPr="005B5CB6">
        <w:rPr>
          <w:rFonts w:ascii="Verdana" w:eastAsia="Verdana" w:hAnsi="Verdana" w:cs="Verdana"/>
          <w:color w:val="0563C1"/>
          <w:u w:val="single" w:color="0563C1"/>
        </w:rPr>
        <w:t>Parliamentary 2017 inquiry into Algorithms in Decision-Making</w:t>
      </w:r>
      <w:r>
        <w:fldChar w:fldCharType="end"/>
      </w:r>
      <w:r>
        <w:fldChar w:fldCharType="begin"/>
      </w:r>
      <w:r>
        <w:instrText xml:space="preserve"> HYPERLINK "https://publications.parliament.uk/pa/cm201719/cmselect/cmsctech/351/351.pdf" </w:instrText>
      </w:r>
      <w:r>
        <w:fldChar w:fldCharType="separate"/>
      </w:r>
      <w:r w:rsidRPr="005B5CB6">
        <w:rPr>
          <w:rFonts w:ascii="Verdana" w:eastAsia="Verdana" w:hAnsi="Verdana" w:cs="Verdana"/>
          <w:color w:val="0563C1"/>
          <w:u w:val="single" w:color="0563C1"/>
        </w:rPr>
        <w:t>’</w:t>
      </w:r>
      <w:r>
        <w:fldChar w:fldCharType="end"/>
      </w:r>
      <w:r w:rsidRPr="005B5CB6">
        <w:rPr>
          <w:rFonts w:ascii="Verdana" w:eastAsia="Verdana" w:hAnsi="Verdana" w:cs="Verdana"/>
        </w:rPr>
        <w:t xml:space="preserve">, that bias exists in many non-algorithmic decision-making processes, and the application of algorithms to these processes can reveal and reduce bias. </w:t>
      </w:r>
    </w:p>
    <w:p w:rsidR="00FB0B24" w:rsidRPr="005B5CB6" w:rsidP="006F32A5">
      <w:pPr>
        <w:tabs>
          <w:tab w:val="right" w:pos="9365"/>
        </w:tabs>
        <w:spacing w:after="5" w:line="250" w:lineRule="auto"/>
        <w:jc w:val="both"/>
        <w:rPr>
          <w:rFonts w:ascii="Verdana" w:hAnsi="Verdana"/>
        </w:rPr>
      </w:pPr>
      <w:r w:rsidRPr="005B5CB6">
        <w:rPr>
          <w:rFonts w:ascii="Verdana" w:eastAsia="Verdana" w:hAnsi="Verdana" w:cs="Verdana"/>
        </w:rPr>
        <w:t xml:space="preserve">2.3 </w:t>
      </w:r>
      <w:r w:rsidRPr="005B5CB6">
        <w:rPr>
          <w:rFonts w:ascii="Verdana" w:eastAsia="Verdana" w:hAnsi="Verdana" w:cs="Verdana"/>
        </w:rPr>
        <w:tab/>
        <w:t xml:space="preserve">While Facebook posts have been shown to increase voter turnout (see Question </w:t>
      </w:r>
    </w:p>
    <w:p w:rsidR="00FB0B24" w:rsidRPr="005B5CB6" w:rsidP="006F32A5">
      <w:pPr>
        <w:spacing w:after="167" w:line="249" w:lineRule="auto"/>
        <w:ind w:left="10" w:right="12" w:hanging="9"/>
        <w:jc w:val="both"/>
        <w:rPr>
          <w:rFonts w:ascii="Verdana" w:hAnsi="Verdana"/>
        </w:rPr>
      </w:pPr>
      <w:r w:rsidRPr="005B5CB6">
        <w:rPr>
          <w:rFonts w:ascii="Verdana" w:eastAsia="Verdana" w:hAnsi="Verdana" w:cs="Verdana"/>
        </w:rPr>
        <w:t xml:space="preserve">3), its algorithms surrounding ‘like’ buttons also influence democratic debate.  Facebook has to comply with the EU’s General Data Protection Regulation (GDPR): however, Facebook tracks internet users - even if they are not Facebook users - via the widespread use of ‘like’ buttons. ‘Like’ buttons are social sharing buttons installed on many internet pages to allow easy sharing of content. As a result, these algorithms can therefore share debate-influencing material on a prejudice given the number of ‘likes’ a post receives. Via their use, Facebook gains data on users, who may never have given consent. This requires investigation in the public interest. </w:t>
      </w:r>
    </w:p>
    <w:p w:rsidR="00FB0B24" w:rsidRPr="005B5CB6" w:rsidP="006F32A5">
      <w:pPr>
        <w:spacing w:after="164" w:line="249" w:lineRule="auto"/>
        <w:ind w:left="10" w:right="12" w:hanging="9"/>
        <w:jc w:val="both"/>
        <w:rPr>
          <w:rFonts w:ascii="Verdana" w:hAnsi="Verdana"/>
        </w:rPr>
      </w:pPr>
      <w:r w:rsidRPr="005B5CB6">
        <w:rPr>
          <w:rFonts w:ascii="Verdana" w:eastAsia="Verdana" w:hAnsi="Verdana" w:cs="Verdana"/>
        </w:rPr>
        <w:t xml:space="preserve">2.4 Developments in the credit-scoring industry, for example, have become increasingly regulated to reduce potential harm, whereas other industries, including online social media platforms, are much more lightly regulated and might remain so. We recommend that a review of the credit-scoring industry should be undertaken as it is relatively mature in its use of algorithms, and as credit-scorers appear to be able to explain their algorithms to their regulators. Such a review could consider what lessons can be drawn from this for other fields, including social media platforms.  </w:t>
      </w:r>
    </w:p>
    <w:p w:rsidR="00FB0B24" w:rsidRPr="005B5CB6" w:rsidP="006F32A5">
      <w:pPr>
        <w:spacing w:after="168" w:line="249" w:lineRule="auto"/>
        <w:ind w:left="10" w:right="12" w:hanging="9"/>
        <w:jc w:val="both"/>
        <w:rPr>
          <w:rFonts w:ascii="Verdana" w:hAnsi="Verdana"/>
        </w:rPr>
      </w:pPr>
      <w:r w:rsidRPr="005B5CB6">
        <w:rPr>
          <w:rFonts w:ascii="Verdana" w:eastAsia="Verdana" w:hAnsi="Verdana" w:cs="Verdana"/>
        </w:rPr>
        <w:t xml:space="preserve">2.5         GDPR, introduced in 2018, has given the Information Commissioner’s Office (ICO) stronger powers to deal with data breaches. However, regulators such as the ICO still need strengthening. To create and implement the best policies, regulators must be able to pay competitive salaries to recruit technical talent, or risk losing it to the very social media giants that need regulating. Examination of stronger regulatory approaches should lead to some broadly transferable lessons.  </w:t>
      </w:r>
    </w:p>
    <w:p w:rsidR="00FB0B24" w:rsidRPr="005B5CB6" w:rsidP="006F32A5">
      <w:pPr>
        <w:spacing w:after="149" w:line="265" w:lineRule="auto"/>
        <w:ind w:left="-4" w:hanging="10"/>
        <w:jc w:val="both"/>
        <w:rPr>
          <w:rFonts w:ascii="Verdana" w:hAnsi="Verdana"/>
        </w:rPr>
      </w:pPr>
      <w:r w:rsidRPr="005B5CB6">
        <w:rPr>
          <w:rFonts w:ascii="Verdana" w:eastAsia="Verdana" w:hAnsi="Verdana" w:cs="Verdana"/>
          <w:b/>
          <w:u w:val="single" w:color="000000"/>
        </w:rPr>
        <w:t>What role should every stage of education play in helping to create a</w:t>
      </w:r>
      <w:r w:rsidRPr="005B5CB6">
        <w:rPr>
          <w:rFonts w:ascii="Verdana" w:eastAsia="Verdana" w:hAnsi="Verdana" w:cs="Verdana"/>
          <w:b/>
        </w:rPr>
        <w:t xml:space="preserve"> </w:t>
      </w:r>
      <w:r w:rsidRPr="005B5CB6">
        <w:rPr>
          <w:rFonts w:ascii="Verdana" w:eastAsia="Verdana" w:hAnsi="Verdana" w:cs="Verdana"/>
          <w:b/>
          <w:u w:val="single" w:color="000000"/>
        </w:rPr>
        <w:t>healthy, active, digitally literate democracy?</w:t>
      </w:r>
      <w:r w:rsidRPr="005B5CB6">
        <w:rPr>
          <w:rFonts w:ascii="Verdana" w:eastAsia="Verdana" w:hAnsi="Verdana" w:cs="Verdana"/>
          <w:b/>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3.1 Our democracy relies on the quality and trustworthiness of data in the public domain. As the new RSS ‘</w:t>
      </w:r>
      <w:r>
        <w:fldChar w:fldCharType="begin"/>
      </w:r>
      <w:r>
        <w:instrText xml:space="preserve"> HYPERLINK "https://www.rss.org.uk/Images/PDF/influencing-change/2019/Data%20Manifesto2019.pdf" </w:instrText>
      </w:r>
      <w:r>
        <w:fldChar w:fldCharType="separate"/>
      </w:r>
      <w:r w:rsidRPr="005B5CB6">
        <w:rPr>
          <w:rFonts w:ascii="Verdana" w:eastAsia="Verdana" w:hAnsi="Verdana" w:cs="Verdana"/>
          <w:color w:val="0563C1"/>
          <w:u w:val="single" w:color="0563C1"/>
        </w:rPr>
        <w:t>Data Manifesto</w:t>
      </w:r>
      <w:r>
        <w:fldChar w:fldCharType="end"/>
      </w:r>
      <w:r>
        <w:fldChar w:fldCharType="begin"/>
      </w:r>
      <w:r>
        <w:instrText xml:space="preserve"> HYPERLINK "https://www.rss.org.uk/Images/PDF/influencing-change/2019/Data%20Manifesto2019.pdf"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states, to strengthen democracy and trustworthiness we need to involve the public in shaping the conversation about how data is used. Therefore, the critical question here is how to improve data skills across the UK. Establishing a digitally literate democracy needs to coincide with the realisation that data literacy is imperative in forming the basis of our digital world. The most significant lever for this is the education system. In our ‘Data Manifesto’, data is viewed as a critical driver of prosperity.  As part of this vision, to ensure that everybody can effectively participate in an increasingly data-driven society, everyone needs to be equipped with the skills to engage in an ‘informed data conversation’. </w:t>
      </w:r>
    </w:p>
    <w:p w:rsidR="00FB0B24" w:rsidRPr="005B5CB6" w:rsidP="006F32A5">
      <w:pPr>
        <w:spacing w:after="164" w:line="249" w:lineRule="auto"/>
        <w:ind w:left="10" w:right="12" w:hanging="9"/>
        <w:jc w:val="both"/>
        <w:rPr>
          <w:rFonts w:ascii="Verdana" w:hAnsi="Verdana"/>
        </w:rPr>
      </w:pPr>
      <w:r w:rsidRPr="005B5CB6">
        <w:rPr>
          <w:rFonts w:ascii="Verdana" w:eastAsia="Verdana" w:hAnsi="Verdana" w:cs="Verdana"/>
        </w:rPr>
        <w:t>The RSS calls for basic data handling and quantitative skills to be integral parts of the taught curriculum. The RSS would recommend that the ‘</w:t>
      </w:r>
      <w:r>
        <w:fldChar w:fldCharType="begin"/>
      </w:r>
      <w:r>
        <w:instrText xml:space="preserve"> HYPERLINK "https://assets.publishing.service.gov.uk/government/uploads/system/uploads/attachment_data/file/630488/AS_review_report.pdf" </w:instrText>
      </w:r>
      <w:r>
        <w:fldChar w:fldCharType="separate"/>
      </w:r>
      <w:r w:rsidRPr="005B5CB6">
        <w:rPr>
          <w:rFonts w:ascii="Verdana" w:eastAsia="Verdana" w:hAnsi="Verdana" w:cs="Verdana"/>
          <w:color w:val="0563C1"/>
          <w:u w:val="single" w:color="0563C1"/>
        </w:rPr>
        <w:t>Smith Review of Post-16</w:t>
      </w:r>
      <w:r>
        <w:fldChar w:fldCharType="end"/>
      </w:r>
      <w:r>
        <w:fldChar w:fldCharType="begin"/>
      </w:r>
      <w:r>
        <w:instrText xml:space="preserve"> HYPERLINK "https://assets.publishing.service.gov.uk/government/uploads/system/uploads/attachment_data/file/630488/AS_review_report.pdf" </w:instrText>
      </w:r>
      <w:r>
        <w:fldChar w:fldCharType="separate"/>
      </w:r>
      <w:r w:rsidRPr="005B5CB6">
        <w:rPr>
          <w:rFonts w:ascii="Verdana" w:eastAsia="Verdana" w:hAnsi="Verdana" w:cs="Verdana"/>
          <w:color w:val="0563C1"/>
        </w:rPr>
        <w:t xml:space="preserve"> </w:t>
      </w:r>
      <w:r>
        <w:fldChar w:fldCharType="end"/>
      </w:r>
      <w:r>
        <w:fldChar w:fldCharType="begin"/>
      </w:r>
      <w:r>
        <w:instrText xml:space="preserve"> HYPERLINK "https://assets.publishing.service.gov.uk/government/uploads/system/uploads/attachment_data/file/630488/AS_review_report.pdf" </w:instrText>
      </w:r>
      <w:r>
        <w:fldChar w:fldCharType="separate"/>
      </w:r>
      <w:r w:rsidRPr="005B5CB6">
        <w:rPr>
          <w:rFonts w:ascii="Verdana" w:eastAsia="Verdana" w:hAnsi="Verdana" w:cs="Verdana"/>
          <w:color w:val="0563C1"/>
          <w:u w:val="single" w:color="0563C1"/>
        </w:rPr>
        <w:t>Mathematics</w:t>
      </w:r>
      <w:r>
        <w:fldChar w:fldCharType="end"/>
      </w:r>
      <w:r>
        <w:fldChar w:fldCharType="begin"/>
      </w:r>
      <w:r>
        <w:instrText xml:space="preserve"> HYPERLINK "https://assets.publishing.service.gov.uk/government/uploads/system/uploads/attachment_data/file/630488/AS_review_report.pdf" </w:instrText>
      </w:r>
      <w:r>
        <w:fldChar w:fldCharType="separate"/>
      </w:r>
      <w:r w:rsidRPr="005B5CB6">
        <w:rPr>
          <w:rFonts w:ascii="Verdana" w:eastAsia="Verdana" w:hAnsi="Verdana" w:cs="Verdana"/>
          <w:color w:val="0563C1"/>
          <w:u w:val="single" w:color="0563C1"/>
        </w:rPr>
        <w:t>’</w:t>
      </w:r>
      <w:r>
        <w:fldChar w:fldCharType="end"/>
      </w:r>
      <w:r w:rsidRPr="005B5CB6">
        <w:rPr>
          <w:rFonts w:ascii="Verdana" w:eastAsia="Verdana" w:hAnsi="Verdana" w:cs="Verdana"/>
        </w:rPr>
        <w:t xml:space="preserve"> in England is implemented in full by the Department for Education. </w:t>
      </w:r>
    </w:p>
    <w:p w:rsidR="00FB0B24" w:rsidRPr="005B5CB6" w:rsidP="006F32A5">
      <w:pPr>
        <w:spacing w:after="167" w:line="249" w:lineRule="auto"/>
        <w:ind w:left="10" w:right="12" w:hanging="9"/>
        <w:jc w:val="both"/>
        <w:rPr>
          <w:rFonts w:ascii="Verdana" w:hAnsi="Verdana"/>
        </w:rPr>
      </w:pPr>
      <w:r w:rsidRPr="005B5CB6">
        <w:rPr>
          <w:rFonts w:ascii="Verdana" w:eastAsia="Verdana" w:hAnsi="Verdana" w:cs="Verdana"/>
        </w:rPr>
        <w:t>3.2 Following on from the Smith Review, the RSS encourages recognition of the need for ‘A People Pipeline’, as identified by ‘</w:t>
      </w:r>
      <w:r>
        <w:fldChar w:fldCharType="begin"/>
      </w:r>
      <w:r>
        <w:instrText xml:space="preserve"> HYPERLINK "http://www.cms.ac.uk/files/News/article_5630c69e789971.96989222.pdf" </w:instrText>
      </w:r>
      <w:r>
        <w:fldChar w:fldCharType="separate"/>
      </w:r>
      <w:r w:rsidRPr="005B5CB6">
        <w:rPr>
          <w:rFonts w:ascii="Verdana" w:eastAsia="Verdana" w:hAnsi="Verdana" w:cs="Verdana"/>
          <w:color w:val="0563C1"/>
          <w:u w:val="single" w:color="0563C1"/>
        </w:rPr>
        <w:t>The Mathematical Sciences People</w:t>
      </w:r>
      <w:r>
        <w:fldChar w:fldCharType="end"/>
      </w:r>
      <w:r>
        <w:fldChar w:fldCharType="begin"/>
      </w:r>
      <w:r>
        <w:instrText xml:space="preserve"> HYPERLINK "http://www.cms.ac.uk/files/News/article_5630c69e789971.96989222.pdf" </w:instrText>
      </w:r>
      <w:r>
        <w:fldChar w:fldCharType="separate"/>
      </w:r>
      <w:r w:rsidRPr="005B5CB6">
        <w:rPr>
          <w:rFonts w:ascii="Verdana" w:eastAsia="Verdana" w:hAnsi="Verdana" w:cs="Verdana"/>
          <w:color w:val="0563C1"/>
        </w:rPr>
        <w:t xml:space="preserve"> </w:t>
      </w:r>
      <w:r>
        <w:fldChar w:fldCharType="end"/>
      </w:r>
      <w:r>
        <w:fldChar w:fldCharType="begin"/>
      </w:r>
      <w:r>
        <w:instrText xml:space="preserve"> HYPERLINK "http://www.cms.ac.uk/files/News/article_5630c69e789971.96989222.pdf" </w:instrText>
      </w:r>
      <w:r>
        <w:fldChar w:fldCharType="separate"/>
      </w:r>
      <w:r w:rsidRPr="005B5CB6">
        <w:rPr>
          <w:rFonts w:ascii="Verdana" w:eastAsia="Verdana" w:hAnsi="Verdana" w:cs="Verdana"/>
          <w:color w:val="0563C1"/>
          <w:u w:val="single" w:color="0563C1"/>
        </w:rPr>
        <w:t>Pipeline Report</w:t>
      </w:r>
      <w:r>
        <w:fldChar w:fldCharType="end"/>
      </w:r>
      <w:r>
        <w:fldChar w:fldCharType="begin"/>
      </w:r>
      <w:r>
        <w:instrText xml:space="preserve"> HYPERLINK "http://www.cms.ac.uk/files/News/article_5630c69e789971.96989222.pdf" </w:instrText>
      </w:r>
      <w:r>
        <w:fldChar w:fldCharType="separate"/>
      </w:r>
      <w:r w:rsidRPr="005B5CB6">
        <w:rPr>
          <w:rFonts w:ascii="Verdana" w:eastAsia="Verdana" w:hAnsi="Verdana" w:cs="Verdana"/>
          <w:color w:val="0563C1"/>
          <w:u w:val="single" w:color="0563C1"/>
        </w:rPr>
        <w:t>’</w:t>
      </w:r>
      <w:r>
        <w:fldChar w:fldCharType="end"/>
      </w:r>
      <w:r w:rsidRPr="005B5CB6">
        <w:rPr>
          <w:rFonts w:ascii="Verdana" w:eastAsia="Verdana" w:hAnsi="Verdana" w:cs="Verdana"/>
        </w:rPr>
        <w:t xml:space="preserve"> from the Council for the Mathematical Sciences. It is the RSS’s view that developing the pipeline requires a future with an increasing focus and content on statistics and data within teaching practice and assessment across the curriculum.  This is essential to meet the needs of employers, the economy and our democracy. It is imperative that we develop and train the next generation of qualified senior scientists, supporting our previous point that they should hold algorithms accountable across every digital and data-driven platform in order for democracy to prosper. As such, it needs to be recognised that the education system is a continuous pipeline, established from early years to postgraduate training, which leads to life-long development and more of the data scientists we need.  </w:t>
      </w:r>
    </w:p>
    <w:p w:rsidR="00FB0B24" w:rsidRPr="005B5CB6" w:rsidP="006F32A5">
      <w:pPr>
        <w:spacing w:after="167" w:line="249" w:lineRule="auto"/>
        <w:ind w:left="10" w:right="12" w:hanging="9"/>
        <w:jc w:val="both"/>
        <w:rPr>
          <w:rFonts w:ascii="Verdana" w:hAnsi="Verdana"/>
        </w:rPr>
      </w:pPr>
      <w:r w:rsidRPr="005B5CB6">
        <w:rPr>
          <w:rFonts w:ascii="Verdana" w:eastAsia="Verdana" w:hAnsi="Verdana" w:cs="Verdana"/>
        </w:rPr>
        <w:t>3.3 Data science is a relatively young profession, with few professional standards. These standards require development through strong ethical training embedded into data science courses. As such, issues relating to the bias of data which trains algorithms can be pre-empted and thus avoided. Professional bodies should also take a lead role in developing standards and, indeed, RSS’s Data Science Section has recently published ‘</w:t>
      </w:r>
      <w:r>
        <w:fldChar w:fldCharType="begin"/>
      </w:r>
      <w:r>
        <w:instrText xml:space="preserve"> HYPERLINK "https://www.rss.org.uk/Images/PDF/influencing-change/2019/A-Guide-for-Ethical-Data-Science-Final-Oct-2019.pdf" </w:instrText>
      </w:r>
      <w:r>
        <w:fldChar w:fldCharType="separate"/>
      </w:r>
      <w:r w:rsidRPr="005B5CB6">
        <w:rPr>
          <w:rFonts w:ascii="Verdana" w:eastAsia="Verdana" w:hAnsi="Verdana" w:cs="Verdana"/>
          <w:color w:val="0563C1"/>
          <w:u w:val="single" w:color="0563C1"/>
        </w:rPr>
        <w:t>A Guide for Ethical Data Science</w:t>
      </w:r>
      <w:r>
        <w:fldChar w:fldCharType="end"/>
      </w:r>
      <w:r>
        <w:fldChar w:fldCharType="begin"/>
      </w:r>
      <w:r>
        <w:instrText xml:space="preserve"> HYPERLINK "https://www.rss.org.uk/Images/PDF/influencing-change/2019/A-Guide-for-Ethical-Data-Science-Final-Oct-2019.pdf"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in partnership with the Institute and Faculty of Actuaries. Created with practitioners in mind, it aims to provide practical support to data scientists on ethical practice. Structured around five core ethical themes, the guide provides examples of common ethical challenges in the field and how they can be addressed. The RSS believes this guide should form the basis of professional standards so data scientists can apply and maintain professional competence in order to preserve or increase public trustworthiness regarding the use of their data. In addition, the guide ends with a detailed implementation checklist affirming the necessary steps required to implement safeguards which would ensure ethical data practice. Alongside the creation of professional standards for data scientists, a checklist should be adopted to ensure good practice across those working within social media platforms. The RSS would welcome the opportunity to elaborate on this and answer any questions that the Committee may have. </w:t>
      </w:r>
    </w:p>
    <w:p w:rsidR="00FB0B24" w:rsidRPr="005B5CB6" w:rsidP="006F32A5">
      <w:pPr>
        <w:spacing w:after="167" w:line="249" w:lineRule="auto"/>
        <w:ind w:left="10" w:right="12" w:hanging="9"/>
        <w:jc w:val="both"/>
        <w:rPr>
          <w:rFonts w:ascii="Verdana" w:hAnsi="Verdana"/>
        </w:rPr>
      </w:pPr>
      <w:r w:rsidRPr="005B5CB6">
        <w:rPr>
          <w:rFonts w:ascii="Verdana" w:eastAsia="Verdana" w:hAnsi="Verdana" w:cs="Verdana"/>
        </w:rPr>
        <w:t>3.4 One way in which data / digital skills can be taught to those out of the current education system is through relevant employer training of non-specialists. This would enhance employees’ capabilities in the workforce which, in turn, will have to adapt in order to meet the needs of an increasingly data-driven economy and democracy. At the RSS, we have developed experience in working with employers and, more specifically, many not-for-profit organisations. Through our ‘</w:t>
      </w:r>
      <w:r>
        <w:fldChar w:fldCharType="begin"/>
      </w:r>
      <w:r>
        <w:instrText xml:space="preserve"> HYPERLINK "https://www.rss.org.uk/RSS/Get_involved/Statisticians_for_Society/RSS/Get_involved/Statisticians_for_Society.aspx?hkey=c7977c58-1558-495a-9e5a-e99d64ea9cfd" </w:instrText>
      </w:r>
      <w:r>
        <w:fldChar w:fldCharType="separate"/>
      </w:r>
      <w:r w:rsidRPr="005B5CB6">
        <w:rPr>
          <w:rFonts w:ascii="Verdana" w:eastAsia="Verdana" w:hAnsi="Verdana" w:cs="Verdana"/>
          <w:color w:val="0563C1"/>
          <w:u w:val="single" w:color="0563C1"/>
        </w:rPr>
        <w:t>Statisticians for Society</w:t>
      </w:r>
      <w:r>
        <w:fldChar w:fldCharType="end"/>
      </w:r>
      <w:r>
        <w:fldChar w:fldCharType="begin"/>
      </w:r>
      <w:r>
        <w:instrText xml:space="preserve"> HYPERLINK "https://www.rss.org.uk/RSS/Get_involved/Statisticians_for_Society/RSS/Get_involved/Statisticians_for_Society.aspx?hkey=c7977c58-1558-495a-9e5a-e99d64ea9cfd"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r w:rsidRPr="005B5CB6">
        <w:rPr>
          <w:rFonts w:ascii="Verdana" w:eastAsia="Verdana" w:hAnsi="Verdana" w:cs="Verdana"/>
          <w:i/>
        </w:rPr>
        <w:t>pro bono</w:t>
      </w:r>
      <w:r w:rsidRPr="005B5CB6">
        <w:rPr>
          <w:rFonts w:ascii="Verdana" w:eastAsia="Verdana" w:hAnsi="Verdana" w:cs="Verdana"/>
        </w:rPr>
        <w:t xml:space="preserve"> programme we have linked over 50 non-profit organisations to statisticians who volunteer their time free of charge. Our programme has made us particularly aware of the generally low levels of data skills in the not-for-profit sector. Due to the influence this sector has upon policy-making, it is crucial for those in such organisations to receive appropriate education and be equipped with the necessary </w:t>
      </w:r>
      <w:r w:rsidRPr="005B5CB6">
        <w:rPr>
          <w:rFonts w:ascii="Verdana" w:eastAsia="Verdana" w:hAnsi="Verdana" w:cs="Verdana"/>
        </w:rPr>
        <w:t xml:space="preserve">data literacy for a data-driven democracy. The RSS recognises the importance of such training for all and delivers public training courses to equip non-specialists with foundation skills in topics such as data visualisation, presenting data, and understanding and analysing data. </w:t>
      </w:r>
    </w:p>
    <w:p w:rsidR="00FB0B24" w:rsidRPr="005B5CB6" w:rsidP="006F32A5">
      <w:pPr>
        <w:spacing w:after="149" w:line="265" w:lineRule="auto"/>
        <w:ind w:left="-4" w:hanging="10"/>
        <w:jc w:val="both"/>
        <w:rPr>
          <w:rFonts w:ascii="Verdana" w:hAnsi="Verdana"/>
        </w:rPr>
      </w:pPr>
      <w:r w:rsidRPr="005B5CB6">
        <w:rPr>
          <w:rFonts w:ascii="Verdana" w:eastAsia="Verdana" w:hAnsi="Verdana" w:cs="Verdana"/>
          <w:b/>
          <w:u w:val="single" w:color="000000"/>
        </w:rPr>
        <w:t>What effect does online targeted advertising have on the political process,</w:t>
      </w:r>
      <w:r w:rsidRPr="005B5CB6">
        <w:rPr>
          <w:rFonts w:ascii="Verdana" w:eastAsia="Verdana" w:hAnsi="Verdana" w:cs="Verdana"/>
          <w:b/>
        </w:rPr>
        <w:t xml:space="preserve"> </w:t>
      </w:r>
      <w:r w:rsidRPr="005B5CB6">
        <w:rPr>
          <w:rFonts w:ascii="Verdana" w:eastAsia="Verdana" w:hAnsi="Verdana" w:cs="Verdana"/>
          <w:b/>
          <w:u w:val="single" w:color="000000"/>
        </w:rPr>
        <w:t>and what effects could it have in the future? Should there be additional</w:t>
      </w:r>
      <w:r w:rsidRPr="005B5CB6">
        <w:rPr>
          <w:rFonts w:ascii="Verdana" w:eastAsia="Verdana" w:hAnsi="Verdana" w:cs="Verdana"/>
          <w:b/>
        </w:rPr>
        <w:t xml:space="preserve"> </w:t>
      </w:r>
      <w:r w:rsidRPr="005B5CB6">
        <w:rPr>
          <w:rFonts w:ascii="Verdana" w:eastAsia="Verdana" w:hAnsi="Verdana" w:cs="Verdana"/>
          <w:b/>
          <w:u w:val="single" w:color="000000"/>
        </w:rPr>
        <w:t>regulation of political advertising?</w:t>
      </w:r>
      <w:r w:rsidRPr="005B5CB6">
        <w:rPr>
          <w:rFonts w:ascii="Verdana" w:eastAsia="Verdana" w:hAnsi="Verdana" w:cs="Verdana"/>
          <w:b/>
        </w:rPr>
        <w:t xml:space="preserve"> </w:t>
      </w:r>
    </w:p>
    <w:p w:rsidR="00FB0B24" w:rsidRPr="005B5CB6" w:rsidP="006F32A5">
      <w:pPr>
        <w:spacing w:after="167" w:line="249" w:lineRule="auto"/>
        <w:ind w:left="10" w:right="12" w:hanging="9"/>
        <w:jc w:val="both"/>
        <w:rPr>
          <w:rFonts w:ascii="Verdana" w:hAnsi="Verdana"/>
        </w:rPr>
      </w:pPr>
      <w:r w:rsidRPr="005B5CB6">
        <w:rPr>
          <w:rFonts w:ascii="Verdana" w:eastAsia="Verdana" w:hAnsi="Verdana" w:cs="Verdana"/>
        </w:rPr>
        <w:t xml:space="preserve">4.1 Online targeted advertising can have a strong influence on behaviour. For example, </w:t>
      </w:r>
      <w:r>
        <w:fldChar w:fldCharType="begin"/>
      </w:r>
      <w:r>
        <w:instrText xml:space="preserve"> HYPERLINK "http://www.davidreiley.com/papers/OnlineAdsOfflineSales.pdf" </w:instrText>
      </w:r>
      <w:r>
        <w:fldChar w:fldCharType="separate"/>
      </w:r>
      <w:r w:rsidRPr="005B5CB6">
        <w:rPr>
          <w:rFonts w:ascii="Verdana" w:eastAsia="Verdana" w:hAnsi="Verdana" w:cs="Verdana"/>
          <w:color w:val="0563C1"/>
          <w:u w:val="single" w:color="0563C1"/>
        </w:rPr>
        <w:t>Lewis and Reiley</w:t>
      </w:r>
      <w:r>
        <w:fldChar w:fldCharType="end"/>
      </w:r>
      <w:r>
        <w:fldChar w:fldCharType="begin"/>
      </w:r>
      <w:r>
        <w:instrText xml:space="preserve"> HYPERLINK "http://www.davidreiley.com/papers/OnlineAdsOfflineSales.pdf"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reported an effect size of 5% (increase in purchases) from a randomised control trial of online targeted advertising to 1.6 million Yahoo users. Online targeting benefits advertisers and therefore political parties who will align themselves with the same tactics. This report highlighted how targeted advertising can heavily influence the public, with the effect growing as more people get engaged with the digital ecosystem. </w:t>
      </w:r>
    </w:p>
    <w:p w:rsidR="00FB0B24" w:rsidRPr="005B5CB6" w:rsidP="006F32A5">
      <w:pPr>
        <w:spacing w:after="167" w:line="249" w:lineRule="auto"/>
        <w:ind w:left="10" w:right="12" w:hanging="9"/>
        <w:jc w:val="both"/>
        <w:rPr>
          <w:rFonts w:ascii="Verdana" w:hAnsi="Verdana"/>
        </w:rPr>
      </w:pPr>
      <w:r w:rsidRPr="005B5CB6">
        <w:rPr>
          <w:rFonts w:ascii="Verdana" w:eastAsia="Verdana" w:hAnsi="Verdana" w:cs="Verdana"/>
        </w:rPr>
        <w:t xml:space="preserve">4.2 Consequential effects of targeted advertising outlined in the above report intensify the evidence of how advertisements can harm the outcome of democratic processes through avenues outside election rules. A </w:t>
      </w:r>
      <w:r>
        <w:fldChar w:fldCharType="begin"/>
      </w:r>
      <w:r>
        <w:instrText xml:space="preserve"> HYPERLINK "https://www.nature.com/articles/nature11421" \l "abstract" </w:instrText>
      </w:r>
      <w:r>
        <w:fldChar w:fldCharType="separate"/>
      </w:r>
      <w:r w:rsidRPr="005B5CB6">
        <w:rPr>
          <w:rFonts w:ascii="Verdana" w:eastAsia="Verdana" w:hAnsi="Verdana" w:cs="Verdana"/>
          <w:color w:val="0563C1"/>
          <w:u w:val="single" w:color="0563C1"/>
        </w:rPr>
        <w:t>Facebook study</w:t>
      </w:r>
      <w:r>
        <w:fldChar w:fldCharType="end"/>
      </w:r>
      <w:r>
        <w:fldChar w:fldCharType="begin"/>
      </w:r>
      <w:r>
        <w:instrText xml:space="preserve"> HYPERLINK "https://www.nature.com/articles/nature11421" \l "abstract"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reported that a single day of advertising increased voting participation by 0.39%. This implies that targeted political advertising – so called ‘dark adverts’ – could have a real impact on political outcomes. The RSS believes that democracy should not be done in the dark and, therefore, we would want to see transparency of political advertising on social media and internet platforms. </w:t>
      </w:r>
    </w:p>
    <w:p w:rsidR="00FB0B24" w:rsidRPr="005B5CB6" w:rsidP="006F32A5">
      <w:pPr>
        <w:spacing w:after="164" w:line="249" w:lineRule="auto"/>
        <w:ind w:left="10" w:right="12" w:hanging="9"/>
        <w:jc w:val="both"/>
        <w:rPr>
          <w:rFonts w:ascii="Verdana" w:hAnsi="Verdana"/>
        </w:rPr>
      </w:pPr>
      <w:r w:rsidRPr="005B5CB6">
        <w:rPr>
          <w:rFonts w:ascii="Verdana" w:eastAsia="Verdana" w:hAnsi="Verdana" w:cs="Verdana"/>
        </w:rPr>
        <w:t xml:space="preserve">4.3 To develop a better understanding of the real and potential pros and cons of online targeting, and to work towards effective governance, we need to move beyond thinking about single organisations of one kind or another to a whole-system perspective on online targeting. Within the EU, an organisation must appoint a Data Protection Officer (DPO) if it is engaged in activities that “require regular and systematic monitoring of data subjects on a large scale” (GDPR, Article 37.1.b). This includes online targeting, but only if it is “systematic” and on a “large scale” - for example, a company buying and selling data for online targeting. An organisation that simply uses a demand-side platform to perform its targeting would not have to appoint a DPO and would be likely to use </w:t>
      </w:r>
      <w:r w:rsidRPr="005B5CB6">
        <w:rPr>
          <w:rFonts w:ascii="Verdana" w:eastAsia="Verdana" w:hAnsi="Verdana" w:cs="Verdana"/>
          <w:i/>
        </w:rPr>
        <w:t>ad hoc</w:t>
      </w:r>
      <w:r w:rsidRPr="005B5CB6">
        <w:rPr>
          <w:rFonts w:ascii="Verdana" w:eastAsia="Verdana" w:hAnsi="Verdana" w:cs="Verdana"/>
        </w:rPr>
        <w:t xml:space="preserve"> procedures, instead, to monitor online targeting practice. In order to prevent possible negative effects from ‘dark adverts’, the RSS believes regulation of social media platforms and digital companies should necessitate the internal employment of a DPO, alongside a senior data scientist for all social media platforms. This would allow for the data collected and the algorithms to be transparent and facilitate external inspection if needed.  </w:t>
      </w:r>
    </w:p>
    <w:p w:rsidR="00FB0B24" w:rsidRPr="005B5CB6" w:rsidP="006F32A5">
      <w:pPr>
        <w:spacing w:after="156"/>
        <w:ind w:left="1"/>
        <w:jc w:val="both"/>
        <w:rPr>
          <w:rFonts w:ascii="Verdana" w:hAnsi="Verdana"/>
        </w:rPr>
      </w:pPr>
      <w:r w:rsidRPr="005B5CB6">
        <w:rPr>
          <w:rFonts w:ascii="Verdana" w:eastAsia="Verdana" w:hAnsi="Verdana" w:cs="Verdana"/>
          <w:b/>
        </w:rPr>
        <w:t xml:space="preserve"> </w:t>
      </w:r>
    </w:p>
    <w:p w:rsidR="00FB0B24" w:rsidRPr="005B5CB6" w:rsidP="006F32A5">
      <w:pPr>
        <w:spacing w:after="0"/>
        <w:ind w:left="1"/>
        <w:jc w:val="both"/>
        <w:rPr>
          <w:rFonts w:ascii="Verdana" w:hAnsi="Verdana"/>
        </w:rPr>
      </w:pPr>
      <w:r w:rsidRPr="005B5CB6">
        <w:rPr>
          <w:rFonts w:ascii="Verdana" w:eastAsia="Verdana" w:hAnsi="Verdana" w:cs="Verdana"/>
          <w:b/>
        </w:rPr>
        <w:t xml:space="preserve"> </w:t>
      </w:r>
    </w:p>
    <w:p w:rsidR="00FB0B24" w:rsidRPr="005B5CB6" w:rsidP="006F32A5">
      <w:pPr>
        <w:spacing w:after="149" w:line="265" w:lineRule="auto"/>
        <w:ind w:left="-4" w:hanging="10"/>
        <w:jc w:val="both"/>
        <w:rPr>
          <w:rFonts w:ascii="Verdana" w:hAnsi="Verdana"/>
        </w:rPr>
      </w:pPr>
      <w:r w:rsidRPr="005B5CB6">
        <w:rPr>
          <w:rFonts w:ascii="Verdana" w:eastAsia="Verdana" w:hAnsi="Verdana" w:cs="Verdana"/>
          <w:b/>
          <w:u w:val="single" w:color="000000"/>
        </w:rPr>
        <w:t>What might be the best ways of reducing the effects of misinformation on</w:t>
      </w:r>
      <w:r w:rsidRPr="005B5CB6">
        <w:rPr>
          <w:rFonts w:ascii="Verdana" w:eastAsia="Verdana" w:hAnsi="Verdana" w:cs="Verdana"/>
          <w:b/>
        </w:rPr>
        <w:t xml:space="preserve"> </w:t>
      </w:r>
      <w:r w:rsidRPr="005B5CB6">
        <w:rPr>
          <w:rFonts w:ascii="Verdana" w:eastAsia="Verdana" w:hAnsi="Verdana" w:cs="Verdana"/>
          <w:b/>
          <w:u w:val="single" w:color="000000"/>
        </w:rPr>
        <w:t>social media platforms?</w:t>
      </w:r>
      <w:r w:rsidRPr="005B5CB6">
        <w:rPr>
          <w:rFonts w:ascii="Verdana" w:eastAsia="Verdana" w:hAnsi="Verdana" w:cs="Verdana"/>
          <w:b/>
        </w:rPr>
        <w:t xml:space="preserve"> </w:t>
      </w:r>
    </w:p>
    <w:p w:rsidR="00FB0B24" w:rsidRPr="005B5CB6" w:rsidP="006F32A5">
      <w:pPr>
        <w:spacing w:after="167" w:line="249" w:lineRule="auto"/>
        <w:ind w:left="10" w:right="12" w:hanging="9"/>
        <w:jc w:val="both"/>
        <w:rPr>
          <w:rFonts w:ascii="Verdana" w:hAnsi="Verdana"/>
        </w:rPr>
      </w:pPr>
      <w:r w:rsidRPr="005B5CB6">
        <w:rPr>
          <w:rFonts w:ascii="Verdana" w:eastAsia="Verdana" w:hAnsi="Verdana" w:cs="Verdana"/>
        </w:rPr>
        <w:t xml:space="preserve">5.1 Currently, ‘fake news’ encompasses the data debate as independent public bodies and institutions react to the credible threat this poses to the integrity of our democracy. Realistically, misinformation cannot be eliminated; instead, we should focus on building resilience against misinformation which has been around for as long as we have had data. The RSS argues for three urgent actions to protect the integrity of our democracy and to mitigate the effects of misinformation via social media platforms: </w:t>
      </w:r>
    </w:p>
    <w:p w:rsidR="00FB0B24" w:rsidRPr="005B5CB6" w:rsidP="00575F14">
      <w:pPr>
        <w:numPr>
          <w:ilvl w:val="0"/>
          <w:numId w:val="263"/>
        </w:numPr>
        <w:spacing w:after="5" w:line="249" w:lineRule="auto"/>
        <w:ind w:right="12" w:hanging="360"/>
        <w:jc w:val="both"/>
        <w:rPr>
          <w:rFonts w:ascii="Verdana" w:hAnsi="Verdana"/>
        </w:rPr>
      </w:pPr>
      <w:r w:rsidRPr="005B5CB6">
        <w:rPr>
          <w:rFonts w:ascii="Verdana" w:eastAsia="Verdana" w:hAnsi="Verdana" w:cs="Verdana"/>
        </w:rPr>
        <w:t>as the 2018 report from Full Fact on ‘</w:t>
      </w:r>
      <w:r>
        <w:fldChar w:fldCharType="begin"/>
      </w:r>
      <w:r>
        <w:instrText xml:space="preserve"> HYPERLINK "https://fullfact.org/media/uploads/full_fact_tackling_misinformation_in_an_open_society.pdf" </w:instrText>
      </w:r>
      <w:r>
        <w:fldChar w:fldCharType="separate"/>
      </w:r>
      <w:r w:rsidRPr="005B5CB6">
        <w:rPr>
          <w:rFonts w:ascii="Verdana" w:eastAsia="Verdana" w:hAnsi="Verdana" w:cs="Verdana"/>
          <w:color w:val="0563C1"/>
          <w:u w:val="single" w:color="0563C1"/>
        </w:rPr>
        <w:t>Tackling misinformation in an open society</w:t>
      </w:r>
      <w:r>
        <w:fldChar w:fldCharType="end"/>
      </w:r>
      <w:r>
        <w:fldChar w:fldCharType="begin"/>
      </w:r>
      <w:r>
        <w:instrText xml:space="preserve"> HYPERLINK "https://fullfact.org/media/uploads/full_fact_tackling_misinformation_in_an_open_society.pdf"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mentions, the imprint rule should be extended to include online political advertising/campaigning. Recommended eight times in the last two years by other committees and inquiries, it would require the details of who created, paid for and promoted the campaign to appear on all online election material. Enforcing the imprint rule on social media platforms would allow voters to identify campaigning material as campaigning material - therefore ensuring that future campaigns cannot be designed to appear, baselessly, as official material from political parties, government or regulators. While we have welcomed the </w:t>
      </w:r>
      <w:r>
        <w:fldChar w:fldCharType="begin"/>
      </w:r>
      <w:r>
        <w:instrText xml:space="preserve"> HYPERLINK "https://assets.publishing.service.gov.uk/government/uploads/system/uploads/attachment_data/file/799873/Protecting-the-Debate-Government-Response-2019.05.01.pdf" </w:instrText>
      </w:r>
      <w:r>
        <w:fldChar w:fldCharType="separate"/>
      </w:r>
      <w:r w:rsidRPr="005B5CB6">
        <w:rPr>
          <w:rFonts w:ascii="Verdana" w:eastAsia="Verdana" w:hAnsi="Verdana" w:cs="Verdana"/>
          <w:color w:val="0563C1"/>
          <w:u w:val="single" w:color="0563C1"/>
        </w:rPr>
        <w:t>Government's recent</w:t>
      </w:r>
      <w:r>
        <w:fldChar w:fldCharType="end"/>
      </w:r>
      <w:r>
        <w:fldChar w:fldCharType="begin"/>
      </w:r>
      <w:r>
        <w:instrText xml:space="preserve"> HYPERLINK "https://assets.publishing.service.gov.uk/government/uploads/system/uploads/attachment_data/file/799873/Protecting-the-Debate-Government-Response-2019.05.01.pdf" </w:instrText>
      </w:r>
      <w:r>
        <w:fldChar w:fldCharType="separate"/>
      </w:r>
      <w:r w:rsidRPr="005B5CB6">
        <w:rPr>
          <w:rFonts w:ascii="Verdana" w:eastAsia="Verdana" w:hAnsi="Verdana" w:cs="Verdana"/>
          <w:color w:val="0563C1"/>
        </w:rPr>
        <w:t xml:space="preserve"> </w:t>
      </w:r>
      <w:r>
        <w:fldChar w:fldCharType="end"/>
      </w:r>
      <w:r>
        <w:fldChar w:fldCharType="begin"/>
      </w:r>
      <w:r>
        <w:instrText xml:space="preserve"> HYPERLINK "https://assets.publishing.service.gov.uk/government/uploads/system/uploads/attachment_data/file/799873/Protecting-the-Debate-Government-Response-2019.05.01.pdf" </w:instrText>
      </w:r>
      <w:r>
        <w:fldChar w:fldCharType="separate"/>
      </w:r>
      <w:r w:rsidRPr="005B5CB6">
        <w:rPr>
          <w:rFonts w:ascii="Verdana" w:eastAsia="Verdana" w:hAnsi="Verdana" w:cs="Verdana"/>
          <w:color w:val="0563C1"/>
          <w:u w:val="single" w:color="0563C1"/>
        </w:rPr>
        <w:t>consultation</w:t>
      </w:r>
      <w:r>
        <w:fldChar w:fldCharType="end"/>
      </w:r>
      <w:r>
        <w:fldChar w:fldCharType="begin"/>
      </w:r>
      <w:r>
        <w:instrText xml:space="preserve"> HYPERLINK "https://assets.publishing.service.gov.uk/government/uploads/system/uploads/attachment_data/file/799873/Protecting-the-Debate-Government-Response-2019.05.01.pdf"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which agrees that the imprint rule should be implemented in some form, we encourage a swift implementation, especially owing to the possibility of a General Election in the near future </w:t>
      </w:r>
    </w:p>
    <w:p w:rsidR="00FB0B24" w:rsidRPr="005B5CB6" w:rsidP="00575F14">
      <w:pPr>
        <w:numPr>
          <w:ilvl w:val="0"/>
          <w:numId w:val="263"/>
        </w:numPr>
        <w:spacing w:after="5" w:line="249" w:lineRule="auto"/>
        <w:ind w:right="12" w:hanging="360"/>
        <w:jc w:val="both"/>
        <w:rPr>
          <w:rFonts w:ascii="Verdana" w:hAnsi="Verdana"/>
        </w:rPr>
      </w:pPr>
      <w:r w:rsidRPr="005B5CB6">
        <w:rPr>
          <w:rFonts w:ascii="Verdana" w:eastAsia="Verdana" w:hAnsi="Verdana" w:cs="Verdana"/>
        </w:rPr>
        <w:t xml:space="preserve">alongside this measure, the Government needs to provide a research function to support and evaluate the provision of high-quality information in public debate and provide a clearer understanding of the scale of the problem that misinformation represents. Misinformation on social media platforms and, in a broader sense, across modern media cannot be counteracted if we do not know the extent of the problem and how best to share the good quality information that is undoubtedly available in unprecedented amounts. </w:t>
      </w:r>
    </w:p>
    <w:p w:rsidR="00FB0B24" w:rsidRPr="005B5CB6" w:rsidP="00575F14">
      <w:pPr>
        <w:numPr>
          <w:ilvl w:val="0"/>
          <w:numId w:val="263"/>
        </w:numPr>
        <w:spacing w:after="165" w:line="249" w:lineRule="auto"/>
        <w:ind w:right="12" w:hanging="360"/>
        <w:jc w:val="both"/>
        <w:rPr>
          <w:rFonts w:ascii="Verdana" w:hAnsi="Verdana"/>
        </w:rPr>
      </w:pPr>
      <w:r w:rsidRPr="005B5CB6">
        <w:rPr>
          <w:rFonts w:ascii="Verdana" w:eastAsia="Verdana" w:hAnsi="Verdana" w:cs="Verdana"/>
        </w:rPr>
        <w:t xml:space="preserve">providing people with unbiased and good quality information, linking to sources and setting claims in context, builds resilience and trust by delivering accountability which counteracts misinformation. The RSS ‘Data Manifesto’ argues that independent bodies (such as the UK Statistics Authority) should be given a clear mandate to inform the public and provide the tools to critically evaluate the claims that are made in the media and on social media. These independent bodies need adequate resources and funding to call out misuse of statistics and should be supported even when this is uncomfortable for the Government of the day. </w:t>
      </w:r>
    </w:p>
    <w:p w:rsidR="00FB0B24" w:rsidRPr="005B5CB6" w:rsidP="006F32A5">
      <w:pPr>
        <w:spacing w:after="149" w:line="265" w:lineRule="auto"/>
        <w:ind w:left="-4" w:hanging="10"/>
        <w:jc w:val="both"/>
        <w:rPr>
          <w:rFonts w:ascii="Verdana" w:hAnsi="Verdana"/>
        </w:rPr>
      </w:pPr>
      <w:r w:rsidRPr="005B5CB6">
        <w:rPr>
          <w:rFonts w:ascii="Verdana" w:eastAsia="Verdana" w:hAnsi="Verdana" w:cs="Verdana"/>
          <w:b/>
          <w:u w:val="single" w:color="000000"/>
        </w:rPr>
        <w:t>How could the Government better support the positive work of civil society</w:t>
      </w:r>
      <w:r w:rsidRPr="005B5CB6">
        <w:rPr>
          <w:rFonts w:ascii="Verdana" w:eastAsia="Verdana" w:hAnsi="Verdana" w:cs="Verdana"/>
          <w:b/>
        </w:rPr>
        <w:t xml:space="preserve"> </w:t>
      </w:r>
      <w:r w:rsidRPr="005B5CB6">
        <w:rPr>
          <w:rFonts w:ascii="Verdana" w:eastAsia="Verdana" w:hAnsi="Verdana" w:cs="Verdana"/>
          <w:b/>
          <w:u w:val="single" w:color="000000"/>
        </w:rPr>
        <w:t>organisations using technology to facilitate engagement with democratic</w:t>
      </w:r>
      <w:r w:rsidRPr="005B5CB6">
        <w:rPr>
          <w:rFonts w:ascii="Verdana" w:eastAsia="Verdana" w:hAnsi="Verdana" w:cs="Verdana"/>
          <w:b/>
        </w:rPr>
        <w:t xml:space="preserve"> </w:t>
      </w:r>
      <w:r w:rsidRPr="005B5CB6">
        <w:rPr>
          <w:rFonts w:ascii="Verdana" w:eastAsia="Verdana" w:hAnsi="Verdana" w:cs="Verdana"/>
          <w:b/>
          <w:u w:val="single" w:color="000000"/>
        </w:rPr>
        <w:t>processes?</w:t>
      </w:r>
      <w:r w:rsidRPr="005B5CB6">
        <w:rPr>
          <w:rFonts w:ascii="Verdana" w:eastAsia="Verdana" w:hAnsi="Verdana" w:cs="Verdana"/>
          <w:b/>
        </w:rPr>
        <w:t xml:space="preserve"> </w:t>
      </w:r>
    </w:p>
    <w:p w:rsidR="00FB0B24" w:rsidRPr="005B5CB6" w:rsidP="00575F14">
      <w:pPr>
        <w:numPr>
          <w:ilvl w:val="1"/>
          <w:numId w:val="264"/>
        </w:numPr>
        <w:spacing w:after="167" w:line="249" w:lineRule="auto"/>
        <w:ind w:right="12" w:hanging="9"/>
        <w:jc w:val="both"/>
        <w:rPr>
          <w:rFonts w:ascii="Verdana" w:hAnsi="Verdana"/>
        </w:rPr>
      </w:pPr>
      <w:r w:rsidRPr="005B5CB6">
        <w:rPr>
          <w:rFonts w:ascii="Verdana" w:eastAsia="Verdana" w:hAnsi="Verdana" w:cs="Verdana"/>
        </w:rPr>
        <w:t xml:space="preserve">The Government needs to get better at sharing administrative data with researchers through initiatives such as Administrative Data Research UK (ADR UK). As outlined in the RSS ‘Data Manifesto’, civil society organisations would benefit if the Government ensured that researchers have the data needed to inform their policy-influencing. Additionally, one of the most significant blockages within Government departments currently is around data-sharing and, in particular, the ability to share data with academia. Despite the Digital Economy Act being passed in </w:t>
      </w:r>
      <w:r w:rsidRPr="005B5CB6">
        <w:rPr>
          <w:rFonts w:ascii="Verdana" w:eastAsia="Verdana" w:hAnsi="Verdana" w:cs="Verdana"/>
        </w:rPr>
        <w:t>2017, several issues surrounding data being shared and used cooperatively remain as previously identified in the 2016 ‘</w:t>
      </w:r>
      <w:r>
        <w:fldChar w:fldCharType="begin"/>
      </w:r>
      <w:r>
        <w:instrText xml:space="preserve"> HYPERLINK "https://assets.publishing.service.gov.uk/government/uploads/system/uploads/attachment_data/file/507081/2904936_Bean_Review_Web_Accessible.pdf" </w:instrText>
      </w:r>
      <w:r>
        <w:fldChar w:fldCharType="separate"/>
      </w:r>
      <w:r w:rsidRPr="005B5CB6">
        <w:rPr>
          <w:rFonts w:ascii="Verdana" w:eastAsia="Verdana" w:hAnsi="Verdana" w:cs="Verdana"/>
          <w:color w:val="0563C1"/>
          <w:u w:val="single" w:color="0563C1"/>
        </w:rPr>
        <w:t>Independent Review of UK Economic Statistics</w:t>
      </w:r>
      <w:r>
        <w:fldChar w:fldCharType="end"/>
      </w:r>
      <w:r>
        <w:fldChar w:fldCharType="begin"/>
      </w:r>
      <w:r>
        <w:instrText xml:space="preserve"> HYPERLINK "https://assets.publishing.service.gov.uk/government/uploads/system/uploads/attachment_data/file/507081/2904936_Bean_Review_Web_Accessible.pdf" </w:instrText>
      </w:r>
      <w:r>
        <w:fldChar w:fldCharType="separate"/>
      </w:r>
      <w:r w:rsidRPr="005B5CB6">
        <w:rPr>
          <w:rFonts w:ascii="Verdana" w:eastAsia="Verdana" w:hAnsi="Verdana" w:cs="Verdana"/>
          <w:color w:val="0563C1"/>
          <w:u w:val="single" w:color="0563C1"/>
        </w:rPr>
        <w:t>’</w:t>
      </w:r>
      <w:r>
        <w:fldChar w:fldCharType="end"/>
      </w:r>
      <w:r w:rsidRPr="005B5CB6">
        <w:rPr>
          <w:rFonts w:ascii="Verdana" w:eastAsia="Verdana" w:hAnsi="Verdana" w:cs="Verdana"/>
        </w:rPr>
        <w:t xml:space="preserve"> by Professor Sir Charles Bean. Section 4.38 of his Review criticised the Office of National Statistics’ (ONS) behaviours and capabilities, stating that too many of those within the ONS were ‘operating in silos’. To achieve alignment in Government surrounding data, the RSS would like to see the full implementation of the relevant recommendations in this report. Following on from this, an update should be provided for all those concerned (e.g. RSS and other bodies), confirming the progress on issues identified within the report and the steps that are still required, going forward, to fully address them.  </w:t>
      </w:r>
    </w:p>
    <w:p w:rsidR="00FB0B24" w:rsidRPr="005B5CB6" w:rsidP="00575F14">
      <w:pPr>
        <w:numPr>
          <w:ilvl w:val="1"/>
          <w:numId w:val="264"/>
        </w:numPr>
        <w:spacing w:after="164" w:line="249" w:lineRule="auto"/>
        <w:ind w:right="12" w:hanging="9"/>
        <w:jc w:val="both"/>
        <w:rPr>
          <w:rFonts w:ascii="Verdana" w:hAnsi="Verdana"/>
        </w:rPr>
      </w:pPr>
      <w:r w:rsidRPr="005B5CB6">
        <w:rPr>
          <w:rFonts w:ascii="Verdana" w:eastAsia="Verdana" w:hAnsi="Verdana" w:cs="Verdana"/>
        </w:rPr>
        <w:t xml:space="preserve">Leadership is required within government departments to see the value of data linkage and to invest in it. Proportionate and duly justified access to a wide range of administrative data is imperative in providing conclusive statistics which can help to produce reasoned policy-making and, to cite a topical example, fact-based manifestowriting. Therefore, opening up channels of data would improve the work of civil society organisations and could better inform the Government and Opposition parties - making policy choices more accurately founded. </w:t>
      </w:r>
    </w:p>
    <w:p w:rsidR="00FB0B24" w:rsidRPr="005B5CB6" w:rsidP="006F32A5">
      <w:pPr>
        <w:spacing w:after="156"/>
        <w:jc w:val="both"/>
        <w:rPr>
          <w:rFonts w:ascii="Verdana" w:hAnsi="Verdana"/>
        </w:rPr>
      </w:pPr>
      <w:r w:rsidRPr="005B5CB6">
        <w:rPr>
          <w:rFonts w:ascii="Verdana" w:eastAsia="Verdana" w:hAnsi="Verdana" w:cs="Verdana"/>
        </w:rPr>
        <w:t xml:space="preserve"> </w:t>
      </w:r>
    </w:p>
    <w:p w:rsidR="00FB0B24" w:rsidRPr="005B5CB6" w:rsidP="006F32A5">
      <w:pPr>
        <w:spacing w:after="154"/>
        <w:jc w:val="both"/>
        <w:rPr>
          <w:rFonts w:ascii="Verdana" w:hAnsi="Verdana"/>
        </w:rPr>
      </w:pPr>
      <w:r w:rsidRPr="005B5CB6">
        <w:rPr>
          <w:rFonts w:ascii="Verdana" w:eastAsia="Verdana" w:hAnsi="Verdana" w:cs="Verdana"/>
        </w:rPr>
        <w:t xml:space="preserve"> </w:t>
      </w:r>
    </w:p>
    <w:p w:rsidR="00FB0B24" w:rsidRPr="005B5CB6" w:rsidP="006F32A5">
      <w:pPr>
        <w:spacing w:after="156"/>
        <w:jc w:val="both"/>
        <w:rPr>
          <w:rFonts w:ascii="Verdana" w:hAnsi="Verdana"/>
        </w:rPr>
      </w:pPr>
      <w:r w:rsidRPr="005B5CB6">
        <w:rPr>
          <w:rFonts w:ascii="Verdana" w:eastAsia="Verdana" w:hAnsi="Verdana" w:cs="Verdana"/>
        </w:rPr>
        <w:t xml:space="preserve"> </w:t>
      </w:r>
    </w:p>
    <w:p w:rsidR="00FB0B24" w:rsidRPr="005B5CB6" w:rsidP="006F32A5">
      <w:pPr>
        <w:spacing w:after="154"/>
        <w:jc w:val="both"/>
        <w:rPr>
          <w:rFonts w:ascii="Verdana" w:hAnsi="Verdana"/>
        </w:rPr>
      </w:pPr>
      <w:r w:rsidRPr="005B5CB6">
        <w:rPr>
          <w:rFonts w:ascii="Verdana" w:eastAsia="Verdana" w:hAnsi="Verdana" w:cs="Verdana"/>
        </w:rPr>
        <w:t xml:space="preserve"> </w:t>
      </w:r>
    </w:p>
    <w:p w:rsidR="00FB0B24" w:rsidRPr="005B5CB6" w:rsidP="006F32A5">
      <w:pPr>
        <w:spacing w:after="156"/>
        <w:jc w:val="both"/>
        <w:rPr>
          <w:rFonts w:ascii="Verdana" w:hAnsi="Verdana"/>
        </w:rPr>
      </w:pPr>
      <w:r w:rsidRPr="005B5CB6">
        <w:rPr>
          <w:rFonts w:ascii="Verdana" w:eastAsia="Verdana" w:hAnsi="Verdana" w:cs="Verdana"/>
        </w:rPr>
        <w:t xml:space="preserve"> </w:t>
      </w:r>
    </w:p>
    <w:p w:rsidR="00FB0B24" w:rsidRPr="005B5CB6" w:rsidP="006F32A5">
      <w:pPr>
        <w:spacing w:after="154"/>
        <w:jc w:val="both"/>
        <w:rPr>
          <w:rFonts w:ascii="Verdana" w:hAnsi="Verdana"/>
        </w:rPr>
      </w:pPr>
      <w:r w:rsidRPr="005B5CB6">
        <w:rPr>
          <w:rFonts w:ascii="Verdana" w:eastAsia="Verdana" w:hAnsi="Verdana" w:cs="Verdana"/>
        </w:rPr>
        <w:t xml:space="preserve"> </w:t>
      </w:r>
    </w:p>
    <w:p w:rsidR="00FB0B24" w:rsidRPr="005B5CB6" w:rsidP="006F32A5">
      <w:pPr>
        <w:spacing w:after="156"/>
        <w:jc w:val="both"/>
        <w:rPr>
          <w:rFonts w:ascii="Verdana" w:hAnsi="Verdana"/>
        </w:rPr>
      </w:pPr>
      <w:r w:rsidRPr="005B5CB6">
        <w:rPr>
          <w:rFonts w:ascii="Verdana" w:eastAsia="Verdana" w:hAnsi="Verdana" w:cs="Verdana"/>
        </w:rPr>
        <w:t xml:space="preserve"> </w:t>
      </w:r>
    </w:p>
    <w:p w:rsidR="00FB0B24" w:rsidRPr="005B5CB6" w:rsidP="006F32A5">
      <w:pPr>
        <w:spacing w:after="154"/>
        <w:jc w:val="both"/>
        <w:rPr>
          <w:rFonts w:ascii="Verdana" w:hAnsi="Verdana"/>
        </w:rPr>
      </w:pPr>
      <w:r w:rsidRPr="005B5CB6">
        <w:rPr>
          <w:rFonts w:ascii="Verdana" w:eastAsia="Verdana" w:hAnsi="Verdana" w:cs="Verdana"/>
        </w:rPr>
        <w:t xml:space="preserve"> </w:t>
      </w:r>
    </w:p>
    <w:p w:rsidR="00FB0B24" w:rsidRPr="005B5CB6" w:rsidP="006F32A5">
      <w:pPr>
        <w:spacing w:after="156"/>
        <w:jc w:val="both"/>
        <w:rPr>
          <w:rFonts w:ascii="Verdana" w:hAnsi="Verdana"/>
        </w:rPr>
      </w:pPr>
      <w:r w:rsidRPr="005B5CB6">
        <w:rPr>
          <w:rFonts w:ascii="Verdana" w:eastAsia="Verdana" w:hAnsi="Verdana" w:cs="Verdana"/>
        </w:rPr>
        <w:t xml:space="preserve"> </w:t>
      </w:r>
    </w:p>
    <w:p w:rsidR="00FB0B24" w:rsidRPr="005B5CB6" w:rsidP="006F32A5">
      <w:pPr>
        <w:spacing w:after="154"/>
        <w:jc w:val="both"/>
        <w:rPr>
          <w:rFonts w:ascii="Verdana" w:hAnsi="Verdana"/>
        </w:rPr>
      </w:pPr>
      <w:r w:rsidRPr="005B5CB6">
        <w:rPr>
          <w:rFonts w:ascii="Verdana" w:eastAsia="Verdana" w:hAnsi="Verdana" w:cs="Verdana"/>
        </w:rPr>
        <w:t xml:space="preserve"> </w:t>
      </w:r>
    </w:p>
    <w:p w:rsidR="00FB0B24" w:rsidRPr="005B5CB6" w:rsidP="006F32A5">
      <w:pPr>
        <w:spacing w:after="156"/>
        <w:jc w:val="both"/>
        <w:rPr>
          <w:rFonts w:ascii="Verdana" w:hAnsi="Verdana"/>
        </w:rPr>
      </w:pPr>
      <w:r w:rsidRPr="005B5CB6">
        <w:rPr>
          <w:rFonts w:ascii="Verdana" w:eastAsia="Verdana" w:hAnsi="Verdana" w:cs="Verdana"/>
        </w:rPr>
        <w:t xml:space="preserve"> </w:t>
      </w:r>
    </w:p>
    <w:p w:rsidR="00FB0B24" w:rsidRPr="005B5CB6" w:rsidP="006F32A5">
      <w:pPr>
        <w:spacing w:after="154"/>
        <w:jc w:val="both"/>
        <w:rPr>
          <w:rFonts w:ascii="Verdana" w:hAnsi="Verdana"/>
        </w:rPr>
      </w:pPr>
      <w:r w:rsidRPr="005B5CB6">
        <w:rPr>
          <w:rFonts w:ascii="Verdana" w:eastAsia="Verdana" w:hAnsi="Verdana" w:cs="Verdana"/>
        </w:rPr>
        <w:t xml:space="preserve"> </w:t>
      </w:r>
    </w:p>
    <w:p w:rsidR="00FB0B24" w:rsidRPr="005B5CB6" w:rsidP="006F32A5">
      <w:pPr>
        <w:spacing w:after="156"/>
        <w:jc w:val="both"/>
        <w:rPr>
          <w:rFonts w:ascii="Verdana" w:hAnsi="Verdana"/>
        </w:rPr>
      </w:pPr>
      <w:r w:rsidRPr="005B5CB6">
        <w:rPr>
          <w:rFonts w:ascii="Verdana" w:eastAsia="Verdana" w:hAnsi="Verdana" w:cs="Verdana"/>
        </w:rPr>
        <w:t xml:space="preserve"> </w:t>
      </w:r>
    </w:p>
    <w:p w:rsidR="00FB0B24" w:rsidRPr="005B5CB6" w:rsidP="006F32A5">
      <w:pPr>
        <w:spacing w:after="154"/>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156"/>
        <w:ind w:left="1"/>
        <w:jc w:val="both"/>
        <w:rPr>
          <w:rFonts w:ascii="Verdana" w:hAnsi="Verdana"/>
        </w:rPr>
      </w:pPr>
      <w:r w:rsidRPr="005B5CB6">
        <w:rPr>
          <w:rFonts w:ascii="Verdana" w:eastAsia="Verdana" w:hAnsi="Verdana" w:cs="Verdana"/>
        </w:rPr>
        <w:t xml:space="preserve"> </w:t>
      </w:r>
    </w:p>
    <w:p w:rsidR="00FB0B24" w:rsidRPr="005B5CB6" w:rsidP="006F32A5">
      <w:pPr>
        <w:pStyle w:val="Heading2"/>
        <w:rPr>
          <w:sz w:val="22"/>
        </w:rPr>
      </w:pPr>
      <w:r w:rsidRPr="005B5CB6">
        <w:rPr>
          <w:b w:val="0"/>
          <w:sz w:val="22"/>
        </w:rPr>
        <w:t xml:space="preserve">Bibliography </w:t>
      </w:r>
    </w:p>
    <w:p w:rsidR="00FB0B24" w:rsidRPr="005B5CB6" w:rsidP="00CF6BAD">
      <w:pPr>
        <w:spacing w:after="5" w:line="249" w:lineRule="auto"/>
        <w:ind w:left="10" w:hanging="10"/>
        <w:jc w:val="both"/>
        <w:rPr>
          <w:rFonts w:ascii="Verdana" w:hAnsi="Verdana"/>
        </w:rPr>
      </w:pPr>
      <w:r w:rsidRPr="005B5CB6">
        <w:rPr>
          <w:rFonts w:ascii="Verdana" w:eastAsia="Verdana" w:hAnsi="Verdana" w:cs="Verdana"/>
        </w:rPr>
        <w:t>Bean, C. (2016) ‘</w:t>
      </w:r>
      <w:r w:rsidRPr="005B5CB6">
        <w:rPr>
          <w:rFonts w:ascii="Verdana" w:eastAsia="Verdana" w:hAnsi="Verdana" w:cs="Verdana"/>
          <w:i/>
        </w:rPr>
        <w:t>Independent Review of UK Economic Statistics</w:t>
      </w:r>
      <w:r w:rsidRPr="005B5CB6">
        <w:rPr>
          <w:rFonts w:ascii="Verdana" w:eastAsia="Verdana" w:hAnsi="Verdana" w:cs="Verdana"/>
        </w:rPr>
        <w:t xml:space="preserve">’. London: HM </w:t>
      </w:r>
    </w:p>
    <w:p w:rsidR="00FB0B24" w:rsidRPr="005B5CB6" w:rsidP="00CF6BAD">
      <w:pPr>
        <w:tabs>
          <w:tab w:val="center" w:pos="5047"/>
          <w:tab w:val="right" w:pos="9365"/>
        </w:tabs>
        <w:spacing w:after="5" w:line="250" w:lineRule="auto"/>
        <w:jc w:val="both"/>
        <w:rPr>
          <w:rFonts w:ascii="Verdana" w:hAnsi="Verdana"/>
        </w:rPr>
      </w:pPr>
      <w:r w:rsidRPr="005B5CB6">
        <w:rPr>
          <w:rFonts w:ascii="Verdana" w:eastAsia="Verdana" w:hAnsi="Verdana" w:cs="Verdana"/>
        </w:rPr>
        <w:t xml:space="preserve">Treasury. </w:t>
      </w:r>
      <w:r w:rsidRPr="005B5CB6">
        <w:rPr>
          <w:rFonts w:ascii="Verdana" w:eastAsia="Verdana" w:hAnsi="Verdana" w:cs="Verdana"/>
        </w:rPr>
        <w:tab/>
        <w:t xml:space="preserve">Available </w:t>
      </w:r>
      <w:r w:rsidRPr="005B5CB6">
        <w:rPr>
          <w:rFonts w:ascii="Verdana" w:eastAsia="Verdana" w:hAnsi="Verdana" w:cs="Verdana"/>
        </w:rPr>
        <w:tab/>
        <w:t xml:space="preserve">at: </w:t>
      </w:r>
    </w:p>
    <w:p w:rsidR="00FB0B24" w:rsidRPr="005B5CB6" w:rsidP="00CF6BAD">
      <w:pPr>
        <w:spacing w:after="157" w:line="258" w:lineRule="auto"/>
        <w:ind w:left="-5" w:right="-13" w:hanging="10"/>
        <w:jc w:val="both"/>
        <w:rPr>
          <w:rFonts w:ascii="Verdana" w:hAnsi="Verdana"/>
        </w:rPr>
      </w:pPr>
      <w:r>
        <w:fldChar w:fldCharType="begin"/>
      </w:r>
      <w:r>
        <w:instrText xml:space="preserve"> HYPERLINK "https://assets.publishing.service.gov.uk/government/uploads/system/uploads/attachment_data/file/507081/2904936_Bean_Review_Web_Accessible.pdf" </w:instrText>
      </w:r>
      <w:r>
        <w:fldChar w:fldCharType="separate"/>
      </w:r>
      <w:r w:rsidRPr="005B5CB6" w:rsidR="00A72806">
        <w:rPr>
          <w:rFonts w:ascii="Verdana" w:eastAsia="Verdana" w:hAnsi="Verdana" w:cs="Verdana"/>
          <w:color w:val="0563C1"/>
          <w:u w:val="single" w:color="0563C1"/>
        </w:rPr>
        <w:t xml:space="preserve">https://assets.publishing.service.gov.uk/government/uploads/system/uploads/attac </w:t>
      </w:r>
      <w:r>
        <w:fldChar w:fldCharType="end"/>
      </w:r>
      <w:r>
        <w:fldChar w:fldCharType="begin"/>
      </w:r>
      <w:r>
        <w:instrText xml:space="preserve"> HYPERLINK "https://assets.publishing.service.gov.uk/government/uploads/system/uploads/attachment_data/file/507081/2904936_Bean_Review_Web_Accessible.pdf" </w:instrText>
      </w:r>
      <w:r>
        <w:fldChar w:fldCharType="separate"/>
      </w:r>
      <w:r w:rsidRPr="005B5CB6" w:rsidR="00A72806">
        <w:rPr>
          <w:rFonts w:ascii="Verdana" w:eastAsia="Verdana" w:hAnsi="Verdana" w:cs="Verdana"/>
          <w:color w:val="0563C1"/>
          <w:u w:val="single" w:color="0563C1"/>
        </w:rPr>
        <w:t>hment_data/file/507081/2904936_Bean_Review_Web_Accessible.pdf</w:t>
      </w:r>
      <w:r>
        <w:fldChar w:fldCharType="end"/>
      </w:r>
      <w:r>
        <w:fldChar w:fldCharType="begin"/>
      </w:r>
      <w:r>
        <w:instrText xml:space="preserve"> HYPERLINK "https://assets.publishing.service.gov.uk/government/uploads/system/uploads/attachment_data/file/507081/2904936_Bean_Review_Web_Accessible.pdf"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[Accessed: August 2019].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Bond, R., Fariss, C., Jones, J., Kramer, A., Marlow, C., Settle, J. and Fowler, J. (2012). ‘</w:t>
      </w:r>
      <w:r w:rsidRPr="005B5CB6">
        <w:rPr>
          <w:rFonts w:ascii="Verdana" w:eastAsia="Verdana" w:hAnsi="Verdana" w:cs="Verdana"/>
          <w:i/>
        </w:rPr>
        <w:t>A 61-Million-Person Experiment in Social Influence and Political Mobilization</w:t>
      </w:r>
      <w:r w:rsidRPr="005B5CB6">
        <w:rPr>
          <w:rFonts w:ascii="Verdana" w:eastAsia="Verdana" w:hAnsi="Verdana" w:cs="Verdana"/>
        </w:rPr>
        <w:t xml:space="preserve">’. </w:t>
      </w:r>
    </w:p>
    <w:p w:rsidR="00FB0B24" w:rsidRPr="005B5CB6" w:rsidP="00CF6BAD">
      <w:pPr>
        <w:spacing w:after="164" w:line="250" w:lineRule="auto"/>
        <w:ind w:left="23" w:right="11" w:hanging="8"/>
        <w:jc w:val="both"/>
        <w:rPr>
          <w:rFonts w:ascii="Verdana" w:hAnsi="Verdana"/>
        </w:rPr>
      </w:pPr>
      <w:r w:rsidRPr="005B5CB6">
        <w:rPr>
          <w:rFonts w:ascii="Verdana" w:eastAsia="Verdana" w:hAnsi="Verdana" w:cs="Verdana"/>
        </w:rPr>
        <w:t xml:space="preserve">London: </w:t>
      </w:r>
      <w:r w:rsidRPr="005B5CB6">
        <w:rPr>
          <w:rFonts w:ascii="Verdana" w:eastAsia="Verdana" w:hAnsi="Verdana" w:cs="Verdana"/>
        </w:rPr>
        <w:tab/>
        <w:t xml:space="preserve">Nature. </w:t>
      </w:r>
      <w:r w:rsidRPr="005B5CB6">
        <w:rPr>
          <w:rFonts w:ascii="Verdana" w:eastAsia="Verdana" w:hAnsi="Verdana" w:cs="Verdana"/>
        </w:rPr>
        <w:tab/>
        <w:t xml:space="preserve">Available </w:t>
      </w:r>
      <w:r w:rsidRPr="005B5CB6">
        <w:rPr>
          <w:rFonts w:ascii="Verdana" w:eastAsia="Verdana" w:hAnsi="Verdana" w:cs="Verdana"/>
        </w:rPr>
        <w:tab/>
        <w:t xml:space="preserve">at: </w:t>
      </w:r>
      <w:r>
        <w:fldChar w:fldCharType="begin"/>
      </w:r>
      <w:r>
        <w:instrText xml:space="preserve"> HYPERLINK "https://www.nature.com/articles/nature11421" \l "abstract" </w:instrText>
      </w:r>
      <w:r>
        <w:fldChar w:fldCharType="separate"/>
      </w:r>
      <w:r w:rsidRPr="005B5CB6">
        <w:rPr>
          <w:rFonts w:ascii="Verdana" w:eastAsia="Verdana" w:hAnsi="Verdana" w:cs="Verdana"/>
          <w:color w:val="0563C1"/>
          <w:u w:val="single" w:color="0563C1"/>
        </w:rPr>
        <w:t>https://www.nature.com/articles/nature11421#abstract</w:t>
      </w:r>
      <w:r>
        <w:fldChar w:fldCharType="end"/>
      </w:r>
      <w:r>
        <w:fldChar w:fldCharType="begin"/>
      </w:r>
      <w:r>
        <w:instrText xml:space="preserve"> HYPERLINK "https://www.nature.com/articles/nature11421" \l "abstract"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ab/>
        <w:t xml:space="preserve">[Accessed: </w:t>
      </w:r>
      <w:r w:rsidRPr="005B5CB6">
        <w:rPr>
          <w:rFonts w:ascii="Verdana" w:eastAsia="Verdana" w:hAnsi="Verdana" w:cs="Verdana"/>
        </w:rPr>
        <w:tab/>
        <w:t xml:space="preserve">September 2019]. </w:t>
      </w:r>
    </w:p>
    <w:p w:rsidR="00FB0B24" w:rsidRPr="005B5CB6" w:rsidP="00CF6BAD">
      <w:pPr>
        <w:spacing w:after="167" w:line="249" w:lineRule="auto"/>
        <w:ind w:left="-5" w:hanging="10"/>
        <w:jc w:val="both"/>
        <w:rPr>
          <w:rFonts w:ascii="Verdana" w:hAnsi="Verdana"/>
        </w:rPr>
      </w:pPr>
      <w:r w:rsidRPr="005B5CB6">
        <w:rPr>
          <w:rFonts w:ascii="Verdana" w:eastAsia="Verdana" w:hAnsi="Verdana" w:cs="Verdana"/>
        </w:rPr>
        <w:t>Cabinet Office. (2019). ‘</w:t>
      </w:r>
      <w:r w:rsidRPr="005B5CB6">
        <w:rPr>
          <w:rFonts w:ascii="Verdana" w:eastAsia="Verdana" w:hAnsi="Verdana" w:cs="Verdana"/>
          <w:i/>
        </w:rPr>
        <w:t>Protecting the Debate: Intimidation, Influence and Information</w:t>
      </w:r>
      <w:r w:rsidRPr="005B5CB6">
        <w:rPr>
          <w:rFonts w:ascii="Verdana" w:eastAsia="Verdana" w:hAnsi="Verdana" w:cs="Verdana"/>
        </w:rPr>
        <w:t xml:space="preserve">’. London: HM Government. Available at: </w:t>
      </w:r>
      <w:r>
        <w:fldChar w:fldCharType="begin"/>
      </w:r>
      <w:r>
        <w:instrText xml:space="preserve"> HYPERLINK "https://assets.publishing.service.gov.uk/government/uploads/system/uploads/attachment_data/file/799873/Protecting-the-Debate-Government-Response-2019.05.01.pdf" </w:instrText>
      </w:r>
      <w:r>
        <w:fldChar w:fldCharType="separate"/>
      </w:r>
      <w:r w:rsidRPr="005B5CB6">
        <w:rPr>
          <w:rFonts w:ascii="Verdana" w:eastAsia="Verdana" w:hAnsi="Verdana" w:cs="Verdana"/>
          <w:color w:val="0563C1"/>
          <w:u w:val="single" w:color="0563C1"/>
        </w:rPr>
        <w:t xml:space="preserve">https://assets.publishing.service.gov.uk/government/uploads/system/uploads/attac </w:t>
      </w:r>
      <w:r>
        <w:fldChar w:fldCharType="end"/>
      </w:r>
      <w:r>
        <w:fldChar w:fldCharType="begin"/>
      </w:r>
      <w:r>
        <w:instrText xml:space="preserve"> HYPERLINK "https://assets.publishing.service.gov.uk/government/uploads/system/uploads/attachment_data/file/799873/Protecting-the-Debate-Government-Response-2019.05.01.pdf" </w:instrText>
      </w:r>
      <w:r>
        <w:fldChar w:fldCharType="separate"/>
      </w:r>
      <w:r w:rsidRPr="005B5CB6">
        <w:rPr>
          <w:rFonts w:ascii="Verdana" w:eastAsia="Verdana" w:hAnsi="Verdana" w:cs="Verdana"/>
          <w:color w:val="0563C1"/>
          <w:u w:val="single" w:color="0563C1"/>
        </w:rPr>
        <w:t>hment_data/file/799873/Protecting-the-Debate-Government-Response</w:t>
      </w:r>
      <w:r>
        <w:fldChar w:fldCharType="end"/>
      </w:r>
      <w:r>
        <w:fldChar w:fldCharType="begin"/>
      </w:r>
      <w:r>
        <w:instrText xml:space="preserve"> HYPERLINK "https://assets.publishing.service.gov.uk/government/uploads/system/uploads/attachment_data/file/799873/Protecting-the-Debate-Government-Response-2019.05.01.pdf" </w:instrText>
      </w:r>
      <w:r>
        <w:fldChar w:fldCharType="separate"/>
      </w:r>
      <w:r w:rsidRPr="005B5CB6">
        <w:rPr>
          <w:rFonts w:ascii="Verdana" w:eastAsia="Verdana" w:hAnsi="Verdana" w:cs="Verdana"/>
          <w:color w:val="0563C1"/>
          <w:u w:val="single" w:color="0563C1"/>
        </w:rPr>
        <w:t>2019.05.01.pdf</w:t>
      </w:r>
      <w:r>
        <w:fldChar w:fldCharType="end"/>
      </w:r>
      <w:r>
        <w:fldChar w:fldCharType="begin"/>
      </w:r>
      <w:r>
        <w:instrText xml:space="preserve"> HYPERLINK "https://assets.publishing.service.gov.uk/government/uploads/system/uploads/attachment_data/file/799873/Protecting-the-Debate-Government-Response-2019.05.01.pdf"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[Accessed: September 2019]. </w:t>
      </w:r>
    </w:p>
    <w:p w:rsidR="00FB0B24" w:rsidRPr="005B5CB6" w:rsidP="00CF6BAD">
      <w:pPr>
        <w:spacing w:after="164" w:line="249" w:lineRule="auto"/>
        <w:ind w:left="-5" w:hanging="10"/>
        <w:jc w:val="both"/>
        <w:rPr>
          <w:rFonts w:ascii="Verdana" w:hAnsi="Verdana"/>
        </w:rPr>
      </w:pPr>
      <w:r w:rsidRPr="005B5CB6">
        <w:rPr>
          <w:rFonts w:ascii="Verdana" w:eastAsia="Verdana" w:hAnsi="Verdana" w:cs="Verdana"/>
        </w:rPr>
        <w:t>Department for Digital, Culture, Media and Sport. (2017). ‘</w:t>
      </w:r>
      <w:r w:rsidRPr="005B5CB6">
        <w:rPr>
          <w:rFonts w:ascii="Verdana" w:eastAsia="Verdana" w:hAnsi="Verdana" w:cs="Verdana"/>
          <w:i/>
        </w:rPr>
        <w:t>Supplementary written evidence submitted by the Department for Digital, Culture, Media and Sport (ADM0015)</w:t>
      </w:r>
      <w:r w:rsidRPr="005B5CB6">
        <w:rPr>
          <w:rFonts w:ascii="Verdana" w:eastAsia="Verdana" w:hAnsi="Verdana" w:cs="Verdana"/>
        </w:rPr>
        <w:t xml:space="preserve">’. London: House of Commons. Available at: </w:t>
      </w:r>
      <w:r>
        <w:fldChar w:fldCharType="begin"/>
      </w:r>
      <w:r>
        <w:instrText xml:space="preserve"> HYPERLINK "http://data.parliament.uk/writtenevidence/committeeevidence.svc/evidencedocument/science-and-technology-committee/algorithms-in-decisionmaking/written/71674.html" </w:instrText>
      </w:r>
      <w:r>
        <w:fldChar w:fldCharType="separate"/>
      </w:r>
      <w:r w:rsidRPr="005B5CB6">
        <w:rPr>
          <w:rFonts w:ascii="Verdana" w:eastAsia="Verdana" w:hAnsi="Verdana" w:cs="Verdana"/>
          <w:color w:val="0563C1"/>
          <w:u w:val="single" w:color="0563C1"/>
        </w:rPr>
        <w:t xml:space="preserve">http://data.parliament.uk/writtenevidence/committeeevidence.svc/evidencedocume </w:t>
      </w:r>
      <w:r>
        <w:fldChar w:fldCharType="end"/>
      </w:r>
      <w:r>
        <w:fldChar w:fldCharType="begin"/>
      </w:r>
      <w:r>
        <w:instrText xml:space="preserve"> HYPERLINK "http://data.parliament.uk/writtenevidence/committeeevidence.svc/evidencedocument/science-and-technology-committee/algorithms-in-decisionmaking/written/71674.html" </w:instrText>
      </w:r>
      <w:r>
        <w:fldChar w:fldCharType="separate"/>
      </w:r>
      <w:r w:rsidRPr="005B5CB6">
        <w:rPr>
          <w:rFonts w:ascii="Verdana" w:eastAsia="Verdana" w:hAnsi="Verdana" w:cs="Verdana"/>
          <w:color w:val="0563C1"/>
          <w:u w:val="single" w:color="0563C1"/>
        </w:rPr>
        <w:t>nt/science-and-technology-committee/algorithms-in</w:t>
      </w:r>
      <w:r>
        <w:fldChar w:fldCharType="end"/>
      </w:r>
      <w:r>
        <w:fldChar w:fldCharType="begin"/>
      </w:r>
      <w:r>
        <w:instrText xml:space="preserve"> HYPERLINK "http://data.parliament.uk/writtenevidence/committeeevidence.svc/evidencedocument/science-and-technology-committee/algorithms-in-decisionmaking/written/71674.html" </w:instrText>
      </w:r>
      <w:r>
        <w:fldChar w:fldCharType="separate"/>
      </w:r>
      <w:r w:rsidRPr="005B5CB6">
        <w:rPr>
          <w:rFonts w:ascii="Verdana" w:eastAsia="Verdana" w:hAnsi="Verdana" w:cs="Verdana"/>
          <w:color w:val="0563C1"/>
          <w:u w:val="single" w:color="0563C1"/>
        </w:rPr>
        <w:t>decisionmaking/written/71674.html</w:t>
      </w:r>
      <w:r>
        <w:fldChar w:fldCharType="end"/>
      </w:r>
      <w:r>
        <w:fldChar w:fldCharType="begin"/>
      </w:r>
      <w:r>
        <w:instrText xml:space="preserve"> HYPERLINK "http://data.parliament.uk/writtenevidence/committeeevidence.svc/evidencedocument/science-and-technology-committee/algorithms-in-decisionmaking/written/71674.html"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[Accessed: September 2019]. </w:t>
      </w:r>
    </w:p>
    <w:p w:rsidR="00FB0B24" w:rsidRPr="005B5CB6" w:rsidP="00CF6BAD">
      <w:pPr>
        <w:spacing w:after="5" w:line="249" w:lineRule="auto"/>
        <w:ind w:left="10" w:hanging="10"/>
        <w:jc w:val="both"/>
        <w:rPr>
          <w:rFonts w:ascii="Verdana" w:hAnsi="Verdana"/>
        </w:rPr>
      </w:pPr>
      <w:r w:rsidRPr="005B5CB6">
        <w:rPr>
          <w:rFonts w:ascii="Verdana" w:eastAsia="Verdana" w:hAnsi="Verdana" w:cs="Verdana"/>
        </w:rPr>
        <w:t>Full Fact. (2018). ‘</w:t>
      </w:r>
      <w:r w:rsidRPr="005B5CB6">
        <w:rPr>
          <w:rFonts w:ascii="Verdana" w:eastAsia="Verdana" w:hAnsi="Verdana" w:cs="Verdana"/>
          <w:i/>
        </w:rPr>
        <w:t>Tackling misinformation in an open society’</w:t>
      </w:r>
      <w:r w:rsidRPr="005B5CB6">
        <w:rPr>
          <w:rFonts w:ascii="Verdana" w:eastAsia="Verdana" w:hAnsi="Verdana" w:cs="Verdana"/>
        </w:rPr>
        <w:t xml:space="preserve">. London: Full Fact. </w:t>
      </w:r>
    </w:p>
    <w:p w:rsidR="00FB0B24" w:rsidRPr="005B5CB6" w:rsidP="00CF6BAD">
      <w:pPr>
        <w:tabs>
          <w:tab w:val="right" w:pos="9365"/>
        </w:tabs>
        <w:spacing w:after="5" w:line="250" w:lineRule="auto"/>
        <w:jc w:val="both"/>
        <w:rPr>
          <w:rFonts w:ascii="Verdana" w:hAnsi="Verdana"/>
        </w:rPr>
      </w:pPr>
      <w:r w:rsidRPr="005B5CB6">
        <w:rPr>
          <w:rFonts w:ascii="Verdana" w:eastAsia="Verdana" w:hAnsi="Verdana" w:cs="Verdana"/>
        </w:rPr>
        <w:t xml:space="preserve">Available </w:t>
      </w:r>
      <w:r w:rsidRPr="005B5CB6">
        <w:rPr>
          <w:rFonts w:ascii="Verdana" w:eastAsia="Verdana" w:hAnsi="Verdana" w:cs="Verdana"/>
        </w:rPr>
        <w:tab/>
        <w:t xml:space="preserve">at: </w:t>
      </w:r>
    </w:p>
    <w:p w:rsidR="00FB0B24" w:rsidRPr="005B5CB6" w:rsidP="00CF6BAD">
      <w:pPr>
        <w:spacing w:after="164" w:line="249" w:lineRule="auto"/>
        <w:ind w:left="-5" w:hanging="10"/>
        <w:jc w:val="both"/>
        <w:rPr>
          <w:rFonts w:ascii="Verdana" w:hAnsi="Verdana"/>
        </w:rPr>
      </w:pPr>
      <w:r>
        <w:fldChar w:fldCharType="begin"/>
      </w:r>
      <w:r>
        <w:instrText xml:space="preserve"> HYPERLINK "https://fullfact.org/media/uploads/full_fact_tackling_misinformation_in_an_open_society.pdf" </w:instrText>
      </w:r>
      <w:r>
        <w:fldChar w:fldCharType="separate"/>
      </w:r>
      <w:r w:rsidRPr="005B5CB6" w:rsidR="00A72806">
        <w:rPr>
          <w:rFonts w:ascii="Verdana" w:eastAsia="Verdana" w:hAnsi="Verdana" w:cs="Verdana"/>
          <w:color w:val="0563C1"/>
          <w:u w:val="single" w:color="0563C1"/>
        </w:rPr>
        <w:t xml:space="preserve">https://fullfact.org/media/uploads/full_fact_tackling_misinformation_in_an_open_s </w:t>
      </w:r>
      <w:r>
        <w:fldChar w:fldCharType="end"/>
      </w:r>
      <w:r>
        <w:fldChar w:fldCharType="begin"/>
      </w:r>
      <w:r>
        <w:instrText xml:space="preserve"> HYPERLINK "https://fullfact.org/media/uploads/full_fact_tackling_misinformation_in_an_open_society.pdf" </w:instrText>
      </w:r>
      <w:r>
        <w:fldChar w:fldCharType="separate"/>
      </w:r>
      <w:r w:rsidRPr="005B5CB6" w:rsidR="00A72806">
        <w:rPr>
          <w:rFonts w:ascii="Verdana" w:eastAsia="Verdana" w:hAnsi="Verdana" w:cs="Verdana"/>
          <w:color w:val="0563C1"/>
          <w:u w:val="single" w:color="0563C1"/>
        </w:rPr>
        <w:t>ociety.pdf</w:t>
      </w:r>
      <w:r>
        <w:fldChar w:fldCharType="end"/>
      </w:r>
      <w:r>
        <w:fldChar w:fldCharType="begin"/>
      </w:r>
      <w:r>
        <w:instrText xml:space="preserve"> HYPERLINK "https://fullfact.org/media/uploads/full_fact_tackling_misinformation_in_an_open_society.pdf"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[Accessed: September 2019].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Google. (2017). ‘</w:t>
      </w:r>
      <w:r w:rsidRPr="005B5CB6">
        <w:rPr>
          <w:rFonts w:ascii="Verdana" w:eastAsia="Verdana" w:hAnsi="Verdana" w:cs="Verdana"/>
          <w:i/>
        </w:rPr>
        <w:t>Written evidence submitted by Google (ADM0016)</w:t>
      </w:r>
      <w:r w:rsidRPr="005B5CB6">
        <w:rPr>
          <w:rFonts w:ascii="Verdana" w:eastAsia="Verdana" w:hAnsi="Verdana" w:cs="Verdana"/>
        </w:rPr>
        <w:t xml:space="preserve">’. London: House of Commons. Available at: </w:t>
      </w:r>
    </w:p>
    <w:p w:rsidR="00FB0B24" w:rsidRPr="005B5CB6" w:rsidP="00CF6BAD">
      <w:pPr>
        <w:spacing w:after="164" w:line="249" w:lineRule="auto"/>
        <w:ind w:left="-5" w:hanging="10"/>
        <w:jc w:val="both"/>
        <w:rPr>
          <w:rFonts w:ascii="Verdana" w:hAnsi="Verdana"/>
        </w:rPr>
      </w:pPr>
      <w:r>
        <w:fldChar w:fldCharType="begin"/>
      </w:r>
      <w:r>
        <w:instrText xml:space="preserve"> HYPERLINK "http://data.parliament.uk/writtenevidence/committeeevidence.svc/evidencedocument/science-and-technology-committee/algorithms-in-decisionmaking/written/71681.html" </w:instrText>
      </w:r>
      <w:r>
        <w:fldChar w:fldCharType="separate"/>
      </w:r>
      <w:r w:rsidRPr="005B5CB6" w:rsidR="00A72806">
        <w:rPr>
          <w:rFonts w:ascii="Verdana" w:eastAsia="Verdana" w:hAnsi="Verdana" w:cs="Verdana"/>
          <w:color w:val="0563C1"/>
          <w:u w:val="single" w:color="0563C1"/>
        </w:rPr>
        <w:t xml:space="preserve">http://data.parliament.uk/writtenevidence/committeeevidence.svc/evidencedocume </w:t>
      </w:r>
      <w:r>
        <w:fldChar w:fldCharType="end"/>
      </w:r>
      <w:r>
        <w:fldChar w:fldCharType="begin"/>
      </w:r>
      <w:r>
        <w:instrText xml:space="preserve"> HYPERLINK "http://data.parliament.uk/writtenevidence/committeeevidence.svc/evidencedocument/science-and-technology-committee/algorithms-in-decisionmaking/written/71681.html" </w:instrText>
      </w:r>
      <w:r>
        <w:fldChar w:fldCharType="separate"/>
      </w:r>
      <w:r w:rsidRPr="005B5CB6" w:rsidR="00A72806">
        <w:rPr>
          <w:rFonts w:ascii="Verdana" w:eastAsia="Verdana" w:hAnsi="Verdana" w:cs="Verdana"/>
          <w:color w:val="0563C1"/>
          <w:u w:val="single" w:color="0563C1"/>
        </w:rPr>
        <w:t>nt/science-and-technology-committee/algorithms-in</w:t>
      </w:r>
      <w:r>
        <w:fldChar w:fldCharType="end"/>
      </w:r>
      <w:r>
        <w:fldChar w:fldCharType="begin"/>
      </w:r>
      <w:r>
        <w:instrText xml:space="preserve"> HYPERLINK "http://data.parliament.uk/writtenevidence/committeeevidence.svc/evidencedocument/science-and-technology-committee/algorithms-in-decisionmaking/written/71681.html" </w:instrText>
      </w:r>
      <w:r>
        <w:fldChar w:fldCharType="separate"/>
      </w:r>
      <w:r w:rsidRPr="005B5CB6" w:rsidR="00A72806">
        <w:rPr>
          <w:rFonts w:ascii="Verdana" w:eastAsia="Verdana" w:hAnsi="Verdana" w:cs="Verdana"/>
          <w:color w:val="0563C1"/>
          <w:u w:val="single" w:color="0563C1"/>
        </w:rPr>
        <w:t>decisionmaking/written/71681.html</w:t>
      </w:r>
      <w:r>
        <w:fldChar w:fldCharType="end"/>
      </w:r>
      <w:r>
        <w:fldChar w:fldCharType="begin"/>
      </w:r>
      <w:r>
        <w:instrText xml:space="preserve"> HYPERLINK "http://data.parliament.uk/writtenevidence/committeeevidence.svc/evidencedocument/science-and-technology-committee/algorithms-in-decisionmaking/written/71681.html"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[Accessed: September 2019]. </w:t>
      </w:r>
    </w:p>
    <w:p w:rsidR="00FB0B24" w:rsidRPr="005B5CB6" w:rsidP="00CF6BAD">
      <w:pPr>
        <w:spacing w:after="164" w:line="250" w:lineRule="auto"/>
        <w:ind w:left="23" w:right="11" w:hanging="8"/>
        <w:jc w:val="both"/>
        <w:rPr>
          <w:rFonts w:ascii="Verdana" w:hAnsi="Verdana"/>
        </w:rPr>
      </w:pPr>
      <w:r w:rsidRPr="005B5CB6">
        <w:rPr>
          <w:rFonts w:ascii="Verdana" w:eastAsia="Verdana" w:hAnsi="Verdana" w:cs="Verdana"/>
        </w:rPr>
        <w:t>Lewis, R. and Reiley, D. (2014). ‘</w:t>
      </w:r>
      <w:r w:rsidRPr="005B5CB6">
        <w:rPr>
          <w:rFonts w:ascii="Verdana" w:eastAsia="Verdana" w:hAnsi="Verdana" w:cs="Verdana"/>
          <w:i/>
        </w:rPr>
        <w:t>Online Ads and Offline Sales: Measuring the Effects of Retail Advertising via a Controlled Experiment on Yahoo!</w:t>
      </w:r>
      <w:r w:rsidRPr="005B5CB6">
        <w:rPr>
          <w:rFonts w:ascii="Verdana" w:eastAsia="Verdana" w:hAnsi="Verdana" w:cs="Verdana"/>
        </w:rPr>
        <w:t xml:space="preserve">’. Quantitative Marketing and </w:t>
      </w:r>
      <w:r w:rsidRPr="005B5CB6">
        <w:rPr>
          <w:rFonts w:ascii="Verdana" w:eastAsia="Verdana" w:hAnsi="Verdana" w:cs="Verdana"/>
        </w:rPr>
        <w:tab/>
        <w:t xml:space="preserve">Economics </w:t>
      </w:r>
      <w:r w:rsidRPr="005B5CB6">
        <w:rPr>
          <w:rFonts w:ascii="Verdana" w:eastAsia="Verdana" w:hAnsi="Verdana" w:cs="Verdana"/>
        </w:rPr>
        <w:tab/>
        <w:t xml:space="preserve">(QME): </w:t>
      </w:r>
      <w:r w:rsidRPr="005B5CB6">
        <w:rPr>
          <w:rFonts w:ascii="Verdana" w:eastAsia="Verdana" w:hAnsi="Verdana" w:cs="Verdana"/>
        </w:rPr>
        <w:tab/>
        <w:t xml:space="preserve">New </w:t>
      </w:r>
      <w:r w:rsidRPr="005B5CB6">
        <w:rPr>
          <w:rFonts w:ascii="Verdana" w:eastAsia="Verdana" w:hAnsi="Verdana" w:cs="Verdana"/>
        </w:rPr>
        <w:tab/>
        <w:t xml:space="preserve">York: </w:t>
      </w:r>
      <w:r w:rsidRPr="005B5CB6">
        <w:rPr>
          <w:rFonts w:ascii="Verdana" w:eastAsia="Verdana" w:hAnsi="Verdana" w:cs="Verdana"/>
        </w:rPr>
        <w:tab/>
        <w:t xml:space="preserve">Springer </w:t>
      </w:r>
      <w:r w:rsidRPr="005B5CB6">
        <w:rPr>
          <w:rFonts w:ascii="Verdana" w:eastAsia="Verdana" w:hAnsi="Verdana" w:cs="Verdana"/>
        </w:rPr>
        <w:tab/>
        <w:t xml:space="preserve">US. </w:t>
      </w:r>
      <w:r w:rsidRPr="005B5CB6">
        <w:rPr>
          <w:rFonts w:ascii="Verdana" w:eastAsia="Verdana" w:hAnsi="Verdana" w:cs="Verdana"/>
        </w:rPr>
        <w:tab/>
        <w:t xml:space="preserve">Available </w:t>
      </w:r>
      <w:r w:rsidRPr="005B5CB6">
        <w:rPr>
          <w:rFonts w:ascii="Verdana" w:eastAsia="Verdana" w:hAnsi="Verdana" w:cs="Verdana"/>
        </w:rPr>
        <w:tab/>
        <w:t xml:space="preserve">at: </w:t>
      </w:r>
      <w:r>
        <w:fldChar w:fldCharType="begin"/>
      </w:r>
      <w:r>
        <w:instrText xml:space="preserve"> HYPERLINK "http://www.davidreiley.com/papers/OnlineAdsOfflineSales.pdf" </w:instrText>
      </w:r>
      <w:r>
        <w:fldChar w:fldCharType="separate"/>
      </w:r>
      <w:r w:rsidRPr="005B5CB6">
        <w:rPr>
          <w:rFonts w:ascii="Verdana" w:eastAsia="Verdana" w:hAnsi="Verdana" w:cs="Verdana"/>
          <w:color w:val="0563C1"/>
          <w:u w:val="single" w:color="0563C1"/>
        </w:rPr>
        <w:t>http://www.davidreiley.com/papers/OnlineAdsOfflineSales.pdf</w:t>
      </w:r>
      <w:r>
        <w:fldChar w:fldCharType="end"/>
      </w:r>
      <w:r>
        <w:fldChar w:fldCharType="begin"/>
      </w:r>
      <w:r>
        <w:instrText xml:space="preserve"> HYPERLINK "http://www.davidreiley.com/papers/OnlineAdsOfflineSales.pdf"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ab/>
        <w:t xml:space="preserve">{Accessed: September 2019].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Royal Statistical Society. (2019). ‘</w:t>
      </w:r>
      <w:r w:rsidRPr="005B5CB6">
        <w:rPr>
          <w:rFonts w:ascii="Verdana" w:eastAsia="Verdana" w:hAnsi="Verdana" w:cs="Verdana"/>
          <w:i/>
        </w:rPr>
        <w:t>A Guide for Ethical Data Science’</w:t>
      </w:r>
      <w:r w:rsidRPr="005B5CB6">
        <w:rPr>
          <w:rFonts w:ascii="Verdana" w:eastAsia="Verdana" w:hAnsi="Verdana" w:cs="Verdana"/>
        </w:rPr>
        <w:t xml:space="preserve">. London: Royal </w:t>
      </w:r>
    </w:p>
    <w:p w:rsidR="00FB0B24" w:rsidRPr="005B5CB6" w:rsidP="00CF6BAD">
      <w:pPr>
        <w:spacing w:after="157" w:line="258" w:lineRule="auto"/>
        <w:ind w:left="-5" w:right="-13" w:hanging="10"/>
        <w:jc w:val="both"/>
        <w:rPr>
          <w:rFonts w:ascii="Verdana" w:hAnsi="Verdana"/>
        </w:rPr>
      </w:pPr>
      <w:r w:rsidRPr="005B5CB6">
        <w:rPr>
          <w:rFonts w:ascii="Verdana" w:eastAsia="Verdana" w:hAnsi="Verdana" w:cs="Verdana"/>
        </w:rPr>
        <w:t xml:space="preserve">Statistical Society. Available at: </w:t>
      </w:r>
      <w:r>
        <w:fldChar w:fldCharType="begin"/>
      </w:r>
      <w:r>
        <w:instrText xml:space="preserve"> HYPERLINK "https://www.rss.org.uk/Images/PDF/influencing-change/2019/A-Guide-for-Ethical-Data-Science-Final-Oct-2019.pdf" </w:instrText>
      </w:r>
      <w:r>
        <w:fldChar w:fldCharType="separate"/>
      </w:r>
      <w:r w:rsidRPr="005B5CB6">
        <w:rPr>
          <w:rFonts w:ascii="Verdana" w:eastAsia="Verdana" w:hAnsi="Verdana" w:cs="Verdana"/>
          <w:color w:val="0563C1"/>
          <w:u w:val="single" w:color="0563C1"/>
        </w:rPr>
        <w:t>https://www.rss.org.uk/Images/PDF/influencing</w:t>
      </w:r>
      <w:r>
        <w:fldChar w:fldCharType="end"/>
      </w:r>
      <w:r>
        <w:fldChar w:fldCharType="begin"/>
      </w:r>
      <w:r>
        <w:instrText xml:space="preserve"> HYPERLINK "https://www.rss.org.uk/Images/PDF/influencing-change/2019/A-Guide-for-Ethical-Data-Science-Final-Oct-2019.pdf" </w:instrText>
      </w:r>
      <w:r>
        <w:fldChar w:fldCharType="separate"/>
      </w:r>
      <w:r w:rsidRPr="005B5CB6">
        <w:rPr>
          <w:rFonts w:ascii="Verdana" w:eastAsia="Verdana" w:hAnsi="Verdana" w:cs="Verdana"/>
          <w:color w:val="0563C1"/>
          <w:u w:val="single" w:color="0563C1"/>
        </w:rPr>
        <w:t>change/2019/A-Guide-for-Ethical-Data-Science-Final-Oct-2019.pdf</w:t>
      </w:r>
      <w:r>
        <w:fldChar w:fldCharType="end"/>
      </w:r>
      <w:r>
        <w:fldChar w:fldCharType="begin"/>
      </w:r>
      <w:r>
        <w:instrText xml:space="preserve"> HYPERLINK "https://www.rss.org.uk/Images/PDF/influencing-change/2019/A-Guide-for-Ethical-Data-Science-Final-Oct-2019.pdf"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ab/>
        <w:t xml:space="preserve">[Accessed: October 2019]. </w:t>
      </w:r>
    </w:p>
    <w:p w:rsidR="00FB0B24" w:rsidRPr="005B5CB6" w:rsidP="00CF6BAD">
      <w:pPr>
        <w:spacing w:after="164" w:line="250" w:lineRule="auto"/>
        <w:ind w:left="23" w:right="11" w:hanging="8"/>
        <w:jc w:val="both"/>
        <w:rPr>
          <w:rFonts w:ascii="Verdana" w:hAnsi="Verdana"/>
        </w:rPr>
      </w:pPr>
      <w:r w:rsidRPr="005B5CB6">
        <w:rPr>
          <w:rFonts w:ascii="Verdana" w:eastAsia="Verdana" w:hAnsi="Verdana" w:cs="Verdana"/>
        </w:rPr>
        <w:t>Royal Statistical Society. (2019). ‘</w:t>
      </w:r>
      <w:r w:rsidRPr="005B5CB6">
        <w:rPr>
          <w:rFonts w:ascii="Verdana" w:eastAsia="Verdana" w:hAnsi="Verdana" w:cs="Verdana"/>
          <w:i/>
        </w:rPr>
        <w:t>The</w:t>
      </w:r>
      <w:r w:rsidRPr="005B5CB6">
        <w:rPr>
          <w:rFonts w:ascii="Verdana" w:eastAsia="Verdana" w:hAnsi="Verdana" w:cs="Verdana"/>
        </w:rPr>
        <w:t xml:space="preserve"> </w:t>
      </w:r>
      <w:r w:rsidRPr="005B5CB6">
        <w:rPr>
          <w:rFonts w:ascii="Verdana" w:eastAsia="Verdana" w:hAnsi="Verdana" w:cs="Verdana"/>
          <w:i/>
        </w:rPr>
        <w:t>Data Manifesto</w:t>
      </w:r>
      <w:r w:rsidRPr="005B5CB6">
        <w:rPr>
          <w:rFonts w:ascii="Verdana" w:eastAsia="Verdana" w:hAnsi="Verdana" w:cs="Verdana"/>
        </w:rPr>
        <w:t xml:space="preserve">’. London: Royal Statistical Society. </w:t>
      </w:r>
      <w:r w:rsidRPr="005B5CB6">
        <w:rPr>
          <w:rFonts w:ascii="Verdana" w:eastAsia="Verdana" w:hAnsi="Verdana" w:cs="Verdana"/>
        </w:rPr>
        <w:tab/>
        <w:t xml:space="preserve">Available </w:t>
      </w:r>
      <w:r w:rsidRPr="005B5CB6">
        <w:rPr>
          <w:rFonts w:ascii="Verdana" w:eastAsia="Verdana" w:hAnsi="Verdana" w:cs="Verdana"/>
        </w:rPr>
        <w:tab/>
        <w:t xml:space="preserve">at: </w:t>
      </w:r>
      <w:r w:rsidRPr="005B5CB6">
        <w:rPr>
          <w:rFonts w:ascii="Verdana" w:eastAsia="Verdana" w:hAnsi="Verdana" w:cs="Verdana"/>
        </w:rPr>
        <w:tab/>
      </w:r>
      <w:r>
        <w:fldChar w:fldCharType="begin"/>
      </w:r>
      <w:r>
        <w:instrText xml:space="preserve"> HYPERLINK "https://www.rss.org.uk/Images/PDF/influencing-change/2019/Data%20Manifesto2019.pdf" </w:instrText>
      </w:r>
      <w:r>
        <w:fldChar w:fldCharType="separate"/>
      </w:r>
      <w:r w:rsidRPr="005B5CB6">
        <w:rPr>
          <w:rFonts w:ascii="Verdana" w:eastAsia="Verdana" w:hAnsi="Verdana" w:cs="Verdana"/>
          <w:color w:val="0563C1"/>
          <w:u w:val="single" w:color="0563C1"/>
        </w:rPr>
        <w:t>https://www.rss.org.uk/Images/PDF/influencing</w:t>
      </w:r>
      <w:r>
        <w:fldChar w:fldCharType="end"/>
      </w:r>
      <w:r>
        <w:fldChar w:fldCharType="begin"/>
      </w:r>
      <w:r>
        <w:instrText xml:space="preserve"> HYPERLINK "https://www.rss.org.uk/Images/PDF/influencing-change/2019/Data%20Manifesto2019.pdf" </w:instrText>
      </w:r>
      <w:r>
        <w:fldChar w:fldCharType="separate"/>
      </w:r>
      <w:r w:rsidRPr="005B5CB6">
        <w:rPr>
          <w:rFonts w:ascii="Verdana" w:eastAsia="Verdana" w:hAnsi="Verdana" w:cs="Verdana"/>
          <w:color w:val="0563C1"/>
          <w:u w:val="single" w:color="0563C1"/>
        </w:rPr>
        <w:t>change/2019/Data%20Manifesto2019.pdf</w:t>
      </w:r>
      <w:r>
        <w:fldChar w:fldCharType="end"/>
      </w:r>
      <w:r>
        <w:fldChar w:fldCharType="begin"/>
      </w:r>
      <w:r>
        <w:instrText xml:space="preserve"> HYPERLINK "https://www.rss.org.uk/Images/PDF/influencing-change/2019/Data%20Manifesto2019.pdf"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[Accessed: September 2019].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rPr>
        <w:t>Royal Statistical Society and Institute and Faculty of Actuaries. (2019). ‘</w:t>
      </w:r>
      <w:r w:rsidRPr="005B5CB6">
        <w:rPr>
          <w:rFonts w:ascii="Verdana" w:eastAsia="Verdana" w:hAnsi="Verdana" w:cs="Verdana"/>
          <w:i/>
        </w:rPr>
        <w:t>The Centre for Data Ethics and Innovation calls for evidence on online targeting and bias in algorithmic decision making</w:t>
      </w:r>
      <w:r w:rsidRPr="005B5CB6">
        <w:rPr>
          <w:rFonts w:ascii="Verdana" w:eastAsia="Verdana" w:hAnsi="Verdana" w:cs="Verdana"/>
        </w:rPr>
        <w:t xml:space="preserve">’. London: Royal Statistical Society. Available at:  </w:t>
      </w:r>
    </w:p>
    <w:p w:rsidR="00FB0B24" w:rsidRPr="005B5CB6" w:rsidP="00CF6BAD">
      <w:pPr>
        <w:spacing w:after="157" w:line="258" w:lineRule="auto"/>
        <w:ind w:left="-5" w:right="-13" w:hanging="10"/>
        <w:jc w:val="both"/>
        <w:rPr>
          <w:rFonts w:ascii="Verdana" w:hAnsi="Verdana"/>
        </w:rPr>
      </w:pPr>
      <w:r>
        <w:fldChar w:fldCharType="begin"/>
      </w:r>
      <w:r>
        <w:instrText xml:space="preserve"> HYPERLINK "http://www.rss.org.uk/Images/PDF/influencing-change/2019/RSS_response_to_CDEIevidence_algorithmic_biasv2_.pdf" </w:instrText>
      </w:r>
      <w:r>
        <w:fldChar w:fldCharType="separate"/>
      </w:r>
      <w:r w:rsidRPr="005B5CB6" w:rsidR="00A72806">
        <w:rPr>
          <w:rFonts w:ascii="Verdana" w:eastAsia="Verdana" w:hAnsi="Verdana" w:cs="Verdana"/>
          <w:color w:val="0563C1"/>
          <w:u w:val="single" w:color="0563C1"/>
        </w:rPr>
        <w:t>http://www.rss.org.uk/Images/PDF/influencing</w:t>
      </w:r>
      <w:r>
        <w:fldChar w:fldCharType="end"/>
      </w:r>
      <w:r>
        <w:fldChar w:fldCharType="begin"/>
      </w:r>
      <w:r>
        <w:instrText xml:space="preserve"> HYPERLINK "http://www.rss.org.uk/Images/PDF/influencing-change/2019/RSS_response_to_CDEIevidence_algorithmic_biasv2_.pdf" </w:instrText>
      </w:r>
      <w:r>
        <w:fldChar w:fldCharType="separate"/>
      </w:r>
      <w:r w:rsidRPr="005B5CB6" w:rsidR="00A72806">
        <w:rPr>
          <w:rFonts w:ascii="Verdana" w:eastAsia="Verdana" w:hAnsi="Verdana" w:cs="Verdana"/>
          <w:color w:val="0563C1"/>
          <w:u w:val="single" w:color="0563C1"/>
        </w:rPr>
        <w:t>change/2019/RSS_response_to_CDEIevidence_algorithmic_biasv2_.pdf</w:t>
      </w:r>
      <w:r>
        <w:fldChar w:fldCharType="end"/>
      </w:r>
      <w:r>
        <w:fldChar w:fldCharType="begin"/>
      </w:r>
      <w:r>
        <w:instrText xml:space="preserve"> HYPERLINK "http://www.rss.org.uk/Images/PDF/influencing-change/2019/RSS_response_to_CDEIevidence_algorithmic_biasv2_.pdf"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[Accessed: September 2019]. </w:t>
      </w:r>
    </w:p>
    <w:p w:rsidR="00FB0B24" w:rsidRPr="005B5CB6" w:rsidP="00CF6BAD">
      <w:pPr>
        <w:spacing w:after="5" w:line="249" w:lineRule="auto"/>
        <w:ind w:left="10" w:hanging="10"/>
        <w:jc w:val="both"/>
        <w:rPr>
          <w:rFonts w:ascii="Verdana" w:hAnsi="Verdana"/>
        </w:rPr>
      </w:pPr>
      <w:r w:rsidRPr="005B5CB6">
        <w:rPr>
          <w:rFonts w:ascii="Verdana" w:eastAsia="Verdana" w:hAnsi="Verdana" w:cs="Verdana"/>
        </w:rPr>
        <w:t>Royal Statistical Society. (2017). ‘</w:t>
      </w:r>
      <w:r w:rsidRPr="005B5CB6">
        <w:rPr>
          <w:rFonts w:ascii="Verdana" w:eastAsia="Verdana" w:hAnsi="Verdana" w:cs="Verdana"/>
          <w:i/>
        </w:rPr>
        <w:t>The use of algorithms in decision making: RSS evidence to the House of Commons Science and Technology Select Committee inquiry’</w:t>
      </w:r>
      <w:r w:rsidRPr="005B5CB6">
        <w:rPr>
          <w:rFonts w:ascii="Verdana" w:eastAsia="Verdana" w:hAnsi="Verdana" w:cs="Verdana"/>
        </w:rPr>
        <w:t xml:space="preserve">. </w:t>
      </w:r>
      <w:r w:rsidRPr="005B5CB6">
        <w:rPr>
          <w:rFonts w:ascii="Verdana" w:eastAsia="Verdana" w:hAnsi="Verdana" w:cs="Verdana"/>
        </w:rPr>
        <w:tab/>
        <w:t xml:space="preserve">London: </w:t>
      </w:r>
      <w:r w:rsidRPr="005B5CB6">
        <w:rPr>
          <w:rFonts w:ascii="Verdana" w:eastAsia="Verdana" w:hAnsi="Verdana" w:cs="Verdana"/>
        </w:rPr>
        <w:tab/>
        <w:t xml:space="preserve">Royal </w:t>
      </w:r>
      <w:r w:rsidRPr="005B5CB6">
        <w:rPr>
          <w:rFonts w:ascii="Verdana" w:eastAsia="Verdana" w:hAnsi="Verdana" w:cs="Verdana"/>
        </w:rPr>
        <w:tab/>
        <w:t xml:space="preserve">Statistical </w:t>
      </w:r>
      <w:r w:rsidRPr="005B5CB6">
        <w:rPr>
          <w:rFonts w:ascii="Verdana" w:eastAsia="Verdana" w:hAnsi="Verdana" w:cs="Verdana"/>
        </w:rPr>
        <w:tab/>
        <w:t xml:space="preserve">Society. </w:t>
      </w:r>
      <w:r w:rsidRPr="005B5CB6">
        <w:rPr>
          <w:rFonts w:ascii="Verdana" w:eastAsia="Verdana" w:hAnsi="Verdana" w:cs="Verdana"/>
        </w:rPr>
        <w:tab/>
        <w:t xml:space="preserve">Available </w:t>
      </w:r>
      <w:r w:rsidRPr="005B5CB6">
        <w:rPr>
          <w:rFonts w:ascii="Verdana" w:eastAsia="Verdana" w:hAnsi="Verdana" w:cs="Verdana"/>
        </w:rPr>
        <w:tab/>
        <w:t xml:space="preserve">at: </w:t>
      </w:r>
      <w:r>
        <w:fldChar w:fldCharType="begin"/>
      </w:r>
      <w:r>
        <w:instrText xml:space="preserve"> HYPERLINK "https://www.rss.org.uk/Images/PDF/influencing-change/2017/RSS%20evidence%20on%20the%20use%20of%20algorithms%20in%20decision%20making%20April%202017.pdf" </w:instrText>
      </w:r>
      <w:r>
        <w:fldChar w:fldCharType="separate"/>
      </w:r>
      <w:r w:rsidRPr="005B5CB6">
        <w:rPr>
          <w:rFonts w:ascii="Verdana" w:eastAsia="Verdana" w:hAnsi="Verdana" w:cs="Verdana"/>
          <w:color w:val="0563C1"/>
          <w:u w:val="single" w:color="0563C1"/>
        </w:rPr>
        <w:t>https://www.rss.org.uk/Images/PDF/influencing-</w:t>
      </w:r>
      <w:r>
        <w:fldChar w:fldCharType="end"/>
      </w:r>
    </w:p>
    <w:p w:rsidR="00FB0B24" w:rsidRPr="005B5CB6" w:rsidP="00CF6BAD">
      <w:pPr>
        <w:spacing w:after="167" w:line="249" w:lineRule="auto"/>
        <w:ind w:left="-5" w:hanging="10"/>
        <w:jc w:val="both"/>
        <w:rPr>
          <w:rFonts w:ascii="Verdana" w:hAnsi="Verdana"/>
        </w:rPr>
      </w:pPr>
      <w:r>
        <w:fldChar w:fldCharType="begin"/>
      </w:r>
      <w:r>
        <w:instrText xml:space="preserve"> HYPERLINK "https://www.rss.org.uk/Images/PDF/influencing-change/2017/RSS%20evidence%20on%20the%20use%20of%20algorithms%20in%20decision%20making%20April%202017.pdf" </w:instrText>
      </w:r>
      <w:r>
        <w:fldChar w:fldCharType="separate"/>
      </w:r>
      <w:r w:rsidRPr="005B5CB6" w:rsidR="00A72806">
        <w:rPr>
          <w:rFonts w:ascii="Verdana" w:eastAsia="Verdana" w:hAnsi="Verdana" w:cs="Verdana"/>
          <w:color w:val="0563C1"/>
          <w:u w:val="single" w:color="0563C1"/>
        </w:rPr>
        <w:t xml:space="preserve">change/2017/RSS%20evidence%20on%20the%20use%20of%20algorithms%20in </w:t>
      </w:r>
      <w:r>
        <w:fldChar w:fldCharType="end"/>
      </w:r>
      <w:r>
        <w:fldChar w:fldCharType="begin"/>
      </w:r>
      <w:r>
        <w:instrText xml:space="preserve"> HYPERLINK "https://www.rss.org.uk/Images/PDF/influencing-change/2017/RSS%20evidence%20on%20the%20use%20of%20algorithms%20in%20decision%20making%20April%202017.pdf" </w:instrText>
      </w:r>
      <w:r>
        <w:fldChar w:fldCharType="separate"/>
      </w:r>
      <w:r w:rsidRPr="005B5CB6" w:rsidR="00A72806">
        <w:rPr>
          <w:rFonts w:ascii="Verdana" w:eastAsia="Verdana" w:hAnsi="Verdana" w:cs="Verdana"/>
          <w:color w:val="0563C1"/>
          <w:u w:val="single" w:color="0563C1"/>
        </w:rPr>
        <w:t>%20decision%20making%20April%202017.pdf</w:t>
      </w:r>
      <w:r>
        <w:fldChar w:fldCharType="end"/>
      </w:r>
      <w:r>
        <w:fldChar w:fldCharType="begin"/>
      </w:r>
      <w:r>
        <w:instrText xml:space="preserve"> HYPERLINK "https://www.rss.org.uk/Images/PDF/influencing-change/2017/RSS%20evidence%20on%20the%20use%20of%20algorithms%20in%20decision%20making%20April%202017.pdf"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[Accessed: September 2019].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Smith, A. (2017). ‘</w:t>
      </w:r>
      <w:r w:rsidRPr="005B5CB6">
        <w:rPr>
          <w:rFonts w:ascii="Verdana" w:eastAsia="Verdana" w:hAnsi="Verdana" w:cs="Verdana"/>
          <w:i/>
        </w:rPr>
        <w:t>Report of Professor Sir Adrian Smith’s review of post-16 mathematics</w:t>
      </w:r>
      <w:r w:rsidRPr="005B5CB6">
        <w:rPr>
          <w:rFonts w:ascii="Verdana" w:eastAsia="Verdana" w:hAnsi="Verdana" w:cs="Verdana"/>
        </w:rPr>
        <w:t xml:space="preserve">’. London: Department for Education. Available at: </w:t>
      </w:r>
    </w:p>
    <w:p w:rsidR="00FB0B24" w:rsidRPr="005B5CB6" w:rsidP="00CF6BAD">
      <w:pPr>
        <w:spacing w:after="167" w:line="249" w:lineRule="auto"/>
        <w:ind w:left="-5" w:hanging="10"/>
        <w:jc w:val="both"/>
        <w:rPr>
          <w:rFonts w:ascii="Verdana" w:hAnsi="Verdana"/>
        </w:rPr>
      </w:pPr>
      <w:r>
        <w:fldChar w:fldCharType="begin"/>
      </w:r>
      <w:r>
        <w:instrText xml:space="preserve"> HYPERLINK "https://www.gov.uk/government/publications/smith-review-of-post-16-maths-report-and-government-response" </w:instrText>
      </w:r>
      <w:r>
        <w:fldChar w:fldCharType="separate"/>
      </w:r>
      <w:r w:rsidRPr="005B5CB6" w:rsidR="00A72806">
        <w:rPr>
          <w:rFonts w:ascii="Verdana" w:eastAsia="Verdana" w:hAnsi="Verdana" w:cs="Verdana"/>
          <w:color w:val="0563C1"/>
          <w:u w:val="single" w:color="0563C1"/>
        </w:rPr>
        <w:t>https://www.gov.uk/government/publications/smith-review-of-post-16-maths</w:t>
      </w:r>
      <w:r>
        <w:fldChar w:fldCharType="end"/>
      </w:r>
      <w:r>
        <w:fldChar w:fldCharType="begin"/>
      </w:r>
      <w:r>
        <w:instrText xml:space="preserve"> HYPERLINK "https://www.gov.uk/government/publications/smith-review-of-post-16-maths-report-and-government-response" </w:instrText>
      </w:r>
      <w:r>
        <w:fldChar w:fldCharType="separate"/>
      </w:r>
      <w:r w:rsidRPr="005B5CB6" w:rsidR="00A72806">
        <w:rPr>
          <w:rFonts w:ascii="Verdana" w:eastAsia="Verdana" w:hAnsi="Verdana" w:cs="Verdana"/>
          <w:color w:val="0563C1"/>
          <w:u w:val="single" w:color="0563C1"/>
        </w:rPr>
        <w:t>report-and-government-response</w:t>
      </w:r>
      <w:r>
        <w:fldChar w:fldCharType="end"/>
      </w:r>
      <w:r>
        <w:fldChar w:fldCharType="begin"/>
      </w:r>
      <w:r>
        <w:instrText xml:space="preserve"> HYPERLINK "https://www.gov.uk/government/publications/smith-review-of-post-16-maths-report-and-government-response"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[Accessed: August 2019].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The Council for the Mathematical Sciences. (2015). ‘</w:t>
      </w:r>
      <w:r w:rsidRPr="005B5CB6">
        <w:rPr>
          <w:rFonts w:ascii="Verdana" w:eastAsia="Verdana" w:hAnsi="Verdana" w:cs="Verdana"/>
          <w:i/>
        </w:rPr>
        <w:t>The Mathematical Sciences People Pipeline</w:t>
      </w:r>
      <w:r w:rsidRPr="005B5CB6">
        <w:rPr>
          <w:rFonts w:ascii="Verdana" w:eastAsia="Verdana" w:hAnsi="Verdana" w:cs="Verdana"/>
        </w:rPr>
        <w:t xml:space="preserve">’. Newcastle upon Tyne: The Council for the Mathematical Sciences. </w:t>
      </w:r>
    </w:p>
    <w:p w:rsidR="00FB0B24" w:rsidRPr="005B5CB6" w:rsidP="00CF6BAD">
      <w:pPr>
        <w:tabs>
          <w:tab w:val="right" w:pos="9365"/>
        </w:tabs>
        <w:spacing w:after="5" w:line="250" w:lineRule="auto"/>
        <w:jc w:val="both"/>
        <w:rPr>
          <w:rFonts w:ascii="Verdana" w:hAnsi="Verdana"/>
        </w:rPr>
      </w:pPr>
      <w:r w:rsidRPr="005B5CB6">
        <w:rPr>
          <w:rFonts w:ascii="Verdana" w:eastAsia="Verdana" w:hAnsi="Verdana" w:cs="Verdana"/>
        </w:rPr>
        <w:t xml:space="preserve">Available </w:t>
      </w:r>
      <w:r w:rsidRPr="005B5CB6">
        <w:rPr>
          <w:rFonts w:ascii="Verdana" w:eastAsia="Verdana" w:hAnsi="Verdana" w:cs="Verdana"/>
        </w:rPr>
        <w:tab/>
        <w:t xml:space="preserve">at: </w:t>
      </w:r>
    </w:p>
    <w:p w:rsidR="00FB0B24" w:rsidRPr="005B5CB6" w:rsidP="00CF6BAD">
      <w:pPr>
        <w:spacing w:after="5" w:line="249" w:lineRule="auto"/>
        <w:ind w:left="-5" w:hanging="10"/>
        <w:jc w:val="both"/>
        <w:rPr>
          <w:rFonts w:ascii="Verdana" w:hAnsi="Verdana"/>
        </w:rPr>
      </w:pPr>
      <w:r>
        <w:fldChar w:fldCharType="begin"/>
      </w:r>
      <w:r>
        <w:instrText xml:space="preserve"> HYPERLINK "http://www.cms.ac.uk/files/News/article_5630c69e789971.96989222.pdf" </w:instrText>
      </w:r>
      <w:r>
        <w:fldChar w:fldCharType="separate"/>
      </w:r>
      <w:r w:rsidRPr="005B5CB6" w:rsidR="00A72806">
        <w:rPr>
          <w:rFonts w:ascii="Verdana" w:eastAsia="Verdana" w:hAnsi="Verdana" w:cs="Verdana"/>
          <w:color w:val="0563C1"/>
          <w:u w:val="single" w:color="0563C1"/>
        </w:rPr>
        <w:t>http://www.cms.ac.uk/files/News/article_5630c69e789971.96989222.pdf</w:t>
      </w:r>
      <w:r>
        <w:fldChar w:fldCharType="end"/>
      </w:r>
      <w:r>
        <w:fldChar w:fldCharType="begin"/>
      </w:r>
      <w:r>
        <w:instrText xml:space="preserve"> HYPERLINK "http://www.cms.ac.uk/files/News/article_5630c69e789971.96989222.pdf" </w:instrText>
      </w:r>
      <w:r>
        <w:fldChar w:fldCharType="separate"/>
      </w:r>
      <w:r w:rsidRPr="005B5CB6" w:rsidR="00A72806">
        <w:rPr>
          <w:rFonts w:ascii="Verdana" w:eastAsia="Verdana" w:hAnsi="Verdana" w:cs="Verdana"/>
        </w:rPr>
        <w:t xml:space="preserve"> </w:t>
      </w:r>
      <w:r>
        <w:fldChar w:fldCharType="end"/>
      </w:r>
      <w:r w:rsidRPr="005B5CB6" w:rsidR="00A72806">
        <w:rPr>
          <w:rFonts w:ascii="Verdana" w:eastAsia="Verdana" w:hAnsi="Verdana" w:cs="Verdana"/>
        </w:rPr>
        <w:t xml:space="preserve">[Accessed: September 2019]. </w:t>
      </w:r>
    </w:p>
    <w:p w:rsidR="00FB0B24" w:rsidRPr="005B5CB6" w:rsidP="00CF6BAD">
      <w:pPr>
        <w:jc w:val="both"/>
        <w:rPr>
          <w:rFonts w:ascii="Verdana" w:hAnsi="Verdana"/>
        </w:rPr>
        <w:sectPr w:rsidSect="006063B1">
          <w:headerReference w:type="even" r:id="rId461"/>
          <w:headerReference w:type="default" r:id="rId462"/>
          <w:footerReference w:type="even" r:id="rId463"/>
          <w:footerReference w:type="default" r:id="rId464"/>
          <w:headerReference w:type="first" r:id="rId465"/>
          <w:footerReference w:type="first" r:id="rId466"/>
          <w:pgSz w:w="12240" w:h="15840"/>
          <w:pgMar w:top="1494" w:right="1436" w:bottom="1512" w:left="1440" w:header="720" w:footer="721" w:gutter="0"/>
          <w:cols w:space="720"/>
        </w:sectPr>
      </w:pPr>
    </w:p>
    <w:p w:rsidR="00FB0B24" w:rsidRPr="005B5CB6" w:rsidP="00CF6BAD">
      <w:pPr>
        <w:spacing w:after="972"/>
        <w:jc w:val="both"/>
        <w:rPr>
          <w:rFonts w:ascii="Verdana" w:hAnsi="Verdana"/>
        </w:rPr>
      </w:pPr>
      <w:r w:rsidRPr="005B5CB6">
        <w:rPr>
          <w:rFonts w:ascii="Verdana" w:eastAsia="Times New Roman" w:hAnsi="Verdana" w:cs="Times New Roman"/>
        </w:rPr>
        <w:t xml:space="preserve">  </w:t>
      </w:r>
    </w:p>
    <w:p w:rsidR="00FB0B24" w:rsidRPr="005B5CB6" w:rsidP="00A1624B">
      <w:pPr>
        <w:pStyle w:val="Heading1"/>
        <w:rPr>
          <w:sz w:val="22"/>
        </w:rPr>
      </w:pPr>
      <w:bookmarkStart w:id="74" w:name="_Toc44517762"/>
      <w:r w:rsidRPr="005B5CB6">
        <w:rPr>
          <w:sz w:val="22"/>
        </w:rPr>
        <w:t>Bra</w:t>
      </w:r>
      <w:r w:rsidRPr="005B5CB6" w:rsidR="00B705B7">
        <w:rPr>
          <w:sz w:val="22"/>
        </w:rPr>
        <w:t>v</w:t>
      </w:r>
      <w:r w:rsidRPr="005B5CB6">
        <w:rPr>
          <w:sz w:val="22"/>
        </w:rPr>
        <w:t>e Software – written evidence (DAD0085)</w:t>
      </w:r>
      <w:bookmarkEnd w:id="74"/>
      <w:r w:rsidRPr="005B5CB6">
        <w:rPr>
          <w:sz w:val="22"/>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pStyle w:val="Heading2"/>
        <w:rPr>
          <w:sz w:val="22"/>
        </w:rPr>
      </w:pPr>
      <w:r w:rsidRPr="005B5CB6">
        <w:rPr>
          <w:sz w:val="22"/>
        </w:rPr>
        <w:t>Evidence regarding “real-time bidding”</w:t>
      </w:r>
      <w:r w:rsidRPr="005B5CB6">
        <w:rPr>
          <w:b w:val="0"/>
          <w:sz w:val="22"/>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rPr>
        <w:t xml:space="preserve">I represent Brave, the private web browser. Brave’s CEO invented JavaScript, and co-founded Firefox. Brave is headquartered in San Francisco, and has an office in London.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11" w:hanging="10"/>
        <w:jc w:val="both"/>
        <w:rPr>
          <w:rFonts w:ascii="Verdana" w:hAnsi="Verdana"/>
        </w:rPr>
      </w:pPr>
      <w:r w:rsidRPr="005B5CB6">
        <w:rPr>
          <w:rFonts w:ascii="Verdana" w:eastAsia="Verdana" w:hAnsi="Verdana" w:cs="Verdana"/>
          <w:b/>
        </w:rPr>
        <w:t xml:space="preserve">1. Real-time bidding causes a leakage of information about voters that exposes them to the hazard of profiling and micro-targeting.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rPr>
        <w:t>Disinformation is possible because of what happens almost every time you load an ad-supported website. When a webpage loads, data about your interests is broadcast to tens or hundreds of companies.</w:t>
      </w:r>
      <w:r>
        <w:rPr>
          <w:rFonts w:ascii="Verdana" w:eastAsia="Verdana" w:hAnsi="Verdana" w:cs="Verdana"/>
          <w:vertAlign w:val="superscript"/>
        </w:rPr>
        <w:footnoteReference w:id="456"/>
      </w:r>
      <w:r w:rsidRPr="005B5CB6">
        <w:rPr>
          <w:rFonts w:ascii="Verdana" w:eastAsia="Verdana" w:hAnsi="Verdana" w:cs="Verdana"/>
        </w:rPr>
        <w:t xml:space="preserve"> This lets technology companies representing advertisers compete for the opportunity to show you an ad.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rPr>
        <w:t>Here are the kind of things about that you can be included in these broadcasts: your – inferred – sexual orientation, political views, religion, health conditions, etc.</w:t>
      </w:r>
      <w:r>
        <w:rPr>
          <w:rFonts w:ascii="Verdana" w:eastAsia="Verdana" w:hAnsi="Verdana" w:cs="Verdana"/>
          <w:vertAlign w:val="superscript"/>
        </w:rPr>
        <w:footnoteReference w:id="457"/>
      </w:r>
      <w:r w:rsidRPr="005B5CB6">
        <w:rPr>
          <w:rFonts w:ascii="Verdana" w:eastAsia="Verdana" w:hAnsi="Verdana" w:cs="Verdana"/>
        </w:rPr>
        <w:t xml:space="preserve"> What you are reading, watching, and listening to</w:t>
      </w:r>
      <w:r>
        <w:rPr>
          <w:rFonts w:ascii="Verdana" w:eastAsia="Verdana" w:hAnsi="Verdana" w:cs="Verdana"/>
          <w:vertAlign w:val="superscript"/>
        </w:rPr>
        <w:footnoteReference w:id="458"/>
      </w:r>
      <w:r w:rsidRPr="005B5CB6">
        <w:rPr>
          <w:rFonts w:ascii="Verdana" w:eastAsia="Verdana" w:hAnsi="Verdana" w:cs="Verdana"/>
        </w:rPr>
        <w:t xml:space="preserve"> - which allows all the foregoing to be inferred in any case - and where you are at that moment.</w:t>
      </w:r>
      <w:r>
        <w:rPr>
          <w:rFonts w:ascii="Verdana" w:eastAsia="Verdana" w:hAnsi="Verdana" w:cs="Verdana"/>
          <w:vertAlign w:val="superscript"/>
        </w:rPr>
        <w:footnoteReference w:id="459"/>
      </w:r>
      <w:r w:rsidRPr="005B5CB6">
        <w:rPr>
          <w:rFonts w:ascii="Verdana" w:eastAsia="Verdana" w:hAnsi="Verdana" w:cs="Verdana"/>
        </w:rPr>
        <w:t xml:space="preserve"> And they include unique ID codes that are as specific to you as is your social security number, so that all of this data can be added to dossiers about you.</w:t>
      </w:r>
      <w:r>
        <w:rPr>
          <w:rFonts w:ascii="Verdana" w:eastAsia="Verdana" w:hAnsi="Verdana" w:cs="Verdana"/>
          <w:vertAlign w:val="superscript"/>
        </w:rPr>
        <w:footnoteReference w:id="460"/>
      </w:r>
      <w:r w:rsidRPr="005B5CB6">
        <w:rPr>
          <w:rFonts w:ascii="Verdana" w:eastAsia="Verdana" w:hAnsi="Verdana" w:cs="Verdana"/>
        </w:rPr>
        <w:t xml:space="preserve">  I attach examples of this.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777" w:line="249" w:lineRule="auto"/>
        <w:ind w:left="10" w:right="12" w:hanging="9"/>
        <w:jc w:val="both"/>
        <w:rPr>
          <w:rFonts w:ascii="Verdana" w:hAnsi="Verdana"/>
        </w:rPr>
      </w:pPr>
      <w:r w:rsidRPr="005B5CB6">
        <w:rPr>
          <w:rFonts w:ascii="Verdana" w:eastAsia="Verdana" w:hAnsi="Verdana" w:cs="Verdana"/>
        </w:rPr>
        <w:t xml:space="preserve">This process is known in the online advertising industry as “real-time bidding” (RTB hereafter). As the attached examples show, the data broadcast widely by the RTB system is perfect fuel for micro-targeted disinformation, and there is no control over what companies do with it. It is by far the largest data breach ever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607950" name="Group 60795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6657" name="Shape 63665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61" style="height:0.6pt;mso-position-horizontal-relative:char;mso-position-vertical-relative:line;width:2in" coordsize="18288,76">
                <v:shape id="_x0000_s1462"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rPr>
        <w:t>recorded,</w:t>
      </w:r>
      <w:r>
        <w:rPr>
          <w:rFonts w:ascii="Verdana" w:eastAsia="Verdana" w:hAnsi="Verdana" w:cs="Verdana"/>
          <w:vertAlign w:val="superscript"/>
        </w:rPr>
        <w:footnoteReference w:id="461"/>
      </w:r>
      <w:r w:rsidRPr="005B5CB6">
        <w:rPr>
          <w:rFonts w:ascii="Verdana" w:eastAsia="Verdana" w:hAnsi="Verdana" w:cs="Verdana"/>
        </w:rPr>
        <w:t xml:space="preserve"> which means that any entity that wishes to profile the UK electorate can do so by simply collecting RTB “bid request” data, or buying profiles from a company that is already doing so.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11" w:hanging="10"/>
        <w:jc w:val="both"/>
        <w:rPr>
          <w:rFonts w:ascii="Verdana" w:hAnsi="Verdana"/>
        </w:rPr>
      </w:pPr>
      <w:r w:rsidRPr="005B5CB6">
        <w:rPr>
          <w:rFonts w:ascii="Verdana" w:eastAsia="Verdana" w:hAnsi="Verdana" w:cs="Verdana"/>
          <w:b/>
        </w:rPr>
        <w:t xml:space="preserve">2. Harmful to legitimate media, and a business model for the bottom of the web.  </w:t>
      </w:r>
    </w:p>
    <w:p w:rsidR="00FB0B24" w:rsidRPr="005B5CB6" w:rsidP="00CF6BAD">
      <w:pPr>
        <w:spacing w:after="0"/>
        <w:jc w:val="both"/>
        <w:rPr>
          <w:rFonts w:ascii="Verdana" w:hAnsi="Verdana"/>
        </w:rPr>
      </w:pPr>
      <w:r w:rsidRPr="005B5CB6">
        <w:rPr>
          <w:rFonts w:ascii="Verdana" w:eastAsia="Verdana" w:hAnsi="Verdana" w:cs="Verdana"/>
          <w:b/>
        </w:rPr>
        <w:t xml:space="preserve">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rPr>
        <w:t xml:space="preserve">The data leakage and profiling made possible by RTB harms democracy in a second way: undermines the online advertising model of legitimate media, and enabling a business model for the bottom of the web.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rPr>
        <w:t xml:space="preserve">If you read about a luxury car on The Times, and then later visit a less reputable website, you may see luxury car ads there. Companies that know you are a high value Times reader – thanks to the RTB system – show ads to you on the less reputable website at an enormous discount. They want you because you are a Times reader, but The Times does not benefit. The industry calls this “audience arbitrage”.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rPr>
        <w:t xml:space="preserve">RTB also enables fraudulent activity that further harms legitimate publishers. “Ad bots” masquerading as humans pretend to view and click on ads. Real advertisers are then charged real money, even though nobody really saw any ads.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The estimates of the cost of this “ad fraud” range from 5.8 to 42 Billion US$, diverted from legitimate publishers to the bottom of the web.</w:t>
      </w:r>
      <w:r>
        <w:rPr>
          <w:rFonts w:ascii="Verdana" w:eastAsia="Verdana" w:hAnsi="Verdana" w:cs="Verdana"/>
          <w:vertAlign w:val="superscript"/>
        </w:rPr>
        <w:footnoteReference w:id="462"/>
      </w: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11" w:hanging="10"/>
        <w:jc w:val="both"/>
        <w:rPr>
          <w:rFonts w:ascii="Verdana" w:hAnsi="Verdana"/>
        </w:rPr>
      </w:pPr>
      <w:r w:rsidRPr="005B5CB6">
        <w:rPr>
          <w:rFonts w:ascii="Verdana" w:eastAsia="Verdana" w:hAnsi="Verdana" w:cs="Verdana"/>
          <w:b/>
        </w:rPr>
        <w:t xml:space="preserve">Remedy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rPr>
        <w:t xml:space="preserve">RTB both enables voter profiling and manipulation, and undermines legitimate media. Two organisations alone decide what data about people can and cannot be in an RTB broadcast. One is the “IAB”, the industry’s standards body, whose biggest members are Google and Facebook. The other is Google. Clearly, they should not have designed the system to operate as it currently does.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Brave’s evidence</w:t>
      </w:r>
      <w:r>
        <w:rPr>
          <w:rFonts w:ascii="Verdana" w:eastAsia="Verdana" w:hAnsi="Verdana" w:cs="Verdana"/>
          <w:vertAlign w:val="superscript"/>
        </w:rPr>
        <w:footnoteReference w:id="463"/>
      </w:r>
      <w:r w:rsidRPr="005B5CB6">
        <w:rPr>
          <w:rFonts w:ascii="Verdana" w:eastAsia="Verdana" w:hAnsi="Verdana" w:cs="Verdana"/>
        </w:rPr>
        <w:t xml:space="preserve"> to regulators has triggered GDPR investigations into both of them by their lead GDPR authorities (data protection authorities in Ireland and </w:t>
      </w:r>
    </w:p>
    <w:p w:rsidR="00FB0B24" w:rsidRPr="005B5CB6" w:rsidP="00CF6BAD">
      <w:pPr>
        <w:spacing w:after="233" w:line="250" w:lineRule="auto"/>
        <w:ind w:left="23" w:right="11" w:hanging="8"/>
        <w:jc w:val="both"/>
        <w:rPr>
          <w:rFonts w:ascii="Verdana" w:hAnsi="Verdana"/>
        </w:rPr>
      </w:pPr>
      <w:r w:rsidRPr="005B5CB6">
        <w:rPr>
          <w:rFonts w:ascii="Verdana" w:eastAsia="Verdana" w:hAnsi="Verdana" w:cs="Verdana"/>
        </w:rPr>
        <w:t>Belgium). Regrettably, after over a year, we still wait for regulatory action.</w:t>
      </w:r>
      <w:r>
        <w:rPr>
          <w:rFonts w:ascii="Verdana" w:eastAsia="Verdana" w:hAnsi="Verdana" w:cs="Verdana"/>
          <w:vertAlign w:val="superscript"/>
        </w:rPr>
        <w:footnoteReference w:id="464"/>
      </w:r>
      <w:r w:rsidRPr="005B5CB6">
        <w:rPr>
          <w:rFonts w:ascii="Verdana" w:eastAsia="Verdana" w:hAnsi="Verdana" w:cs="Verdana"/>
        </w:rPr>
        <w:t xml:space="preserve"> I note </w:t>
      </w:r>
    </w:p>
    <w:p w:rsidR="00FB0B24" w:rsidRPr="005B5CB6" w:rsidP="00CF6BAD">
      <w:pPr>
        <w:spacing w:after="0"/>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608298" name="Group 608298"/>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6659" name="Shape 63665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63" style="height:0.6pt;mso-position-horizontal-relative:char;mso-position-vertical-relative:line;width:2in" coordsize="18288,76">
                <v:shape id="_x0000_s1464"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rPr>
        <w:t xml:space="preserve">that it is sixteen months since evidence from Brave and complaints about RTB were filed before the UK Information Commissioner. Despite the ICO publishing a report that vindicates every single point that we set before it, the ICO has so far not used its lawful powers of investigation or enforcement.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49" w:lineRule="auto"/>
        <w:ind w:left="10" w:right="12" w:hanging="9"/>
        <w:jc w:val="both"/>
        <w:rPr>
          <w:rFonts w:ascii="Verdana" w:hAnsi="Verdana"/>
        </w:rPr>
      </w:pPr>
      <w:r w:rsidRPr="005B5CB6">
        <w:rPr>
          <w:rFonts w:ascii="Verdana" w:eastAsia="Verdana" w:hAnsi="Verdana" w:cs="Verdana"/>
        </w:rPr>
        <w:t xml:space="preserve">We urge the Select Committee to examine the RTB system in detail, and to investigate the question of enforcement. Forcing the IAB and Google to end the broadcast of any personal data in the RTB system would starve disinformation micro-targeters of data, and the bottom of the web of cash, at a single stroke.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We are at disposal of the Select Committee.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23" w:right="11" w:hanging="8"/>
        <w:jc w:val="both"/>
        <w:rPr>
          <w:rFonts w:ascii="Verdana" w:hAnsi="Verdana"/>
        </w:rPr>
      </w:pPr>
      <w:r w:rsidRPr="005B5CB6">
        <w:rPr>
          <w:rFonts w:ascii="Verdana" w:eastAsia="Verdana" w:hAnsi="Verdana" w:cs="Verdana"/>
        </w:rPr>
        <w:t xml:space="preserve">Dr Johnny Ryan FRHistS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jc w:val="both"/>
        <w:rPr>
          <w:rFonts w:ascii="Verdana" w:hAnsi="Verdana"/>
        </w:rPr>
        <w:sectPr w:rsidSect="005373DA">
          <w:headerReference w:type="even" r:id="rId467"/>
          <w:headerReference w:type="default" r:id="rId468"/>
          <w:footerReference w:type="even" r:id="rId469"/>
          <w:footerReference w:type="default" r:id="rId470"/>
          <w:headerReference w:type="first" r:id="rId471"/>
          <w:footerReference w:type="first" r:id="rId472"/>
          <w:pgSz w:w="11899" w:h="16841"/>
          <w:pgMar w:top="765" w:right="1436" w:bottom="1440" w:left="1440" w:header="720" w:footer="708" w:gutter="0"/>
          <w:cols w:space="720"/>
        </w:sectPr>
      </w:pPr>
    </w:p>
    <w:p w:rsidR="00FB0B24" w:rsidRPr="005B5CB6" w:rsidP="00CF6BAD">
      <w:pPr>
        <w:spacing w:after="0"/>
        <w:jc w:val="both"/>
        <w:rPr>
          <w:rFonts w:ascii="Verdana" w:hAnsi="Verdana"/>
        </w:rPr>
      </w:pPr>
      <w:r w:rsidRPr="005B5CB6">
        <w:rPr>
          <w:rFonts w:ascii="Verdana" w:eastAsia="Times New Roman" w:hAnsi="Verdana" w:cs="Times New Roman"/>
        </w:rPr>
        <w:t xml:space="preserve"> </w:t>
      </w:r>
    </w:p>
    <w:p w:rsidR="00FB0B24" w:rsidRPr="005B5CB6" w:rsidP="00CF6BAD">
      <w:pPr>
        <w:spacing w:after="951"/>
        <w:jc w:val="both"/>
        <w:rPr>
          <w:rFonts w:ascii="Verdana" w:hAnsi="Verdana"/>
        </w:rPr>
      </w:pPr>
      <w:r w:rsidRPr="005B5CB6">
        <w:rPr>
          <w:rFonts w:ascii="Verdana" w:eastAsia="Times New Roman" w:hAnsi="Verdana" w:cs="Times New Roman"/>
        </w:rPr>
        <w:t xml:space="preserve"> </w:t>
      </w:r>
    </w:p>
    <w:p w:rsidR="00FB0B24" w:rsidRPr="005B5CB6" w:rsidP="00A1624B">
      <w:pPr>
        <w:pStyle w:val="Heading1"/>
        <w:rPr>
          <w:sz w:val="22"/>
        </w:rPr>
      </w:pPr>
      <w:bookmarkStart w:id="75" w:name="_Toc44517763"/>
      <w:r w:rsidRPr="005B5CB6">
        <w:rPr>
          <w:sz w:val="22"/>
        </w:rPr>
        <w:t>Carnegie UK Trust – written evidence (DAD0087)</w:t>
      </w:r>
      <w:bookmarkEnd w:id="75"/>
      <w:r w:rsidRPr="005B5CB6">
        <w:rPr>
          <w:sz w:val="22"/>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65"/>
        </w:numPr>
        <w:spacing w:after="5" w:line="268" w:lineRule="auto"/>
        <w:ind w:right="11" w:hanging="360"/>
        <w:jc w:val="both"/>
        <w:rPr>
          <w:rFonts w:ascii="Verdana" w:hAnsi="Verdana"/>
        </w:rPr>
      </w:pPr>
      <w:r w:rsidRPr="005B5CB6">
        <w:rPr>
          <w:rFonts w:ascii="Verdana" w:eastAsia="Verdana" w:hAnsi="Verdana" w:cs="Verdana"/>
        </w:rPr>
        <w:t xml:space="preserve">Carnegie UK Trust was set up in 1913 by Scottish-American philanthropist </w:t>
      </w:r>
    </w:p>
    <w:p w:rsidR="00FB0B24" w:rsidRPr="005B5CB6" w:rsidP="006F32A5">
      <w:pPr>
        <w:spacing w:after="5" w:line="250" w:lineRule="auto"/>
        <w:ind w:left="728" w:right="11" w:hanging="8"/>
        <w:jc w:val="both"/>
        <w:rPr>
          <w:rFonts w:ascii="Verdana" w:hAnsi="Verdana"/>
        </w:rPr>
      </w:pPr>
      <w:r w:rsidRPr="005B5CB6">
        <w:rPr>
          <w:rFonts w:ascii="Verdana" w:eastAsia="Verdana" w:hAnsi="Verdana" w:cs="Verdana"/>
        </w:rPr>
        <w:t xml:space="preserve">Andrew Carnegie to improve the well-being of the people of the United Kingdom and Ireland, a mission it continues to this day. Carnegie particularly charged the trustees to stay up to date and the trust has worked on digital policy issues for some years.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65"/>
        </w:numPr>
        <w:spacing w:after="5" w:line="250" w:lineRule="auto"/>
        <w:ind w:right="11" w:hanging="360"/>
        <w:jc w:val="both"/>
        <w:rPr>
          <w:rFonts w:ascii="Verdana" w:hAnsi="Verdana"/>
        </w:rPr>
      </w:pPr>
      <w:r w:rsidRPr="005B5CB6">
        <w:rPr>
          <w:rFonts w:ascii="Verdana" w:eastAsia="Verdana" w:hAnsi="Verdana" w:cs="Verdana"/>
        </w:rPr>
        <w:t>In early 2018, Professor Lorna Woods (Professor of Internet Law at the University of Essex) and former civil servant William Perrin started work to develop a model to reduce online harms through a statutory duty of care, enforced by a regulator; the proposals were published in a series of blogs and publications for Carnegie and developed further in evidence to Parliamentary Committees</w:t>
      </w:r>
      <w:r>
        <w:rPr>
          <w:rFonts w:ascii="Verdana" w:eastAsia="Verdana" w:hAnsi="Verdana" w:cs="Verdana"/>
          <w:vertAlign w:val="superscript"/>
        </w:rPr>
        <w:footnoteReference w:id="465"/>
      </w:r>
      <w:r w:rsidRPr="005B5CB6">
        <w:rPr>
          <w:rFonts w:ascii="Verdana" w:eastAsia="Verdana" w:hAnsi="Verdana" w:cs="Verdana"/>
        </w:rPr>
        <w:t>. The Lords Communications Committee</w:t>
      </w:r>
      <w:r w:rsidRPr="005B5CB6">
        <w:rPr>
          <w:rFonts w:ascii="Verdana" w:eastAsia="Verdana" w:hAnsi="Verdana" w:cs="Verdana"/>
          <w:vertAlign w:val="superscript"/>
        </w:rPr>
        <w:t>2</w:t>
      </w:r>
      <w:r w:rsidRPr="005B5CB6">
        <w:rPr>
          <w:rFonts w:ascii="Verdana" w:eastAsia="Verdana" w:hAnsi="Verdana" w:cs="Verdana"/>
        </w:rPr>
        <w:t xml:space="preserve"> and the Commons Science and Technology Committee</w:t>
      </w:r>
      <w:r w:rsidRPr="005B5CB6">
        <w:rPr>
          <w:rFonts w:ascii="Verdana" w:eastAsia="Verdana" w:hAnsi="Verdana" w:cs="Verdana"/>
          <w:vertAlign w:val="superscript"/>
        </w:rPr>
        <w:t>3</w:t>
      </w:r>
      <w:r w:rsidRPr="005B5CB6">
        <w:rPr>
          <w:rFonts w:ascii="Verdana" w:eastAsia="Verdana" w:hAnsi="Verdana" w:cs="Verdana"/>
        </w:rPr>
        <w:t xml:space="preserve"> both endorsed the Carnegie model. In April 2019 the government’s Online Harms White Paper</w:t>
      </w:r>
      <w:r>
        <w:rPr>
          <w:rFonts w:ascii="Verdana" w:eastAsia="Verdana" w:hAnsi="Verdana" w:cs="Verdana"/>
          <w:vertAlign w:val="superscript"/>
        </w:rPr>
        <w:footnoteReference w:id="466"/>
      </w:r>
      <w:r w:rsidRPr="005B5CB6">
        <w:rPr>
          <w:rFonts w:ascii="Verdana" w:eastAsia="Verdana" w:hAnsi="Verdana" w:cs="Verdana"/>
        </w:rPr>
        <w:t xml:space="preserve"> proposed a statutory duty of care enforced by a regulator in a variant of the Carnegie model. France</w:t>
      </w:r>
      <w:r>
        <w:rPr>
          <w:rFonts w:ascii="Verdana" w:eastAsia="Verdana" w:hAnsi="Verdana" w:cs="Verdana"/>
          <w:vertAlign w:val="superscript"/>
        </w:rPr>
        <w:footnoteReference w:id="467"/>
      </w:r>
      <w:r w:rsidRPr="005B5CB6">
        <w:rPr>
          <w:rFonts w:ascii="Verdana" w:eastAsia="Verdana" w:hAnsi="Verdana" w:cs="Verdana"/>
        </w:rPr>
        <w:t xml:space="preserve">, and apparently the European </w:t>
      </w:r>
    </w:p>
    <w:p w:rsidR="00FB0B24" w:rsidRPr="005B5CB6" w:rsidP="006F32A5">
      <w:pPr>
        <w:spacing w:after="5" w:line="250" w:lineRule="auto"/>
        <w:ind w:left="728" w:right="11" w:hanging="8"/>
        <w:jc w:val="both"/>
        <w:rPr>
          <w:rFonts w:ascii="Verdana" w:hAnsi="Verdana"/>
        </w:rPr>
      </w:pPr>
      <w:r w:rsidRPr="005B5CB6">
        <w:rPr>
          <w:rFonts w:ascii="Verdana" w:eastAsia="Verdana" w:hAnsi="Verdana" w:cs="Verdana"/>
        </w:rPr>
        <w:t xml:space="preserve">Commission, are now considering duty of care models for online harms.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65"/>
        </w:numPr>
        <w:spacing w:after="5" w:line="250" w:lineRule="auto"/>
        <w:ind w:right="11" w:hanging="360"/>
        <w:jc w:val="both"/>
        <w:rPr>
          <w:rFonts w:ascii="Verdana" w:hAnsi="Verdana"/>
        </w:rPr>
      </w:pPr>
      <w:r w:rsidRPr="005B5CB6">
        <w:rPr>
          <w:rFonts w:ascii="Verdana" w:eastAsia="Verdana" w:hAnsi="Verdana" w:cs="Verdana"/>
        </w:rPr>
        <w:t>CUKT are producing a draft bill to implement such a regime, based upon our policy document of April</w:t>
      </w:r>
      <w:r w:rsidRPr="005B5CB6">
        <w:rPr>
          <w:rFonts w:ascii="Verdana" w:eastAsia="Verdana" w:hAnsi="Verdana" w:cs="Verdana"/>
          <w:vertAlign w:val="superscript"/>
        </w:rPr>
        <w:t>6</w:t>
      </w:r>
      <w:r w:rsidRPr="005B5CB6">
        <w:rPr>
          <w:rFonts w:ascii="Verdana" w:eastAsia="Verdana" w:hAnsi="Verdana" w:cs="Verdana"/>
        </w:rPr>
        <w:t>. We shall publish the text of a draft bill shortly after the election.  If it is acceptable to the Committee, we shall submit this to the Clerk as supplementary evidence. As the bill is not yet ready, this paper explains how the team’s thinking would apply to harms to the democratic process. We set some of this out earlier in the year in a joint statement with other organisations.</w:t>
      </w:r>
      <w:r>
        <w:rPr>
          <w:rFonts w:ascii="Verdana" w:eastAsia="Verdana" w:hAnsi="Verdana" w:cs="Verdana"/>
          <w:vertAlign w:val="superscript"/>
        </w:rPr>
        <w:footnoteReference w:id="468"/>
      </w: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b/>
        </w:rPr>
        <w:t xml:space="preserve"> </w:t>
      </w:r>
    </w:p>
    <w:p w:rsidR="00FB0B24" w:rsidRPr="005B5CB6" w:rsidP="006F32A5">
      <w:pPr>
        <w:pStyle w:val="Heading2"/>
        <w:rPr>
          <w:sz w:val="22"/>
        </w:rPr>
      </w:pPr>
      <w:r w:rsidRPr="005B5CB6">
        <w:rPr>
          <w:b w:val="0"/>
          <w:sz w:val="22"/>
        </w:rPr>
        <w:t xml:space="preserve">Code is law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66"/>
        </w:numPr>
        <w:spacing w:after="132" w:line="250" w:lineRule="auto"/>
        <w:ind w:right="11" w:hanging="360"/>
        <w:jc w:val="both"/>
        <w:rPr>
          <w:rFonts w:ascii="Verdana" w:hAnsi="Verdana"/>
        </w:rPr>
      </w:pPr>
      <w:r w:rsidRPr="005B5CB6">
        <w:rPr>
          <w:rFonts w:ascii="Verdana" w:eastAsia="Verdana" w:hAnsi="Verdana" w:cs="Verdana"/>
        </w:rPr>
        <w:t>Online platform services take their shape from design decisions taken by people who run them. Everything that happens on an online platform service is a result of decisions taken by the company or person that operates the platform. These include decisions about terms of services, decisions about software, decisions about the resources put into enforcing the terms of service and maintaining the software.</w:t>
      </w:r>
      <w:r>
        <w:rPr>
          <w:rFonts w:ascii="Verdana" w:eastAsia="Verdana" w:hAnsi="Verdana" w:cs="Verdana"/>
          <w:vertAlign w:val="superscript"/>
        </w:rPr>
        <w:footnoteReference w:id="469"/>
      </w:r>
      <w:r w:rsidRPr="005B5CB6">
        <w:rPr>
          <w:rFonts w:ascii="Verdana" w:eastAsia="Verdana" w:hAnsi="Verdana" w:cs="Verdana"/>
        </w:rPr>
        <w:t xml:space="preserve"> These decisions are </w:t>
      </w:r>
    </w:p>
    <w:p w:rsidR="00FB0B24" w:rsidRPr="005B5CB6" w:rsidP="006F32A5">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607742" name="Group 607742"/>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661" name="Shape 63666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65" style="height:0.6pt;mso-position-horizontal-relative:char;mso-position-vertical-relative:line;width:2in" coordsize="18288,76">
                <v:shape id="_x0000_s1466"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6F32A5">
      <w:pPr>
        <w:spacing w:after="5" w:line="250" w:lineRule="auto"/>
        <w:ind w:left="728" w:right="11" w:hanging="8"/>
        <w:jc w:val="both"/>
        <w:rPr>
          <w:rFonts w:ascii="Verdana" w:hAnsi="Verdana"/>
        </w:rPr>
      </w:pPr>
      <w:r w:rsidRPr="005B5CB6">
        <w:rPr>
          <w:rFonts w:ascii="Verdana" w:eastAsia="Verdana" w:hAnsi="Verdana" w:cs="Verdana"/>
        </w:rPr>
        <w:t xml:space="preserve">not neutral in terms of content. They create tools that nudge users to behave in certain ways; reward certain types of content and its sharing or spread; reinforce certain behaviours and promote and suppress content. As internet enthusiasts say, within a software environment ‘code is law’.  </w:t>
      </w:r>
    </w:p>
    <w:p w:rsidR="00FB0B24" w:rsidRPr="005B5CB6" w:rsidP="006F32A5">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266"/>
        </w:numPr>
        <w:spacing w:after="5" w:line="250" w:lineRule="auto"/>
        <w:ind w:right="11" w:hanging="360"/>
        <w:jc w:val="both"/>
        <w:rPr>
          <w:rFonts w:ascii="Verdana" w:hAnsi="Verdana"/>
        </w:rPr>
      </w:pPr>
      <w:r w:rsidRPr="005B5CB6">
        <w:rPr>
          <w:rFonts w:ascii="Verdana" w:eastAsia="Verdana" w:hAnsi="Verdana" w:cs="Verdana"/>
        </w:rPr>
        <w:t xml:space="preserve">Those that control platforms make decisions that enable or otherwise: targeted advertising and the rules surrounding it, a highly personalised view of data, algorithmic acceleration of dissemination of some content, some forms of speech but not others, the tools available to users to shield themselves, transparency about the platform operation, the speed of commenting, speed of sign up etc.   Harms to the electoral system that the Committee might identify could arise from these decisions.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pStyle w:val="Heading2"/>
        <w:rPr>
          <w:sz w:val="22"/>
        </w:rPr>
      </w:pPr>
      <w:r w:rsidRPr="005B5CB6">
        <w:rPr>
          <w:b w:val="0"/>
          <w:sz w:val="22"/>
        </w:rPr>
        <w:t xml:space="preserve">Regulatory system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67"/>
        </w:numPr>
        <w:spacing w:after="5" w:line="250" w:lineRule="auto"/>
        <w:ind w:right="11" w:hanging="360"/>
        <w:jc w:val="both"/>
        <w:rPr>
          <w:rFonts w:ascii="Verdana" w:hAnsi="Verdana"/>
        </w:rPr>
      </w:pPr>
      <w:r w:rsidRPr="005B5CB6">
        <w:rPr>
          <w:rFonts w:ascii="Verdana" w:eastAsia="Verdana" w:hAnsi="Verdana" w:cs="Verdana"/>
        </w:rPr>
        <w:t>A regulatory system could influence the companies’ decisions and reduce harms at a systemic level.  Based on an analysis of existing regulatory models, Carnegie UK Trust (CUKT) proposes that platform operators should be obliged to take reasonably practicable steps to prevent reasonably foreseeable harm arising as a result of the operation of their platforms. Harms would include harms to the democratic process, whether through manipulation of voters through the spread of ‘fake news’ or microtargeting of political ads; or because of the silencing of minorities through online abuse and harassment (as noted by the Joint Committee on Human Rights in its recent report.</w:t>
      </w:r>
      <w:r>
        <w:rPr>
          <w:rFonts w:ascii="Verdana" w:eastAsia="Verdana" w:hAnsi="Verdana" w:cs="Verdana"/>
          <w:vertAlign w:val="superscript"/>
        </w:rPr>
        <w:footnoteReference w:id="470"/>
      </w: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67"/>
        </w:numPr>
        <w:spacing w:after="5" w:line="250" w:lineRule="auto"/>
        <w:ind w:right="11" w:hanging="360"/>
        <w:jc w:val="both"/>
        <w:rPr>
          <w:rFonts w:ascii="Verdana" w:hAnsi="Verdana"/>
        </w:rPr>
      </w:pPr>
      <w:r w:rsidRPr="005B5CB6">
        <w:rPr>
          <w:rFonts w:ascii="Verdana" w:eastAsia="Verdana" w:hAnsi="Verdana" w:cs="Verdana"/>
        </w:rPr>
        <w:t xml:space="preserve">The operation of this statutory duty of care regime should be enforced by OFCOM, working with sector-specific regulators such as the Electoral Commission and the Information Commissioner. OFCOM is not perfect, but it is available to start work quickly and has a strong track record of evidence-based decision-making, standing up to global companies and experience of dealing with issues that involved balancing human rights. A new regulator would have none of these attributes.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pStyle w:val="Heading2"/>
        <w:rPr>
          <w:sz w:val="22"/>
        </w:rPr>
      </w:pPr>
      <w:r w:rsidRPr="005B5CB6">
        <w:rPr>
          <w:b w:val="0"/>
          <w:sz w:val="22"/>
        </w:rPr>
        <w:t xml:space="preserve">Operation of regime in respect of harms to the democratic process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68"/>
        </w:numPr>
        <w:spacing w:after="428" w:line="250" w:lineRule="auto"/>
        <w:ind w:right="11" w:hanging="360"/>
        <w:jc w:val="both"/>
        <w:rPr>
          <w:rFonts w:ascii="Verdana" w:hAnsi="Verdana"/>
        </w:rPr>
      </w:pPr>
      <w:r w:rsidRPr="005B5CB6">
        <w:rPr>
          <w:rFonts w:ascii="Verdana" w:eastAsia="Verdana" w:hAnsi="Verdana" w:cs="Verdana"/>
        </w:rPr>
        <w:t xml:space="preserve">In our draft bill which we shall submit to you shortly, we set out a duty of care, define what is covered by the duty and the high level, systemic actions online platform service operators would have to take to deliver the duty. </w:t>
      </w:r>
      <w:r w:rsidRPr="005B5CB6">
        <w:rPr>
          <w:rFonts w:ascii="Verdana" w:eastAsia="Verdana" w:hAnsi="Verdana" w:cs="Verdana"/>
        </w:rPr>
        <w:t xml:space="preserve">The draft bill amends OFCOM’s duties to make it the regulator and gives them the power to implement the regime, including to draft highlevel systemic codes of practice.  We specify a very small number of specific harms that companies must aim to reduce – harm to the </w:t>
      </w:r>
    </w:p>
    <w:p w:rsidR="00FB0B24" w:rsidRPr="005B5CB6" w:rsidP="006F32A5">
      <w:pPr>
        <w:spacing w:after="223" w:line="249" w:lineRule="auto"/>
        <w:ind w:left="-4" w:hanging="10"/>
        <w:jc w:val="both"/>
        <w:rPr>
          <w:rFonts w:ascii="Verdana" w:hAnsi="Verdana"/>
        </w:rPr>
      </w:pPr>
      <w:r w:rsidRPr="005B5CB6">
        <w:rPr>
          <w:rFonts w:ascii="Verdana" w:hAnsi="Verdana"/>
          <w:noProof/>
        </w:rPr>
        <mc:AlternateContent>
          <mc:Choice Requires="wpg">
            <w:drawing>
              <wp:inline distT="0" distB="0" distL="0" distR="0">
                <wp:extent cx="5724144" cy="7607"/>
                <wp:effectExtent l="0" t="0" r="0" b="0"/>
                <wp:docPr id="609113" name="Group 609113"/>
                <wp:cNvGraphicFramePr/>
                <a:graphic xmlns:a="http://schemas.openxmlformats.org/drawingml/2006/main">
                  <a:graphicData uri="http://schemas.microsoft.com/office/word/2010/wordprocessingGroup">
                    <wpg:wgp xmlns:wpg="http://schemas.microsoft.com/office/word/2010/wordprocessingGroup">
                      <wpg:cNvGrpSpPr/>
                      <wpg:grpSpPr>
                        <a:xfrm>
                          <a:off x="0" y="0"/>
                          <a:ext cx="5724144" cy="7607"/>
                          <a:chOff x="0" y="0"/>
                          <a:chExt cx="5724144" cy="7607"/>
                        </a:xfrm>
                      </wpg:grpSpPr>
                      <wps:wsp xmlns:wps="http://schemas.microsoft.com/office/word/2010/wordprocessingShape">
                        <wps:cNvPr id="636663" name="Shape 636663"/>
                        <wps:cNvSpPr/>
                        <wps:spPr>
                          <a:xfrm>
                            <a:off x="0" y="0"/>
                            <a:ext cx="5724144" cy="9144"/>
                          </a:xfrm>
                          <a:custGeom>
                            <a:avLst/>
                            <a:gdLst/>
                            <a:ahLst/>
                            <a:cxnLst/>
                            <a:rect l="0" t="0" r="0" b="0"/>
                            <a:pathLst>
                              <a:path w="5724144" h="9144">
                                <a:moveTo>
                                  <a:pt x="0" y="0"/>
                                </a:moveTo>
                                <a:lnTo>
                                  <a:pt x="5724144" y="0"/>
                                </a:lnTo>
                                <a:lnTo>
                                  <a:pt x="5724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67" style="height:0.6pt;mso-position-horizontal-relative:char;mso-position-vertical-relative:line;width:450.72pt" coordsize="57241,76">
                <v:shape id="_x0000_s1468" style="height:91;position:absolute;width:57241" coordsize="5724144,9144" path="m,l5724144,l5724144,9144l,9144l,e">
                  <v:stroke joinstyle="miter" endcap="flat" opacity="0"/>
                </v:shape>
                <w10:wrap type="none"/>
              </v:group>
            </w:pict>
          </mc:Fallback>
        </mc:AlternateContent>
      </w:r>
      <w:r w:rsidRPr="005B5CB6">
        <w:rPr>
          <w:rFonts w:ascii="Verdana" w:eastAsia="Times New Roman" w:hAnsi="Verdana" w:cs="Times New Roman"/>
        </w:rPr>
        <w:t xml:space="preserve"> </w:t>
      </w:r>
      <w:r w:rsidRPr="005B5CB6">
        <w:rPr>
          <w:rFonts w:ascii="Verdana" w:hAnsi="Verdana"/>
        </w:rPr>
        <w:t xml:space="preserve">and working memory: </w:t>
      </w:r>
      <w:r>
        <w:fldChar w:fldCharType="begin"/>
      </w:r>
      <w:r>
        <w:instrText xml:space="preserve"> HYPERLINK "https://www.bi.team/wp-content/uploads/2019/04/BIT_The-behavioural-science-of-online-harm-and-manipulation-and-what-to-do-about-it_Single.pdf" </w:instrText>
      </w:r>
      <w:r>
        <w:fldChar w:fldCharType="separate"/>
      </w:r>
      <w:r w:rsidRPr="005B5CB6">
        <w:rPr>
          <w:rFonts w:ascii="Verdana" w:hAnsi="Verdana"/>
          <w:color w:val="0000FF"/>
          <w:u w:val="single" w:color="0000FF"/>
        </w:rPr>
        <w:t>The Behavioural Science of Online Harm and Manipulation</w:t>
      </w:r>
      <w:r>
        <w:fldChar w:fldCharType="end"/>
      </w:r>
      <w:r>
        <w:fldChar w:fldCharType="begin"/>
      </w:r>
      <w:r>
        <w:instrText xml:space="preserve"> HYPERLINK "https://www.bi.team/wp-content/uploads/2019/04/BIT_The-behavioural-science-of-online-harm-and-manipulation-and-what-to-do-about-it_Single.pdf" </w:instrText>
      </w:r>
      <w:r>
        <w:fldChar w:fldCharType="separate"/>
      </w:r>
      <w:r w:rsidRPr="005B5CB6">
        <w:rPr>
          <w:rFonts w:ascii="Verdana" w:hAnsi="Verdana"/>
        </w:rPr>
        <w:t>;</w:t>
      </w:r>
      <w:r>
        <w:fldChar w:fldCharType="end"/>
      </w:r>
      <w:r w:rsidRPr="005B5CB6">
        <w:rPr>
          <w:rFonts w:ascii="Verdana" w:hAnsi="Verdana"/>
        </w:rPr>
        <w:t xml:space="preserve"> also work by 5 Rights  (July 2018) looked at how design features like </w:t>
      </w:r>
      <w:r w:rsidRPr="005B5CB6">
        <w:rPr>
          <w:rFonts w:ascii="Verdana" w:hAnsi="Verdana"/>
          <w:color w:val="424B44"/>
        </w:rPr>
        <w:t>auto-play, auto-suggestion, Likes, re-tweets, notifications, buzzes, pings, typing bubbles, streaks etc shape children’s interactions online</w:t>
      </w:r>
      <w:r>
        <w:fldChar w:fldCharType="begin"/>
      </w:r>
      <w:r>
        <w:instrText xml:space="preserve"> HYPERLINK "https://5rightsfoundation.com/static/5Rights-Disrupted-Childhood.pdf" </w:instrText>
      </w:r>
      <w:r>
        <w:fldChar w:fldCharType="separate"/>
      </w:r>
      <w:r w:rsidRPr="005B5CB6">
        <w:rPr>
          <w:rFonts w:ascii="Verdana" w:hAnsi="Verdana"/>
        </w:rPr>
        <w:t xml:space="preserve">: </w:t>
      </w:r>
      <w:r>
        <w:fldChar w:fldCharType="end"/>
      </w:r>
      <w:r>
        <w:fldChar w:fldCharType="begin"/>
      </w:r>
      <w:r>
        <w:instrText xml:space="preserve"> HYPERLINK "https://5rightsfoundation.com/static/5Rights-Disrupted-Childhood.pdf" </w:instrText>
      </w:r>
      <w:r>
        <w:fldChar w:fldCharType="separate"/>
      </w:r>
      <w:r w:rsidRPr="005B5CB6">
        <w:rPr>
          <w:rFonts w:ascii="Verdana" w:hAnsi="Verdana"/>
          <w:color w:val="0000FF"/>
          <w:u w:val="single" w:color="0000FF"/>
        </w:rPr>
        <w:t>Disrupted childhood: the cost of</w:t>
      </w:r>
      <w:r>
        <w:fldChar w:fldCharType="end"/>
      </w:r>
      <w:r>
        <w:fldChar w:fldCharType="begin"/>
      </w:r>
      <w:r>
        <w:instrText xml:space="preserve"> HYPERLINK "https://5rightsfoundation.com/static/5Rights-Disrupted-Childhood.pdf" </w:instrText>
      </w:r>
      <w:r>
        <w:fldChar w:fldCharType="separate"/>
      </w:r>
      <w:r w:rsidRPr="005B5CB6">
        <w:rPr>
          <w:rFonts w:ascii="Verdana" w:hAnsi="Verdana"/>
          <w:color w:val="0000FF"/>
        </w:rPr>
        <w:t xml:space="preserve"> </w:t>
      </w:r>
      <w:r>
        <w:fldChar w:fldCharType="end"/>
      </w:r>
      <w:r>
        <w:fldChar w:fldCharType="begin"/>
      </w:r>
      <w:r>
        <w:instrText xml:space="preserve"> HYPERLINK "https://5rightsfoundation.com/static/5Rights-Disrupted-Childhood.pdf" </w:instrText>
      </w:r>
      <w:r>
        <w:fldChar w:fldCharType="separate"/>
      </w:r>
      <w:r w:rsidRPr="005B5CB6">
        <w:rPr>
          <w:rFonts w:ascii="Verdana" w:hAnsi="Verdana"/>
          <w:color w:val="0000FF"/>
          <w:u w:val="single" w:color="0000FF"/>
        </w:rPr>
        <w:t>persuasive design</w:t>
      </w:r>
      <w:r>
        <w:fldChar w:fldCharType="end"/>
      </w:r>
      <w:r>
        <w:fldChar w:fldCharType="begin"/>
      </w:r>
      <w:r>
        <w:instrText xml:space="preserve"> HYPERLINK "https://5rightsfoundation.com/static/5Rights-Disrupted-Childhood.pdf" </w:instrText>
      </w:r>
      <w:r>
        <w:fldChar w:fldCharType="separate"/>
      </w:r>
      <w:r w:rsidRPr="005B5CB6">
        <w:rPr>
          <w:rFonts w:ascii="Verdana" w:hAnsi="Verdana"/>
        </w:rPr>
        <w:t>;</w:t>
      </w:r>
      <w:r>
        <w:fldChar w:fldCharType="end"/>
      </w:r>
      <w:r w:rsidRPr="005B5CB6">
        <w:rPr>
          <w:rFonts w:ascii="Verdana" w:hAnsi="Verdana"/>
        </w:rPr>
        <w:t xml:space="preserve"> and Norwegian Consumers Council (June 2018) research on how the online design environment shapes consumer choice: </w:t>
      </w:r>
      <w:r>
        <w:fldChar w:fldCharType="begin"/>
      </w:r>
      <w:r>
        <w:instrText xml:space="preserve"> HYPERLINK "https://fil.forbrukerradet.no/wp-content/uploads/2018/06/2018-06-27-deceived-by-design-final.pdf" </w:instrText>
      </w:r>
      <w:r>
        <w:fldChar w:fldCharType="separate"/>
      </w:r>
      <w:r w:rsidRPr="005B5CB6">
        <w:rPr>
          <w:rFonts w:ascii="Verdana" w:hAnsi="Verdana"/>
          <w:color w:val="0000FF"/>
          <w:u w:val="single" w:color="0000FF"/>
        </w:rPr>
        <w:t>Deceived by Design</w:t>
      </w:r>
      <w:r>
        <w:fldChar w:fldCharType="end"/>
      </w:r>
      <w:r>
        <w:fldChar w:fldCharType="begin"/>
      </w:r>
      <w:r>
        <w:instrText xml:space="preserve"> HYPERLINK "https://fil.forbrukerradet.no/wp-content/uploads/2018/06/2018-06-27-deceived-by-design-final.pdf" </w:instrText>
      </w:r>
      <w:r>
        <w:fldChar w:fldCharType="separate"/>
      </w:r>
      <w:r w:rsidRPr="005B5CB6">
        <w:rPr>
          <w:rFonts w:ascii="Verdana" w:hAnsi="Verdana"/>
        </w:rPr>
        <w:t xml:space="preserve"> </w:t>
      </w:r>
      <w:r>
        <w:fldChar w:fldCharType="end"/>
      </w:r>
      <w:r w:rsidRPr="005B5CB6">
        <w:rPr>
          <w:rFonts w:ascii="Verdana" w:eastAsia="Times New Roman" w:hAnsi="Verdana" w:cs="Times New Roman"/>
        </w:rPr>
        <w:t xml:space="preserve"> </w:t>
      </w:r>
    </w:p>
    <w:p w:rsidR="00FB0B24" w:rsidRPr="005B5CB6" w:rsidP="006F32A5">
      <w:pPr>
        <w:spacing w:after="5" w:line="250" w:lineRule="auto"/>
        <w:ind w:left="728" w:right="11" w:hanging="8"/>
        <w:jc w:val="both"/>
        <w:rPr>
          <w:rFonts w:ascii="Verdana" w:hAnsi="Verdana"/>
        </w:rPr>
      </w:pPr>
      <w:r w:rsidRPr="005B5CB6">
        <w:rPr>
          <w:rFonts w:ascii="Verdana" w:eastAsia="Verdana" w:hAnsi="Verdana" w:cs="Verdana"/>
        </w:rPr>
        <w:t xml:space="preserve">democratic process is one of these, alongside national security and child sexual exploitation and abuse (CSEA).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68"/>
        </w:numPr>
        <w:spacing w:after="5" w:line="250" w:lineRule="auto"/>
        <w:ind w:right="11" w:hanging="360"/>
        <w:jc w:val="both"/>
        <w:rPr>
          <w:rFonts w:ascii="Verdana" w:hAnsi="Verdana"/>
        </w:rPr>
      </w:pPr>
      <w:r w:rsidRPr="005B5CB6">
        <w:rPr>
          <w:rFonts w:ascii="Verdana" w:eastAsia="Verdana" w:hAnsi="Verdana" w:cs="Verdana"/>
        </w:rPr>
        <w:t xml:space="preserve">The regime we set out is generic, like the Health and Safety at Work Act 1974 regime.  Defining the regime at a generic level ensures it will be long-lived and systemic in effect.  Many of the design features of services which give rise to a risk of harm do so in relation to a range of different harms.  In the Carnegie regime, we propose that OFCOM approves codes of practice on each of the following (non-exclusive) generic factors:  </w:t>
      </w:r>
    </w:p>
    <w:p w:rsidR="00FB0B24" w:rsidRPr="005B5CB6" w:rsidP="00575F14">
      <w:pPr>
        <w:numPr>
          <w:ilvl w:val="1"/>
          <w:numId w:val="268"/>
        </w:numPr>
        <w:spacing w:after="5" w:line="250" w:lineRule="auto"/>
        <w:ind w:right="11" w:hanging="360"/>
        <w:jc w:val="both"/>
        <w:rPr>
          <w:rFonts w:ascii="Verdana" w:hAnsi="Verdana"/>
        </w:rPr>
      </w:pPr>
      <w:r w:rsidRPr="005B5CB6">
        <w:rPr>
          <w:rFonts w:ascii="Verdana" w:eastAsia="Verdana" w:hAnsi="Verdana" w:cs="Verdana"/>
        </w:rPr>
        <w:t xml:space="preserve">assessment of risk in service operation,  </w:t>
      </w:r>
    </w:p>
    <w:p w:rsidR="00FB0B24" w:rsidRPr="005B5CB6" w:rsidP="00575F14">
      <w:pPr>
        <w:numPr>
          <w:ilvl w:val="1"/>
          <w:numId w:val="268"/>
        </w:numPr>
        <w:spacing w:after="5" w:line="250" w:lineRule="auto"/>
        <w:ind w:right="11" w:hanging="360"/>
        <w:jc w:val="both"/>
        <w:rPr>
          <w:rFonts w:ascii="Verdana" w:hAnsi="Verdana"/>
        </w:rPr>
      </w:pPr>
      <w:r w:rsidRPr="005B5CB6">
        <w:rPr>
          <w:rFonts w:ascii="Verdana" w:eastAsia="Verdana" w:hAnsi="Verdana" w:cs="Verdana"/>
        </w:rPr>
        <w:t xml:space="preserve">transparency of the platform,  </w:t>
      </w:r>
    </w:p>
    <w:p w:rsidR="00FB0B24" w:rsidRPr="005B5CB6" w:rsidP="00575F14">
      <w:pPr>
        <w:numPr>
          <w:ilvl w:val="1"/>
          <w:numId w:val="268"/>
        </w:numPr>
        <w:spacing w:after="5" w:line="250" w:lineRule="auto"/>
        <w:ind w:right="11" w:hanging="360"/>
        <w:jc w:val="both"/>
        <w:rPr>
          <w:rFonts w:ascii="Verdana" w:hAnsi="Verdana"/>
        </w:rPr>
      </w:pPr>
      <w:r w:rsidRPr="005B5CB6">
        <w:rPr>
          <w:rFonts w:ascii="Verdana" w:eastAsia="Verdana" w:hAnsi="Verdana" w:cs="Verdana"/>
        </w:rPr>
        <w:t xml:space="preserve">risk factors in service design and nudging techniques,  </w:t>
      </w:r>
    </w:p>
    <w:p w:rsidR="00FB0B24" w:rsidRPr="005B5CB6" w:rsidP="00575F14">
      <w:pPr>
        <w:numPr>
          <w:ilvl w:val="1"/>
          <w:numId w:val="268"/>
        </w:numPr>
        <w:spacing w:after="5" w:line="250" w:lineRule="auto"/>
        <w:ind w:right="11" w:hanging="360"/>
        <w:jc w:val="both"/>
        <w:rPr>
          <w:rFonts w:ascii="Verdana" w:hAnsi="Verdana"/>
        </w:rPr>
      </w:pPr>
      <w:r w:rsidRPr="005B5CB6">
        <w:rPr>
          <w:rFonts w:ascii="Verdana" w:eastAsia="Verdana" w:hAnsi="Verdana" w:cs="Verdana"/>
        </w:rPr>
        <w:t xml:space="preserve">discovery and navigation techniques,  </w:t>
      </w:r>
    </w:p>
    <w:p w:rsidR="00FB0B24" w:rsidRPr="005B5CB6" w:rsidP="00575F14">
      <w:pPr>
        <w:numPr>
          <w:ilvl w:val="1"/>
          <w:numId w:val="268"/>
        </w:numPr>
        <w:spacing w:after="5" w:line="250" w:lineRule="auto"/>
        <w:ind w:right="11" w:hanging="360"/>
        <w:jc w:val="both"/>
        <w:rPr>
          <w:rFonts w:ascii="Verdana" w:hAnsi="Verdana"/>
        </w:rPr>
      </w:pPr>
      <w:r w:rsidRPr="005B5CB6">
        <w:rPr>
          <w:rFonts w:ascii="Verdana" w:eastAsia="Verdana" w:hAnsi="Verdana" w:cs="Verdana"/>
        </w:rPr>
        <w:t xml:space="preserve">how users can protect themselves from harm,  </w:t>
      </w:r>
    </w:p>
    <w:p w:rsidR="00FB0B24" w:rsidRPr="005B5CB6" w:rsidP="00575F14">
      <w:pPr>
        <w:numPr>
          <w:ilvl w:val="1"/>
          <w:numId w:val="268"/>
        </w:numPr>
        <w:spacing w:after="5" w:line="250" w:lineRule="auto"/>
        <w:ind w:right="11" w:hanging="360"/>
        <w:jc w:val="both"/>
        <w:rPr>
          <w:rFonts w:ascii="Verdana" w:hAnsi="Verdana"/>
        </w:rPr>
      </w:pPr>
      <w:r w:rsidRPr="005B5CB6">
        <w:rPr>
          <w:rFonts w:ascii="Verdana" w:eastAsia="Verdana" w:hAnsi="Verdana" w:cs="Verdana"/>
        </w:rPr>
        <w:t xml:space="preserve">complaints and resolution procedures  </w:t>
      </w:r>
      <w:r w:rsidRPr="005B5CB6">
        <w:rPr>
          <w:rFonts w:ascii="Verdana" w:eastAsia="Segoe UI Symbol" w:hAnsi="Verdana" w:cs="Segoe UI Symbol"/>
        </w:rPr>
        <w:t>•</w:t>
      </w:r>
      <w:r w:rsidRPr="005B5CB6">
        <w:rPr>
          <w:rFonts w:ascii="Verdana" w:eastAsia="Arial" w:hAnsi="Verdana" w:cs="Arial"/>
        </w:rPr>
        <w:t xml:space="preserve"> </w:t>
      </w:r>
      <w:r w:rsidRPr="005B5CB6">
        <w:rPr>
          <w:rFonts w:ascii="Verdana" w:eastAsia="Verdana" w:hAnsi="Verdana" w:cs="Verdana"/>
        </w:rPr>
        <w:t xml:space="preserve">child sexual abuse and exploitation and </w:t>
      </w:r>
    </w:p>
    <w:p w:rsidR="00FB0B24" w:rsidRPr="005B5CB6" w:rsidP="00575F14">
      <w:pPr>
        <w:numPr>
          <w:ilvl w:val="1"/>
          <w:numId w:val="268"/>
        </w:numPr>
        <w:spacing w:after="5" w:line="250" w:lineRule="auto"/>
        <w:ind w:right="11" w:hanging="360"/>
        <w:jc w:val="both"/>
        <w:rPr>
          <w:rFonts w:ascii="Verdana" w:hAnsi="Verdana"/>
        </w:rPr>
      </w:pPr>
      <w:r w:rsidRPr="005B5CB6">
        <w:rPr>
          <w:rFonts w:ascii="Verdana" w:eastAsia="Verdana" w:hAnsi="Verdana" w:cs="Verdana"/>
        </w:rPr>
        <w:t xml:space="preserve">national security.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721" w:right="11" w:hanging="360"/>
        <w:jc w:val="both"/>
        <w:rPr>
          <w:rFonts w:ascii="Verdana" w:hAnsi="Verdana"/>
        </w:rPr>
      </w:pPr>
      <w:r w:rsidRPr="005B5CB6">
        <w:rPr>
          <w:rFonts w:ascii="Verdana" w:eastAsia="Verdana" w:hAnsi="Verdana" w:cs="Verdana"/>
        </w:rPr>
        <w:t xml:space="preserve">10.If potential harms to the democratic process are fed into OFCOM’s generic code-making process then they can be engaged by the online harm regime to some extent. Codes can be advisory or, after a parliamentary process, statutory. This then allows the Electoral Commission to focus on areas of detail not dealt with by systemic regulatory action. </w:t>
      </w:r>
    </w:p>
    <w:p w:rsidR="00FB0B24" w:rsidRPr="005B5CB6" w:rsidP="006F32A5">
      <w:pPr>
        <w:spacing w:after="0"/>
        <w:ind w:left="2"/>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722" w:right="11" w:hanging="360"/>
        <w:jc w:val="both"/>
        <w:rPr>
          <w:rFonts w:ascii="Verdana" w:hAnsi="Verdana"/>
        </w:rPr>
      </w:pPr>
      <w:r w:rsidRPr="005B5CB6">
        <w:rPr>
          <w:rFonts w:ascii="Verdana" w:eastAsia="Verdana" w:hAnsi="Verdana" w:cs="Verdana"/>
        </w:rPr>
        <w:t xml:space="preserve">11.As an example, issues with malign creation of fake accounts or abuse of women and minorities have impact far more broadly than just the democratic process. They would be dealt with in the generic codes. Issues about imprints on online electoral adverts would be more appropriate for a specialised process. </w:t>
      </w:r>
    </w:p>
    <w:p w:rsidR="00FB0B24" w:rsidRPr="005B5CB6" w:rsidP="006F32A5">
      <w:pPr>
        <w:spacing w:after="0"/>
        <w:ind w:left="2"/>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722" w:right="11" w:hanging="360"/>
        <w:jc w:val="both"/>
        <w:rPr>
          <w:rFonts w:ascii="Verdana" w:hAnsi="Verdana"/>
        </w:rPr>
      </w:pPr>
      <w:r w:rsidRPr="005B5CB6">
        <w:rPr>
          <w:rFonts w:ascii="Verdana" w:eastAsia="Verdana" w:hAnsi="Verdana" w:cs="Verdana"/>
        </w:rPr>
        <w:t xml:space="preserve">12.Online platform service operators themselves will have to consider harms to the democratic process in their risk assessments and mitigating actions. We would expect OFCOM to work with the Electoral Commission, political parties, online platforms and civil society to produce a code of practice.  OFCOM could even adopt a code made by the Electoral Commission. The code could outline high level harms in this area.   </w:t>
      </w:r>
    </w:p>
    <w:p w:rsidR="00FB0B24" w:rsidRPr="005B5CB6" w:rsidP="006F32A5">
      <w:pPr>
        <w:pStyle w:val="Heading2"/>
        <w:rPr>
          <w:sz w:val="22"/>
        </w:rPr>
      </w:pPr>
      <w:r w:rsidRPr="005B5CB6">
        <w:rPr>
          <w:b w:val="0"/>
          <w:sz w:val="22"/>
        </w:rPr>
        <w:t xml:space="preserve">Enforcement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720" w:right="11" w:hanging="360"/>
        <w:jc w:val="both"/>
        <w:rPr>
          <w:rFonts w:ascii="Verdana" w:hAnsi="Verdana"/>
        </w:rPr>
      </w:pPr>
      <w:r w:rsidRPr="005B5CB6">
        <w:rPr>
          <w:rFonts w:ascii="Verdana" w:eastAsia="Verdana" w:hAnsi="Verdana" w:cs="Verdana"/>
        </w:rPr>
        <w:t xml:space="preserve">13.OFCOM’s enforcement process would work as follows. If OFCOM had reason to believe that harm was arising in respect of electoral processes in the operation of a platform service, OFCOM could make an information request addressed to the company concerned. If the results gave rise to concern, OFCOM could begin an assessment process. OFCOM could subsequently make enforcement and ultimately penalty notices.   In assessing penalties for any offences OFCOM would bear in mind the extent to which an operator has complied with codes, or any directions from Ofcom such as information notices.  OFCOM would have the power to fine or in extremis, require ISPs to block services. </w:t>
      </w:r>
    </w:p>
    <w:p w:rsidR="00FB0B24" w:rsidRPr="005B5CB6" w:rsidP="006F32A5">
      <w:pPr>
        <w:spacing w:after="0"/>
        <w:ind w:left="721"/>
        <w:jc w:val="both"/>
        <w:rPr>
          <w:rFonts w:ascii="Verdana" w:hAnsi="Verdana"/>
        </w:rPr>
      </w:pPr>
      <w:r w:rsidRPr="005B5CB6">
        <w:rPr>
          <w:rFonts w:ascii="Verdana" w:eastAsia="Verdana" w:hAnsi="Verdana" w:cs="Verdana"/>
        </w:rPr>
        <w:t xml:space="preserve"> </w:t>
      </w:r>
    </w:p>
    <w:p w:rsidR="00FB0B24" w:rsidRPr="005B5CB6" w:rsidP="006F32A5">
      <w:pPr>
        <w:pStyle w:val="Heading2"/>
        <w:rPr>
          <w:sz w:val="22"/>
        </w:rPr>
      </w:pPr>
      <w:r w:rsidRPr="005B5CB6">
        <w:rPr>
          <w:b w:val="0"/>
          <w:sz w:val="22"/>
        </w:rPr>
        <w:t xml:space="preserve">Benefits to the electoral regulator of working with duty of care regulator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720" w:right="11" w:hanging="360"/>
        <w:jc w:val="both"/>
        <w:rPr>
          <w:rFonts w:ascii="Verdana" w:hAnsi="Verdana"/>
        </w:rPr>
      </w:pPr>
      <w:r w:rsidRPr="005B5CB6">
        <w:rPr>
          <w:rFonts w:ascii="Verdana" w:eastAsia="Verdana" w:hAnsi="Verdana" w:cs="Verdana"/>
        </w:rPr>
        <w:t>14.OFCOM would be tasked to work with the Electoral Commission</w:t>
      </w:r>
      <w:r>
        <w:rPr>
          <w:rFonts w:ascii="Verdana" w:eastAsia="Verdana" w:hAnsi="Verdana" w:cs="Verdana"/>
          <w:vertAlign w:val="superscript"/>
        </w:rPr>
        <w:footnoteReference w:id="471"/>
      </w:r>
      <w:r w:rsidRPr="005B5CB6">
        <w:rPr>
          <w:rFonts w:ascii="Verdana" w:eastAsia="Verdana" w:hAnsi="Verdana" w:cs="Verdana"/>
        </w:rPr>
        <w:t xml:space="preserve">, which would give both regulators benefits. Working with OFCOM would offer an electoral regulator the following benefits: </w:t>
      </w:r>
    </w:p>
    <w:p w:rsidR="00FB0B24" w:rsidRPr="005B5CB6" w:rsidP="00575F14">
      <w:pPr>
        <w:numPr>
          <w:ilvl w:val="0"/>
          <w:numId w:val="269"/>
        </w:numPr>
        <w:spacing w:after="5" w:line="250" w:lineRule="auto"/>
        <w:ind w:right="11" w:hanging="360"/>
        <w:jc w:val="both"/>
        <w:rPr>
          <w:rFonts w:ascii="Verdana" w:hAnsi="Verdana"/>
        </w:rPr>
      </w:pPr>
      <w:r w:rsidRPr="005B5CB6">
        <w:rPr>
          <w:rFonts w:ascii="Verdana" w:eastAsia="Verdana" w:hAnsi="Verdana" w:cs="Verdana"/>
        </w:rPr>
        <w:t xml:space="preserve">Tapping into OFCOM’s day to day expertise in online harms regulation </w:t>
      </w:r>
    </w:p>
    <w:p w:rsidR="00FB0B24" w:rsidRPr="005B5CB6" w:rsidP="00575F14">
      <w:pPr>
        <w:numPr>
          <w:ilvl w:val="0"/>
          <w:numId w:val="269"/>
        </w:numPr>
        <w:spacing w:after="5" w:line="250" w:lineRule="auto"/>
        <w:ind w:right="11" w:hanging="360"/>
        <w:jc w:val="both"/>
        <w:rPr>
          <w:rFonts w:ascii="Verdana" w:hAnsi="Verdana"/>
        </w:rPr>
      </w:pPr>
      <w:r w:rsidRPr="005B5CB6">
        <w:rPr>
          <w:rFonts w:ascii="Verdana" w:eastAsia="Verdana" w:hAnsi="Verdana" w:cs="Verdana"/>
        </w:rPr>
        <w:t xml:space="preserve">Borrowing some of the heft on an online harms regime, its methods and enforcement mechanisms </w:t>
      </w:r>
    </w:p>
    <w:p w:rsidR="00FB0B24" w:rsidRPr="005B5CB6" w:rsidP="00575F14">
      <w:pPr>
        <w:numPr>
          <w:ilvl w:val="0"/>
          <w:numId w:val="269"/>
        </w:numPr>
        <w:spacing w:after="5" w:line="250" w:lineRule="auto"/>
        <w:ind w:right="11" w:hanging="360"/>
        <w:jc w:val="both"/>
        <w:rPr>
          <w:rFonts w:ascii="Verdana" w:hAnsi="Verdana"/>
        </w:rPr>
      </w:pPr>
      <w:r w:rsidRPr="005B5CB6">
        <w:rPr>
          <w:rFonts w:ascii="Verdana" w:eastAsia="Verdana" w:hAnsi="Verdana" w:cs="Verdana"/>
        </w:rPr>
        <w:t xml:space="preserve">Accessing OFCOM’s regulatory relationships with key players at platform operators </w:t>
      </w:r>
    </w:p>
    <w:p w:rsidR="00FB0B24" w:rsidRPr="005B5CB6" w:rsidP="00575F14">
      <w:pPr>
        <w:numPr>
          <w:ilvl w:val="0"/>
          <w:numId w:val="269"/>
        </w:numPr>
        <w:spacing w:after="5" w:line="250" w:lineRule="auto"/>
        <w:ind w:right="11" w:hanging="360"/>
        <w:jc w:val="both"/>
        <w:rPr>
          <w:rFonts w:ascii="Verdana" w:hAnsi="Verdana"/>
        </w:rPr>
      </w:pPr>
      <w:r w:rsidRPr="005B5CB6">
        <w:rPr>
          <w:rFonts w:ascii="Verdana" w:eastAsia="Verdana" w:hAnsi="Verdana" w:cs="Verdana"/>
        </w:rPr>
        <w:t xml:space="preserve">Routes to OFCOM’s sister regulators in other jurisdictions and relevant networks (such as the European Platform or Regulatory Authorities). </w:t>
      </w:r>
    </w:p>
    <w:p w:rsidR="00FB0B24" w:rsidRPr="005B5CB6" w:rsidP="006F32A5">
      <w:pPr>
        <w:spacing w:after="0"/>
        <w:ind w:left="721"/>
        <w:jc w:val="both"/>
        <w:rPr>
          <w:rFonts w:ascii="Verdana" w:hAnsi="Verdana"/>
        </w:rPr>
      </w:pPr>
      <w:r w:rsidRPr="005B5CB6">
        <w:rPr>
          <w:rFonts w:ascii="Verdana" w:eastAsia="Verdana" w:hAnsi="Verdana" w:cs="Verdana"/>
        </w:rPr>
        <w:t xml:space="preserve"> </w:t>
      </w:r>
    </w:p>
    <w:p w:rsidR="00FB0B24" w:rsidRPr="005B5CB6" w:rsidP="006F32A5">
      <w:pPr>
        <w:spacing w:after="0"/>
        <w:ind w:left="721"/>
        <w:jc w:val="both"/>
        <w:rPr>
          <w:rFonts w:ascii="Verdana" w:hAnsi="Verdana"/>
        </w:rPr>
      </w:pPr>
      <w:r w:rsidRPr="005B5CB6">
        <w:rPr>
          <w:rFonts w:ascii="Verdana" w:eastAsia="Verdana" w:hAnsi="Verdana" w:cs="Verdana"/>
        </w:rPr>
        <w:t xml:space="preserve"> </w:t>
      </w:r>
    </w:p>
    <w:p w:rsidR="00FB0B24" w:rsidRPr="005B5CB6" w:rsidP="006F32A5">
      <w:pPr>
        <w:pStyle w:val="Heading2"/>
        <w:rPr>
          <w:sz w:val="22"/>
        </w:rPr>
      </w:pPr>
      <w:r w:rsidRPr="005B5CB6">
        <w:rPr>
          <w:b w:val="0"/>
          <w:sz w:val="22"/>
        </w:rPr>
        <w:t xml:space="preserve">Route to legislation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720" w:right="11" w:hanging="360"/>
        <w:jc w:val="both"/>
        <w:rPr>
          <w:rFonts w:ascii="Verdana" w:hAnsi="Verdana"/>
        </w:rPr>
      </w:pPr>
      <w:r w:rsidRPr="005B5CB6">
        <w:rPr>
          <w:rFonts w:ascii="Verdana" w:eastAsia="Verdana" w:hAnsi="Verdana" w:cs="Verdana"/>
        </w:rPr>
        <w:t xml:space="preserve">15.Carnegie has produced a draft bill of about 60 clauses and a paving bill of four clauses requiring the government to get on and appoint a regulator to prepare for the new regime. Our intention is to move debate on to vital details. Government has been delayed by events and their turbulent wake.  We are concerned that if government proceeds at its current pace no regime will be in operation until 2023. </w:t>
      </w:r>
    </w:p>
    <w:p w:rsidR="00FB0B24" w:rsidRPr="005B5CB6" w:rsidP="006F32A5">
      <w:pPr>
        <w:spacing w:after="0"/>
        <w:ind w:left="72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pStyle w:val="Heading2"/>
        <w:rPr>
          <w:sz w:val="22"/>
        </w:rPr>
      </w:pPr>
      <w:r w:rsidRPr="005B5CB6">
        <w:rPr>
          <w:b w:val="0"/>
          <w:sz w:val="22"/>
        </w:rPr>
        <w:t xml:space="preserve">UK /USA trade deal – potential restrictions on implementing Committee recommendations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720" w:right="11" w:hanging="360"/>
        <w:jc w:val="both"/>
        <w:rPr>
          <w:rFonts w:ascii="Verdana" w:hAnsi="Verdana"/>
        </w:rPr>
      </w:pPr>
      <w:r w:rsidRPr="005B5CB6">
        <w:rPr>
          <w:rFonts w:ascii="Verdana" w:eastAsia="Verdana" w:hAnsi="Verdana" w:cs="Verdana"/>
        </w:rPr>
        <w:t xml:space="preserve">16.The Committee, after its deliberation, might wish to make recommendations that require the online platform service companies to do things. We should flag up, as doubtless others have, two potential structural barriers implementing such recommendations that </w:t>
      </w:r>
      <w:r w:rsidRPr="005B5CB6">
        <w:rPr>
          <w:rFonts w:ascii="Verdana" w:eastAsia="Verdana" w:hAnsi="Verdana" w:cs="Verdana"/>
          <w:u w:val="single" w:color="000000"/>
        </w:rPr>
        <w:t>might</w:t>
      </w:r>
      <w:r w:rsidRPr="005B5CB6">
        <w:rPr>
          <w:rFonts w:ascii="Verdana" w:eastAsia="Verdana" w:hAnsi="Verdana" w:cs="Verdana"/>
        </w:rPr>
        <w:t xml:space="preserve"> arise from hurried trade deals with the USA and the EU.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720" w:right="11" w:hanging="360"/>
        <w:jc w:val="both"/>
        <w:rPr>
          <w:rFonts w:ascii="Verdana" w:hAnsi="Verdana"/>
        </w:rPr>
      </w:pPr>
      <w:r w:rsidRPr="005B5CB6">
        <w:rPr>
          <w:rFonts w:ascii="Verdana" w:eastAsia="Verdana" w:hAnsi="Verdana" w:cs="Verdana"/>
        </w:rPr>
        <w:t>17.In the USA, tech companies are lobbying for the preservation of low levels of intermediary liability in overseas markets through trade deals. The current USMCA deal contains such previsions (S19.17)</w:t>
      </w:r>
      <w:r>
        <w:rPr>
          <w:rFonts w:ascii="Verdana" w:eastAsia="Verdana" w:hAnsi="Verdana" w:cs="Verdana"/>
          <w:vertAlign w:val="superscript"/>
        </w:rPr>
        <w:footnoteReference w:id="472"/>
      </w:r>
      <w:r w:rsidRPr="005B5CB6">
        <w:rPr>
          <w:rFonts w:ascii="Verdana" w:eastAsia="Verdana" w:hAnsi="Verdana" w:cs="Verdana"/>
        </w:rPr>
        <w:t xml:space="preserve">. The USA Trade Representative has said that maintaining this is a priority in the UK/USA talks. We don’t know of course how this would be done but there is a chance it could have an effect.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417" w:line="250" w:lineRule="auto"/>
        <w:ind w:left="720" w:right="11" w:hanging="360"/>
        <w:jc w:val="both"/>
        <w:rPr>
          <w:rFonts w:ascii="Verdana" w:hAnsi="Verdana"/>
        </w:rPr>
      </w:pPr>
      <w:r w:rsidRPr="005B5CB6">
        <w:rPr>
          <w:rFonts w:ascii="Verdana" w:eastAsia="Verdana" w:hAnsi="Verdana" w:cs="Verdana"/>
        </w:rPr>
        <w:t>18.The forthcoming EU ‘Digital Services Act</w:t>
      </w:r>
      <w:r>
        <w:rPr>
          <w:rFonts w:ascii="Verdana" w:eastAsia="Verdana" w:hAnsi="Verdana" w:cs="Verdana"/>
          <w:vertAlign w:val="superscript"/>
        </w:rPr>
        <w:footnoteReference w:id="473"/>
      </w:r>
      <w:r w:rsidRPr="005B5CB6">
        <w:rPr>
          <w:rFonts w:ascii="Verdana" w:eastAsia="Verdana" w:hAnsi="Verdana" w:cs="Verdana"/>
        </w:rPr>
        <w:t>’ will review the limited liability of the E-commerce directive. The Commission has reportedly written to France to ask that France delay implementation of their recently passed anti-hate speech law</w:t>
      </w:r>
      <w:r>
        <w:rPr>
          <w:rFonts w:ascii="Verdana" w:eastAsia="Verdana" w:hAnsi="Verdana" w:cs="Verdana"/>
          <w:vertAlign w:val="superscript"/>
        </w:rPr>
        <w:footnoteReference w:id="474"/>
      </w:r>
      <w:r w:rsidRPr="005B5CB6">
        <w:rPr>
          <w:rFonts w:ascii="Verdana" w:eastAsia="Verdana" w:hAnsi="Verdana" w:cs="Verdana"/>
        </w:rPr>
        <w:t xml:space="preserve"> and instead wait for the new Digital Services Act. France has said that they will not wait.  It is possible that, if the UK were to accept the current single market laws on communications, as industry wants, then a similar request would be made of the UK in respect of </w:t>
      </w:r>
    </w:p>
    <w:p w:rsidR="00FB0B24" w:rsidRPr="005B5CB6" w:rsidP="006F32A5">
      <w:pPr>
        <w:spacing w:after="0"/>
        <w:jc w:val="both"/>
        <w:rPr>
          <w:rFonts w:ascii="Verdana" w:hAnsi="Verdana"/>
        </w:rPr>
      </w:pPr>
      <w:r w:rsidRPr="005B5CB6">
        <w:rPr>
          <w:rFonts w:ascii="Verdana" w:hAnsi="Verdana"/>
          <w:noProof/>
        </w:rPr>
        <mc:AlternateContent>
          <mc:Choice Requires="wpg">
            <w:drawing>
              <wp:inline distT="0" distB="0" distL="0" distR="0">
                <wp:extent cx="1828800" cy="7607"/>
                <wp:effectExtent l="0" t="0" r="0" b="0"/>
                <wp:docPr id="608849" name="Group 60884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07"/>
                          <a:chOff x="0" y="0"/>
                          <a:chExt cx="1828800" cy="7607"/>
                        </a:xfrm>
                      </wpg:grpSpPr>
                      <wps:wsp xmlns:wps="http://schemas.microsoft.com/office/word/2010/wordprocessingShape">
                        <wps:cNvPr id="636665" name="Shape 63666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69" style="height:0.6pt;mso-position-horizontal-relative:char;mso-position-vertical-relative:line;width:2in" coordsize="18288,76">
                <v:shape id="_x0000_s1470" style="height:91;position:absolute;width:18288" coordsize="1828800,9144" path="m,l1828800,l1828800,9144l,9144l,e">
                  <v:stroke joinstyle="miter" endcap="flat" opacity="0"/>
                </v:shape>
                <w10:wrap type="none"/>
              </v:group>
            </w:pict>
          </mc:Fallback>
        </mc:AlternateContent>
      </w:r>
      <w:r w:rsidRPr="005B5CB6">
        <w:rPr>
          <w:rFonts w:ascii="Verdana" w:eastAsia="Times New Roman" w:hAnsi="Verdana" w:cs="Times New Roman"/>
        </w:rPr>
        <w:t xml:space="preserve"> </w:t>
      </w:r>
    </w:p>
    <w:p w:rsidR="00FB0B24" w:rsidRPr="005B5CB6" w:rsidP="006F32A5">
      <w:pPr>
        <w:spacing w:after="5" w:line="250" w:lineRule="auto"/>
        <w:ind w:left="728" w:right="11" w:hanging="8"/>
        <w:jc w:val="both"/>
        <w:rPr>
          <w:rFonts w:ascii="Verdana" w:hAnsi="Verdana"/>
        </w:rPr>
      </w:pPr>
      <w:r w:rsidRPr="005B5CB6">
        <w:rPr>
          <w:rFonts w:ascii="Verdana" w:eastAsia="Verdana" w:hAnsi="Verdana" w:cs="Verdana"/>
        </w:rPr>
        <w:t xml:space="preserve">online harms to wait for the DSA but in a  trade deal context where the ability to act or not has to be weighed against other interests.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pStyle w:val="Heading2"/>
        <w:rPr>
          <w:sz w:val="22"/>
        </w:rPr>
      </w:pPr>
      <w:r w:rsidRPr="005B5CB6">
        <w:rPr>
          <w:b w:val="0"/>
          <w:sz w:val="22"/>
        </w:rPr>
        <w:t xml:space="preserve">Republic of Ireland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720" w:right="11" w:hanging="360"/>
        <w:jc w:val="both"/>
        <w:rPr>
          <w:rFonts w:ascii="Verdana" w:hAnsi="Verdana"/>
        </w:rPr>
      </w:pPr>
      <w:r w:rsidRPr="005B5CB6">
        <w:rPr>
          <w:rFonts w:ascii="Verdana" w:eastAsia="Verdana" w:hAnsi="Verdana" w:cs="Verdana"/>
        </w:rPr>
        <w:t>19.We commend to the Committee the work underway in the Republic of Ireland to reduce harm to children and others from online media and to implement the Audio-Visual Media Services Directive</w:t>
      </w:r>
      <w:r>
        <w:rPr>
          <w:rFonts w:ascii="Verdana" w:eastAsia="Verdana" w:hAnsi="Verdana" w:cs="Verdana"/>
          <w:vertAlign w:val="superscript"/>
        </w:rPr>
        <w:footnoteReference w:id="475"/>
      </w:r>
      <w:r w:rsidRPr="005B5CB6">
        <w:rPr>
          <w:rFonts w:ascii="Verdana" w:eastAsia="Verdana" w:hAnsi="Verdana" w:cs="Verdana"/>
        </w:rPr>
        <w:t>. Under the country of origin principle in broadcasting regulation, the Irish rules will govern YouTube and Facebook video in Europe. Where the Committee makes recommendations with regard to video online and aspects of video services, the Irish work will have a bearing. The Irish government’s proposals are due for publication in December/January. The Irish government also recently announced plans to bring in a new law to regulate online political advertising during elections.</w:t>
      </w:r>
      <w:r>
        <w:rPr>
          <w:rFonts w:ascii="Verdana" w:eastAsia="Verdana" w:hAnsi="Verdana" w:cs="Verdana"/>
          <w:vertAlign w:val="superscript"/>
        </w:rPr>
        <w:footnoteReference w:id="476"/>
      </w: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11" w:hanging="10"/>
        <w:jc w:val="both"/>
        <w:rPr>
          <w:rFonts w:ascii="Verdana" w:hAnsi="Verdana"/>
        </w:rPr>
      </w:pPr>
      <w:r w:rsidRPr="005B5CB6">
        <w:rPr>
          <w:rFonts w:ascii="Verdana" w:eastAsia="Verdana" w:hAnsi="Verdana" w:cs="Verdana"/>
          <w:b/>
        </w:rPr>
        <w:t xml:space="preserve">Carnegie UK Trust </w:t>
      </w:r>
    </w:p>
    <w:p w:rsidR="00FB0B24" w:rsidRPr="005B5CB6" w:rsidP="00CF6BAD">
      <w:pPr>
        <w:spacing w:after="5" w:line="250" w:lineRule="auto"/>
        <w:ind w:left="11" w:hanging="10"/>
        <w:jc w:val="both"/>
        <w:rPr>
          <w:rFonts w:ascii="Verdana" w:hAnsi="Verdana"/>
        </w:rPr>
      </w:pPr>
      <w:r w:rsidRPr="005B5CB6">
        <w:rPr>
          <w:rFonts w:ascii="Verdana" w:eastAsia="Verdana" w:hAnsi="Verdana" w:cs="Verdana"/>
          <w:b/>
        </w:rPr>
        <w:t xml:space="preserve">December 2019 </w:t>
      </w:r>
    </w:p>
    <w:p w:rsidR="00FB0B24" w:rsidRPr="005B5CB6" w:rsidP="00CF6BAD">
      <w:pPr>
        <w:spacing w:after="0"/>
        <w:ind w:left="1"/>
        <w:jc w:val="both"/>
        <w:rPr>
          <w:rFonts w:ascii="Verdana" w:hAnsi="Verdana"/>
        </w:rPr>
      </w:pPr>
      <w:r w:rsidRPr="005B5CB6">
        <w:rPr>
          <w:rFonts w:ascii="Verdana" w:eastAsia="Verdana" w:hAnsi="Verdana" w:cs="Verdana"/>
        </w:rPr>
        <w:t xml:space="preserve"> </w:t>
      </w:r>
    </w:p>
    <w:p w:rsidR="00FB0B24" w:rsidRPr="005B5CB6" w:rsidP="00CF6BAD">
      <w:pPr>
        <w:spacing w:after="6797"/>
        <w:ind w:left="1"/>
        <w:jc w:val="both"/>
        <w:rPr>
          <w:rFonts w:ascii="Verdana" w:hAnsi="Verdana"/>
        </w:rPr>
        <w:sectPr w:rsidSect="006562C6">
          <w:headerReference w:type="even" r:id="rId473"/>
          <w:headerReference w:type="default" r:id="rId474"/>
          <w:footerReference w:type="even" r:id="rId475"/>
          <w:footerReference w:type="default" r:id="rId476"/>
          <w:headerReference w:type="first" r:id="rId477"/>
          <w:footerReference w:type="first" r:id="rId478"/>
          <w:pgSz w:w="11894" w:h="16834"/>
          <w:pgMar w:top="49" w:right="1380" w:bottom="1439" w:left="1440" w:header="720" w:footer="994" w:gutter="0"/>
          <w:cols w:space="720"/>
        </w:sectPr>
      </w:pPr>
    </w:p>
    <w:p w:rsidR="00FB0B24" w:rsidRPr="005B5CB6" w:rsidP="00A1624B">
      <w:pPr>
        <w:pStyle w:val="Heading1"/>
        <w:rPr>
          <w:sz w:val="22"/>
        </w:rPr>
      </w:pPr>
      <w:bookmarkStart w:id="76" w:name="_Toc44517764"/>
      <w:r w:rsidRPr="005B5CB6">
        <w:rPr>
          <w:sz w:val="22"/>
        </w:rPr>
        <w:t>Advertising Standards Authority supplementary written evidence – DAD0088</w:t>
      </w:r>
      <w:bookmarkEnd w:id="76"/>
      <w:r w:rsidRPr="005B5CB6">
        <w:rPr>
          <w:sz w:val="22"/>
        </w:rPr>
        <w:t xml:space="preserve"> </w:t>
      </w:r>
    </w:p>
    <w:p w:rsidR="00FB0B24" w:rsidRPr="005B5CB6" w:rsidP="00CF6BAD">
      <w:pPr>
        <w:spacing w:after="0"/>
        <w:ind w:left="89"/>
        <w:jc w:val="both"/>
        <w:rPr>
          <w:rFonts w:ascii="Verdana" w:hAnsi="Verdana"/>
        </w:rPr>
      </w:pPr>
      <w:r w:rsidRPr="005B5CB6">
        <w:rPr>
          <w:rFonts w:ascii="Verdana" w:eastAsia="Verdana" w:hAnsi="Verdana" w:cs="Verdana"/>
          <w:b/>
        </w:rPr>
        <w:t xml:space="preserve"> </w:t>
      </w:r>
    </w:p>
    <w:p w:rsidR="00FB0B24" w:rsidRPr="005B5CB6" w:rsidP="00CF6BAD">
      <w:pPr>
        <w:spacing w:after="0"/>
        <w:jc w:val="both"/>
        <w:rPr>
          <w:rFonts w:ascii="Verdana" w:hAnsi="Verdana"/>
        </w:rPr>
      </w:pPr>
      <w:r w:rsidRPr="005B5CB6">
        <w:rPr>
          <w:rFonts w:ascii="Verdana" w:eastAsia="Verdana" w:hAnsi="Verdana" w:cs="Verdana"/>
          <w:b/>
        </w:rPr>
        <w:t xml:space="preserve"> </w:t>
      </w:r>
    </w:p>
    <w:p w:rsidR="00FB0B24" w:rsidRPr="005B5CB6" w:rsidP="00CF6BAD">
      <w:pPr>
        <w:shd w:val="clear" w:color="auto" w:fill="D9D9D9"/>
        <w:spacing w:after="5" w:line="249" w:lineRule="auto"/>
        <w:ind w:left="355" w:hanging="370"/>
        <w:jc w:val="both"/>
        <w:rPr>
          <w:rFonts w:ascii="Verdana" w:hAnsi="Verdana"/>
        </w:rPr>
      </w:pPr>
      <w:r w:rsidRPr="005B5CB6">
        <w:rPr>
          <w:rFonts w:ascii="Verdana" w:eastAsia="Verdana" w:hAnsi="Verdana" w:cs="Verdana"/>
          <w:b/>
        </w:rPr>
        <w:t>1)</w:t>
      </w:r>
      <w:r w:rsidRPr="005B5CB6">
        <w:rPr>
          <w:rFonts w:ascii="Verdana" w:eastAsia="Arial" w:hAnsi="Verdana" w:cs="Arial"/>
          <w:b/>
        </w:rPr>
        <w:t xml:space="preserve"> </w:t>
      </w:r>
      <w:r w:rsidRPr="005B5CB6">
        <w:rPr>
          <w:rFonts w:ascii="Verdana" w:eastAsia="Verdana" w:hAnsi="Verdana" w:cs="Verdana"/>
          <w:b/>
        </w:rPr>
        <w:t xml:space="preserve">How do you distinguish between native online content (from either branded social media accounts, employees of the brands or others sharing content created by a brand) and paid advertising content?  Do you believe that this distinction could be helpful in helping the Government define election imprints for online material?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The Advertising Code applies both to companies’ own advertising claims on their own websites, social media spaces, apps and advergames and to their paid ads.  In the former case, the content has to be controlled by the company (rather than, for example, be user generated content over which they have no control) and it has to be connected with the supply of goods and services or soliciting donations to a charity.  Depending on specific circumstances, employee-posted content could fall under the Code. </w:t>
      </w:r>
    </w:p>
    <w:p w:rsidR="00FB0B24" w:rsidRPr="005B5CB6" w:rsidP="00CF6BAD">
      <w:pPr>
        <w:spacing w:after="0"/>
        <w:ind w:left="36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This is one of the strengths of the ASA system: we’re regulating content that the public justifiably regards as advertising, even if it’s not appearing in paid for space. </w:t>
      </w:r>
    </w:p>
    <w:p w:rsidR="00FB0B24" w:rsidRPr="005B5CB6" w:rsidP="00CF6BAD">
      <w:pPr>
        <w:spacing w:after="0"/>
        <w:ind w:left="36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It is perhaps worth clarifying that the term “native advertising” is commonly used in the advertising industry to refer to content paid for and controlled by brands, but which borrows the look of non-advertising content, for example editorial content.  As with influencer advertising, it is imperative that such content is obviously identifiable as advertising, which typically means it must be clearly labelled advertising. </w:t>
      </w:r>
    </w:p>
    <w:p w:rsidR="00FB0B24" w:rsidRPr="005B5CB6" w:rsidP="00CF6BAD">
      <w:pPr>
        <w:spacing w:after="0"/>
        <w:ind w:left="36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We would be very happy to talk to the Government about our approach if that would help it to define election imprints for electronic material.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hd w:val="clear" w:color="auto" w:fill="D9D9D9"/>
        <w:spacing w:after="5" w:line="249" w:lineRule="auto"/>
        <w:ind w:left="355" w:hanging="370"/>
        <w:jc w:val="both"/>
        <w:rPr>
          <w:rFonts w:ascii="Verdana" w:hAnsi="Verdana"/>
        </w:rPr>
      </w:pPr>
      <w:r w:rsidRPr="005B5CB6">
        <w:rPr>
          <w:rFonts w:ascii="Verdana" w:eastAsia="Verdana" w:hAnsi="Verdana" w:cs="Verdana"/>
          <w:b/>
        </w:rPr>
        <w:t>2)</w:t>
      </w:r>
      <w:r w:rsidRPr="005B5CB6">
        <w:rPr>
          <w:rFonts w:ascii="Verdana" w:eastAsia="Arial" w:hAnsi="Verdana" w:cs="Arial"/>
          <w:b/>
        </w:rPr>
        <w:t xml:space="preserve"> </w:t>
      </w:r>
      <w:r w:rsidRPr="005B5CB6">
        <w:rPr>
          <w:rFonts w:ascii="Verdana" w:eastAsia="Verdana" w:hAnsi="Verdana" w:cs="Verdana"/>
          <w:b/>
        </w:rPr>
        <w:t xml:space="preserve">How much influence are publishers able to exert in shaping the content on their platforms?  How common is it for a publisher to refuse to publish an advertisement?  How do social media platforms differ in this regard?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Publishers and social media platforms typically have terms of service and other policies that shape and control what can be published/posted online, including in ads.  Publishers and platforms are obviously best placed to tell the Committee about their own terms/policies.   </w:t>
      </w:r>
    </w:p>
    <w:p w:rsidR="00FB0B24" w:rsidRPr="005B5CB6" w:rsidP="00CF6BAD">
      <w:pPr>
        <w:spacing w:after="0"/>
        <w:jc w:val="both"/>
        <w:rPr>
          <w:rFonts w:ascii="Verdana" w:hAnsi="Verdana"/>
        </w:rPr>
      </w:pPr>
      <w:r w:rsidRPr="005B5CB6">
        <w:rPr>
          <w:rFonts w:ascii="Verdana" w:eastAsia="Verdana" w:hAnsi="Verdana" w:cs="Verdana"/>
          <w:b/>
          <w:color w:val="FF0000"/>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Online publishers that use platforms like Google’s AdSense to serve ads to their readers are able to select various options to exercise some control over the ads that appear on their sites, e.g. blocking specific ads, blocking specific advertisers, block sensitive categories (e.g. weight loss ads), etc.  Again, they are best placed to provide more information.  </w:t>
      </w:r>
    </w:p>
    <w:p w:rsidR="00FB0B24" w:rsidRPr="005B5CB6" w:rsidP="00CF6BAD">
      <w:pPr>
        <w:spacing w:after="0"/>
        <w:ind w:left="361"/>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9" w:right="11" w:hanging="8"/>
        <w:jc w:val="both"/>
        <w:rPr>
          <w:rFonts w:ascii="Verdana" w:hAnsi="Verdana"/>
        </w:rPr>
      </w:pPr>
      <w:r w:rsidRPr="005B5CB6">
        <w:rPr>
          <w:rFonts w:ascii="Verdana" w:eastAsia="Verdana" w:hAnsi="Verdana" w:cs="Verdana"/>
        </w:rPr>
        <w:t xml:space="preserve">Publishers will be able to advise the Committee on how often they refuse ads. </w:t>
      </w:r>
    </w:p>
    <w:p w:rsidR="00FB0B24" w:rsidRPr="005B5CB6" w:rsidP="00CF6BAD">
      <w:pPr>
        <w:spacing w:after="0"/>
        <w:ind w:left="361"/>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Platforms’ ad policies sometimes reflect their stance on public policy issues.  For example, Google bans pay day loan ads and Instagram recently announced they would restrict people under the age of 18 from seeing posts that promote weight loss products or types of cosmetic surgery.</w:t>
      </w:r>
      <w:r w:rsidRPr="005B5CB6">
        <w:rPr>
          <w:rFonts w:ascii="Verdana" w:eastAsia="Verdana" w:hAnsi="Verdana" w:cs="Verdana"/>
          <w:b/>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hd w:val="clear" w:color="auto" w:fill="D9D9D9"/>
        <w:spacing w:after="5" w:line="249" w:lineRule="auto"/>
        <w:ind w:left="355" w:hanging="370"/>
        <w:jc w:val="both"/>
        <w:rPr>
          <w:rFonts w:ascii="Verdana" w:hAnsi="Verdana"/>
        </w:rPr>
      </w:pPr>
      <w:r w:rsidRPr="005B5CB6">
        <w:rPr>
          <w:rFonts w:ascii="Verdana" w:eastAsia="Verdana" w:hAnsi="Verdana" w:cs="Verdana"/>
          <w:b/>
        </w:rPr>
        <w:t>3)</w:t>
      </w:r>
      <w:r w:rsidRPr="005B5CB6">
        <w:rPr>
          <w:rFonts w:ascii="Verdana" w:eastAsia="Arial" w:hAnsi="Verdana" w:cs="Arial"/>
          <w:b/>
        </w:rPr>
        <w:t xml:space="preserve"> </w:t>
      </w:r>
      <w:r w:rsidRPr="005B5CB6">
        <w:rPr>
          <w:rFonts w:ascii="Verdana" w:eastAsia="Verdana" w:hAnsi="Verdana" w:cs="Verdana"/>
          <w:b/>
        </w:rPr>
        <w:t xml:space="preserve">What do you think that a new ‘Online Harms’ regulator could learn from the ASA's experience of collective regulation?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The ASA system is strengthened by industry expertise, for example in writing principle-based rules that respond to technological and societal change but stand the test of time, and industry buy-in and support, including helping to enforce the Advertising Codes through denial of space/airtime and other industry sanctions.   </w:t>
      </w:r>
    </w:p>
    <w:p w:rsidR="00FB0B24" w:rsidRPr="005B5CB6" w:rsidP="00CF6BAD">
      <w:pPr>
        <w:spacing w:after="0"/>
        <w:ind w:left="36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Local councils benefit from the ASA’s regulation of unfair commercial practices in ads, which would otherwise fall to Trading Standards, which would be unlikely to have the resources to take it on, risking a regulatory vacuum and consequent absence of consumer protection.  That would obviously be bad for people, but it would also be bad for responsible businesses, who might be dragged into a ‘race to the bottom’, harming people’s trust in advertising. </w:t>
      </w:r>
    </w:p>
    <w:p w:rsidR="00FB0B24" w:rsidRPr="005B5CB6" w:rsidP="00CF6BAD">
      <w:pPr>
        <w:spacing w:after="0"/>
        <w:ind w:left="36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And, of course, taxpayers benefit from industry funding the ASA system, primarily through the arms-length levy on display advertising. </w:t>
      </w:r>
    </w:p>
    <w:p w:rsidR="00FB0B24" w:rsidRPr="005B5CB6" w:rsidP="00CF6BAD">
      <w:pPr>
        <w:spacing w:after="0"/>
        <w:ind w:left="361"/>
        <w:jc w:val="both"/>
        <w:rPr>
          <w:rFonts w:ascii="Verdana" w:hAnsi="Verdana"/>
        </w:rPr>
      </w:pPr>
      <w:r w:rsidRPr="005B5CB6">
        <w:rPr>
          <w:rFonts w:ascii="Verdana" w:eastAsia="Verdana" w:hAnsi="Verdana" w:cs="Verdana"/>
          <w:b/>
          <w:color w:val="FF0000"/>
        </w:rPr>
        <w:t xml:space="preserve"> </w:t>
      </w:r>
    </w:p>
    <w:p w:rsidR="00FB0B24" w:rsidRPr="005B5CB6" w:rsidP="00CF6BAD">
      <w:pPr>
        <w:spacing w:after="5" w:line="250" w:lineRule="auto"/>
        <w:ind w:left="369" w:right="11" w:hanging="8"/>
        <w:jc w:val="both"/>
        <w:rPr>
          <w:rFonts w:ascii="Verdana" w:hAnsi="Verdana"/>
        </w:rPr>
      </w:pPr>
      <w:r w:rsidRPr="005B5CB6">
        <w:rPr>
          <w:rFonts w:ascii="Verdana" w:eastAsia="Verdana" w:hAnsi="Verdana" w:cs="Verdana"/>
        </w:rPr>
        <w:t xml:space="preserve">Our collective regulatory approach allows us to secure compliance ourselves in the overwhelming majority of cases, but with legal backstops in place for the rare occasions when companies refuse to comply with us.  Legal backstops include Trading Standards (who can arrange for the takedown of websites and bring prosecutions), Ofcom (who can issue fines and revoke broadcast licenses) and a range of other statutory regulators from the Information Commissioner’s Office to the Gambling Commission, depending on the nature of the non-compliant ad.  </w:t>
      </w:r>
    </w:p>
    <w:p w:rsidR="00FB0B24" w:rsidRPr="005B5CB6" w:rsidP="00CF6BAD">
      <w:pPr>
        <w:spacing w:after="0"/>
        <w:ind w:left="721"/>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However, we are able to secure compliance in over 98% of cases where a breach of the Advertising Codes is identified, i.e. </w:t>
      </w:r>
      <w:r w:rsidRPr="005B5CB6">
        <w:rPr>
          <w:rFonts w:ascii="Verdana" w:eastAsia="Verdana" w:hAnsi="Verdana" w:cs="Verdana"/>
          <w:u w:val="single" w:color="000000"/>
        </w:rPr>
        <w:t>without</w:t>
      </w:r>
      <w:r w:rsidRPr="005B5CB6">
        <w:rPr>
          <w:rFonts w:ascii="Verdana" w:eastAsia="Verdana" w:hAnsi="Verdana" w:cs="Verdana"/>
        </w:rPr>
        <w:t xml:space="preserve"> having to refer an advertiser to a legal backstop.  Referrals are rare because UK media and platforms agree to act as gatekeepers for the ASA.  If we spot a bad ad on YouTube, Instagram, a TV channel, in cinemas, on outdoor media or in print media, those organisations and platforms work with us to remove the offending ad quickly. </w:t>
      </w:r>
    </w:p>
    <w:p w:rsidR="00FB0B24" w:rsidRPr="005B5CB6" w:rsidP="00CF6BAD">
      <w:pPr>
        <w:spacing w:after="0"/>
        <w:ind w:left="36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Between 2014-2018, we resolved around 71,000 complaint cases and 64,000 own-initiative cases involving allegedly misleading advertising.  Of those, around 30,000 resulted in us taking follow-up compliance action of some sort, including threatening referral to the appropriate legal backstop.  That compliance action was overwhelmingly successful, resulting in us referring only 68 companies, all to Trading Standards, in those five years.  Almost all of those referrals involved companies making claims on their own websites,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i.e. there were no media/platform gatekeepers.  So on average only 14 cases were referred each year, with obvious big savings for Trading Standards and the taxpayer. </w:t>
      </w:r>
    </w:p>
    <w:p w:rsidR="00FB0B24" w:rsidRPr="005B5CB6" w:rsidP="00CF6BAD">
      <w:pPr>
        <w:spacing w:after="0"/>
        <w:ind w:left="360"/>
        <w:jc w:val="both"/>
        <w:rPr>
          <w:rFonts w:ascii="Verdana" w:hAnsi="Verdana"/>
        </w:rPr>
      </w:pPr>
      <w:r w:rsidRPr="005B5CB6">
        <w:rPr>
          <w:rFonts w:ascii="Verdana" w:eastAsia="Verdana" w:hAnsi="Verdana" w:cs="Verdana"/>
          <w:b/>
          <w:color w:val="FF0000"/>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We have had extensive discussions with DCMS officials about their ‘Online Harms’ work.  We would like any new regulator to complement and strengthen the ASA’s collective regulation rather than duplicating or undermining it.  We would want it to have regard to the ASA if it identified harm arising from the content or placement of online ads that fall under the Advertising Code.  In all but exceptional circumstances, we believe the ASA should undertake the role, as it currently does, of addressing any such identified harm in the first instance.   </w:t>
      </w:r>
    </w:p>
    <w:p w:rsidR="00FB0B24" w:rsidRPr="005B5CB6" w:rsidP="00CF6BAD">
      <w:pPr>
        <w:spacing w:after="0"/>
        <w:ind w:left="36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The ASA has bespoke agreements with other regulators, enforcement agencies and Government departments, which ensure there is an appropriate level of understanding and respect for each other’s duties and responsibilities, and that we do everything we can to maximise protecting people while avoiding unjustified expense or double jeopardy for regulated parties.  We would, of course, want to work with the new regulator in the same fashion. </w:t>
      </w:r>
    </w:p>
    <w:p w:rsidR="00FB0B24" w:rsidRPr="005B5CB6" w:rsidP="00CF6BAD">
      <w:pPr>
        <w:spacing w:after="0"/>
        <w:ind w:left="36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Finally, we would like the Government explicitly to support our work under our five year strategy to have </w:t>
      </w:r>
      <w:r w:rsidRPr="005B5CB6">
        <w:rPr>
          <w:rFonts w:ascii="Verdana" w:eastAsia="Verdana" w:hAnsi="Verdana" w:cs="Verdana"/>
          <w:u w:val="single" w:color="000000"/>
        </w:rPr>
        <w:t>more impact online</w:t>
      </w:r>
      <w:r w:rsidRPr="005B5CB6">
        <w:rPr>
          <w:rFonts w:ascii="Verdana" w:eastAsia="Verdana" w:hAnsi="Verdana" w:cs="Verdana"/>
        </w:rPr>
        <w:t xml:space="preserve">.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hd w:val="clear" w:color="auto" w:fill="D9D9D9"/>
        <w:spacing w:after="5" w:line="249" w:lineRule="auto"/>
        <w:ind w:left="355" w:hanging="370"/>
        <w:jc w:val="both"/>
        <w:rPr>
          <w:rFonts w:ascii="Verdana" w:hAnsi="Verdana"/>
        </w:rPr>
      </w:pPr>
      <w:r w:rsidRPr="005B5CB6">
        <w:rPr>
          <w:rFonts w:ascii="Verdana" w:eastAsia="Verdana" w:hAnsi="Verdana" w:cs="Verdana"/>
          <w:b/>
        </w:rPr>
        <w:t>4)</w:t>
      </w:r>
      <w:r w:rsidRPr="005B5CB6">
        <w:rPr>
          <w:rFonts w:ascii="Verdana" w:eastAsia="Arial" w:hAnsi="Verdana" w:cs="Arial"/>
          <w:b/>
        </w:rPr>
        <w:t xml:space="preserve"> </w:t>
      </w:r>
      <w:r w:rsidRPr="005B5CB6">
        <w:rPr>
          <w:rFonts w:ascii="Verdana" w:eastAsia="Verdana" w:hAnsi="Verdana" w:cs="Verdana"/>
          <w:b/>
        </w:rPr>
        <w:t xml:space="preserve">Given that the ASA use EU instruments, could they indicate the risks and benefits of leaving the EU in relation to UK adherence or the regulatory frameworks of the EU?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As the Committee says, the CAP and BCAP Codes include many rules that reflect significant pieces of EU law or UK law implementing EU law.  </w:t>
      </w:r>
    </w:p>
    <w:p w:rsidR="00FB0B24" w:rsidRPr="005B5CB6" w:rsidP="00CF6BAD">
      <w:pPr>
        <w:spacing w:after="0"/>
        <w:ind w:left="36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It is difficult at this point in time, when it is not fully confirmed what kind of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Brexit we will have, to foresee how the UK leaving the EU will impact the ASA’s work and the wider ASA system.  CAP and BCAP have advised advertisers that all rules in force on the day before exit day will continue to remain in force on and after exit day, and that they must comply with all rules in the CAP and BCAP Codes unless CAP and BCAP make a statement that says otherwise.  </w:t>
      </w:r>
    </w:p>
    <w:p w:rsidR="00FB0B24" w:rsidRPr="005B5CB6" w:rsidP="00CF6BAD">
      <w:pPr>
        <w:spacing w:after="0"/>
        <w:ind w:left="36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CAP and BCAP will continue to consider any changes that might be necessary to the Codes as they receive further information from Government about the implications of Brexit, and will make any appropriate changes as soon as they are in a position to do so.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hd w:val="clear" w:color="auto" w:fill="D9D9D9"/>
        <w:spacing w:after="5" w:line="249" w:lineRule="auto"/>
        <w:ind w:left="355" w:hanging="370"/>
        <w:jc w:val="both"/>
        <w:rPr>
          <w:rFonts w:ascii="Verdana" w:hAnsi="Verdana"/>
        </w:rPr>
      </w:pPr>
      <w:r w:rsidRPr="005B5CB6">
        <w:rPr>
          <w:rFonts w:ascii="Verdana" w:eastAsia="Verdana" w:hAnsi="Verdana" w:cs="Verdana"/>
          <w:b/>
        </w:rPr>
        <w:t>5)</w:t>
      </w:r>
      <w:r w:rsidRPr="005B5CB6">
        <w:rPr>
          <w:rFonts w:ascii="Verdana" w:eastAsia="Arial" w:hAnsi="Verdana" w:cs="Arial"/>
          <w:b/>
        </w:rPr>
        <w:t xml:space="preserve"> </w:t>
      </w:r>
      <w:r w:rsidRPr="005B5CB6">
        <w:rPr>
          <w:rFonts w:ascii="Verdana" w:eastAsia="Verdana" w:hAnsi="Verdana" w:cs="Verdana"/>
          <w:b/>
        </w:rPr>
        <w:t xml:space="preserve">Is paying a ‘social media influencer’ to promote your product (or political policy) an advert or native online content?  Similarly, is using your workforce (or party membership) to promote your business (or party) an advert or native online content? </w:t>
      </w:r>
    </w:p>
    <w:p w:rsidR="00FB0B24" w:rsidRPr="005B5CB6" w:rsidP="00CF6BAD">
      <w:pPr>
        <w:spacing w:after="0"/>
        <w:jc w:val="both"/>
        <w:rPr>
          <w:rFonts w:ascii="Verdana" w:hAnsi="Verdana"/>
        </w:rPr>
      </w:pPr>
      <w:r w:rsidRPr="005B5CB6">
        <w:rPr>
          <w:rFonts w:ascii="Verdana" w:eastAsia="Verdana" w:hAnsi="Verdana" w:cs="Verdana"/>
        </w:rPr>
        <w:t xml:space="preserve">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If a brand pays a social influencer to promote its product, the resultant post/tweet is an ad under our Advertising Code, so long as the brand controls </w:t>
      </w:r>
      <w:r w:rsidRPr="005B5CB6">
        <w:rPr>
          <w:rFonts w:ascii="Verdana" w:eastAsia="Verdana" w:hAnsi="Verdana" w:cs="Verdana"/>
        </w:rPr>
        <w:t xml:space="preserve">the content that the influencer posts/tweets.  The ASA has typically interpreted “control” broadly; invariably, the content will be created by the influencer, but if the brand has signed-off the key message(s), that will be enough to represent “control”.  Notwithstanding that, political advertising </w:t>
      </w:r>
    </w:p>
    <w:p w:rsidR="00FB0B24" w:rsidRPr="005B5CB6" w:rsidP="00CF6BAD">
      <w:pPr>
        <w:spacing w:after="5" w:line="250" w:lineRule="auto"/>
        <w:ind w:left="368" w:right="11" w:hanging="8"/>
        <w:jc w:val="both"/>
        <w:rPr>
          <w:rFonts w:ascii="Verdana" w:hAnsi="Verdana"/>
        </w:rPr>
      </w:pPr>
      <w:r w:rsidRPr="005B5CB6">
        <w:rPr>
          <w:rFonts w:ascii="Verdana" w:eastAsia="Verdana" w:hAnsi="Verdana" w:cs="Verdana"/>
        </w:rPr>
        <w:t xml:space="preserve">falls outside of our Code, so while a political party paying an influencer to promote a political message is clearly an ad, it would not fall under our Code.  Depending on specific circumstances, employee-posted content could fall under the Code (though not if it constituted political advertising).  (Please note: as stated above, the advertising industry typically uses the term “native” to refer to content paid for and controlled by brands, but which borrows the look of non-advertising content, for example editorial content.)   </w:t>
      </w:r>
    </w:p>
    <w:p w:rsidR="00FB0B24" w:rsidRPr="005B5CB6" w:rsidP="00CF6BAD">
      <w:pPr>
        <w:jc w:val="both"/>
        <w:rPr>
          <w:rFonts w:ascii="Verdana" w:hAnsi="Verdana"/>
        </w:rPr>
        <w:sectPr w:rsidSect="005373DA">
          <w:headerReference w:type="even" r:id="rId479"/>
          <w:headerReference w:type="default" r:id="rId480"/>
          <w:footerReference w:type="even" r:id="rId481"/>
          <w:footerReference w:type="default" r:id="rId482"/>
          <w:headerReference w:type="first" r:id="rId483"/>
          <w:footerReference w:type="first" r:id="rId484"/>
          <w:pgSz w:w="11906" w:h="16838"/>
          <w:pgMar w:top="1492" w:right="1456" w:bottom="1494" w:left="1440" w:header="720" w:footer="708" w:gutter="0"/>
          <w:cols w:space="720"/>
        </w:sectPr>
      </w:pPr>
    </w:p>
    <w:p w:rsidR="00FB0B24" w:rsidRPr="005B5CB6" w:rsidP="00A1624B">
      <w:pPr>
        <w:pStyle w:val="Heading1"/>
        <w:rPr>
          <w:sz w:val="22"/>
        </w:rPr>
      </w:pPr>
      <w:bookmarkStart w:id="77" w:name="_Toc44517765"/>
      <w:r w:rsidRPr="005B5CB6">
        <w:rPr>
          <w:sz w:val="22"/>
        </w:rPr>
        <w:t>ITV plc, Channel 4, Sky and ViacomCBS - written evidence (DAD0090)</w:t>
      </w:r>
      <w:bookmarkEnd w:id="77"/>
      <w:r w:rsidRPr="005B5CB6">
        <w:rPr>
          <w:sz w:val="22"/>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We have been watching with interest the hearings that the Select Committee on Democracy and Digital has been carrying out in recent months, most recently taking evidence from the ASA. In this context we thought it might help to share our attached position paper on the need for statutory backed regulation for advertising on online platforms. </w:t>
      </w:r>
    </w:p>
    <w:p w:rsidR="00FB0B24" w:rsidRPr="005B5CB6" w:rsidP="006F32A5">
      <w:pPr>
        <w:spacing w:after="96"/>
        <w:jc w:val="both"/>
        <w:rPr>
          <w:rFonts w:ascii="Verdana" w:hAnsi="Verdana"/>
        </w:rPr>
      </w:pPr>
      <w:r w:rsidRPr="005B5CB6">
        <w:rPr>
          <w:rFonts w:ascii="Verdana" w:eastAsia="Verdana" w:hAnsi="Verdana" w:cs="Verdana"/>
        </w:rPr>
        <w:t xml:space="preserve"> </w:t>
      </w:r>
    </w:p>
    <w:p w:rsidR="00FB0B24" w:rsidRPr="005B5CB6" w:rsidP="006F32A5">
      <w:pPr>
        <w:spacing w:after="230" w:line="249" w:lineRule="auto"/>
        <w:ind w:left="10" w:right="12" w:hanging="9"/>
        <w:jc w:val="both"/>
        <w:rPr>
          <w:rFonts w:ascii="Verdana" w:hAnsi="Verdana"/>
        </w:rPr>
      </w:pPr>
      <w:r w:rsidRPr="005B5CB6">
        <w:rPr>
          <w:rFonts w:ascii="Verdana" w:eastAsia="Verdana" w:hAnsi="Verdana" w:cs="Verdana"/>
        </w:rPr>
        <w:t xml:space="preserve">The issues around the regulation of online platforms clearly deserve deep and careful examination. This is critical given the scale of the content online and the impact this has on our society and democracy, and particularly true for younger generations who spend more time viewing content online than on broadcast television. In our minds, there is no question that legislation is required to ensure the platforms take far greater responsibility for the content on their platforms than they do currently. </w:t>
      </w:r>
    </w:p>
    <w:p w:rsidR="00FB0B24" w:rsidRPr="005B5CB6" w:rsidP="006F32A5">
      <w:pPr>
        <w:spacing w:after="232" w:line="249" w:lineRule="auto"/>
        <w:ind w:left="10" w:right="12" w:hanging="9"/>
        <w:jc w:val="both"/>
        <w:rPr>
          <w:rFonts w:ascii="Verdana" w:hAnsi="Verdana"/>
        </w:rPr>
      </w:pPr>
      <w:r w:rsidRPr="005B5CB6">
        <w:rPr>
          <w:rFonts w:ascii="Verdana" w:eastAsia="Verdana" w:hAnsi="Verdana" w:cs="Verdana"/>
        </w:rPr>
        <w:t xml:space="preserve">This responsibility and scrutiny should include advertising online (including political advertising) which has had far less attention than other online content. Online platforms have control over the advertising content that they surface and have sales teams that are interacting directly with the advertisers and their agents, selling advertising at scale and hosting it/offering it to their users on their proprietary platforms.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The ASA deserves credit for the way in which it has worked proactively to bring some regulation to the online advertising space through the introduction of selfregulation in the form of the CAP code.  But this regulation stops short of applying directly to global online platforms –</w:t>
      </w:r>
      <w:r w:rsidRPr="005B5CB6">
        <w:rPr>
          <w:rFonts w:ascii="Verdana" w:eastAsia="Verdana" w:hAnsi="Verdana" w:cs="Verdana"/>
          <w:i/>
        </w:rPr>
        <w:t xml:space="preserve"> </w:t>
      </w:r>
      <w:r w:rsidRPr="005B5CB6">
        <w:rPr>
          <w:rFonts w:ascii="Verdana" w:eastAsia="Verdana" w:hAnsi="Verdana" w:cs="Verdana"/>
        </w:rPr>
        <w:t xml:space="preserve">it essentially puts the compliance obligation onto the advertiser rather than the platform.   By contrast, broadcasters are absolutely responsible for the compliance of the adverts that they carry.  There needs to be substantial statutory intervention to ensure that these players take responsibility for the advertising they carry and hence to enable the ASA to most effectively police those platforms, raising standards further through a regime similar to that for TV.  Such an approach will also help to ensure the continuation of fair and effective competition between TV and global online platforms as they increasingly compete for the same revenues.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23" w:right="11" w:hanging="8"/>
        <w:jc w:val="both"/>
        <w:rPr>
          <w:rFonts w:ascii="Verdana" w:hAnsi="Verdana"/>
        </w:rPr>
      </w:pPr>
      <w:r w:rsidRPr="005B5CB6">
        <w:rPr>
          <w:rFonts w:ascii="Verdana" w:eastAsia="Verdana" w:hAnsi="Verdana" w:cs="Verdana"/>
        </w:rPr>
        <w:t xml:space="preserve">We would be delighted to come in and talk though in more detail, if that would be helpful. </w:t>
      </w:r>
    </w:p>
    <w:p w:rsidR="00FB0B24" w:rsidRPr="005B5CB6" w:rsidP="006F32A5">
      <w:pPr>
        <w:spacing w:after="2" w:line="238" w:lineRule="auto"/>
        <w:ind w:left="1" w:right="8945"/>
        <w:jc w:val="both"/>
        <w:rPr>
          <w:rFonts w:ascii="Verdana" w:hAnsi="Verdana"/>
        </w:rPr>
      </w:pPr>
      <w:r w:rsidRPr="005B5CB6">
        <w:rPr>
          <w:rFonts w:ascii="Verdana" w:eastAsia="Verdana" w:hAnsi="Verdana" w:cs="Verdana"/>
        </w:rPr>
        <w:t xml:space="preserve"> </w:t>
      </w:r>
      <w:r w:rsidRPr="005B5CB6">
        <w:rPr>
          <w:rFonts w:ascii="Verdana" w:eastAsia="Verdana" w:hAnsi="Verdana" w:cs="Verdana"/>
          <w:b/>
        </w:rPr>
        <w:t xml:space="preserve"> </w:t>
      </w:r>
    </w:p>
    <w:p w:rsidR="00FB0B24" w:rsidRPr="005B5CB6" w:rsidP="006F32A5">
      <w:pPr>
        <w:spacing w:after="2517"/>
        <w:ind w:left="1"/>
        <w:jc w:val="both"/>
        <w:rPr>
          <w:rFonts w:ascii="Verdana" w:hAnsi="Verdana"/>
        </w:rPr>
      </w:pPr>
      <w:r w:rsidRPr="005B5CB6">
        <w:rPr>
          <w:rFonts w:ascii="Verdana" w:eastAsia="Verdana" w:hAnsi="Verdana" w:cs="Verdana"/>
        </w:rPr>
        <w:t xml:space="preserve"> </w:t>
      </w:r>
    </w:p>
    <w:p w:rsidR="00FB0B24" w:rsidRPr="005B5CB6" w:rsidP="006F32A5">
      <w:pPr>
        <w:spacing w:after="3"/>
        <w:ind w:left="10" w:right="-10" w:hanging="10"/>
        <w:jc w:val="both"/>
        <w:rPr>
          <w:rFonts w:ascii="Verdana" w:hAnsi="Verdana"/>
        </w:rPr>
      </w:pPr>
    </w:p>
    <w:p w:rsidR="00FB0B24" w:rsidRPr="005B5CB6" w:rsidP="006F32A5">
      <w:pPr>
        <w:spacing w:after="0"/>
        <w:jc w:val="both"/>
        <w:rPr>
          <w:rFonts w:ascii="Verdana" w:hAnsi="Verdana"/>
        </w:rPr>
      </w:pPr>
      <w:r w:rsidRPr="005B5CB6">
        <w:rPr>
          <w:rFonts w:ascii="Verdana" w:hAnsi="Verdana"/>
        </w:rPr>
        <w:t xml:space="preserve"> </w:t>
      </w:r>
    </w:p>
    <w:p w:rsidR="00FB0B24" w:rsidRPr="005B5CB6" w:rsidP="006F32A5">
      <w:pPr>
        <w:spacing w:after="112" w:line="250" w:lineRule="auto"/>
        <w:ind w:left="11" w:hanging="10"/>
        <w:jc w:val="both"/>
        <w:rPr>
          <w:rFonts w:ascii="Verdana" w:hAnsi="Verdana"/>
        </w:rPr>
      </w:pPr>
      <w:r w:rsidRPr="005B5CB6">
        <w:rPr>
          <w:rFonts w:ascii="Verdana" w:eastAsia="Verdana" w:hAnsi="Verdana" w:cs="Verdana"/>
          <w:b/>
        </w:rPr>
        <w:t>WHAT NEEDS TO CHANGE TO CREATE AN EFFECTIVE REGULATORY REGIME FOR REGULATING ADVERTISING ON ONLINE PLATFORMS</w:t>
      </w:r>
      <w:r w:rsidRPr="005B5CB6">
        <w:rPr>
          <w:rFonts w:ascii="Verdana" w:eastAsia="Verdana" w:hAnsi="Verdana" w:cs="Verdana"/>
        </w:rPr>
        <w:t xml:space="preserve"> </w:t>
      </w:r>
    </w:p>
    <w:p w:rsidR="00FB0B24" w:rsidRPr="005B5CB6" w:rsidP="006F32A5">
      <w:pPr>
        <w:spacing w:after="96"/>
        <w:jc w:val="both"/>
        <w:rPr>
          <w:rFonts w:ascii="Verdana" w:hAnsi="Verdana"/>
        </w:rPr>
      </w:pPr>
      <w:r w:rsidRPr="005B5CB6">
        <w:rPr>
          <w:rFonts w:ascii="Verdana" w:eastAsia="Verdana" w:hAnsi="Verdana" w:cs="Verdana"/>
          <w:b/>
        </w:rPr>
        <w:t xml:space="preserve"> </w:t>
      </w:r>
    </w:p>
    <w:p w:rsidR="00FB0B24" w:rsidRPr="005B5CB6" w:rsidP="006F32A5">
      <w:pPr>
        <w:spacing w:after="110" w:line="249" w:lineRule="auto"/>
        <w:ind w:left="10" w:right="12" w:hanging="9"/>
        <w:jc w:val="both"/>
        <w:rPr>
          <w:rFonts w:ascii="Verdana" w:hAnsi="Verdana"/>
        </w:rPr>
      </w:pPr>
      <w:r w:rsidRPr="005B5CB6">
        <w:rPr>
          <w:rFonts w:ascii="Verdana" w:eastAsia="Verdana" w:hAnsi="Verdana" w:cs="Verdana"/>
        </w:rPr>
        <w:t xml:space="preserve">The following briefing paper examines the core aspects of an effective regulatory framework for advertising and makes suggestions for how the current framework needs to change to capture online platforms. </w:t>
      </w:r>
    </w:p>
    <w:p w:rsidR="00FB0B24" w:rsidRPr="005B5CB6" w:rsidP="006F32A5">
      <w:pPr>
        <w:spacing w:after="108" w:line="250" w:lineRule="auto"/>
        <w:ind w:left="23" w:right="11" w:hanging="8"/>
        <w:jc w:val="both"/>
        <w:rPr>
          <w:rFonts w:ascii="Verdana" w:hAnsi="Verdana"/>
        </w:rPr>
      </w:pPr>
      <w:r w:rsidRPr="005B5CB6">
        <w:rPr>
          <w:rFonts w:ascii="Verdana" w:eastAsia="Verdana" w:hAnsi="Verdana" w:cs="Verdana"/>
        </w:rPr>
        <w:t xml:space="preserve">The analysis is broken out into two areas: </w:t>
      </w:r>
    </w:p>
    <w:p w:rsidR="00FB0B24" w:rsidRPr="005B5CB6" w:rsidP="00575F14">
      <w:pPr>
        <w:numPr>
          <w:ilvl w:val="0"/>
          <w:numId w:val="270"/>
        </w:numPr>
        <w:spacing w:after="5" w:line="250" w:lineRule="auto"/>
        <w:ind w:right="11" w:hanging="360"/>
        <w:jc w:val="both"/>
        <w:rPr>
          <w:rFonts w:ascii="Verdana" w:hAnsi="Verdana"/>
        </w:rPr>
      </w:pPr>
      <w:r w:rsidRPr="005B5CB6">
        <w:rPr>
          <w:rFonts w:ascii="Verdana" w:eastAsia="Verdana" w:hAnsi="Verdana" w:cs="Verdana"/>
        </w:rPr>
        <w:t xml:space="preserve">Responsibility, compliance and sanctions </w:t>
      </w:r>
    </w:p>
    <w:p w:rsidR="00FB0B24" w:rsidRPr="005B5CB6" w:rsidP="00575F14">
      <w:pPr>
        <w:numPr>
          <w:ilvl w:val="0"/>
          <w:numId w:val="270"/>
        </w:numPr>
        <w:spacing w:after="108" w:line="250" w:lineRule="auto"/>
        <w:ind w:right="11" w:hanging="360"/>
        <w:jc w:val="both"/>
        <w:rPr>
          <w:rFonts w:ascii="Verdana" w:hAnsi="Verdana"/>
        </w:rPr>
      </w:pPr>
      <w:r w:rsidRPr="005B5CB6">
        <w:rPr>
          <w:rFonts w:ascii="Verdana" w:eastAsia="Verdana" w:hAnsi="Verdana" w:cs="Verdana"/>
        </w:rPr>
        <w:t xml:space="preserve">Transparency and visibility </w:t>
      </w:r>
    </w:p>
    <w:p w:rsidR="00FB0B24" w:rsidRPr="005B5CB6" w:rsidP="006F32A5">
      <w:pPr>
        <w:spacing w:after="112" w:line="249" w:lineRule="auto"/>
        <w:ind w:left="10" w:right="12" w:hanging="9"/>
        <w:jc w:val="both"/>
        <w:rPr>
          <w:rFonts w:ascii="Verdana" w:hAnsi="Verdana"/>
        </w:rPr>
      </w:pPr>
      <w:r w:rsidRPr="005B5CB6">
        <w:rPr>
          <w:rFonts w:ascii="Verdana" w:eastAsia="Verdana" w:hAnsi="Verdana" w:cs="Verdana"/>
        </w:rPr>
        <w:t xml:space="preserve">A statutory framework is required to give effect to these requirements and to provide the necessary oversight and to create meaningful sanctions for noncompliance; however, as for the current framework for broadcast advertising, under BCAP and the ASA, a co-regulatory arrangement could deliver the balance between consumer protection, flexibility and industry expertise. </w:t>
      </w:r>
    </w:p>
    <w:p w:rsidR="00FB0B24" w:rsidRPr="005B5CB6" w:rsidP="006F32A5">
      <w:pPr>
        <w:spacing w:after="96"/>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A.</w:t>
      </w:r>
      <w:r w:rsidRPr="005B5CB6">
        <w:rPr>
          <w:rFonts w:ascii="Verdana" w:eastAsia="Arial" w:hAnsi="Verdana" w:cs="Arial"/>
          <w:b/>
        </w:rPr>
        <w:t xml:space="preserve"> </w:t>
      </w:r>
      <w:r w:rsidRPr="005B5CB6">
        <w:rPr>
          <w:rFonts w:ascii="Verdana" w:eastAsia="Verdana" w:hAnsi="Verdana" w:cs="Verdana"/>
          <w:b/>
        </w:rPr>
        <w:t xml:space="preserve">RESPONSIBILITY, COMPLIANCE AND SANCTIONS: WHAT NEEDS TO </w:t>
      </w:r>
    </w:p>
    <w:p w:rsidR="00FB0B24" w:rsidRPr="005B5CB6" w:rsidP="006F32A5">
      <w:pPr>
        <w:spacing w:after="5" w:line="250" w:lineRule="auto"/>
        <w:ind w:left="370" w:hanging="10"/>
        <w:jc w:val="both"/>
        <w:rPr>
          <w:rFonts w:ascii="Verdana" w:hAnsi="Verdana"/>
        </w:rPr>
      </w:pPr>
      <w:r w:rsidRPr="005B5CB6">
        <w:rPr>
          <w:rFonts w:ascii="Verdana" w:eastAsia="Verdana" w:hAnsi="Verdana" w:cs="Verdana"/>
          <w:b/>
        </w:rPr>
        <w:t xml:space="preserve">CHANGE ONLINE </w:t>
      </w:r>
    </w:p>
    <w:p w:rsidR="00FB0B24" w:rsidRPr="005B5CB6" w:rsidP="006F32A5">
      <w:pPr>
        <w:spacing w:after="0"/>
        <w:ind w:left="360"/>
        <w:jc w:val="both"/>
        <w:rPr>
          <w:rFonts w:ascii="Verdana" w:hAnsi="Verdana"/>
        </w:rPr>
      </w:pPr>
      <w:r w:rsidRPr="005B5CB6">
        <w:rPr>
          <w:rFonts w:ascii="Verdana" w:eastAsia="Verdana" w:hAnsi="Verdana" w:cs="Verdana"/>
          <w:b/>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The regime for TV advertising regulation is effective in part because it is very clear who is ultimately responsible for compliance with binding legal obligations and serious sanctions for non-compliance. </w:t>
      </w:r>
    </w:p>
    <w:p w:rsidR="00FB0B24" w:rsidRPr="005B5CB6" w:rsidP="006F32A5">
      <w:pPr>
        <w:spacing w:after="0"/>
        <w:ind w:left="36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In TV,</w:t>
      </w:r>
      <w:r w:rsidRPr="005B5CB6">
        <w:rPr>
          <w:rFonts w:ascii="Verdana" w:eastAsia="Verdana" w:hAnsi="Verdana" w:cs="Verdana"/>
          <w:b/>
        </w:rPr>
        <w:t xml:space="preserve"> </w:t>
      </w:r>
      <w:r w:rsidRPr="005B5CB6">
        <w:rPr>
          <w:rFonts w:ascii="Verdana" w:eastAsia="Verdana" w:hAnsi="Verdana" w:cs="Verdana"/>
        </w:rPr>
        <w:t xml:space="preserve">ultimately it is the broadcaster (i.e. the distributor/publisher) who has both </w:t>
      </w:r>
      <w:r w:rsidRPr="005B5CB6">
        <w:rPr>
          <w:rFonts w:ascii="Verdana" w:eastAsia="Verdana" w:hAnsi="Verdana" w:cs="Verdana"/>
          <w:u w:val="single" w:color="000000"/>
        </w:rPr>
        <w:t>control</w:t>
      </w:r>
      <w:r w:rsidRPr="005B5CB6">
        <w:rPr>
          <w:rFonts w:ascii="Verdana" w:eastAsia="Verdana" w:hAnsi="Verdana" w:cs="Verdana"/>
        </w:rPr>
        <w:t xml:space="preserve"> of where advertising is placed (i.e. alongside which programme content it appears within a linear schedule) and </w:t>
      </w:r>
      <w:r w:rsidRPr="005B5CB6">
        <w:rPr>
          <w:rFonts w:ascii="Verdana" w:eastAsia="Verdana" w:hAnsi="Verdana" w:cs="Verdana"/>
          <w:u w:val="single" w:color="000000"/>
        </w:rPr>
        <w:t>responsibility</w:t>
      </w:r>
      <w:r w:rsidRPr="005B5CB6">
        <w:rPr>
          <w:rFonts w:ascii="Verdana" w:eastAsia="Verdana" w:hAnsi="Verdana" w:cs="Verdana"/>
        </w:rPr>
        <w:t xml:space="preserve"> for ensuring the adverts it carries comply with the rules.  </w:t>
      </w:r>
    </w:p>
    <w:p w:rsidR="00FB0B24" w:rsidRPr="005B5CB6" w:rsidP="006F32A5">
      <w:pPr>
        <w:spacing w:after="0"/>
        <w:ind w:left="36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There is a thorough process of compliance, pre-transmission, carried out by Clearcast, the dedicated advertising compliance organisation.  The advertiser and advertising agency has some incentive to comply given the possibility of lost cost of creative/production (and negative PR) if an advert is non-compliant. However, in practice this incentive is often not strong given that campaigns are often over by the time regulatory decisions are reached.  What matters is the filter of the regulated broadcaster. </w:t>
      </w:r>
    </w:p>
    <w:p w:rsidR="00FB0B24" w:rsidRPr="005B5CB6" w:rsidP="006F32A5">
      <w:pPr>
        <w:spacing w:after="0"/>
        <w:ind w:left="36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Broadcasters have binding legal (licence) obligations to comply with the BCAP advertising code and face the possibility of fines, shortened licence duration or even revocation of licences in the event of serious non-compliance. The result is careful pre-scrutiny and a high level of compliance. </w:t>
      </w:r>
    </w:p>
    <w:p w:rsidR="00FB0B24" w:rsidRPr="005B5CB6" w:rsidP="006F32A5">
      <w:pPr>
        <w:spacing w:after="0"/>
        <w:ind w:left="36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Against the backdrop of TV, if the ambition is to have an effective regime for regulating online advertising, creating a level playing field with TV, there are five things in the area of responsibility, compliance and sanctions that must change: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71"/>
        </w:numPr>
        <w:spacing w:after="5" w:line="250" w:lineRule="auto"/>
        <w:ind w:hanging="360"/>
        <w:jc w:val="both"/>
        <w:rPr>
          <w:rFonts w:ascii="Verdana" w:hAnsi="Verdana"/>
        </w:rPr>
      </w:pPr>
      <w:r w:rsidRPr="005B5CB6">
        <w:rPr>
          <w:rFonts w:ascii="Verdana" w:eastAsia="Verdana" w:hAnsi="Verdana" w:cs="Verdana"/>
          <w:b/>
        </w:rPr>
        <w:t>Online platforms must be legally obliged to ensure compliance with rules online</w:t>
      </w:r>
      <w:r w:rsidRPr="005B5CB6">
        <w:rPr>
          <w:rFonts w:ascii="Verdana" w:eastAsia="Verdana" w:hAnsi="Verdana" w:cs="Verdana"/>
        </w:rPr>
        <w:t xml:space="preserve"> </w:t>
      </w:r>
    </w:p>
    <w:p w:rsidR="00FB0B24" w:rsidRPr="005B5CB6" w:rsidP="006F32A5">
      <w:pPr>
        <w:spacing w:after="5" w:line="249" w:lineRule="auto"/>
        <w:ind w:left="370" w:right="12" w:hanging="9"/>
        <w:jc w:val="both"/>
        <w:rPr>
          <w:rFonts w:ascii="Verdana" w:hAnsi="Verdana"/>
        </w:rPr>
      </w:pPr>
      <w:r w:rsidRPr="005B5CB6">
        <w:rPr>
          <w:rFonts w:ascii="Verdana" w:eastAsia="Verdana" w:hAnsi="Verdana" w:cs="Verdana"/>
        </w:rPr>
        <w:t xml:space="preserve">The online platform (i.e. the aggregator/publisher – YouTube, Facebook etc) controls where advertising is placed (i.e. alongside which online content, even if this control is fully or semi-automated).  In other words, the platform is unequivocally the publisher of the advertising from which it profits; however, the platform is </w:t>
      </w:r>
      <w:r w:rsidRPr="005B5CB6">
        <w:rPr>
          <w:rFonts w:ascii="Verdana" w:eastAsia="Verdana" w:hAnsi="Verdana" w:cs="Verdana"/>
          <w:u w:val="single" w:color="000000"/>
        </w:rPr>
        <w:t>not</w:t>
      </w:r>
      <w:r w:rsidRPr="005B5CB6">
        <w:rPr>
          <w:rFonts w:ascii="Verdana" w:eastAsia="Verdana" w:hAnsi="Verdana" w:cs="Verdana"/>
        </w:rPr>
        <w:t xml:space="preserve"> responsible for ensuring compliance – this rests primarily with the advertiser. In a recent decision, the ASA recorded YouTube as saying </w:t>
      </w:r>
      <w:r w:rsidRPr="005B5CB6">
        <w:rPr>
          <w:rFonts w:ascii="Verdana" w:eastAsia="Verdana" w:hAnsi="Verdana" w:cs="Verdana"/>
          <w:i/>
        </w:rPr>
        <w:t>“YouTube stated that they required that advertisers complied with all relevant legal and regulatory requirements, including their obligations under the CAP code, and that YouTube did not review ads on behalf of advertisers for compliance with the CAP code”</w:t>
      </w:r>
      <w:r w:rsidRPr="005B5CB6">
        <w:rPr>
          <w:rFonts w:ascii="Verdana" w:eastAsia="Verdana" w:hAnsi="Verdana" w:cs="Verdana"/>
          <w:i/>
          <w:vertAlign w:val="superscript"/>
        </w:rPr>
        <w:t>1</w:t>
      </w:r>
      <w:r w:rsidRPr="005B5CB6">
        <w:rPr>
          <w:rFonts w:ascii="Verdana" w:eastAsia="Verdana" w:hAnsi="Verdana" w:cs="Verdana"/>
        </w:rPr>
        <w:t xml:space="preserve">.  </w:t>
      </w:r>
    </w:p>
    <w:p w:rsidR="00FB0B24" w:rsidRPr="005B5CB6" w:rsidP="006F32A5">
      <w:pPr>
        <w:spacing w:after="0"/>
        <w:ind w:left="1080"/>
        <w:jc w:val="both"/>
        <w:rPr>
          <w:rFonts w:ascii="Verdana" w:hAnsi="Verdana"/>
        </w:rPr>
      </w:pPr>
      <w:r w:rsidRPr="005B5CB6">
        <w:rPr>
          <w:rFonts w:ascii="Verdana" w:eastAsia="Verdana" w:hAnsi="Verdana" w:cs="Verdana"/>
        </w:rPr>
        <w:t xml:space="preserve"> </w:t>
      </w:r>
    </w:p>
    <w:p w:rsidR="00FB0B24" w:rsidRPr="005B5CB6" w:rsidP="00575F14">
      <w:pPr>
        <w:numPr>
          <w:ilvl w:val="0"/>
          <w:numId w:val="271"/>
        </w:numPr>
        <w:spacing w:after="5" w:line="250" w:lineRule="auto"/>
        <w:ind w:hanging="360"/>
        <w:jc w:val="both"/>
        <w:rPr>
          <w:rFonts w:ascii="Verdana" w:hAnsi="Verdana"/>
        </w:rPr>
      </w:pPr>
      <w:r w:rsidRPr="005B5CB6">
        <w:rPr>
          <w:rFonts w:ascii="Verdana" w:eastAsia="Verdana" w:hAnsi="Verdana" w:cs="Verdana"/>
          <w:b/>
        </w:rPr>
        <w:t xml:space="preserve">Advertising should be complied before it is published via online platforms </w:t>
      </w:r>
    </w:p>
    <w:p w:rsidR="00FB0B24" w:rsidRPr="005B5CB6" w:rsidP="006F32A5">
      <w:pPr>
        <w:spacing w:after="5" w:line="249" w:lineRule="auto"/>
        <w:ind w:left="369" w:right="12" w:hanging="9"/>
        <w:jc w:val="both"/>
        <w:rPr>
          <w:rFonts w:ascii="Verdana" w:hAnsi="Verdana"/>
        </w:rPr>
      </w:pPr>
      <w:r w:rsidRPr="005B5CB6">
        <w:rPr>
          <w:rFonts w:ascii="Verdana" w:eastAsia="Verdana" w:hAnsi="Verdana" w:cs="Verdana"/>
        </w:rPr>
        <w:t xml:space="preserve">The open nature of online platforms means that video content tends to go live the instant it is uploaded. But </w:t>
      </w:r>
      <w:r w:rsidRPr="005B5CB6">
        <w:rPr>
          <w:rFonts w:ascii="Verdana" w:eastAsia="Verdana" w:hAnsi="Verdana" w:cs="Verdana"/>
          <w:u w:val="single" w:color="000000"/>
        </w:rPr>
        <w:t>advertising</w:t>
      </w:r>
      <w:r w:rsidRPr="005B5CB6">
        <w:rPr>
          <w:rFonts w:ascii="Verdana" w:eastAsia="Verdana" w:hAnsi="Verdana" w:cs="Verdana"/>
        </w:rPr>
        <w:t xml:space="preserve"> is completely different – it flows through and is monetised by the platform – it isn’t or need not be outside of the control of the platform. There is no reason, therefore, why all advertising on the platform ought not to be pre-vetted to ensure the highest possible standards of compliance, as Clearcast do for broadcasters.  This is something the online platform should do as the publisher of the advertising with (in future) the legal obligation for compliance. Although pre-scrutiny is not technically required by the regulatory regime for TV, it is hard to see how sufficient compliance could be achieved otherwise.  </w:t>
      </w:r>
    </w:p>
    <w:p w:rsidR="00FB0B24" w:rsidRPr="005B5CB6" w:rsidP="006F32A5">
      <w:pPr>
        <w:spacing w:after="0"/>
        <w:ind w:left="360"/>
        <w:jc w:val="both"/>
        <w:rPr>
          <w:rFonts w:ascii="Verdana" w:hAnsi="Verdana"/>
        </w:rPr>
      </w:pPr>
      <w:r w:rsidRPr="005B5CB6">
        <w:rPr>
          <w:rFonts w:ascii="Verdana" w:eastAsia="Verdana" w:hAnsi="Verdana" w:cs="Verdana"/>
        </w:rPr>
        <w:t xml:space="preserve"> </w:t>
      </w:r>
    </w:p>
    <w:p w:rsidR="00FB0B24" w:rsidRPr="005B5CB6" w:rsidP="00575F14">
      <w:pPr>
        <w:numPr>
          <w:ilvl w:val="0"/>
          <w:numId w:val="271"/>
        </w:numPr>
        <w:spacing w:after="5" w:line="249" w:lineRule="auto"/>
        <w:ind w:hanging="360"/>
        <w:jc w:val="both"/>
        <w:rPr>
          <w:rFonts w:ascii="Verdana" w:hAnsi="Verdana"/>
        </w:rPr>
      </w:pPr>
      <w:r w:rsidRPr="005B5CB6">
        <w:rPr>
          <w:rFonts w:ascii="Verdana" w:eastAsia="Verdana" w:hAnsi="Verdana" w:cs="Verdana"/>
          <w:b/>
        </w:rPr>
        <w:t xml:space="preserve">There must be clear legal/regulatory incentives for compliance   </w:t>
      </w:r>
      <w:r w:rsidRPr="005B5CB6">
        <w:rPr>
          <w:rFonts w:ascii="Verdana" w:eastAsia="Verdana" w:hAnsi="Verdana" w:cs="Verdana"/>
        </w:rPr>
        <w:t xml:space="preserve">There is no licensing regime for online distributors/publishers and few legal sanctions if they accept and run infringing advertising compared to broadcasters (in principle and in extremis the ASA can refer the matter to Trading Standards for action under the Consumer Protection from Unfair Trading Regulations 2008 or the Business Protection from Misleading Marketing Regulations 2008. Trading Standards can seek undertakings to comply but in practice this avenue is rarely used). </w:t>
      </w:r>
    </w:p>
    <w:p w:rsidR="00FB0B24" w:rsidRPr="005B5CB6" w:rsidP="006F32A5">
      <w:pPr>
        <w:spacing w:after="0"/>
        <w:ind w:left="360"/>
        <w:jc w:val="both"/>
        <w:rPr>
          <w:rFonts w:ascii="Verdana" w:hAnsi="Verdana"/>
        </w:rPr>
      </w:pPr>
      <w:r w:rsidRPr="005B5CB6">
        <w:rPr>
          <w:rFonts w:ascii="Verdana" w:eastAsia="Verdana" w:hAnsi="Verdana" w:cs="Verdana"/>
        </w:rPr>
        <w:t xml:space="preserve"> </w:t>
      </w:r>
    </w:p>
    <w:p w:rsidR="00FB0B24" w:rsidRPr="005B5CB6" w:rsidP="00575F14">
      <w:pPr>
        <w:numPr>
          <w:ilvl w:val="0"/>
          <w:numId w:val="271"/>
        </w:numPr>
        <w:spacing w:after="5" w:line="250" w:lineRule="auto"/>
        <w:ind w:hanging="360"/>
        <w:jc w:val="both"/>
        <w:rPr>
          <w:rFonts w:ascii="Verdana" w:hAnsi="Verdana"/>
        </w:rPr>
      </w:pPr>
      <w:r w:rsidRPr="005B5CB6">
        <w:rPr>
          <w:rFonts w:ascii="Verdana" w:eastAsia="Verdana" w:hAnsi="Verdana" w:cs="Verdana"/>
          <w:b/>
        </w:rPr>
        <w:t xml:space="preserve">Non-compliance must be risky and unattractive </w:t>
      </w:r>
    </w:p>
    <w:p w:rsidR="00FB0B24" w:rsidRPr="005B5CB6" w:rsidP="006F32A5">
      <w:pPr>
        <w:spacing w:after="5" w:line="249" w:lineRule="auto"/>
        <w:ind w:left="369" w:right="12" w:hanging="9"/>
        <w:jc w:val="both"/>
        <w:rPr>
          <w:rFonts w:ascii="Verdana" w:hAnsi="Verdana"/>
        </w:rPr>
      </w:pPr>
      <w:r w:rsidRPr="005B5CB6">
        <w:rPr>
          <w:rFonts w:ascii="Verdana" w:eastAsia="Verdana" w:hAnsi="Verdana" w:cs="Verdana"/>
        </w:rPr>
        <w:t xml:space="preserve">The lack of any pre-clearance and minimal repercussions in the event of a breach mean that non-compliant advertising campaigns are more likely to run online and potentially able to run for an extended period of time before complaints are made and action taken. This, coupled with the scale of what is offered online and a reliance mainly on complaints to make the ASA aware of potential issues, results in a high risk of serious consumer harm and a far from level playing field with TV. </w:t>
      </w:r>
    </w:p>
    <w:p w:rsidR="00FB0B24" w:rsidRPr="005B5CB6" w:rsidP="006F32A5">
      <w:pPr>
        <w:spacing w:after="0"/>
        <w:ind w:left="360"/>
        <w:jc w:val="both"/>
        <w:rPr>
          <w:rFonts w:ascii="Verdana" w:hAnsi="Verdana"/>
        </w:rPr>
      </w:pPr>
      <w:r w:rsidRPr="005B5CB6">
        <w:rPr>
          <w:rFonts w:ascii="Verdana" w:eastAsia="Verdana" w:hAnsi="Verdana" w:cs="Verdana"/>
        </w:rPr>
        <w:t xml:space="preserve"> </w:t>
      </w:r>
    </w:p>
    <w:p w:rsidR="00FB0B24" w:rsidRPr="005B5CB6" w:rsidP="00575F14">
      <w:pPr>
        <w:numPr>
          <w:ilvl w:val="0"/>
          <w:numId w:val="271"/>
        </w:numPr>
        <w:spacing w:after="5" w:line="250" w:lineRule="auto"/>
        <w:ind w:hanging="360"/>
        <w:jc w:val="both"/>
        <w:rPr>
          <w:rFonts w:ascii="Verdana" w:hAnsi="Verdana"/>
        </w:rPr>
      </w:pPr>
      <w:r w:rsidRPr="005B5CB6">
        <w:rPr>
          <w:rFonts w:ascii="Verdana" w:eastAsia="Verdana" w:hAnsi="Verdana" w:cs="Verdana"/>
          <w:b/>
        </w:rPr>
        <w:t xml:space="preserve">There needs to be an effective and well-resourced regulator.    </w:t>
      </w:r>
    </w:p>
    <w:p w:rsidR="00FB0B24" w:rsidRPr="005B5CB6" w:rsidP="006F32A5">
      <w:pPr>
        <w:spacing w:after="5" w:line="249" w:lineRule="auto"/>
        <w:ind w:left="369" w:right="12" w:hanging="9"/>
        <w:jc w:val="both"/>
        <w:rPr>
          <w:rFonts w:ascii="Verdana" w:hAnsi="Verdana"/>
        </w:rPr>
      </w:pPr>
      <w:r w:rsidRPr="005B5CB6">
        <w:rPr>
          <w:rFonts w:ascii="Verdana" w:eastAsia="Verdana" w:hAnsi="Verdana" w:cs="Verdana"/>
        </w:rPr>
        <w:t xml:space="preserve">There are currently two regulators with responsibility for TV advertising – Ofcom as the statutory backstop with ultimate responsibility and effective powers of enforcement and the ASA as the front line regulator, operating under authority from Ofcom. Ultimately the regime overseen by the ASA for TV is rooted in statute and the ASA’s authority in relation to TV depends on that regime. By contrast, Whilst the ASA acts as the front line regulator for online advertising, it has no statutory authority in relation to online advertising or </w:t>
      </w:r>
      <w:r w:rsidRPr="005B5CB6">
        <w:rPr>
          <w:rFonts w:ascii="Verdana" w:eastAsia="Verdana" w:hAnsi="Verdana" w:cs="Verdana"/>
        </w:rPr>
        <w:t xml:space="preserve">formal enforcement powers -- its only backstop is to refer cases to trading standards. </w:t>
      </w:r>
    </w:p>
    <w:p w:rsidR="00FB0B24" w:rsidRPr="005B5CB6" w:rsidP="006F32A5">
      <w:pPr>
        <w:spacing w:after="86"/>
        <w:ind w:left="360"/>
        <w:jc w:val="both"/>
        <w:rPr>
          <w:rFonts w:ascii="Verdana" w:hAnsi="Verdana"/>
        </w:rPr>
      </w:pPr>
      <w:r w:rsidRPr="005B5CB6">
        <w:rPr>
          <w:rFonts w:ascii="Verdana" w:eastAsia="Verdana" w:hAnsi="Verdana" w:cs="Verdana"/>
          <w:b/>
        </w:rPr>
        <w:t xml:space="preserve"> </w:t>
      </w:r>
    </w:p>
    <w:p w:rsidR="00FB0B24" w:rsidRPr="005B5CB6" w:rsidP="006F32A5">
      <w:pPr>
        <w:spacing w:after="0"/>
        <w:jc w:val="both"/>
        <w:rPr>
          <w:rFonts w:ascii="Verdana" w:hAnsi="Verdana"/>
        </w:rPr>
      </w:pPr>
      <w:r w:rsidRPr="005B5CB6">
        <w:rPr>
          <w:rFonts w:ascii="Verdana" w:hAnsi="Verdana"/>
          <w:noProof/>
        </w:rPr>
        <mc:AlternateContent>
          <mc:Choice Requires="wpg">
            <w:drawing>
              <wp:inline distT="0" distB="0" distL="0" distR="0">
                <wp:extent cx="1828800" cy="10681"/>
                <wp:effectExtent l="0" t="0" r="0" b="0"/>
                <wp:docPr id="611597" name="Group 61159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81"/>
                          <a:chOff x="0" y="0"/>
                          <a:chExt cx="1828800" cy="10681"/>
                        </a:xfrm>
                      </wpg:grpSpPr>
                      <wps:wsp xmlns:wps="http://schemas.microsoft.com/office/word/2010/wordprocessingShape">
                        <wps:cNvPr id="636669" name="Shape 636669"/>
                        <wps:cNvSpPr/>
                        <wps:spPr>
                          <a:xfrm>
                            <a:off x="0" y="0"/>
                            <a:ext cx="1828800" cy="10681"/>
                          </a:xfrm>
                          <a:custGeom>
                            <a:avLst/>
                            <a:gdLst/>
                            <a:ahLst/>
                            <a:cxnLst/>
                            <a:rect l="0" t="0" r="0" b="0"/>
                            <a:pathLst>
                              <a:path w="1828800" h="10681">
                                <a:moveTo>
                                  <a:pt x="0" y="0"/>
                                </a:moveTo>
                                <a:lnTo>
                                  <a:pt x="1828800" y="0"/>
                                </a:lnTo>
                                <a:lnTo>
                                  <a:pt x="1828800" y="10681"/>
                                </a:lnTo>
                                <a:lnTo>
                                  <a:pt x="0" y="10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71" style="height:0.84pt;mso-position-horizontal-relative:char;mso-position-vertical-relative:line;width:2in" coordsize="18288,106">
                <v:shape id="_x0000_s1472" style="height:106;position:absolute;width:18288" coordsize="1828800,10681" path="m,l1828800,l1828800,10681l,10681l,e">
                  <v:stroke joinstyle="miter" endcap="flat" opacity="0"/>
                </v:shape>
                <w10:wrap type="none"/>
              </v:group>
            </w:pict>
          </mc:Fallback>
        </mc:AlternateContent>
      </w:r>
      <w:r w:rsidRPr="005B5CB6">
        <w:rPr>
          <w:rFonts w:ascii="Verdana" w:hAnsi="Verdana"/>
        </w:rPr>
        <w:t xml:space="preserve"> </w:t>
      </w:r>
    </w:p>
    <w:p w:rsidR="00FB0B24" w:rsidRPr="005B5CB6" w:rsidP="006F32A5">
      <w:pPr>
        <w:spacing w:after="0"/>
        <w:jc w:val="both"/>
        <w:rPr>
          <w:rFonts w:ascii="Verdana" w:hAnsi="Verdana"/>
        </w:rPr>
      </w:pPr>
      <w:r w:rsidRPr="005B5CB6">
        <w:rPr>
          <w:rFonts w:ascii="Verdana" w:hAnsi="Verdana"/>
        </w:rPr>
        <w:t xml:space="preserve">1 See ASA ruling on Columbia Pictures Corporation Ltd, T/A as Sony Pictures Releasing UK, 13 June 2018. </w:t>
      </w:r>
    </w:p>
    <w:p w:rsidR="00FB0B24" w:rsidRPr="005B5CB6" w:rsidP="006F32A5">
      <w:pPr>
        <w:spacing w:after="96"/>
        <w:ind w:left="360"/>
        <w:jc w:val="both"/>
        <w:rPr>
          <w:rFonts w:ascii="Verdana" w:hAnsi="Verdana"/>
        </w:rPr>
      </w:pPr>
      <w:r w:rsidRPr="005B5CB6">
        <w:rPr>
          <w:rFonts w:ascii="Verdana" w:eastAsia="Verdana" w:hAnsi="Verdana" w:cs="Verdana"/>
          <w:b/>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B.</w:t>
      </w:r>
      <w:r w:rsidRPr="005B5CB6">
        <w:rPr>
          <w:rFonts w:ascii="Verdana" w:eastAsia="Arial" w:hAnsi="Verdana" w:cs="Arial"/>
          <w:b/>
        </w:rPr>
        <w:t xml:space="preserve"> </w:t>
      </w:r>
      <w:r w:rsidRPr="005B5CB6">
        <w:rPr>
          <w:rFonts w:ascii="Verdana" w:eastAsia="Verdana" w:hAnsi="Verdana" w:cs="Verdana"/>
          <w:b/>
        </w:rPr>
        <w:t xml:space="preserve">TRANSPARENCY AND VISIBILITY:  WHAT NEEDS TO CHANGE ONLINE  </w:t>
      </w:r>
    </w:p>
    <w:p w:rsidR="00FB0B24" w:rsidRPr="005B5CB6" w:rsidP="006F32A5">
      <w:pPr>
        <w:spacing w:after="0"/>
        <w:ind w:left="361"/>
        <w:jc w:val="both"/>
        <w:rPr>
          <w:rFonts w:ascii="Verdana" w:hAnsi="Verdana"/>
        </w:rPr>
      </w:pPr>
      <w:r w:rsidRPr="005B5CB6">
        <w:rPr>
          <w:rFonts w:ascii="Verdana" w:eastAsia="Verdana" w:hAnsi="Verdana" w:cs="Verdana"/>
          <w:b/>
        </w:rPr>
        <w:t xml:space="preserve"> </w:t>
      </w:r>
    </w:p>
    <w:p w:rsidR="00FB0B24" w:rsidRPr="005B5CB6" w:rsidP="006F32A5">
      <w:pPr>
        <w:spacing w:after="5" w:line="250" w:lineRule="auto"/>
        <w:ind w:left="23" w:right="11" w:hanging="8"/>
        <w:jc w:val="both"/>
        <w:rPr>
          <w:rFonts w:ascii="Verdana" w:hAnsi="Verdana"/>
        </w:rPr>
      </w:pPr>
      <w:r w:rsidRPr="005B5CB6">
        <w:rPr>
          <w:rFonts w:ascii="Verdana" w:eastAsia="Verdana" w:hAnsi="Verdana" w:cs="Verdana"/>
        </w:rPr>
        <w:t xml:space="preserve">The TV advertising regulatory regime also appears to be effective in part because there is transparency in the market. </w:t>
      </w:r>
    </w:p>
    <w:p w:rsidR="00FB0B24" w:rsidRPr="005B5CB6" w:rsidP="006F32A5">
      <w:pPr>
        <w:spacing w:after="0"/>
        <w:ind w:left="36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There is a standard industry currency (BARB) for measuring who is watching what and when. This allows for easy measurement of actual consumption, delivered by a trusted and impartial pan-industry agency. Data can be interrogated in a range of ways (from whole market to programme-specific demographic breaks). This allows precise definition of audience segments that might be subject to regulatory restrictions and accurate measurement of actual consumption among these groups. </w:t>
      </w:r>
    </w:p>
    <w:p w:rsidR="00FB0B24" w:rsidRPr="005B5CB6" w:rsidP="006F32A5">
      <w:pPr>
        <w:spacing w:after="0"/>
        <w:ind w:left="36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There is clear separation of advertising content from programme content. Both advertising and programmes are available in advance of broadcast, allowing broadcasters and advertisers the ability to assess its appeal in advance of broadcast, and to put in place relevant restrictions.</w:t>
      </w:r>
      <w:r w:rsidRPr="005B5CB6">
        <w:rPr>
          <w:rFonts w:ascii="Verdana" w:eastAsia="Verdana" w:hAnsi="Verdana" w:cs="Verdana"/>
          <w:b/>
          <w:i/>
        </w:rPr>
        <w:t xml:space="preserve"> </w:t>
      </w:r>
      <w:r w:rsidRPr="005B5CB6">
        <w:rPr>
          <w:rFonts w:ascii="Verdana" w:eastAsia="Verdana" w:hAnsi="Verdana" w:cs="Verdana"/>
        </w:rPr>
        <w:t xml:space="preserve">The benefit of pre-clearance applies across the market as a whole as the programmes and adverts are finite in nature, deployed in easily identifiable moments in time, channel by channel, and so of a scale that allows pre-clearance. </w:t>
      </w:r>
    </w:p>
    <w:p w:rsidR="00FB0B24" w:rsidRPr="005B5CB6" w:rsidP="006F32A5">
      <w:pPr>
        <w:spacing w:after="0"/>
        <w:ind w:left="36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After the event, there is clear visibility about what has actually been broadcast and when.  TV adverts are delivered on a one-to-many basis, in public. In addition, broadcasters have obligations to keep copies of all their broadcast channels for 90 days to ensure that if there are regulatory issues they can be easily investigated.  </w:t>
      </w:r>
    </w:p>
    <w:p w:rsidR="00FB0B24" w:rsidRPr="005B5CB6" w:rsidP="006F32A5">
      <w:pPr>
        <w:spacing w:after="0"/>
        <w:ind w:left="36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23" w:right="11" w:hanging="8"/>
        <w:jc w:val="both"/>
        <w:rPr>
          <w:rFonts w:ascii="Verdana" w:hAnsi="Verdana"/>
        </w:rPr>
      </w:pPr>
      <w:r w:rsidRPr="005B5CB6">
        <w:rPr>
          <w:rFonts w:ascii="Verdana" w:eastAsia="Verdana" w:hAnsi="Verdana" w:cs="Verdana"/>
        </w:rPr>
        <w:t xml:space="preserve">Given this TV backdrop, there are three things in the area of transparency and visibility that need to change: </w:t>
      </w:r>
    </w:p>
    <w:p w:rsidR="00FB0B24" w:rsidRPr="005B5CB6" w:rsidP="006F32A5">
      <w:pPr>
        <w:spacing w:after="0"/>
        <w:ind w:left="361"/>
        <w:jc w:val="both"/>
        <w:rPr>
          <w:rFonts w:ascii="Verdana" w:hAnsi="Verdana"/>
        </w:rPr>
      </w:pPr>
      <w:r w:rsidRPr="005B5CB6">
        <w:rPr>
          <w:rFonts w:ascii="Verdana" w:eastAsia="Verdana" w:hAnsi="Verdana" w:cs="Verdana"/>
        </w:rPr>
        <w:t xml:space="preserve"> </w:t>
      </w:r>
    </w:p>
    <w:p w:rsidR="00FB0B24" w:rsidRPr="005B5CB6" w:rsidP="00575F14">
      <w:pPr>
        <w:numPr>
          <w:ilvl w:val="0"/>
          <w:numId w:val="272"/>
        </w:numPr>
        <w:spacing w:after="5" w:line="250" w:lineRule="auto"/>
        <w:ind w:hanging="360"/>
        <w:jc w:val="both"/>
        <w:rPr>
          <w:rFonts w:ascii="Verdana" w:hAnsi="Verdana"/>
        </w:rPr>
      </w:pPr>
      <w:r w:rsidRPr="005B5CB6">
        <w:rPr>
          <w:rFonts w:ascii="Verdana" w:eastAsia="Verdana" w:hAnsi="Verdana" w:cs="Verdana"/>
          <w:b/>
        </w:rPr>
        <w:t xml:space="preserve">There must be an effective common approach to determining who is seeing adverts online  </w:t>
      </w:r>
    </w:p>
    <w:p w:rsidR="00FB0B24" w:rsidRPr="005B5CB6" w:rsidP="006F32A5">
      <w:pPr>
        <w:spacing w:after="5" w:line="249" w:lineRule="auto"/>
        <w:ind w:left="369" w:right="12" w:hanging="9"/>
        <w:jc w:val="both"/>
        <w:rPr>
          <w:rFonts w:ascii="Verdana" w:hAnsi="Verdana"/>
        </w:rPr>
      </w:pPr>
      <w:r w:rsidRPr="005B5CB6">
        <w:rPr>
          <w:rFonts w:ascii="Verdana" w:eastAsia="Verdana" w:hAnsi="Verdana" w:cs="Verdana"/>
        </w:rPr>
        <w:t>There is no BARB-equivalent online, most firms use unaudited proprietary data and different definitions of consumption. The inaccuracy of these measures is becoming the topic of debate in industry</w:t>
      </w:r>
      <w:r>
        <w:rPr>
          <w:rFonts w:ascii="Verdana" w:eastAsia="Verdana" w:hAnsi="Verdana" w:cs="Verdana"/>
          <w:vertAlign w:val="superscript"/>
        </w:rPr>
        <w:footnoteReference w:id="477"/>
      </w:r>
      <w:r w:rsidRPr="005B5CB6">
        <w:rPr>
          <w:rFonts w:ascii="Verdana" w:eastAsia="Verdana" w:hAnsi="Verdana" w:cs="Verdana"/>
        </w:rPr>
        <w:t xml:space="preserve">. Furthermore, there continues to be a myth that the online platforms voluntarily protect children from harmful content and advertising because they offer precise targeting and have systems for screening out children that are far more sophisticated than those on television. This is not the case. The ASA has for some years expressed concern </w:t>
      </w:r>
      <w:r w:rsidRPr="005B5CB6">
        <w:rPr>
          <w:rFonts w:ascii="Verdana" w:eastAsia="Verdana" w:hAnsi="Verdana" w:cs="Verdana"/>
        </w:rPr>
        <w:t>that many younger users of social media and other sides misreport their age to appear older than they are (in one study as far back as 2013 they found that 42% of children in the study (aged between 11 and 15) had falsely registered themselves as aged 18 or over and hence saw age inappropriate advertising)</w:t>
      </w:r>
      <w:r w:rsidRPr="005B5CB6">
        <w:rPr>
          <w:rFonts w:ascii="Verdana" w:eastAsia="Verdana" w:hAnsi="Verdana" w:cs="Verdana"/>
          <w:vertAlign w:val="superscript"/>
        </w:rPr>
        <w:t>3</w:t>
      </w:r>
      <w:r w:rsidRPr="005B5CB6">
        <w:rPr>
          <w:rFonts w:ascii="Verdana" w:eastAsia="Verdana" w:hAnsi="Verdana" w:cs="Verdana"/>
        </w:rPr>
        <w:t xml:space="preserve">.  </w:t>
      </w:r>
    </w:p>
    <w:p w:rsidR="00FB0B24" w:rsidRPr="005B5CB6" w:rsidP="006F32A5">
      <w:pPr>
        <w:spacing w:after="0"/>
        <w:ind w:left="360"/>
        <w:jc w:val="both"/>
        <w:rPr>
          <w:rFonts w:ascii="Verdana" w:hAnsi="Verdana"/>
        </w:rPr>
      </w:pPr>
      <w:r w:rsidRPr="005B5CB6">
        <w:rPr>
          <w:rFonts w:ascii="Verdana" w:eastAsia="Verdana" w:hAnsi="Verdana" w:cs="Verdana"/>
        </w:rPr>
        <w:t xml:space="preserve"> </w:t>
      </w:r>
    </w:p>
    <w:p w:rsidR="00FB0B24" w:rsidRPr="005B5CB6" w:rsidP="006F32A5">
      <w:pPr>
        <w:spacing w:after="28" w:line="249" w:lineRule="auto"/>
        <w:ind w:left="369" w:right="12" w:hanging="9"/>
        <w:jc w:val="both"/>
        <w:rPr>
          <w:rFonts w:ascii="Verdana" w:hAnsi="Verdana"/>
        </w:rPr>
      </w:pPr>
      <w:r w:rsidRPr="005B5CB6">
        <w:rPr>
          <w:rFonts w:ascii="Verdana" w:eastAsia="Verdana" w:hAnsi="Verdana" w:cs="Verdana"/>
        </w:rPr>
        <w:t xml:space="preserve">This is an area which creates some challenges for all providers of free online services though of course the online services offered by broadcasters consist of content that they control and which is made and complied to Ofcom </w:t>
      </w:r>
    </w:p>
    <w:p w:rsidR="00FB0B24" w:rsidRPr="005B5CB6" w:rsidP="006F32A5">
      <w:pPr>
        <w:spacing w:after="0"/>
        <w:jc w:val="both"/>
        <w:rPr>
          <w:rFonts w:ascii="Verdana" w:hAnsi="Verdana"/>
        </w:rPr>
      </w:pPr>
      <w:r w:rsidRPr="005B5CB6">
        <w:rPr>
          <w:rFonts w:ascii="Verdana" w:hAnsi="Verdana"/>
          <w:noProof/>
        </w:rPr>
        <mc:AlternateContent>
          <mc:Choice Requires="wpg">
            <w:drawing>
              <wp:inline distT="0" distB="0" distL="0" distR="0">
                <wp:extent cx="1828800" cy="10668"/>
                <wp:effectExtent l="0" t="0" r="0" b="0"/>
                <wp:docPr id="611709" name="Group 611709"/>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10668"/>
                          <a:chOff x="0" y="0"/>
                          <a:chExt cx="1828800" cy="10668"/>
                        </a:xfrm>
                      </wpg:grpSpPr>
                      <wps:wsp xmlns:wps="http://schemas.microsoft.com/office/word/2010/wordprocessingShape">
                        <wps:cNvPr id="636671" name="Shape 636671"/>
                        <wps:cNvSpPr/>
                        <wps:spPr>
                          <a:xfrm>
                            <a:off x="0" y="0"/>
                            <a:ext cx="1828800" cy="10668"/>
                          </a:xfrm>
                          <a:custGeom>
                            <a:avLst/>
                            <a:gdLst/>
                            <a:ahLst/>
                            <a:cxnLst/>
                            <a:rect l="0" t="0" r="0" b="0"/>
                            <a:pathLst>
                              <a:path w="1828800" h="10668">
                                <a:moveTo>
                                  <a:pt x="0" y="0"/>
                                </a:moveTo>
                                <a:lnTo>
                                  <a:pt x="1828800" y="0"/>
                                </a:lnTo>
                                <a:lnTo>
                                  <a:pt x="1828800"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73" style="height:0.84pt;mso-position-horizontal-relative:char;mso-position-vertical-relative:line;width:2in" coordsize="18288,106">
                <v:shape id="_x0000_s1474" style="height:106;position:absolute;width:18288" coordsize="1828800,10668" path="m,l1828800,l1828800,10668l,10668l,e">
                  <v:stroke joinstyle="miter" endcap="flat" opacity="0"/>
                </v:shape>
                <w10:wrap type="none"/>
              </v:group>
            </w:pict>
          </mc:Fallback>
        </mc:AlternateContent>
      </w:r>
      <w:r w:rsidRPr="005B5CB6">
        <w:rPr>
          <w:rFonts w:ascii="Verdana" w:hAnsi="Verdana"/>
        </w:rPr>
        <w:t xml:space="preserve"> </w:t>
      </w:r>
    </w:p>
    <w:p w:rsidR="00FB0B24" w:rsidRPr="005B5CB6" w:rsidP="006F32A5">
      <w:pPr>
        <w:spacing w:after="5" w:line="250" w:lineRule="auto"/>
        <w:ind w:left="368" w:right="11" w:hanging="8"/>
        <w:jc w:val="both"/>
        <w:rPr>
          <w:rFonts w:ascii="Verdana" w:hAnsi="Verdana"/>
        </w:rPr>
      </w:pPr>
      <w:r w:rsidRPr="005B5CB6">
        <w:rPr>
          <w:rFonts w:ascii="Verdana" w:eastAsia="Verdana" w:hAnsi="Verdana" w:cs="Verdana"/>
        </w:rPr>
        <w:t xml:space="preserve">standards at the outset and is included in services that are themselves regulated by Ofcom. </w:t>
      </w:r>
    </w:p>
    <w:p w:rsidR="00FB0B24" w:rsidRPr="005B5CB6" w:rsidP="006F32A5">
      <w:pPr>
        <w:spacing w:after="0"/>
        <w:ind w:left="720"/>
        <w:jc w:val="both"/>
        <w:rPr>
          <w:rFonts w:ascii="Verdana" w:hAnsi="Verdana"/>
        </w:rPr>
      </w:pPr>
      <w:r w:rsidRPr="005B5CB6">
        <w:rPr>
          <w:rFonts w:ascii="Verdana" w:eastAsia="Verdana" w:hAnsi="Verdana" w:cs="Verdana"/>
        </w:rPr>
        <w:t xml:space="preserve"> </w:t>
      </w:r>
    </w:p>
    <w:p w:rsidR="00FB0B24" w:rsidRPr="005B5CB6" w:rsidP="00575F14">
      <w:pPr>
        <w:numPr>
          <w:ilvl w:val="0"/>
          <w:numId w:val="272"/>
        </w:numPr>
        <w:spacing w:after="5" w:line="250" w:lineRule="auto"/>
        <w:ind w:hanging="360"/>
        <w:jc w:val="both"/>
        <w:rPr>
          <w:rFonts w:ascii="Verdana" w:hAnsi="Verdana"/>
        </w:rPr>
      </w:pPr>
      <w:r w:rsidRPr="005B5CB6">
        <w:rPr>
          <w:rFonts w:ascii="Verdana" w:eastAsia="Verdana" w:hAnsi="Verdana" w:cs="Verdana"/>
          <w:b/>
        </w:rPr>
        <w:t xml:space="preserve">There must be clear visibility about what advertising is provided online </w:t>
      </w:r>
    </w:p>
    <w:p w:rsidR="00FB0B24" w:rsidRPr="005B5CB6" w:rsidP="006F32A5">
      <w:pPr>
        <w:spacing w:after="5" w:line="249" w:lineRule="auto"/>
        <w:ind w:left="369" w:right="12" w:hanging="9"/>
        <w:jc w:val="both"/>
        <w:rPr>
          <w:rFonts w:ascii="Verdana" w:hAnsi="Verdana"/>
        </w:rPr>
      </w:pPr>
      <w:r w:rsidRPr="005B5CB6">
        <w:rPr>
          <w:rFonts w:ascii="Verdana" w:eastAsia="Verdana" w:hAnsi="Verdana" w:cs="Verdana"/>
        </w:rPr>
        <w:t xml:space="preserve">Adverts online are often delivered one-to-one and in private rather than oneto-many in public, making it hard to have visibility not just about </w:t>
      </w:r>
      <w:r w:rsidRPr="005B5CB6">
        <w:rPr>
          <w:rFonts w:ascii="Verdana" w:eastAsia="Verdana" w:hAnsi="Verdana" w:cs="Verdana"/>
          <w:u w:val="single" w:color="000000"/>
        </w:rPr>
        <w:t>who</w:t>
      </w:r>
      <w:r w:rsidRPr="005B5CB6">
        <w:rPr>
          <w:rFonts w:ascii="Verdana" w:eastAsia="Verdana" w:hAnsi="Verdana" w:cs="Verdana"/>
        </w:rPr>
        <w:t xml:space="preserve"> is seeing adverts but </w:t>
      </w:r>
      <w:r w:rsidRPr="005B5CB6">
        <w:rPr>
          <w:rFonts w:ascii="Verdana" w:eastAsia="Verdana" w:hAnsi="Verdana" w:cs="Verdana"/>
          <w:u w:val="single" w:color="000000"/>
        </w:rPr>
        <w:t>what</w:t>
      </w:r>
      <w:r w:rsidRPr="005B5CB6">
        <w:rPr>
          <w:rFonts w:ascii="Verdana" w:eastAsia="Verdana" w:hAnsi="Verdana" w:cs="Verdana"/>
        </w:rPr>
        <w:t xml:space="preserve"> advertising is being delivered. That is plain to see in broadcasting (and reinforced by license obligations to retain copies of broadcast signals for a period post broadcast) but entirely hidden online. </w:t>
      </w:r>
    </w:p>
    <w:p w:rsidR="00FB0B24" w:rsidRPr="005B5CB6" w:rsidP="006F32A5">
      <w:pPr>
        <w:spacing w:after="0"/>
        <w:ind w:left="1080"/>
        <w:jc w:val="both"/>
        <w:rPr>
          <w:rFonts w:ascii="Verdana" w:hAnsi="Verdana"/>
        </w:rPr>
      </w:pPr>
      <w:r w:rsidRPr="005B5CB6">
        <w:rPr>
          <w:rFonts w:ascii="Verdana" w:eastAsia="Verdana" w:hAnsi="Verdana" w:cs="Verdana"/>
        </w:rPr>
        <w:t xml:space="preserve"> </w:t>
      </w:r>
    </w:p>
    <w:p w:rsidR="00FB0B24" w:rsidRPr="005B5CB6" w:rsidP="00575F14">
      <w:pPr>
        <w:numPr>
          <w:ilvl w:val="0"/>
          <w:numId w:val="272"/>
        </w:numPr>
        <w:spacing w:after="5" w:line="250" w:lineRule="auto"/>
        <w:ind w:hanging="360"/>
        <w:jc w:val="both"/>
        <w:rPr>
          <w:rFonts w:ascii="Verdana" w:hAnsi="Verdana"/>
        </w:rPr>
      </w:pPr>
      <w:r w:rsidRPr="005B5CB6">
        <w:rPr>
          <w:rFonts w:ascii="Verdana" w:eastAsia="Verdana" w:hAnsi="Verdana" w:cs="Verdana"/>
          <w:b/>
        </w:rPr>
        <w:t xml:space="preserve">There must be clear separation of advertising content from programme content </w:t>
      </w:r>
    </w:p>
    <w:p w:rsidR="00FB0B24" w:rsidRPr="005B5CB6" w:rsidP="006F32A5">
      <w:pPr>
        <w:spacing w:after="5" w:line="249" w:lineRule="auto"/>
        <w:ind w:left="369" w:right="12" w:hanging="9"/>
        <w:jc w:val="both"/>
        <w:rPr>
          <w:rFonts w:ascii="Verdana" w:hAnsi="Verdana"/>
        </w:rPr>
      </w:pPr>
      <w:r w:rsidRPr="005B5CB6">
        <w:rPr>
          <w:rFonts w:ascii="Verdana" w:eastAsia="Verdana" w:hAnsi="Verdana" w:cs="Verdana"/>
        </w:rPr>
        <w:t>The line between advertising and content is currently blurred,</w:t>
      </w:r>
      <w:r w:rsidRPr="005B5CB6">
        <w:rPr>
          <w:rFonts w:ascii="Verdana" w:eastAsia="Verdana" w:hAnsi="Verdana" w:cs="Verdana"/>
          <w:b/>
        </w:rPr>
        <w:t xml:space="preserve"> </w:t>
      </w:r>
      <w:r w:rsidRPr="005B5CB6">
        <w:rPr>
          <w:rFonts w:ascii="Verdana" w:eastAsia="Verdana" w:hAnsi="Verdana" w:cs="Verdana"/>
        </w:rPr>
        <w:t>making it harder to define precisely what it is that is to be restricted, something that is of particular concern if it is impossible to establish reliably if the recipient of advertising is under 16/18 or not. The issues around online “influencers” is the tip of the iceberg. As in TV there needs to be a single set of bright red lines to define what is content and what is advertising that apply in the same way to all online platforms.</w:t>
      </w:r>
      <w:r w:rsidRPr="005B5CB6">
        <w:rPr>
          <w:rFonts w:ascii="Verdana" w:eastAsia="Verdana" w:hAnsi="Verdana" w:cs="Verdana"/>
          <w:b/>
        </w:rPr>
        <w:t xml:space="preserve"> </w:t>
      </w:r>
    </w:p>
    <w:p w:rsidR="00FB0B24" w:rsidRPr="005B5CB6" w:rsidP="006F32A5">
      <w:pPr>
        <w:jc w:val="both"/>
        <w:rPr>
          <w:rFonts w:ascii="Verdana" w:hAnsi="Verdana"/>
        </w:rPr>
        <w:sectPr w:rsidSect="006562C6">
          <w:headerReference w:type="even" r:id="rId485"/>
          <w:headerReference w:type="default" r:id="rId486"/>
          <w:footerReference w:type="even" r:id="rId487"/>
          <w:footerReference w:type="default" r:id="rId488"/>
          <w:headerReference w:type="first" r:id="rId489"/>
          <w:footerReference w:type="first" r:id="rId490"/>
          <w:pgSz w:w="11899" w:h="16841"/>
          <w:pgMar w:top="768" w:right="1435" w:bottom="720" w:left="1440" w:header="720" w:footer="1001" w:gutter="0"/>
          <w:cols w:space="720"/>
        </w:sectPr>
      </w:pPr>
    </w:p>
    <w:p w:rsidR="00FB0B24" w:rsidRPr="005B5CB6" w:rsidP="00A1624B">
      <w:pPr>
        <w:pStyle w:val="Heading1"/>
        <w:rPr>
          <w:sz w:val="22"/>
        </w:rPr>
      </w:pPr>
      <w:bookmarkStart w:id="78" w:name="_Toc44517766"/>
      <w:r w:rsidRPr="005B5CB6">
        <w:rPr>
          <w:sz w:val="22"/>
        </w:rPr>
        <w:t>Conscious Advertising Network – written evidence (DAD0091)</w:t>
      </w:r>
      <w:bookmarkEnd w:id="78"/>
      <w:r w:rsidRPr="005B5CB6">
        <w:rPr>
          <w:sz w:val="22"/>
        </w:rPr>
        <w:t xml:space="preserve"> </w:t>
      </w:r>
    </w:p>
    <w:p w:rsidR="00FB0B24" w:rsidRPr="005B5CB6" w:rsidP="006F32A5">
      <w:pPr>
        <w:spacing w:after="168" w:line="249" w:lineRule="auto"/>
        <w:ind w:left="10" w:hanging="10"/>
        <w:jc w:val="both"/>
        <w:rPr>
          <w:rFonts w:ascii="Verdana" w:hAnsi="Verdana"/>
        </w:rPr>
      </w:pPr>
      <w:r w:rsidRPr="005B5CB6">
        <w:rPr>
          <w:rFonts w:ascii="Verdana" w:eastAsia="Verdana" w:hAnsi="Verdana" w:cs="Verdana"/>
          <w:i/>
        </w:rPr>
        <w:t xml:space="preserve">Response by Jake Dubbins and Harriet Kingaby, co-chairs, The Conscious Advertising Network, a voluntary coalition of over 70 organisations on a mission to help the ethics catch up with the technology of modern advertising.  </w:t>
      </w:r>
    </w:p>
    <w:p w:rsidR="00FB0B24" w:rsidRPr="005B5CB6" w:rsidP="006F32A5">
      <w:pPr>
        <w:spacing w:after="165" w:line="249" w:lineRule="auto"/>
        <w:ind w:left="10" w:hanging="10"/>
        <w:jc w:val="both"/>
        <w:rPr>
          <w:rFonts w:ascii="Verdana" w:hAnsi="Verdana"/>
        </w:rPr>
      </w:pPr>
      <w:r w:rsidRPr="005B5CB6">
        <w:rPr>
          <w:rFonts w:ascii="Verdana" w:eastAsia="Verdana" w:hAnsi="Verdana" w:cs="Verdana"/>
          <w:i/>
        </w:rPr>
        <w:t xml:space="preserve">Version 1, submitted 07 February 2020. </w:t>
      </w:r>
    </w:p>
    <w:p w:rsidR="00FB0B24" w:rsidRPr="005B5CB6" w:rsidP="006F32A5">
      <w:pPr>
        <w:spacing w:after="165" w:line="250" w:lineRule="auto"/>
        <w:ind w:left="11" w:hanging="10"/>
        <w:jc w:val="both"/>
        <w:rPr>
          <w:rFonts w:ascii="Verdana" w:hAnsi="Verdana"/>
        </w:rPr>
      </w:pPr>
      <w:r w:rsidRPr="005B5CB6">
        <w:rPr>
          <w:rFonts w:ascii="Verdana" w:eastAsia="Verdana" w:hAnsi="Verdana" w:cs="Verdana"/>
          <w:b/>
        </w:rPr>
        <w:t xml:space="preserve">1.1 Synopsis </w:t>
      </w:r>
    </w:p>
    <w:p w:rsidR="00FB0B24" w:rsidRPr="005B5CB6" w:rsidP="00575F14">
      <w:pPr>
        <w:numPr>
          <w:ilvl w:val="0"/>
          <w:numId w:val="273"/>
        </w:numPr>
        <w:spacing w:after="5" w:line="250" w:lineRule="auto"/>
        <w:ind w:right="11" w:hanging="360"/>
        <w:jc w:val="both"/>
        <w:rPr>
          <w:rFonts w:ascii="Verdana" w:hAnsi="Verdana"/>
        </w:rPr>
      </w:pPr>
      <w:r w:rsidRPr="005B5CB6">
        <w:rPr>
          <w:rFonts w:ascii="Verdana" w:eastAsia="Verdana" w:hAnsi="Verdana" w:cs="Verdana"/>
        </w:rPr>
        <w:t xml:space="preserve">Advertising funds the internet, including the misinformation and harmful content currently affecting our democracy.  </w:t>
      </w:r>
    </w:p>
    <w:p w:rsidR="00FB0B24" w:rsidRPr="005B5CB6" w:rsidP="00575F14">
      <w:pPr>
        <w:numPr>
          <w:ilvl w:val="0"/>
          <w:numId w:val="273"/>
        </w:numPr>
        <w:spacing w:after="5" w:line="250" w:lineRule="auto"/>
        <w:ind w:right="11" w:hanging="360"/>
        <w:jc w:val="both"/>
        <w:rPr>
          <w:rFonts w:ascii="Verdana" w:hAnsi="Verdana"/>
        </w:rPr>
      </w:pPr>
      <w:r w:rsidRPr="005B5CB6">
        <w:rPr>
          <w:rFonts w:ascii="Verdana" w:eastAsia="Verdana" w:hAnsi="Verdana" w:cs="Verdana"/>
        </w:rPr>
        <w:t xml:space="preserve">Advertisers have a responsibility to ensure they are not funding harmful content, something they are not yet taking seriously </w:t>
      </w:r>
    </w:p>
    <w:p w:rsidR="00FB0B24" w:rsidRPr="005B5CB6" w:rsidP="00575F14">
      <w:pPr>
        <w:numPr>
          <w:ilvl w:val="0"/>
          <w:numId w:val="273"/>
        </w:numPr>
        <w:spacing w:after="5" w:line="250" w:lineRule="auto"/>
        <w:ind w:right="11" w:hanging="360"/>
        <w:jc w:val="both"/>
        <w:rPr>
          <w:rFonts w:ascii="Verdana" w:hAnsi="Verdana"/>
        </w:rPr>
      </w:pPr>
      <w:r w:rsidRPr="005B5CB6">
        <w:rPr>
          <w:rFonts w:ascii="Verdana" w:eastAsia="Verdana" w:hAnsi="Verdana" w:cs="Verdana"/>
        </w:rPr>
        <w:t xml:space="preserve">We are concerned that COP26 will be subject to a major misinformation campaign and that regulators, platforms and advertisers are underprepared for such an attack.  </w:t>
      </w:r>
    </w:p>
    <w:p w:rsidR="00FB0B24" w:rsidRPr="005B5CB6" w:rsidP="00575F14">
      <w:pPr>
        <w:numPr>
          <w:ilvl w:val="0"/>
          <w:numId w:val="273"/>
        </w:numPr>
        <w:spacing w:after="5" w:line="250" w:lineRule="auto"/>
        <w:ind w:right="11" w:hanging="360"/>
        <w:jc w:val="both"/>
        <w:rPr>
          <w:rFonts w:ascii="Verdana" w:hAnsi="Verdana"/>
        </w:rPr>
      </w:pPr>
      <w:r w:rsidRPr="005B5CB6">
        <w:rPr>
          <w:rFonts w:ascii="Verdana" w:eastAsia="Verdana" w:hAnsi="Verdana" w:cs="Verdana"/>
        </w:rPr>
        <w:t xml:space="preserve">Consumer data is being harvested at a rate, and exploited in a way which leaves us open to manipulation by bad actors. </w:t>
      </w:r>
    </w:p>
    <w:p w:rsidR="00FB0B24" w:rsidRPr="005B5CB6" w:rsidP="00575F14">
      <w:pPr>
        <w:numPr>
          <w:ilvl w:val="0"/>
          <w:numId w:val="273"/>
        </w:numPr>
        <w:spacing w:after="167" w:line="250" w:lineRule="auto"/>
        <w:ind w:right="11" w:hanging="360"/>
        <w:jc w:val="both"/>
        <w:rPr>
          <w:rFonts w:ascii="Verdana" w:hAnsi="Verdana"/>
        </w:rPr>
      </w:pPr>
      <w:r w:rsidRPr="005B5CB6">
        <w:rPr>
          <w:rFonts w:ascii="Verdana" w:eastAsia="Verdana" w:hAnsi="Verdana" w:cs="Verdana"/>
        </w:rPr>
        <w:t xml:space="preserve">Solutions are available, such as signing up to the Conscious Advertising Network, but currently volunteers are policing the internet.  </w:t>
      </w:r>
    </w:p>
    <w:p w:rsidR="00FB0B24" w:rsidRPr="005B5CB6" w:rsidP="006F32A5">
      <w:pPr>
        <w:spacing w:after="157"/>
        <w:ind w:left="1"/>
        <w:jc w:val="both"/>
        <w:rPr>
          <w:rFonts w:ascii="Verdana" w:hAnsi="Verdana"/>
        </w:rPr>
      </w:pPr>
      <w:r w:rsidRPr="005B5CB6">
        <w:rPr>
          <w:rFonts w:ascii="Verdana" w:eastAsia="Verdana" w:hAnsi="Verdana" w:cs="Verdana"/>
          <w:b/>
        </w:rPr>
        <w:t xml:space="preserve"> </w:t>
      </w:r>
    </w:p>
    <w:p w:rsidR="00FB0B24" w:rsidRPr="005B5CB6" w:rsidP="006F32A5">
      <w:pPr>
        <w:pStyle w:val="Heading2"/>
        <w:rPr>
          <w:sz w:val="22"/>
        </w:rPr>
      </w:pPr>
      <w:r w:rsidRPr="005B5CB6">
        <w:rPr>
          <w:sz w:val="22"/>
          <w:u w:val="single" w:color="000000"/>
        </w:rPr>
        <w:t>2. Funding of content on the internet</w:t>
      </w:r>
      <w:r w:rsidRPr="005B5CB6">
        <w:rPr>
          <w:sz w:val="22"/>
        </w:rPr>
        <w:t xml:space="preserve"> </w:t>
      </w:r>
    </w:p>
    <w:p w:rsidR="00FB0B24" w:rsidRPr="005B5CB6" w:rsidP="006F32A5">
      <w:pPr>
        <w:spacing w:after="162" w:line="250" w:lineRule="auto"/>
        <w:ind w:left="11" w:hanging="10"/>
        <w:jc w:val="both"/>
        <w:rPr>
          <w:rFonts w:ascii="Verdana" w:hAnsi="Verdana"/>
        </w:rPr>
      </w:pPr>
      <w:r w:rsidRPr="005B5CB6">
        <w:rPr>
          <w:rFonts w:ascii="Verdana" w:eastAsia="Verdana" w:hAnsi="Verdana" w:cs="Verdana"/>
          <w:b/>
        </w:rPr>
        <w:t xml:space="preserve">2.1 Advertising funds the internet, something advertisers are not yet taking seriously </w:t>
      </w:r>
    </w:p>
    <w:p w:rsidR="00FB0B24" w:rsidRPr="005B5CB6" w:rsidP="006F32A5">
      <w:pPr>
        <w:spacing w:after="165" w:line="250" w:lineRule="auto"/>
        <w:ind w:left="23" w:right="11" w:hanging="8"/>
        <w:jc w:val="both"/>
        <w:rPr>
          <w:rFonts w:ascii="Verdana" w:hAnsi="Verdana"/>
        </w:rPr>
      </w:pPr>
      <w:r w:rsidRPr="005B5CB6">
        <w:rPr>
          <w:rFonts w:ascii="Verdana" w:eastAsia="Verdana" w:hAnsi="Verdana" w:cs="Verdana"/>
        </w:rPr>
        <w:t xml:space="preserve">The internet is a shared resource mostly funded by advertising; a responsibility we would like to see advertisers lean into. At the moment, this dynamic is twisting the development of the online commons to prioritise commercial interest. The result? Journalism that reads more like clickbait, and fake news sites which spread misinformation. Unethical organisations engineer ad fraud through false clicks and bots, which supplements organised crime to the tune of billions. It is no longer good enough for brands to suggest that they have no responsibility for the conditions in their physical supply chains, why should the same be true in their online ones? </w:t>
      </w:r>
    </w:p>
    <w:p w:rsidR="00FB0B24" w:rsidRPr="005B5CB6" w:rsidP="006F32A5">
      <w:pPr>
        <w:spacing w:after="168" w:line="250" w:lineRule="auto"/>
        <w:ind w:left="23" w:right="11" w:hanging="8"/>
        <w:jc w:val="both"/>
        <w:rPr>
          <w:rFonts w:ascii="Verdana" w:hAnsi="Verdana"/>
        </w:rPr>
      </w:pPr>
      <w:r w:rsidRPr="005B5CB6">
        <w:rPr>
          <w:rFonts w:ascii="Verdana" w:eastAsia="Verdana" w:hAnsi="Verdana" w:cs="Verdana"/>
        </w:rPr>
        <w:t xml:space="preserve">The term ‘win win’ is a poor one to use. Neither the advertiser nor the customer is winning in the current situation. Customers have little control over what they consent to with respect to their data. Advertisers often have little idea where their advertising is going. Plus, the current system has cut revenue to quality publishers, making the New York Times compete with cat videos for revenue. In what is known as the ‘adtech tax’, advertising middlemen capture from 55% </w:t>
      </w:r>
      <w:r>
        <w:fldChar w:fldCharType="begin"/>
      </w:r>
      <w:r>
        <w:instrText xml:space="preserve"> HYPERLINK "https://www.adweek.com/digital/3-benefits-resulting-from-ad-tech-tax-cuts/" </w:instrText>
      </w:r>
      <w:r>
        <w:fldChar w:fldCharType="separate"/>
      </w:r>
      <w:r w:rsidRPr="005B5CB6">
        <w:rPr>
          <w:rFonts w:ascii="Verdana" w:eastAsia="Verdana" w:hAnsi="Verdana" w:cs="Verdana"/>
        </w:rPr>
        <w:t>(</w:t>
      </w:r>
      <w:r>
        <w:fldChar w:fldCharType="end"/>
      </w:r>
      <w:r>
        <w:fldChar w:fldCharType="begin"/>
      </w:r>
      <w:r>
        <w:instrText xml:space="preserve"> HYPERLINK "https://www.adweek.com/digital/3-benefits-resulting-from-ad-tech-tax-cuts/" </w:instrText>
      </w:r>
      <w:r>
        <w:fldChar w:fldCharType="separate"/>
      </w:r>
      <w:r w:rsidRPr="005B5CB6">
        <w:rPr>
          <w:rFonts w:ascii="Verdana" w:eastAsia="Verdana" w:hAnsi="Verdana" w:cs="Verdana"/>
          <w:color w:val="0563C1"/>
          <w:u w:val="single" w:color="0563C1"/>
        </w:rPr>
        <w:t>industry data</w:t>
      </w:r>
      <w:r>
        <w:fldChar w:fldCharType="end"/>
      </w:r>
      <w:r>
        <w:fldChar w:fldCharType="begin"/>
      </w:r>
      <w:r>
        <w:instrText xml:space="preserve"> HYPERLINK "https://www.adweek.com/digital/3-benefits-resulting-from-ad-tech-tax-cuts/"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to 70% (</w:t>
      </w:r>
      <w:r>
        <w:fldChar w:fldCharType="begin"/>
      </w:r>
      <w:r>
        <w:instrText xml:space="preserve"> HYPERLINK "https://mediatel.co.uk/newsline/2016/10/04/where-did-the-money-go-guardian-buys-its-own-ad-inventory/" </w:instrText>
      </w:r>
      <w:r>
        <w:fldChar w:fldCharType="separate"/>
      </w:r>
      <w:r w:rsidRPr="005B5CB6">
        <w:rPr>
          <w:rFonts w:ascii="Verdana" w:eastAsia="Verdana" w:hAnsi="Verdana" w:cs="Verdana"/>
          <w:color w:val="0563C1"/>
          <w:u w:val="single" w:color="0563C1"/>
        </w:rPr>
        <w:t>as demonstrated by The Guardian</w:t>
      </w:r>
      <w:r>
        <w:fldChar w:fldCharType="end"/>
      </w:r>
      <w:r>
        <w:fldChar w:fldCharType="begin"/>
      </w:r>
      <w:r>
        <w:instrText xml:space="preserve"> HYPERLINK "https://mediatel.co.uk/newsline/2016/10/04/where-did-the-money-go-guardian-buys-its-own-ad-inventory/"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of every dollar spent on an ad. Surely this isn’t right.  </w:t>
      </w:r>
    </w:p>
    <w:p w:rsidR="00FB0B24" w:rsidRPr="005B5CB6" w:rsidP="006F32A5">
      <w:pPr>
        <w:spacing w:after="0"/>
        <w:jc w:val="both"/>
        <w:rPr>
          <w:rFonts w:ascii="Verdana" w:hAnsi="Verdana"/>
        </w:rPr>
      </w:pPr>
      <w:r w:rsidRPr="005B5CB6">
        <w:rPr>
          <w:rFonts w:ascii="Verdana" w:eastAsia="Verdana" w:hAnsi="Verdana" w:cs="Verdana"/>
          <w:b/>
        </w:rPr>
        <w:t xml:space="preserve"> </w:t>
      </w:r>
    </w:p>
    <w:p w:rsidR="00FB0B24" w:rsidRPr="005B5CB6" w:rsidP="006F32A5">
      <w:pPr>
        <w:spacing w:after="165" w:line="250" w:lineRule="auto"/>
        <w:ind w:left="11" w:hanging="10"/>
        <w:jc w:val="both"/>
        <w:rPr>
          <w:rFonts w:ascii="Verdana" w:hAnsi="Verdana"/>
        </w:rPr>
      </w:pPr>
      <w:r w:rsidRPr="005B5CB6">
        <w:rPr>
          <w:rFonts w:ascii="Verdana" w:eastAsia="Verdana" w:hAnsi="Verdana" w:cs="Verdana"/>
          <w:b/>
        </w:rPr>
        <w:t xml:space="preserve">2.2 Advertising is funding hate speech, misinformation, organised crime, and threatening the welfare of our children </w:t>
      </w:r>
    </w:p>
    <w:p w:rsidR="00FB0B24" w:rsidRPr="005B5CB6" w:rsidP="006F32A5">
      <w:pPr>
        <w:spacing w:after="163" w:line="250" w:lineRule="auto"/>
        <w:ind w:left="23" w:right="11" w:hanging="8"/>
        <w:jc w:val="both"/>
        <w:rPr>
          <w:rFonts w:ascii="Verdana" w:hAnsi="Verdana"/>
        </w:rPr>
      </w:pPr>
      <w:r w:rsidRPr="005B5CB6">
        <w:rPr>
          <w:rFonts w:ascii="Verdana" w:eastAsia="Verdana" w:hAnsi="Verdana" w:cs="Verdana"/>
        </w:rPr>
        <w:t xml:space="preserve">The advertising industry has a unique place in our lives, funding much of the visual and auditory content that shapes what we understand about our lives and critical issues, such as climate change and sustainability. </w:t>
      </w:r>
    </w:p>
    <w:p w:rsidR="00FB0B24" w:rsidRPr="005B5CB6" w:rsidP="006F32A5">
      <w:pPr>
        <w:spacing w:after="165" w:line="250" w:lineRule="auto"/>
        <w:ind w:left="23" w:right="11" w:hanging="8"/>
        <w:jc w:val="both"/>
        <w:rPr>
          <w:rFonts w:ascii="Verdana" w:hAnsi="Verdana"/>
        </w:rPr>
      </w:pPr>
      <w:r w:rsidRPr="005B5CB6">
        <w:rPr>
          <w:rFonts w:ascii="Verdana" w:eastAsia="Verdana" w:hAnsi="Verdana" w:cs="Verdana"/>
        </w:rPr>
        <w:t xml:space="preserve">Advertisements are appearing next to White supremacist content, climate denial, and paedophile content, funding it. Hatred online is an economic model. In CAN’s recent presentation at the United Nations’ Forum for Business and Human Rights in Geneva we demonstrated how many groups are making money from online hate by producing content they can monetise through the platforms. </w:t>
      </w:r>
    </w:p>
    <w:p w:rsidR="00FB0B24" w:rsidRPr="005B5CB6" w:rsidP="006F32A5">
      <w:pPr>
        <w:spacing w:after="114" w:line="250" w:lineRule="auto"/>
        <w:ind w:left="23" w:right="11" w:hanging="8"/>
        <w:jc w:val="both"/>
        <w:rPr>
          <w:rFonts w:ascii="Verdana" w:hAnsi="Verdana"/>
        </w:rPr>
      </w:pPr>
      <w:r w:rsidRPr="005B5CB6">
        <w:rPr>
          <w:rFonts w:ascii="Verdana" w:eastAsia="Verdana" w:hAnsi="Verdana" w:cs="Verdana"/>
        </w:rPr>
        <w:t xml:space="preserve">We believe there needs to be more discussion of how brands and the advertising industry are taking measures to mitigate the funding of this content.  </w:t>
      </w:r>
    </w:p>
    <w:p w:rsidR="00FB0B24" w:rsidRPr="005B5CB6" w:rsidP="006F32A5">
      <w:pPr>
        <w:spacing w:after="113"/>
        <w:ind w:right="272"/>
        <w:jc w:val="both"/>
        <w:rPr>
          <w:rFonts w:ascii="Verdana" w:hAnsi="Verdana"/>
        </w:rPr>
      </w:pPr>
      <w:r>
        <w:rPr>
          <w:rFonts w:ascii="Verdana" w:hAnsi="Verdana"/>
          <w:noProof/>
        </w:rPr>
        <w:pict>
          <v:group id="Group 612331" o:spid="_x0000_i1475" style="height:172.3pt;mso-position-horizontal-relative:char;mso-position-vertical-relative:line;width:434.05pt" coordsize="55124,21883">
            <v:rect id="Rectangle 50215" o:spid="_x0000_s1476" style="height:1817;left:41406;mso-wrap-style:square;position:absolute;top:20517;v-text-anchor:top;visibility:visible;width:656" filled="f" stroked="f">
              <v:textbox inset="0,0,0,0">
                <w:txbxContent>
                  <w:p w:rsidR="00673732">
                    <w:r>
                      <w:rPr>
                        <w:rFonts w:ascii="Verdana" w:eastAsia="Verdana" w:hAnsi="Verdana" w:cs="Verdana"/>
                      </w:rPr>
                      <w:t xml:space="preserve"> </w:t>
                    </w:r>
                  </w:p>
                </w:txbxContent>
              </v:textbox>
            </v:rect>
            <v:shape id="Picture 50221" o:spid="_x0000_s1477" type="#_x0000_t75" style="height:21598;mso-wrap-style:square;position:absolute;visibility:visible;width:41402">
              <v:imagedata r:id="rId491" o:title=""/>
            </v:shape>
            <v:shape id="Picture 50223" o:spid="_x0000_s1478" type="#_x0000_t75" style="height:19343;left:41899;mso-wrap-style:square;position:absolute;top:2260;visibility:visible;width:13225">
              <v:imagedata r:id="rId492" o:title=""/>
            </v:shape>
            <w10:wrap type="none"/>
            <w10:anchorlock/>
          </v:group>
        </w:pict>
      </w:r>
      <w:r w:rsidRPr="005B5CB6">
        <w:rPr>
          <w:rFonts w:ascii="Verdana" w:eastAsia="Verdana" w:hAnsi="Verdana" w:cs="Verdana"/>
        </w:rPr>
        <w:t xml:space="preserve"> </w:t>
      </w:r>
    </w:p>
    <w:p w:rsidR="00FB0B24" w:rsidRPr="005B5CB6" w:rsidP="006F32A5">
      <w:pPr>
        <w:spacing w:after="5" w:line="249" w:lineRule="auto"/>
        <w:ind w:left="10" w:hanging="10"/>
        <w:jc w:val="both"/>
        <w:rPr>
          <w:rFonts w:ascii="Verdana" w:hAnsi="Verdana"/>
        </w:rPr>
      </w:pPr>
      <w:r w:rsidRPr="005B5CB6">
        <w:rPr>
          <w:rFonts w:ascii="Verdana" w:eastAsia="Verdana" w:hAnsi="Verdana" w:cs="Verdana"/>
          <w:i/>
        </w:rPr>
        <w:t xml:space="preserve">Tommy Robinson’s website, funded by brands such as LG, The Times and </w:t>
      </w:r>
    </w:p>
    <w:p w:rsidR="00FB0B24" w:rsidRPr="005B5CB6" w:rsidP="006F32A5">
      <w:pPr>
        <w:spacing w:after="113" w:line="249" w:lineRule="auto"/>
        <w:ind w:left="10" w:hanging="10"/>
        <w:jc w:val="both"/>
        <w:rPr>
          <w:rFonts w:ascii="Verdana" w:hAnsi="Verdana"/>
        </w:rPr>
      </w:pPr>
      <w:r w:rsidRPr="005B5CB6">
        <w:rPr>
          <w:rFonts w:ascii="Verdana" w:eastAsia="Verdana" w:hAnsi="Verdana" w:cs="Verdana"/>
          <w:i/>
        </w:rPr>
        <w:t xml:space="preserve">Islamic Relief, before advertising was removed as a result of a tip off from CAN </w:t>
      </w:r>
    </w:p>
    <w:p w:rsidR="00FB0B24" w:rsidRPr="005B5CB6" w:rsidP="006F32A5">
      <w:pPr>
        <w:spacing w:after="0"/>
        <w:ind w:right="2502"/>
        <w:jc w:val="both"/>
        <w:rPr>
          <w:rFonts w:ascii="Verdana" w:hAnsi="Verdana"/>
        </w:rPr>
      </w:pPr>
      <w:r w:rsidRPr="005B5CB6">
        <w:rPr>
          <w:rFonts w:ascii="Verdana" w:hAnsi="Verdana"/>
          <w:noProof/>
        </w:rPr>
        <w:drawing>
          <wp:inline distT="0" distB="0" distL="0" distR="0">
            <wp:extent cx="4044385" cy="1962150"/>
            <wp:effectExtent l="0" t="0" r="0" b="0"/>
            <wp:docPr id="50225" name="Picture 50225"/>
            <wp:cNvGraphicFramePr/>
            <a:graphic xmlns:a="http://schemas.openxmlformats.org/drawingml/2006/main">
              <a:graphicData uri="http://schemas.openxmlformats.org/drawingml/2006/picture">
                <pic:pic xmlns:pic="http://schemas.openxmlformats.org/drawingml/2006/picture">
                  <pic:nvPicPr>
                    <pic:cNvPr id="50225" name="Picture 50225"/>
                    <pic:cNvPicPr/>
                  </pic:nvPicPr>
                  <pic:blipFill>
                    <a:blip xmlns:r="http://schemas.openxmlformats.org/officeDocument/2006/relationships" r:embed="rId493"/>
                    <a:stretch>
                      <a:fillRect/>
                    </a:stretch>
                  </pic:blipFill>
                  <pic:spPr>
                    <a:xfrm>
                      <a:off x="0" y="0"/>
                      <a:ext cx="4044385" cy="1962150"/>
                    </a:xfrm>
                    <a:prstGeom prst="rect">
                      <a:avLst/>
                    </a:prstGeom>
                  </pic:spPr>
                </pic:pic>
              </a:graphicData>
            </a:graphic>
          </wp:inline>
        </w:drawing>
      </w:r>
      <w:r w:rsidRPr="005B5CB6">
        <w:rPr>
          <w:rFonts w:ascii="Verdana" w:eastAsia="Verdana" w:hAnsi="Verdana" w:cs="Verdana"/>
        </w:rPr>
        <w:t xml:space="preserve">  </w:t>
      </w:r>
    </w:p>
    <w:p w:rsidR="00FB0B24" w:rsidRPr="005B5CB6" w:rsidP="006F32A5">
      <w:pPr>
        <w:spacing w:after="111"/>
        <w:ind w:right="2579"/>
        <w:jc w:val="both"/>
        <w:rPr>
          <w:rFonts w:ascii="Verdana" w:hAnsi="Verdana"/>
        </w:rPr>
      </w:pPr>
      <w:r w:rsidRPr="005B5CB6">
        <w:rPr>
          <w:rFonts w:ascii="Verdana" w:hAnsi="Verdana"/>
          <w:noProof/>
        </w:rPr>
        <w:drawing>
          <wp:inline distT="0" distB="0" distL="0" distR="0">
            <wp:extent cx="4044146" cy="1952625"/>
            <wp:effectExtent l="0" t="0" r="0" b="0"/>
            <wp:docPr id="50266" name="Picture 50266"/>
            <wp:cNvGraphicFramePr/>
            <a:graphic xmlns:a="http://schemas.openxmlformats.org/drawingml/2006/main">
              <a:graphicData uri="http://schemas.openxmlformats.org/drawingml/2006/picture">
                <pic:pic xmlns:pic="http://schemas.openxmlformats.org/drawingml/2006/picture">
                  <pic:nvPicPr>
                    <pic:cNvPr id="50266" name="Picture 50266"/>
                    <pic:cNvPicPr/>
                  </pic:nvPicPr>
                  <pic:blipFill>
                    <a:blip xmlns:r="http://schemas.openxmlformats.org/officeDocument/2006/relationships" r:embed="rId494"/>
                    <a:stretch>
                      <a:fillRect/>
                    </a:stretch>
                  </pic:blipFill>
                  <pic:spPr>
                    <a:xfrm>
                      <a:off x="0" y="0"/>
                      <a:ext cx="4044146" cy="1952625"/>
                    </a:xfrm>
                    <a:prstGeom prst="rect">
                      <a:avLst/>
                    </a:prstGeom>
                  </pic:spPr>
                </pic:pic>
              </a:graphicData>
            </a:graphic>
          </wp:inline>
        </w:drawing>
      </w:r>
      <w:r w:rsidRPr="005B5CB6">
        <w:rPr>
          <w:rFonts w:ascii="Verdana" w:eastAsia="Verdana" w:hAnsi="Verdana" w:cs="Verdana"/>
          <w:i/>
        </w:rPr>
        <w:t xml:space="preserve"> </w:t>
      </w:r>
    </w:p>
    <w:p w:rsidR="00FB0B24" w:rsidRPr="005B5CB6" w:rsidP="006F32A5">
      <w:pPr>
        <w:spacing w:after="114" w:line="249" w:lineRule="auto"/>
        <w:ind w:left="10" w:hanging="10"/>
        <w:jc w:val="both"/>
        <w:rPr>
          <w:rFonts w:ascii="Verdana" w:hAnsi="Verdana"/>
        </w:rPr>
      </w:pPr>
      <w:r w:rsidRPr="005B5CB6">
        <w:rPr>
          <w:rFonts w:ascii="Verdana" w:eastAsia="Verdana" w:hAnsi="Verdana" w:cs="Verdana"/>
          <w:i/>
        </w:rPr>
        <w:t xml:space="preserve">Climate denial on German language Russia Today, see title ‘CO2 is harmlos’, funded by Iglo, Adobe, Deloitte. </w:t>
      </w:r>
    </w:p>
    <w:p w:rsidR="00FB0B24" w:rsidRPr="005B5CB6" w:rsidP="006F32A5">
      <w:pPr>
        <w:spacing w:after="113"/>
        <w:ind w:right="2670"/>
        <w:jc w:val="both"/>
        <w:rPr>
          <w:rFonts w:ascii="Verdana" w:hAnsi="Verdana"/>
        </w:rPr>
      </w:pPr>
      <w:r w:rsidRPr="005B5CB6">
        <w:rPr>
          <w:rFonts w:ascii="Verdana" w:hAnsi="Verdana"/>
          <w:noProof/>
        </w:rPr>
        <w:drawing>
          <wp:inline distT="0" distB="0" distL="0" distR="0">
            <wp:extent cx="3986696" cy="2245995"/>
            <wp:effectExtent l="0" t="0" r="0" b="0"/>
            <wp:docPr id="50268" name="Picture 50268"/>
            <wp:cNvGraphicFramePr/>
            <a:graphic xmlns:a="http://schemas.openxmlformats.org/drawingml/2006/main">
              <a:graphicData uri="http://schemas.openxmlformats.org/drawingml/2006/picture">
                <pic:pic xmlns:pic="http://schemas.openxmlformats.org/drawingml/2006/picture">
                  <pic:nvPicPr>
                    <pic:cNvPr id="50268" name="Picture 50268"/>
                    <pic:cNvPicPr/>
                  </pic:nvPicPr>
                  <pic:blipFill>
                    <a:blip xmlns:r="http://schemas.openxmlformats.org/officeDocument/2006/relationships" r:embed="rId495"/>
                    <a:stretch>
                      <a:fillRect/>
                    </a:stretch>
                  </pic:blipFill>
                  <pic:spPr>
                    <a:xfrm>
                      <a:off x="0" y="0"/>
                      <a:ext cx="3986696" cy="2245995"/>
                    </a:xfrm>
                    <a:prstGeom prst="rect">
                      <a:avLst/>
                    </a:prstGeom>
                  </pic:spPr>
                </pic:pic>
              </a:graphicData>
            </a:graphic>
          </wp:inline>
        </w:drawing>
      </w:r>
      <w:r w:rsidRPr="005B5CB6">
        <w:rPr>
          <w:rFonts w:ascii="Verdana" w:eastAsia="Verdana" w:hAnsi="Verdana" w:cs="Verdana"/>
          <w:i/>
        </w:rPr>
        <w:t xml:space="preserve"> </w:t>
      </w:r>
    </w:p>
    <w:p w:rsidR="00FB0B24" w:rsidRPr="005B5CB6" w:rsidP="006F32A5">
      <w:pPr>
        <w:spacing w:after="168" w:line="249" w:lineRule="auto"/>
        <w:ind w:left="10" w:hanging="10"/>
        <w:jc w:val="both"/>
        <w:rPr>
          <w:rFonts w:ascii="Verdana" w:hAnsi="Verdana"/>
        </w:rPr>
      </w:pPr>
      <w:r w:rsidRPr="005B5CB6">
        <w:rPr>
          <w:rFonts w:ascii="Verdana" w:eastAsia="Verdana" w:hAnsi="Verdana" w:cs="Verdana"/>
          <w:i/>
        </w:rPr>
        <w:t xml:space="preserve">Inappropriate and paedophilic content, accessed via YouTube and funded by advertising.  </w:t>
      </w:r>
    </w:p>
    <w:p w:rsidR="00FB0B24" w:rsidRPr="005B5CB6" w:rsidP="006F32A5">
      <w:pPr>
        <w:spacing w:after="159"/>
        <w:jc w:val="both"/>
        <w:rPr>
          <w:rFonts w:ascii="Verdana" w:hAnsi="Verdana"/>
        </w:rPr>
      </w:pPr>
      <w:r w:rsidRPr="005B5CB6">
        <w:rPr>
          <w:rFonts w:ascii="Verdana" w:eastAsia="Verdana" w:hAnsi="Verdana" w:cs="Verdana"/>
          <w:b/>
        </w:rPr>
        <w:t xml:space="preserve"> </w:t>
      </w:r>
    </w:p>
    <w:p w:rsidR="00FB0B24" w:rsidRPr="005B5CB6" w:rsidP="006F32A5">
      <w:pPr>
        <w:pStyle w:val="Heading2"/>
        <w:rPr>
          <w:sz w:val="22"/>
        </w:rPr>
      </w:pPr>
      <w:r w:rsidRPr="005B5CB6">
        <w:rPr>
          <w:sz w:val="22"/>
          <w:u w:val="single" w:color="000000"/>
        </w:rPr>
        <w:t>3. COP26</w:t>
      </w:r>
      <w:r w:rsidRPr="005B5CB6">
        <w:rPr>
          <w:sz w:val="22"/>
        </w:rPr>
        <w:t xml:space="preserve"> </w:t>
      </w:r>
    </w:p>
    <w:p w:rsidR="00FB0B24" w:rsidRPr="005B5CB6" w:rsidP="006F32A5">
      <w:pPr>
        <w:spacing w:after="244" w:line="250" w:lineRule="auto"/>
        <w:ind w:left="11" w:hanging="10"/>
        <w:jc w:val="both"/>
        <w:rPr>
          <w:rFonts w:ascii="Verdana" w:hAnsi="Verdana"/>
        </w:rPr>
      </w:pPr>
      <w:r w:rsidRPr="005B5CB6">
        <w:rPr>
          <w:rFonts w:ascii="Verdana" w:eastAsia="Verdana" w:hAnsi="Verdana" w:cs="Verdana"/>
          <w:b/>
        </w:rPr>
        <w:t xml:space="preserve">3.1 We are concerned that COP26 will be hijacked by misinformation, funded by advertising </w:t>
      </w:r>
    </w:p>
    <w:p w:rsidR="00FB0B24" w:rsidRPr="005B5CB6" w:rsidP="006F32A5">
      <w:pPr>
        <w:spacing w:after="232" w:line="250" w:lineRule="auto"/>
        <w:ind w:left="23" w:right="11" w:hanging="8"/>
        <w:jc w:val="both"/>
        <w:rPr>
          <w:rFonts w:ascii="Verdana" w:hAnsi="Verdana"/>
        </w:rPr>
      </w:pPr>
      <w:r w:rsidRPr="005B5CB6">
        <w:rPr>
          <w:rFonts w:ascii="Verdana" w:eastAsia="Verdana" w:hAnsi="Verdana" w:cs="Verdana"/>
        </w:rPr>
        <w:t xml:space="preserve">We have seen up close how organised, global misinformation campaigns can disrupt and even break apart global, multilateral United Nations agreements. </w:t>
      </w:r>
      <w:r>
        <w:fldChar w:fldCharType="begin"/>
      </w:r>
      <w:r>
        <w:instrText xml:space="preserve"> HYPERLINK "http://webtv.un.org/live-now/watch/70th-anniversary-of-the-universal-declaration-of-human-rights-udhr/5977775804001/?term" </w:instrText>
      </w:r>
      <w:r>
        <w:fldChar w:fldCharType="separate"/>
      </w:r>
      <w:r w:rsidRPr="005B5CB6">
        <w:rPr>
          <w:rFonts w:ascii="Verdana" w:eastAsia="Verdana" w:hAnsi="Verdana" w:cs="Verdana"/>
          <w:color w:val="0563C1"/>
          <w:u w:val="single" w:color="0563C1"/>
        </w:rPr>
        <w:t>Here is a talk</w:t>
      </w:r>
      <w:r>
        <w:fldChar w:fldCharType="end"/>
      </w:r>
      <w:r>
        <w:fldChar w:fldCharType="begin"/>
      </w:r>
      <w:r>
        <w:instrText xml:space="preserve"> HYPERLINK "http://webtv.un.org/live-now/watch/70th-anniversary-of-the-universal-declaration-of-human-rights-udhr/5977775804001/?term"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we gave at a General Assembly conference in Marrakesh at the adoption of the Global Compact for Migration. The speech is 40.25 - 48.00. </w:t>
      </w:r>
    </w:p>
    <w:p w:rsidR="00FB0B24" w:rsidRPr="005B5CB6" w:rsidP="006F32A5">
      <w:pPr>
        <w:spacing w:after="232" w:line="250" w:lineRule="auto"/>
        <w:ind w:left="23" w:right="11" w:hanging="8"/>
        <w:jc w:val="both"/>
        <w:rPr>
          <w:rFonts w:ascii="Verdana" w:hAnsi="Verdana"/>
        </w:rPr>
      </w:pPr>
      <w:r w:rsidRPr="005B5CB6">
        <w:rPr>
          <w:rFonts w:ascii="Verdana" w:eastAsia="Verdana" w:hAnsi="Verdana" w:cs="Verdana"/>
        </w:rPr>
        <w:t xml:space="preserve">The misinformation campaign to discredit the agreement was co-ordinated and international, and resulted in the US, Australia, Poland, Chile and others pulling out while the Belgian Government collapsed. YouTube was a particular issue, pushing misinformation as some of the top search results, which were also funded by advertising. A recent </w:t>
      </w:r>
      <w:r>
        <w:fldChar w:fldCharType="begin"/>
      </w:r>
      <w:r>
        <w:instrText xml:space="preserve"> HYPERLINK "https://secure.avaaz.org/campaign/en/youtube_climate_misinformation/" </w:instrText>
      </w:r>
      <w:r>
        <w:fldChar w:fldCharType="separate"/>
      </w:r>
      <w:r w:rsidRPr="005B5CB6">
        <w:rPr>
          <w:rFonts w:ascii="Verdana" w:eastAsia="Verdana" w:hAnsi="Verdana" w:cs="Verdana"/>
          <w:color w:val="0563C1"/>
          <w:u w:val="single" w:color="0563C1"/>
        </w:rPr>
        <w:t>report by Avaaz</w:t>
      </w:r>
      <w:r>
        <w:fldChar w:fldCharType="end"/>
      </w:r>
      <w:r>
        <w:fldChar w:fldCharType="begin"/>
      </w:r>
      <w:r>
        <w:instrText xml:space="preserve"> HYPERLINK "https://secure.avaaz.org/campaign/en/youtube_climate_misinformation/"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showed how climate misinformation is being recommended as top results via YouTube’s recommendation engine, and travels swiftly around YouTube in a similar fashion. However, advertisers and YouTube have been </w:t>
      </w:r>
      <w:r>
        <w:fldChar w:fldCharType="begin"/>
      </w:r>
      <w:r>
        <w:instrText xml:space="preserve"> HYPERLINK "https://www.thedrum.com/news/2020/01/23/youtube-s-uk-boss-brand-safety-no-longer-top-the-list-advertisers" </w:instrText>
      </w:r>
      <w:r>
        <w:fldChar w:fldCharType="separate"/>
      </w:r>
      <w:r w:rsidRPr="005B5CB6">
        <w:rPr>
          <w:rFonts w:ascii="Verdana" w:eastAsia="Verdana" w:hAnsi="Verdana" w:cs="Verdana"/>
          <w:color w:val="0563C1"/>
          <w:u w:val="single" w:color="0563C1"/>
        </w:rPr>
        <w:t>slow to respond</w:t>
      </w:r>
      <w:r>
        <w:fldChar w:fldCharType="end"/>
      </w:r>
      <w:r>
        <w:fldChar w:fldCharType="begin"/>
      </w:r>
      <w:r>
        <w:instrText xml:space="preserve"> HYPERLINK "https://www.thedrum.com/news/2020/01/23/youtube-s-uk-boss-brand-safety-no-longer-top-the-list-advertisers"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downplaying the issue, and we are seriously concerned that COP26 could be subject to a similar campaign, with misinformation funded by advertising.  </w:t>
      </w:r>
    </w:p>
    <w:p w:rsidR="00FB0B24" w:rsidRPr="005B5CB6" w:rsidP="006F32A5">
      <w:pPr>
        <w:spacing w:after="177" w:line="250" w:lineRule="auto"/>
        <w:ind w:left="23" w:right="11" w:hanging="8"/>
        <w:jc w:val="both"/>
        <w:rPr>
          <w:rFonts w:ascii="Verdana" w:hAnsi="Verdana"/>
        </w:rPr>
      </w:pPr>
      <w:r w:rsidRPr="005B5CB6">
        <w:rPr>
          <w:rFonts w:ascii="Verdana" w:eastAsia="Verdana" w:hAnsi="Verdana" w:cs="Verdana"/>
        </w:rPr>
        <w:t xml:space="preserve">We would like to know more about how the ASA, platforms and advertisers are preparing for such an eventuality, and recommend the Lords urge advertisers and platforms to take this threat seriously and urgently. YouTube, at the very least, needs to make sure that climate misinformation is included in its misinformation guidelines, and that advertisers have the option to opt out of funding denialist content. We need leadership on what responsible advertising which tackles climate change and delivers against SDGs looks like and this must be adopted by advertisers, and the platforms. </w:t>
      </w:r>
    </w:p>
    <w:p w:rsidR="00FB0B24" w:rsidRPr="005B5CB6" w:rsidP="006F32A5">
      <w:pPr>
        <w:spacing w:after="0"/>
        <w:ind w:right="1054"/>
        <w:jc w:val="both"/>
        <w:rPr>
          <w:rFonts w:ascii="Verdana" w:hAnsi="Verdana"/>
        </w:rPr>
      </w:pPr>
      <w:r w:rsidRPr="005B5CB6">
        <w:rPr>
          <w:rFonts w:ascii="Verdana" w:hAnsi="Verdana"/>
          <w:noProof/>
        </w:rPr>
        <w:drawing>
          <wp:inline distT="0" distB="0" distL="0" distR="0">
            <wp:extent cx="5012690" cy="1790599"/>
            <wp:effectExtent l="0" t="0" r="0" b="0"/>
            <wp:docPr id="50328" name="Picture 50328"/>
            <wp:cNvGraphicFramePr/>
            <a:graphic xmlns:a="http://schemas.openxmlformats.org/drawingml/2006/main">
              <a:graphicData uri="http://schemas.openxmlformats.org/drawingml/2006/picture">
                <pic:pic xmlns:pic="http://schemas.openxmlformats.org/drawingml/2006/picture">
                  <pic:nvPicPr>
                    <pic:cNvPr id="50328" name="Picture 50328"/>
                    <pic:cNvPicPr/>
                  </pic:nvPicPr>
                  <pic:blipFill>
                    <a:blip xmlns:r="http://schemas.openxmlformats.org/officeDocument/2006/relationships" r:embed="rId496"/>
                    <a:stretch>
                      <a:fillRect/>
                    </a:stretch>
                  </pic:blipFill>
                  <pic:spPr>
                    <a:xfrm>
                      <a:off x="0" y="0"/>
                      <a:ext cx="5012690" cy="1790599"/>
                    </a:xfrm>
                    <a:prstGeom prst="rect">
                      <a:avLst/>
                    </a:prstGeom>
                  </pic:spPr>
                </pic:pic>
              </a:graphicData>
            </a:graphic>
          </wp:inline>
        </w:drawing>
      </w:r>
      <w:r w:rsidRPr="005B5CB6">
        <w:rPr>
          <w:rFonts w:ascii="Verdana" w:eastAsia="Verdana" w:hAnsi="Verdana" w:cs="Verdana"/>
        </w:rPr>
        <w:t xml:space="preserve"> </w:t>
      </w:r>
    </w:p>
    <w:p w:rsidR="00FB0B24" w:rsidRPr="005B5CB6" w:rsidP="006F32A5">
      <w:pPr>
        <w:spacing w:after="156"/>
        <w:jc w:val="both"/>
        <w:rPr>
          <w:rFonts w:ascii="Verdana" w:hAnsi="Verdana"/>
        </w:rPr>
      </w:pPr>
      <w:r w:rsidRPr="005B5CB6">
        <w:rPr>
          <w:rFonts w:ascii="Verdana" w:eastAsia="Verdana" w:hAnsi="Verdana" w:cs="Verdana"/>
          <w:b/>
        </w:rPr>
        <w:t xml:space="preserve"> </w:t>
      </w:r>
    </w:p>
    <w:p w:rsidR="00FB0B24" w:rsidRPr="005B5CB6" w:rsidP="006F32A5">
      <w:pPr>
        <w:spacing w:after="168" w:line="249" w:lineRule="auto"/>
        <w:ind w:left="10" w:hanging="10"/>
        <w:jc w:val="both"/>
        <w:rPr>
          <w:rFonts w:ascii="Verdana" w:hAnsi="Verdana"/>
        </w:rPr>
      </w:pPr>
      <w:r w:rsidRPr="005B5CB6">
        <w:rPr>
          <w:rFonts w:ascii="Verdana" w:eastAsia="Verdana" w:hAnsi="Verdana" w:cs="Verdana"/>
          <w:i/>
        </w:rPr>
        <w:t xml:space="preserve">Headlines from the UN Global Compact on Migration. Misinformation featured in the Daily Express, funded by major advertisers. And the Stop Funding Hate debunk. </w:t>
      </w:r>
    </w:p>
    <w:p w:rsidR="00FB0B24" w:rsidRPr="005B5CB6" w:rsidP="006F32A5">
      <w:pPr>
        <w:spacing w:after="156"/>
        <w:jc w:val="both"/>
        <w:rPr>
          <w:rFonts w:ascii="Verdana" w:hAnsi="Verdana"/>
        </w:rPr>
      </w:pPr>
      <w:r w:rsidRPr="005B5CB6">
        <w:rPr>
          <w:rFonts w:ascii="Verdana" w:eastAsia="Verdana" w:hAnsi="Verdana" w:cs="Verdana"/>
          <w:b/>
        </w:rPr>
        <w:t xml:space="preserve"> </w:t>
      </w:r>
    </w:p>
    <w:p w:rsidR="00FB0B24" w:rsidRPr="005B5CB6" w:rsidP="006F32A5">
      <w:pPr>
        <w:spacing w:after="165" w:line="250" w:lineRule="auto"/>
        <w:ind w:left="11" w:hanging="10"/>
        <w:jc w:val="both"/>
        <w:rPr>
          <w:rFonts w:ascii="Verdana" w:hAnsi="Verdana"/>
        </w:rPr>
      </w:pPr>
      <w:r w:rsidRPr="005B5CB6">
        <w:rPr>
          <w:rFonts w:ascii="Verdana" w:eastAsia="Verdana" w:hAnsi="Verdana" w:cs="Verdana"/>
          <w:b/>
        </w:rPr>
        <w:t xml:space="preserve">3.2 The ASA has a limited remit, based on times when mass advertising was the norm  </w:t>
      </w:r>
    </w:p>
    <w:p w:rsidR="00FB0B24" w:rsidRPr="005B5CB6" w:rsidP="006F32A5">
      <w:pPr>
        <w:spacing w:after="165" w:line="250" w:lineRule="auto"/>
        <w:ind w:left="23" w:right="11" w:hanging="8"/>
        <w:jc w:val="both"/>
        <w:rPr>
          <w:rFonts w:ascii="Verdana" w:hAnsi="Verdana"/>
        </w:rPr>
      </w:pPr>
      <w:r w:rsidRPr="005B5CB6">
        <w:rPr>
          <w:rFonts w:ascii="Verdana" w:eastAsia="Verdana" w:hAnsi="Verdana" w:cs="Verdana"/>
        </w:rPr>
        <w:t xml:space="preserve">It appears that the ASA has no way of tracking ads which are targeted at individuals unless they do the kind of tracking mentioned in the evidence. This is an age of behavioural targeting. </w:t>
      </w:r>
    </w:p>
    <w:p w:rsidR="00FB0B24" w:rsidRPr="005B5CB6" w:rsidP="006F32A5">
      <w:pPr>
        <w:spacing w:after="5" w:line="250" w:lineRule="auto"/>
        <w:ind w:left="23" w:right="11" w:hanging="8"/>
        <w:jc w:val="both"/>
        <w:rPr>
          <w:rFonts w:ascii="Verdana" w:hAnsi="Verdana"/>
        </w:rPr>
      </w:pPr>
      <w:r w:rsidRPr="005B5CB6">
        <w:rPr>
          <w:rFonts w:ascii="Verdana" w:eastAsia="Verdana" w:hAnsi="Verdana" w:cs="Verdana"/>
        </w:rPr>
        <w:t xml:space="preserve">Waiting for the public to report things, and doing some tracking on key issues is not enough for programmatically targeted ads to distinct segments. It means that if, for example, an entity wanted to spread an IDEA to a distinct group of people (particularly if those people have little agency or have low digital literacy), as opposed to marketing a PRODUCT to them, the ASA would have no idea, as those people would be unlikely to complain or to know they were being manipulated. We have seen this with the spread of anti-vax, flat earth and white supremacist ideas, which were spread via YouTube and funded by advertising. Even their example of homeopathy is interesting, but still revolves around products. Ideas are being distorted using methods designed to market products, messages are being tested, honed and weaponised using analytical feedback. And no one knows what ads are being placed or how they’re being targeted.  </w:t>
      </w:r>
    </w:p>
    <w:p w:rsidR="00FB0B24" w:rsidRPr="005B5CB6" w:rsidP="006F32A5">
      <w:pPr>
        <w:spacing w:after="168" w:line="250" w:lineRule="auto"/>
        <w:ind w:left="23" w:right="11" w:hanging="8"/>
        <w:jc w:val="both"/>
        <w:rPr>
          <w:rFonts w:ascii="Verdana" w:hAnsi="Verdana"/>
        </w:rPr>
      </w:pPr>
      <w:r w:rsidRPr="005B5CB6">
        <w:rPr>
          <w:rFonts w:ascii="Verdana" w:eastAsia="Verdana" w:hAnsi="Verdana" w:cs="Verdana"/>
        </w:rPr>
        <w:t xml:space="preserve">We are also concerned by the use of the terminology ‘partnerships’ when referring to big tech companies. We believe the ASA should be there to enforce the rules.  </w:t>
      </w:r>
    </w:p>
    <w:p w:rsidR="00FB0B24" w:rsidRPr="005B5CB6" w:rsidP="006F32A5">
      <w:pPr>
        <w:spacing w:after="156"/>
        <w:jc w:val="both"/>
        <w:rPr>
          <w:rFonts w:ascii="Verdana" w:hAnsi="Verdana"/>
        </w:rPr>
      </w:pPr>
      <w:r w:rsidRPr="005B5CB6">
        <w:rPr>
          <w:rFonts w:ascii="Verdana" w:eastAsia="Verdana" w:hAnsi="Verdana" w:cs="Verdana"/>
        </w:rPr>
        <w:t xml:space="preserve"> </w:t>
      </w:r>
    </w:p>
    <w:p w:rsidR="00FB0B24" w:rsidRPr="005B5CB6" w:rsidP="006F32A5">
      <w:pPr>
        <w:spacing w:after="165" w:line="250" w:lineRule="auto"/>
        <w:ind w:left="11" w:hanging="10"/>
        <w:jc w:val="both"/>
        <w:rPr>
          <w:rFonts w:ascii="Verdana" w:hAnsi="Verdana"/>
        </w:rPr>
      </w:pPr>
      <w:r w:rsidRPr="005B5CB6">
        <w:rPr>
          <w:rFonts w:ascii="Verdana" w:eastAsia="Verdana" w:hAnsi="Verdana" w:cs="Verdana"/>
          <w:b/>
        </w:rPr>
        <w:t xml:space="preserve">3.3 What is the ASA’s stance on hate speech and climate misinformation? </w:t>
      </w:r>
    </w:p>
    <w:p w:rsidR="00FB0B24" w:rsidRPr="005B5CB6" w:rsidP="006F32A5">
      <w:pPr>
        <w:spacing w:after="165" w:line="250" w:lineRule="auto"/>
        <w:ind w:left="23" w:right="11" w:hanging="8"/>
        <w:jc w:val="both"/>
        <w:rPr>
          <w:rFonts w:ascii="Verdana" w:hAnsi="Verdana"/>
        </w:rPr>
      </w:pPr>
      <w:r w:rsidRPr="005B5CB6">
        <w:rPr>
          <w:rFonts w:ascii="Verdana" w:eastAsia="Verdana" w:hAnsi="Verdana" w:cs="Verdana"/>
        </w:rPr>
        <w:t xml:space="preserve">We’d like to know the ASA’s position on hate speech/free speech and also climate misinformation, as this is not specifically covered in the various nonbinding, advisory green claims guidance documents. How to they define it? What do they do about it? How are they preparing for COP26? </w:t>
      </w:r>
    </w:p>
    <w:p w:rsidR="00FB0B24" w:rsidRPr="005B5CB6" w:rsidP="006F32A5">
      <w:pPr>
        <w:spacing w:after="165" w:line="250" w:lineRule="auto"/>
        <w:ind w:left="23" w:right="11" w:hanging="8"/>
        <w:jc w:val="both"/>
        <w:rPr>
          <w:rFonts w:ascii="Verdana" w:hAnsi="Verdana"/>
        </w:rPr>
      </w:pPr>
      <w:r w:rsidRPr="005B5CB6">
        <w:rPr>
          <w:rFonts w:ascii="Verdana" w:eastAsia="Verdana" w:hAnsi="Verdana" w:cs="Verdana"/>
        </w:rPr>
        <w:t xml:space="preserve">Let’s be very clear that there is a scientific consensus that climate change is happening. Political opinion should be separated from fact. We need to be extremely careful that the loophole around political/non-political ads is not exploited to avoid regulation.  </w:t>
      </w:r>
    </w:p>
    <w:p w:rsidR="00FB0B24" w:rsidRPr="005B5CB6" w:rsidP="006F32A5">
      <w:pPr>
        <w:spacing w:after="159"/>
        <w:ind w:left="1"/>
        <w:jc w:val="both"/>
        <w:rPr>
          <w:rFonts w:ascii="Verdana" w:hAnsi="Verdana"/>
        </w:rPr>
      </w:pPr>
      <w:r w:rsidRPr="005B5CB6">
        <w:rPr>
          <w:rFonts w:ascii="Verdana" w:eastAsia="Verdana" w:hAnsi="Verdana" w:cs="Verdana"/>
          <w:b/>
        </w:rPr>
        <w:t xml:space="preserve"> </w:t>
      </w:r>
    </w:p>
    <w:p w:rsidR="00FB0B24" w:rsidRPr="005B5CB6" w:rsidP="006F32A5">
      <w:pPr>
        <w:spacing w:after="159"/>
        <w:ind w:left="1"/>
        <w:jc w:val="both"/>
        <w:rPr>
          <w:rFonts w:ascii="Verdana" w:hAnsi="Verdana"/>
        </w:rPr>
      </w:pPr>
      <w:r w:rsidRPr="005B5CB6">
        <w:rPr>
          <w:rFonts w:ascii="Verdana" w:eastAsia="Verdana" w:hAnsi="Verdana" w:cs="Verdana"/>
          <w:b/>
        </w:rPr>
        <w:t xml:space="preserve"> </w:t>
      </w:r>
    </w:p>
    <w:p w:rsidR="00FB0B24" w:rsidRPr="005B5CB6" w:rsidP="006F32A5">
      <w:pPr>
        <w:spacing w:after="159"/>
        <w:ind w:left="1"/>
        <w:jc w:val="both"/>
        <w:rPr>
          <w:rFonts w:ascii="Verdana" w:hAnsi="Verdana"/>
        </w:rPr>
      </w:pPr>
      <w:r w:rsidRPr="005B5CB6">
        <w:rPr>
          <w:rFonts w:ascii="Verdana" w:eastAsia="Verdana" w:hAnsi="Verdana" w:cs="Verdana"/>
          <w:b/>
        </w:rPr>
        <w:t xml:space="preserve"> </w:t>
      </w:r>
    </w:p>
    <w:p w:rsidR="00FB0B24" w:rsidRPr="005B5CB6" w:rsidP="006F32A5">
      <w:pPr>
        <w:spacing w:after="165" w:line="250" w:lineRule="auto"/>
        <w:ind w:left="11" w:hanging="10"/>
        <w:jc w:val="both"/>
        <w:rPr>
          <w:rFonts w:ascii="Verdana" w:hAnsi="Verdana"/>
        </w:rPr>
      </w:pPr>
      <w:r w:rsidRPr="005B5CB6">
        <w:rPr>
          <w:rFonts w:ascii="Verdana" w:eastAsia="Verdana" w:hAnsi="Verdana" w:cs="Verdana"/>
          <w:b/>
        </w:rPr>
        <w:t xml:space="preserve">3.4 Political versus commercial advertising </w:t>
      </w:r>
    </w:p>
    <w:p w:rsidR="00FB0B24" w:rsidRPr="005B5CB6" w:rsidP="006F32A5">
      <w:pPr>
        <w:spacing w:after="165" w:line="250" w:lineRule="auto"/>
        <w:ind w:left="23" w:right="11" w:hanging="8"/>
        <w:jc w:val="both"/>
        <w:rPr>
          <w:rFonts w:ascii="Verdana" w:hAnsi="Verdana"/>
        </w:rPr>
      </w:pPr>
      <w:r w:rsidRPr="005B5CB6">
        <w:rPr>
          <w:rFonts w:ascii="Verdana" w:eastAsia="Verdana" w:hAnsi="Verdana" w:cs="Verdana"/>
        </w:rPr>
        <w:t xml:space="preserve">Lies in political advertising are manipulating people, creating further mistrust and eroding our democracy. Rebuilding trust is a key priority of the Advertising Association, ISBA and WFA. To suggest otherwise is blatantly wrong. </w:t>
      </w:r>
    </w:p>
    <w:p w:rsidR="00FB0B24" w:rsidRPr="005B5CB6" w:rsidP="006F32A5">
      <w:pPr>
        <w:spacing w:after="159"/>
        <w:ind w:left="1"/>
        <w:jc w:val="both"/>
        <w:rPr>
          <w:rFonts w:ascii="Verdana" w:hAnsi="Verdana"/>
        </w:rPr>
      </w:pPr>
      <w:r w:rsidRPr="005B5CB6">
        <w:rPr>
          <w:rFonts w:ascii="Verdana" w:eastAsia="Verdana" w:hAnsi="Verdana" w:cs="Verdana"/>
          <w:b/>
        </w:rPr>
        <w:t xml:space="preserve"> </w:t>
      </w:r>
    </w:p>
    <w:p w:rsidR="00FB0B24" w:rsidRPr="005B5CB6" w:rsidP="006F32A5">
      <w:pPr>
        <w:spacing w:after="165" w:line="250" w:lineRule="auto"/>
        <w:ind w:left="11" w:hanging="10"/>
        <w:jc w:val="both"/>
        <w:rPr>
          <w:rFonts w:ascii="Verdana" w:hAnsi="Verdana"/>
        </w:rPr>
      </w:pPr>
      <w:r w:rsidRPr="005B5CB6">
        <w:rPr>
          <w:rFonts w:ascii="Verdana" w:eastAsia="Verdana" w:hAnsi="Verdana" w:cs="Verdana"/>
          <w:b/>
        </w:rPr>
        <w:t xml:space="preserve">3.5 Platforms are not equipped to deal with these problems </w:t>
      </w:r>
    </w:p>
    <w:p w:rsidR="00FB0B24" w:rsidRPr="005B5CB6" w:rsidP="006F32A5">
      <w:pPr>
        <w:spacing w:after="165" w:line="250" w:lineRule="auto"/>
        <w:ind w:left="23" w:right="11" w:hanging="8"/>
        <w:jc w:val="both"/>
        <w:rPr>
          <w:rFonts w:ascii="Verdana" w:hAnsi="Verdana"/>
        </w:rPr>
      </w:pPr>
      <w:r w:rsidRPr="005B5CB6">
        <w:rPr>
          <w:rFonts w:ascii="Verdana" w:eastAsia="Verdana" w:hAnsi="Verdana" w:cs="Verdana"/>
        </w:rPr>
        <w:t xml:space="preserve">Platforms are not doing a good enough job of regulating what appears on their sites, and there is evidence to suggest that they fail to regulate content on their platforms in the following ways:  </w:t>
      </w:r>
    </w:p>
    <w:p w:rsidR="00FB0B24" w:rsidRPr="005B5CB6" w:rsidP="00575F14">
      <w:pPr>
        <w:numPr>
          <w:ilvl w:val="0"/>
          <w:numId w:val="274"/>
        </w:numPr>
        <w:spacing w:after="5" w:line="250" w:lineRule="auto"/>
        <w:ind w:left="720" w:right="5" w:hanging="360"/>
        <w:jc w:val="both"/>
        <w:rPr>
          <w:rFonts w:ascii="Verdana" w:hAnsi="Verdana"/>
        </w:rPr>
      </w:pPr>
      <w:r w:rsidRPr="005B5CB6">
        <w:rPr>
          <w:rFonts w:ascii="Verdana" w:eastAsia="Verdana" w:hAnsi="Verdana" w:cs="Verdana"/>
        </w:rPr>
        <w:t xml:space="preserve">Acting in political interests around climate denial, (Avaaz/YouTube) </w:t>
      </w:r>
    </w:p>
    <w:p w:rsidR="00FB0B24" w:rsidRPr="005B5CB6" w:rsidP="00575F14">
      <w:pPr>
        <w:numPr>
          <w:ilvl w:val="0"/>
          <w:numId w:val="274"/>
        </w:numPr>
        <w:spacing w:after="5" w:line="249" w:lineRule="auto"/>
        <w:ind w:left="720" w:right="5" w:hanging="360"/>
        <w:jc w:val="both"/>
        <w:rPr>
          <w:rFonts w:ascii="Verdana" w:hAnsi="Verdana"/>
        </w:rPr>
      </w:pPr>
      <w:r w:rsidRPr="005B5CB6">
        <w:rPr>
          <w:rFonts w:ascii="Verdana" w:eastAsia="Verdana" w:hAnsi="Verdana" w:cs="Verdana"/>
        </w:rPr>
        <w:t xml:space="preserve">Are </w:t>
      </w:r>
      <w:r>
        <w:fldChar w:fldCharType="begin"/>
      </w:r>
      <w:r>
        <w:instrText xml:space="preserve"> HYPERLINK "https://www.huffingtonpost.co.uk/entry/instagram-shadow-ban-sexist_n_5cc72935e4b0537911491a4f?ri18n=true" </w:instrText>
      </w:r>
      <w:r>
        <w:fldChar w:fldCharType="separate"/>
      </w:r>
      <w:r w:rsidRPr="005B5CB6">
        <w:rPr>
          <w:rFonts w:ascii="Verdana" w:eastAsia="Verdana" w:hAnsi="Verdana" w:cs="Verdana"/>
          <w:color w:val="0563C1"/>
          <w:u w:val="single" w:color="0563C1"/>
        </w:rPr>
        <w:t>sexist</w:t>
      </w:r>
      <w:r>
        <w:fldChar w:fldCharType="end"/>
      </w:r>
      <w:r>
        <w:fldChar w:fldCharType="begin"/>
      </w:r>
      <w:r>
        <w:instrText xml:space="preserve"> HYPERLINK "https://www.huffingtonpost.co.uk/entry/instagram-shadow-ban-sexist_n_5cc72935e4b0537911491a4f?ri18n=true"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and </w:t>
      </w:r>
      <w:r>
        <w:fldChar w:fldCharType="begin"/>
      </w:r>
      <w:r>
        <w:instrText xml:space="preserve"> HYPERLINK "https://www.propublica.org/article/facebook-hate-speech-censorship-internal-documents-algorithms" </w:instrText>
      </w:r>
      <w:r>
        <w:fldChar w:fldCharType="separate"/>
      </w:r>
      <w:r w:rsidRPr="005B5CB6">
        <w:rPr>
          <w:rFonts w:ascii="Verdana" w:eastAsia="Verdana" w:hAnsi="Verdana" w:cs="Verdana"/>
          <w:color w:val="0563C1"/>
          <w:u w:val="single" w:color="0563C1"/>
        </w:rPr>
        <w:t>racist</w:t>
      </w:r>
      <w:r>
        <w:fldChar w:fldCharType="end"/>
      </w:r>
      <w:r>
        <w:fldChar w:fldCharType="begin"/>
      </w:r>
      <w:r>
        <w:instrText xml:space="preserve"> HYPERLINK "https://www.propublica.org/article/facebook-hate-speech-censorship-internal-documents-algorithms"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p>
    <w:p w:rsidR="00FB0B24" w:rsidRPr="005B5CB6" w:rsidP="00575F14">
      <w:pPr>
        <w:numPr>
          <w:ilvl w:val="0"/>
          <w:numId w:val="274"/>
        </w:numPr>
        <w:spacing w:after="5" w:line="249" w:lineRule="auto"/>
        <w:ind w:left="720" w:right="5" w:hanging="360"/>
        <w:jc w:val="both"/>
        <w:rPr>
          <w:rFonts w:ascii="Verdana" w:hAnsi="Verdana"/>
        </w:rPr>
      </w:pPr>
      <w:r w:rsidRPr="005B5CB6">
        <w:rPr>
          <w:rFonts w:ascii="Verdana" w:eastAsia="Verdana" w:hAnsi="Verdana" w:cs="Verdana"/>
        </w:rPr>
        <w:t xml:space="preserve">Condone </w:t>
      </w:r>
      <w:r>
        <w:fldChar w:fldCharType="begin"/>
      </w:r>
      <w:r>
        <w:instrText xml:space="preserve"> HYPERLINK "https://www.theguardian.com/politics/2018/dec/18/diane-abbott-calls-for-twitter-to-clamp-down-on-hate-speech" </w:instrText>
      </w:r>
      <w:r>
        <w:fldChar w:fldCharType="separate"/>
      </w:r>
      <w:r w:rsidRPr="005B5CB6">
        <w:rPr>
          <w:rFonts w:ascii="Verdana" w:eastAsia="Verdana" w:hAnsi="Verdana" w:cs="Verdana"/>
          <w:color w:val="0563C1"/>
          <w:u w:val="single" w:color="0563C1"/>
        </w:rPr>
        <w:t>hate speech or bullying</w:t>
      </w:r>
      <w:r>
        <w:fldChar w:fldCharType="end"/>
      </w:r>
      <w:r>
        <w:fldChar w:fldCharType="begin"/>
      </w:r>
      <w:r>
        <w:instrText xml:space="preserve"> HYPERLINK "https://www.theguardian.com/politics/2018/dec/18/diane-abbott-calls-for-twitter-to-clamp-down-on-hate-speech"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p>
    <w:p w:rsidR="00FB0B24" w:rsidRPr="005B5CB6" w:rsidP="00575F14">
      <w:pPr>
        <w:numPr>
          <w:ilvl w:val="0"/>
          <w:numId w:val="274"/>
        </w:numPr>
        <w:spacing w:after="140" w:line="250" w:lineRule="auto"/>
        <w:ind w:left="720" w:right="5" w:hanging="360"/>
        <w:jc w:val="both"/>
        <w:rPr>
          <w:rFonts w:ascii="Verdana" w:hAnsi="Verdana"/>
        </w:rPr>
      </w:pPr>
      <w:r w:rsidRPr="005B5CB6">
        <w:rPr>
          <w:rFonts w:ascii="Verdana" w:eastAsia="Verdana" w:hAnsi="Verdana" w:cs="Verdana"/>
        </w:rPr>
        <w:t xml:space="preserve">Are culturally insensitive to the point of involvement in </w:t>
      </w:r>
      <w:r>
        <w:fldChar w:fldCharType="begin"/>
      </w:r>
      <w:r>
        <w:instrText xml:space="preserve"> HYPERLINK "https://www.cjr.org/the_media_today/facebook-un-myanmar-genocide.php" </w:instrText>
      </w:r>
      <w:r>
        <w:fldChar w:fldCharType="separate"/>
      </w:r>
      <w:r w:rsidRPr="005B5CB6">
        <w:rPr>
          <w:rFonts w:ascii="Verdana" w:eastAsia="Verdana" w:hAnsi="Verdana" w:cs="Verdana"/>
          <w:color w:val="0563C1"/>
          <w:u w:val="single" w:color="0563C1"/>
        </w:rPr>
        <w:t>genocide</w:t>
      </w:r>
      <w:r>
        <w:fldChar w:fldCharType="end"/>
      </w:r>
      <w:r>
        <w:fldChar w:fldCharType="begin"/>
      </w:r>
      <w:r>
        <w:instrText xml:space="preserve"> HYPERLINK "https://www.cjr.org/the_media_today/facebook-un-myanmar-genocide.php"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6F32A5">
      <w:pPr>
        <w:spacing w:after="168" w:line="250" w:lineRule="auto"/>
        <w:ind w:left="23" w:right="11" w:hanging="8"/>
        <w:jc w:val="both"/>
        <w:rPr>
          <w:rFonts w:ascii="Verdana" w:hAnsi="Verdana"/>
        </w:rPr>
      </w:pPr>
      <w:r w:rsidRPr="005B5CB6">
        <w:rPr>
          <w:rFonts w:ascii="Verdana" w:eastAsia="Verdana" w:hAnsi="Verdana" w:cs="Verdana"/>
        </w:rPr>
        <w:t xml:space="preserve">It may be easy to report content, but the way that content is then dealt with is ineffective. How are the ASA responding to this? </w:t>
      </w:r>
    </w:p>
    <w:p w:rsidR="00FB0B24" w:rsidRPr="005B5CB6" w:rsidP="006F32A5">
      <w:pPr>
        <w:spacing w:after="159"/>
        <w:jc w:val="both"/>
        <w:rPr>
          <w:rFonts w:ascii="Verdana" w:hAnsi="Verdana"/>
        </w:rPr>
      </w:pPr>
      <w:r w:rsidRPr="005B5CB6">
        <w:rPr>
          <w:rFonts w:ascii="Verdana" w:eastAsia="Verdana" w:hAnsi="Verdana" w:cs="Verdana"/>
          <w:color w:val="00B050"/>
        </w:rPr>
        <w:t xml:space="preserve"> </w:t>
      </w:r>
    </w:p>
    <w:p w:rsidR="00FB0B24" w:rsidRPr="005B5CB6" w:rsidP="006F32A5">
      <w:pPr>
        <w:pStyle w:val="Heading2"/>
        <w:rPr>
          <w:sz w:val="22"/>
        </w:rPr>
      </w:pPr>
      <w:r w:rsidRPr="005B5CB6">
        <w:rPr>
          <w:sz w:val="22"/>
          <w:u w:val="single" w:color="000000"/>
        </w:rPr>
        <w:t>4. Beyond brand safety to human safety</w:t>
      </w:r>
      <w:r w:rsidRPr="005B5CB6">
        <w:rPr>
          <w:sz w:val="22"/>
        </w:rPr>
        <w:t xml:space="preserve"> </w:t>
      </w:r>
    </w:p>
    <w:p w:rsidR="00FB0B24" w:rsidRPr="005B5CB6" w:rsidP="006F32A5">
      <w:pPr>
        <w:spacing w:after="165" w:line="250" w:lineRule="auto"/>
        <w:ind w:left="11" w:hanging="10"/>
        <w:jc w:val="both"/>
        <w:rPr>
          <w:rFonts w:ascii="Verdana" w:hAnsi="Verdana"/>
        </w:rPr>
      </w:pPr>
      <w:r w:rsidRPr="005B5CB6">
        <w:rPr>
          <w:rFonts w:ascii="Verdana" w:eastAsia="Verdana" w:hAnsi="Verdana" w:cs="Verdana"/>
          <w:b/>
        </w:rPr>
        <w:t xml:space="preserve">4.1 Block lists and crude attempts to ensure ‘brand safety’ are demonetising minority voices </w:t>
      </w:r>
    </w:p>
    <w:p w:rsidR="00FB0B24" w:rsidRPr="005B5CB6" w:rsidP="006F32A5">
      <w:pPr>
        <w:spacing w:after="165" w:line="250" w:lineRule="auto"/>
        <w:ind w:left="23" w:right="11" w:hanging="8"/>
        <w:jc w:val="both"/>
        <w:rPr>
          <w:rFonts w:ascii="Verdana" w:hAnsi="Verdana"/>
        </w:rPr>
      </w:pPr>
      <w:r w:rsidRPr="005B5CB6">
        <w:rPr>
          <w:rFonts w:ascii="Verdana" w:eastAsia="Verdana" w:hAnsi="Verdana" w:cs="Verdana"/>
        </w:rPr>
        <w:t xml:space="preserve">The current system could also be making it harder for marginalised communities to have their voices heard. Crude ‘block-lists’ (lists of key words used to ensure ads don’t appear next to unsuitable content) are demonetising content from some communities altogether, causing minority publications to close, or seek alternative funding models. Outvertising’s Jerry Daykin and Christopher Kenna </w:t>
      </w:r>
      <w:r>
        <w:fldChar w:fldCharType="begin"/>
      </w:r>
      <w:r>
        <w:instrText xml:space="preserve"> HYPERLINK "https://www.linkedin.com/pulse/save-digital-advertising-world-togetherwecan-jerry-daykin/" </w:instrText>
      </w:r>
      <w:r>
        <w:fldChar w:fldCharType="separate"/>
      </w:r>
      <w:r w:rsidRPr="005B5CB6">
        <w:rPr>
          <w:rFonts w:ascii="Verdana" w:eastAsia="Verdana" w:hAnsi="Verdana" w:cs="Verdana"/>
          <w:color w:val="0563C1"/>
          <w:u w:val="single" w:color="0563C1"/>
        </w:rPr>
        <w:t>point out</w:t>
      </w:r>
      <w:r>
        <w:fldChar w:fldCharType="end"/>
      </w:r>
      <w:r>
        <w:fldChar w:fldCharType="begin"/>
      </w:r>
      <w:r>
        <w:instrText xml:space="preserve"> HYPERLINK "https://www.linkedin.com/pulse/save-digital-advertising-world-togetherwecan-jerry-daykin/"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that 73% of safe LGBTQ+ content is rendered unmonetisable under current blocklists, while a recent Vice investigation showed that keyword exclusion lists include generic terms like ‘lesbian’ or ‘Muslim’ more often than terms such as ‘murder’. </w:t>
      </w:r>
    </w:p>
    <w:p w:rsidR="00FB0B24" w:rsidRPr="005B5CB6" w:rsidP="006F32A5">
      <w:pPr>
        <w:spacing w:after="168" w:line="250" w:lineRule="auto"/>
        <w:ind w:left="23" w:right="11" w:hanging="8"/>
        <w:jc w:val="both"/>
        <w:rPr>
          <w:rFonts w:ascii="Verdana" w:hAnsi="Verdana"/>
        </w:rPr>
      </w:pPr>
      <w:r w:rsidRPr="005B5CB6">
        <w:rPr>
          <w:rFonts w:ascii="Verdana" w:eastAsia="Verdana" w:hAnsi="Verdana" w:cs="Verdana"/>
        </w:rPr>
        <w:t>AI is still trying to decide whether things are ‘object A or object B’. It’s not a silver bullet, but it could be used more effectively. For example, we use AI in Pulsar social listening tools to identify sentiment. Why can’t the same kind of technologies by deployed to ensure the web is monetised fairly?</w:t>
      </w:r>
      <w:r w:rsidRPr="005B5CB6">
        <w:rPr>
          <w:rFonts w:ascii="Verdana" w:eastAsia="Verdana" w:hAnsi="Verdana" w:cs="Verdana"/>
          <w:b/>
        </w:rPr>
        <w:t xml:space="preserve"> </w:t>
      </w:r>
    </w:p>
    <w:p w:rsidR="00FB0B24" w:rsidRPr="005B5CB6" w:rsidP="006F32A5">
      <w:pPr>
        <w:spacing w:after="159"/>
        <w:jc w:val="both"/>
        <w:rPr>
          <w:rFonts w:ascii="Verdana" w:hAnsi="Verdana"/>
        </w:rPr>
      </w:pPr>
      <w:r w:rsidRPr="005B5CB6">
        <w:rPr>
          <w:rFonts w:ascii="Verdana" w:eastAsia="Verdana" w:hAnsi="Verdana" w:cs="Verdana"/>
          <w:b/>
        </w:rPr>
        <w:t xml:space="preserve"> </w:t>
      </w:r>
    </w:p>
    <w:p w:rsidR="00FB0B24" w:rsidRPr="005B5CB6" w:rsidP="006F32A5">
      <w:pPr>
        <w:spacing w:after="165" w:line="250" w:lineRule="auto"/>
        <w:ind w:left="11" w:hanging="10"/>
        <w:jc w:val="both"/>
        <w:rPr>
          <w:rFonts w:ascii="Verdana" w:hAnsi="Verdana"/>
        </w:rPr>
      </w:pPr>
      <w:r w:rsidRPr="005B5CB6">
        <w:rPr>
          <w:rFonts w:ascii="Verdana" w:eastAsia="Verdana" w:hAnsi="Verdana" w:cs="Verdana"/>
          <w:b/>
        </w:rPr>
        <w:t xml:space="preserve">4.2 Ad fraud is a serious issue, funding organised crime </w:t>
      </w:r>
    </w:p>
    <w:p w:rsidR="00FB0B24" w:rsidRPr="005B5CB6" w:rsidP="006F32A5">
      <w:pPr>
        <w:spacing w:after="5" w:line="250" w:lineRule="auto"/>
        <w:ind w:left="23" w:right="11" w:hanging="8"/>
        <w:jc w:val="both"/>
        <w:rPr>
          <w:rFonts w:ascii="Verdana" w:hAnsi="Verdana"/>
        </w:rPr>
      </w:pPr>
      <w:r w:rsidRPr="005B5CB6">
        <w:rPr>
          <w:rFonts w:ascii="Verdana" w:eastAsia="Verdana" w:hAnsi="Verdana" w:cs="Verdana"/>
        </w:rPr>
        <w:t xml:space="preserve">We believe that too little focus is put on the real world implications of ad fraud. What does it fund? The predictions on the amount of money lost to ad fraud in </w:t>
      </w:r>
    </w:p>
    <w:p w:rsidR="00FB0B24" w:rsidRPr="005B5CB6" w:rsidP="006F32A5">
      <w:pPr>
        <w:spacing w:after="165" w:line="250" w:lineRule="auto"/>
        <w:ind w:left="23" w:right="11" w:hanging="8"/>
        <w:jc w:val="both"/>
        <w:rPr>
          <w:rFonts w:ascii="Verdana" w:hAnsi="Verdana"/>
        </w:rPr>
      </w:pPr>
      <w:r w:rsidRPr="005B5CB6">
        <w:rPr>
          <w:rFonts w:ascii="Verdana" w:eastAsia="Verdana" w:hAnsi="Verdana" w:cs="Verdana"/>
        </w:rPr>
        <w:t xml:space="preserve">2019 vary from USD$5.8bn (£4.4bn) (White Ops and the ANA) and USD$23bn (£17.6bn) (Cheq). These are big numbers and is funding things like organised </w:t>
      </w:r>
      <w:r w:rsidRPr="005B5CB6">
        <w:rPr>
          <w:rFonts w:ascii="Verdana" w:eastAsia="Verdana" w:hAnsi="Verdana" w:cs="Verdana"/>
        </w:rPr>
        <w:t xml:space="preserve">crime, in fact, it is the second biggest funder behind the drugs trade (WFA). Campaigners such as </w:t>
      </w:r>
      <w:r>
        <w:fldChar w:fldCharType="begin"/>
      </w:r>
      <w:r>
        <w:instrText xml:space="preserve"> HYPERLINK "https://www.linkedin.com/in/augustinefou/" </w:instrText>
      </w:r>
      <w:r>
        <w:fldChar w:fldCharType="separate"/>
      </w:r>
      <w:r w:rsidRPr="005B5CB6">
        <w:rPr>
          <w:rFonts w:ascii="Verdana" w:eastAsia="Verdana" w:hAnsi="Verdana" w:cs="Verdana"/>
          <w:color w:val="0563C1"/>
          <w:u w:val="single" w:color="0563C1"/>
        </w:rPr>
        <w:t>Dr. Augustine Fou</w:t>
      </w:r>
      <w:r>
        <w:fldChar w:fldCharType="end"/>
      </w:r>
      <w:r>
        <w:fldChar w:fldCharType="begin"/>
      </w:r>
      <w:r>
        <w:instrText xml:space="preserve"> HYPERLINK "https://www.linkedin.com/in/augustinefou/"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and </w:t>
      </w:r>
      <w:r>
        <w:fldChar w:fldCharType="begin"/>
      </w:r>
      <w:r>
        <w:instrText xml:space="preserve"> HYPERLINK "https://nandinijammi.com/" </w:instrText>
      </w:r>
      <w:r>
        <w:fldChar w:fldCharType="separate"/>
      </w:r>
      <w:r w:rsidRPr="005B5CB6">
        <w:rPr>
          <w:rFonts w:ascii="Verdana" w:eastAsia="Verdana" w:hAnsi="Verdana" w:cs="Verdana"/>
          <w:color w:val="0563C1"/>
          <w:u w:val="single" w:color="0563C1"/>
        </w:rPr>
        <w:t>Nandini Jammi</w:t>
      </w:r>
      <w:r>
        <w:fldChar w:fldCharType="end"/>
      </w:r>
      <w:r>
        <w:fldChar w:fldCharType="begin"/>
      </w:r>
      <w:r>
        <w:instrText xml:space="preserve"> HYPERLINK "https://nandinijammi.com/"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suspect that the advertising industry is covering up levels of fraud to imply that the problem is going away.  </w:t>
      </w:r>
    </w:p>
    <w:p w:rsidR="00FB0B24" w:rsidRPr="005B5CB6" w:rsidP="006F32A5">
      <w:pPr>
        <w:spacing w:after="168" w:line="250" w:lineRule="auto"/>
        <w:ind w:left="23" w:right="11" w:hanging="8"/>
        <w:jc w:val="both"/>
        <w:rPr>
          <w:rFonts w:ascii="Verdana" w:hAnsi="Verdana"/>
        </w:rPr>
      </w:pPr>
      <w:r w:rsidRPr="005B5CB6">
        <w:rPr>
          <w:rFonts w:ascii="Verdana" w:eastAsia="Verdana" w:hAnsi="Verdana" w:cs="Verdana"/>
        </w:rPr>
        <w:t xml:space="preserve">The </w:t>
      </w:r>
      <w:r>
        <w:fldChar w:fldCharType="begin"/>
      </w:r>
      <w:r>
        <w:instrText xml:space="preserve"> HYPERLINK "https://branded.substack.com/p/frances-new-sleeping-giants-law?token=eyJ1c2VyX2lkIjo0ODkzNDE0LCJwb3N0X2lkIjoyNTc5NjEsImlhdCI6MTU4MDc2MDk3NSwiaXNzIjoicHViLTI2NjA5Iiwic3ViIjoicG9zdC1yZWFjdGlvbiJ9.c7Nmr6v6sg8ybZF1xF8z25SbP8pu7B-F5mXlf0iJ8PU&amp;utm_source=substack&amp;utm_medium=email&amp;utm_content=share&amp;action=share" </w:instrText>
      </w:r>
      <w:r>
        <w:fldChar w:fldCharType="separate"/>
      </w:r>
      <w:r w:rsidRPr="005B5CB6">
        <w:rPr>
          <w:rFonts w:ascii="Verdana" w:eastAsia="Verdana" w:hAnsi="Verdana" w:cs="Verdana"/>
          <w:color w:val="0563C1"/>
          <w:u w:val="single" w:color="0563C1"/>
        </w:rPr>
        <w:t>Sleeping Giants Amendment</w:t>
      </w:r>
      <w:r>
        <w:fldChar w:fldCharType="end"/>
      </w:r>
      <w:r>
        <w:fldChar w:fldCharType="begin"/>
      </w:r>
      <w:r>
        <w:instrText xml:space="preserve"> HYPERLINK "https://branded.substack.com/p/frances-new-sleeping-giants-law?token=eyJ1c2VyX2lkIjo0ODkzNDE0LCJwb3N0X2lkIjoyNTc5NjEsImlhdCI6MTU4MDc2MDk3NSwiaXNzIjoicHViLTI2NjA5Iiwic3ViIjoicG9zdC1yZWFjdGlvbiJ9.c7Nmr6v6sg8ybZF1xF8z25SbP8pu7B-F5mXlf0iJ8PU&amp;utm_source=substack&amp;utm_medium=email&amp;utm_content=share&amp;action=share"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of the Loi Avia in France decrees that all advertisers should declare the placement of their advertising in the public interest. This could be an interesting way of defunding fraud and hate speech and urging advertisers to take more responsibility for their digital supply chains.  </w:t>
      </w:r>
    </w:p>
    <w:p w:rsidR="00FB0B24" w:rsidRPr="005B5CB6" w:rsidP="006F32A5">
      <w:pPr>
        <w:spacing w:after="156"/>
        <w:jc w:val="both"/>
        <w:rPr>
          <w:rFonts w:ascii="Verdana" w:hAnsi="Verdana"/>
        </w:rPr>
      </w:pPr>
      <w:r w:rsidRPr="005B5CB6">
        <w:rPr>
          <w:rFonts w:ascii="Verdana" w:eastAsia="Verdana" w:hAnsi="Verdana" w:cs="Verdana"/>
        </w:rPr>
        <w:t xml:space="preserve"> </w:t>
      </w:r>
    </w:p>
    <w:p w:rsidR="00FB0B24" w:rsidRPr="005B5CB6" w:rsidP="006F32A5">
      <w:pPr>
        <w:spacing w:after="165" w:line="250" w:lineRule="auto"/>
        <w:ind w:left="11" w:hanging="10"/>
        <w:jc w:val="both"/>
        <w:rPr>
          <w:rFonts w:ascii="Verdana" w:hAnsi="Verdana"/>
        </w:rPr>
      </w:pPr>
      <w:r w:rsidRPr="005B5CB6">
        <w:rPr>
          <w:rFonts w:ascii="Verdana" w:eastAsia="Verdana" w:hAnsi="Verdana" w:cs="Verdana"/>
          <w:b/>
        </w:rPr>
        <w:t xml:space="preserve">4.3 The way the respondents talk about personal data and consent feels shocking to us </w:t>
      </w:r>
    </w:p>
    <w:p w:rsidR="00FB0B24" w:rsidRPr="005B5CB6" w:rsidP="006F32A5">
      <w:pPr>
        <w:spacing w:after="166" w:line="250" w:lineRule="auto"/>
        <w:ind w:left="23" w:right="11" w:hanging="8"/>
        <w:jc w:val="both"/>
        <w:rPr>
          <w:rFonts w:ascii="Verdana" w:hAnsi="Verdana"/>
        </w:rPr>
      </w:pPr>
      <w:r w:rsidRPr="005B5CB6">
        <w:rPr>
          <w:rFonts w:ascii="Verdana" w:eastAsia="Verdana" w:hAnsi="Verdana" w:cs="Verdana"/>
        </w:rPr>
        <w:t xml:space="preserve">Advertisers argue that the personal data used to build up targeting profiles of people is anonymised. However, when cross referenced with data such as IP address and location, organisations such as Privacy International have argued that this data is, at best, </w:t>
      </w:r>
      <w:r>
        <w:fldChar w:fldCharType="begin"/>
      </w:r>
      <w:r>
        <w:instrText xml:space="preserve"> HYPERLINK "https://medium.com/@ka.iwanska/10-reasons-why-online-advertising-is-broken-d152308f50ec" </w:instrText>
      </w:r>
      <w:r>
        <w:fldChar w:fldCharType="separate"/>
      </w:r>
      <w:r w:rsidRPr="005B5CB6">
        <w:rPr>
          <w:rFonts w:ascii="Verdana" w:eastAsia="Verdana" w:hAnsi="Verdana" w:cs="Verdana"/>
          <w:color w:val="0563C1"/>
          <w:u w:val="single" w:color="0563C1"/>
        </w:rPr>
        <w:t>pseudonymised</w:t>
      </w:r>
      <w:r>
        <w:fldChar w:fldCharType="end"/>
      </w:r>
      <w:r>
        <w:fldChar w:fldCharType="begin"/>
      </w:r>
      <w:r>
        <w:instrText xml:space="preserve"> HYPERLINK "https://medium.com/@ka.iwanska/10-reasons-why-online-advertising-is-broken-d152308f50ec"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6F32A5">
      <w:pPr>
        <w:spacing w:after="166" w:line="250" w:lineRule="auto"/>
        <w:ind w:left="23" w:right="11" w:hanging="8"/>
        <w:jc w:val="both"/>
        <w:rPr>
          <w:rFonts w:ascii="Verdana" w:hAnsi="Verdana"/>
        </w:rPr>
      </w:pPr>
      <w:r w:rsidRPr="005B5CB6">
        <w:rPr>
          <w:rFonts w:ascii="Verdana" w:eastAsia="Verdana" w:hAnsi="Verdana" w:cs="Verdana"/>
        </w:rPr>
        <w:t xml:space="preserve">People are unaware of how their data is being used and just how many people it is being shared with. There’s a conversation not happening with the public about what their data is being used for. If that data is bought, illegally, by a broker, or sold onto an organisation with political intent, then we also have a huge problem of that data being used to manipulate people. </w:t>
      </w:r>
    </w:p>
    <w:p w:rsidR="00FB0B24" w:rsidRPr="005B5CB6" w:rsidP="006F32A5">
      <w:pPr>
        <w:spacing w:after="164" w:line="250" w:lineRule="auto"/>
        <w:ind w:left="23" w:right="11" w:hanging="8"/>
        <w:jc w:val="both"/>
        <w:rPr>
          <w:rFonts w:ascii="Verdana" w:hAnsi="Verdana"/>
        </w:rPr>
      </w:pPr>
      <w:r w:rsidRPr="005B5CB6">
        <w:rPr>
          <w:rFonts w:ascii="Verdana" w:eastAsia="Verdana" w:hAnsi="Verdana" w:cs="Verdana"/>
        </w:rPr>
        <w:t xml:space="preserve">The </w:t>
      </w:r>
      <w:r>
        <w:fldChar w:fldCharType="begin"/>
      </w:r>
      <w:r>
        <w:instrText xml:space="preserve"> HYPERLINK "https://www.nytimes.com/2020/01/13/business/grindr-apps-dating-data-tracking.html" </w:instrText>
      </w:r>
      <w:r>
        <w:fldChar w:fldCharType="separate"/>
      </w:r>
      <w:r w:rsidRPr="005B5CB6">
        <w:rPr>
          <w:rFonts w:ascii="Verdana" w:eastAsia="Verdana" w:hAnsi="Verdana" w:cs="Verdana"/>
          <w:color w:val="0563C1"/>
          <w:u w:val="single" w:color="0563C1"/>
        </w:rPr>
        <w:t>Norwegian Consumer Council</w:t>
      </w:r>
      <w:r>
        <w:fldChar w:fldCharType="end"/>
      </w:r>
      <w:r>
        <w:fldChar w:fldCharType="begin"/>
      </w:r>
      <w:r>
        <w:instrText xml:space="preserve"> HYPERLINK "https://www.nytimes.com/2020/01/13/business/grindr-apps-dating-data-tracking.html"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recently found that apps such as Grindr were leaching personal data in contravention of GDPR. The data sent from Grindr to exchange, Mopub, was found to be labelled with its source, essentially revealing the sexuality of the user to those processing it. Civil society is rightly concerned at the amount of data leakage associated with real time bidding, and the potential for the data to manipulate, or end up in the wrong hands, and to hear it talked about in the casual way we saw in the submitted evidence was concerning. </w:t>
      </w:r>
      <w:r>
        <w:fldChar w:fldCharType="begin"/>
      </w:r>
      <w:r>
        <w:instrText xml:space="preserve"> HYPERLINK "https://www.thedrum.com/news/2019/09/13/braves-johnny-ryan-and-iab-europe-clash-over-gdpr-real-time-bidding-legality" </w:instrText>
      </w:r>
      <w:r>
        <w:fldChar w:fldCharType="separate"/>
      </w:r>
      <w:r w:rsidRPr="005B5CB6">
        <w:rPr>
          <w:rFonts w:ascii="Verdana" w:eastAsia="Verdana" w:hAnsi="Verdana" w:cs="Verdana"/>
          <w:color w:val="0563C1"/>
          <w:u w:val="single" w:color="0563C1"/>
        </w:rPr>
        <w:t>Johnny Ryan of Brave</w:t>
      </w:r>
      <w:r>
        <w:fldChar w:fldCharType="end"/>
      </w:r>
      <w:r>
        <w:fldChar w:fldCharType="begin"/>
      </w:r>
      <w:r>
        <w:instrText xml:space="preserve"> HYPERLINK "https://www.thedrum.com/news/2019/09/13/braves-johnny-ryan-and-iab-europe-clash-over-gdpr-real-time-bidding-legality" </w:instrText>
      </w:r>
      <w:r>
        <w:fldChar w:fldCharType="separate"/>
      </w:r>
      <w:r w:rsidRPr="005B5CB6">
        <w:rPr>
          <w:rFonts w:ascii="Verdana" w:eastAsia="Verdana" w:hAnsi="Verdana" w:cs="Verdana"/>
        </w:rPr>
        <w:t>,</w:t>
      </w:r>
      <w:r>
        <w:fldChar w:fldCharType="end"/>
      </w:r>
      <w:r>
        <w:fldChar w:fldCharType="begin"/>
      </w:r>
      <w:r>
        <w:instrText xml:space="preserve"> HYPERLINK "https://en.panoptykon.org/complaints-google-iab"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"https://en.panoptykon.org/complaints-google-iab" </w:instrText>
      </w:r>
      <w:r>
        <w:fldChar w:fldCharType="separate"/>
      </w:r>
      <w:r w:rsidRPr="005B5CB6">
        <w:rPr>
          <w:rFonts w:ascii="Verdana" w:eastAsia="Verdana" w:hAnsi="Verdana" w:cs="Verdana"/>
          <w:color w:val="0563C1"/>
          <w:u w:val="single" w:color="0563C1"/>
        </w:rPr>
        <w:t>Panoptykon</w:t>
      </w:r>
      <w:r>
        <w:fldChar w:fldCharType="end"/>
      </w:r>
      <w:r>
        <w:fldChar w:fldCharType="begin"/>
      </w:r>
      <w:r>
        <w:instrText xml:space="preserve"> HYPERLINK "https://en.panoptykon.org/complaints-google-iab" </w:instrText>
      </w:r>
      <w:r>
        <w:fldChar w:fldCharType="separate"/>
      </w:r>
      <w:r w:rsidRPr="005B5CB6">
        <w:rPr>
          <w:rFonts w:ascii="Verdana" w:eastAsia="Verdana" w:hAnsi="Verdana" w:cs="Verdana"/>
        </w:rPr>
        <w:t>,</w:t>
      </w:r>
      <w:r>
        <w:fldChar w:fldCharType="end"/>
      </w:r>
      <w:r>
        <w:fldChar w:fldCharType="begin"/>
      </w:r>
      <w:r>
        <w:instrText xml:space="preserve"> HYPERLINK "https://privacyinternational.org/long-read/3244/social-media-companies-have-failed-provide-adequate-advertising-transparency-users"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"https://privacyinternational.org/long-read/3244/social-media-companies-have-failed-provide-adequate-advertising-transparency-users" </w:instrText>
      </w:r>
      <w:r>
        <w:fldChar w:fldCharType="separate"/>
      </w:r>
      <w:r w:rsidRPr="005B5CB6">
        <w:rPr>
          <w:rFonts w:ascii="Verdana" w:eastAsia="Verdana" w:hAnsi="Verdana" w:cs="Verdana"/>
          <w:color w:val="0563C1"/>
          <w:u w:val="single" w:color="0563C1"/>
        </w:rPr>
        <w:t>Privacy International</w:t>
      </w:r>
      <w:r>
        <w:fldChar w:fldCharType="end"/>
      </w:r>
      <w:r>
        <w:fldChar w:fldCharType="begin"/>
      </w:r>
      <w:r>
        <w:instrText xml:space="preserve"> HYPERLINK "https://privacyinternational.org/long-read/3244/social-media-companies-have-failed-provide-adequate-advertising-transparency-users"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and Mozilla have discussed concerns at length on the topic. </w:t>
      </w:r>
    </w:p>
    <w:p w:rsidR="00FB0B24" w:rsidRPr="005B5CB6" w:rsidP="006F32A5">
      <w:pPr>
        <w:spacing w:after="168" w:line="250" w:lineRule="auto"/>
        <w:ind w:left="23" w:right="11" w:hanging="8"/>
        <w:jc w:val="both"/>
        <w:rPr>
          <w:rFonts w:ascii="Verdana" w:hAnsi="Verdana"/>
        </w:rPr>
      </w:pPr>
      <w:r w:rsidRPr="005B5CB6">
        <w:rPr>
          <w:rFonts w:ascii="Verdana" w:eastAsia="Verdana" w:hAnsi="Verdana" w:cs="Verdana"/>
        </w:rPr>
        <w:t xml:space="preserve">There are a lot of companies and individuals with a lot of money who want the status quo to continue with respect to energy, travel, and shipping. Should we really let commercial enterprises with all these resources have access to data and target people around crucial world changes? We’re effectively pitting young people and indigenous communities against corporates with money. Data is not available to everyone. It’s available to those who have the money and resources to find it. And that is scary.  </w:t>
      </w:r>
    </w:p>
    <w:p w:rsidR="00FB0B24" w:rsidRPr="005B5CB6" w:rsidP="006F32A5">
      <w:pPr>
        <w:spacing w:after="156"/>
        <w:jc w:val="both"/>
        <w:rPr>
          <w:rFonts w:ascii="Verdana" w:hAnsi="Verdana"/>
        </w:rPr>
      </w:pPr>
      <w:r w:rsidRPr="005B5CB6">
        <w:rPr>
          <w:rFonts w:ascii="Verdana" w:eastAsia="Verdana" w:hAnsi="Verdana" w:cs="Verdana"/>
        </w:rPr>
        <w:t xml:space="preserve"> </w:t>
      </w:r>
    </w:p>
    <w:p w:rsidR="00FB0B24" w:rsidRPr="005B5CB6" w:rsidP="006F32A5">
      <w:pPr>
        <w:spacing w:after="165" w:line="250" w:lineRule="auto"/>
        <w:ind w:left="11" w:hanging="10"/>
        <w:jc w:val="both"/>
        <w:rPr>
          <w:rFonts w:ascii="Verdana" w:hAnsi="Verdana"/>
        </w:rPr>
      </w:pPr>
      <w:r w:rsidRPr="005B5CB6">
        <w:rPr>
          <w:rFonts w:ascii="Verdana" w:eastAsia="Verdana" w:hAnsi="Verdana" w:cs="Verdana"/>
          <w:b/>
        </w:rPr>
        <w:t xml:space="preserve">4.4 The ICO have found that the level of data harvesting and processing involved in real time bidding is illegal and are calling on brands to act.  </w:t>
      </w:r>
    </w:p>
    <w:p w:rsidR="00FB0B24" w:rsidRPr="005B5CB6" w:rsidP="006F32A5">
      <w:pPr>
        <w:spacing w:after="166" w:line="250" w:lineRule="auto"/>
        <w:ind w:left="23" w:right="11" w:hanging="8"/>
        <w:jc w:val="both"/>
        <w:rPr>
          <w:rFonts w:ascii="Verdana" w:hAnsi="Verdana"/>
        </w:rPr>
      </w:pPr>
      <w:r w:rsidRPr="005B5CB6">
        <w:rPr>
          <w:rFonts w:ascii="Verdana" w:eastAsia="Verdana" w:hAnsi="Verdana" w:cs="Verdana"/>
        </w:rPr>
        <w:t xml:space="preserve">The ICO have found that ‘some of adtech is inappropriate, some of it is illegal’ and are targeting brand owners who use illegal adtech, as opposed to the adtech providers themselves. The ICO have found that some of that the data collection and processing undertaken under real time bidding is unlawful under GDPR. Simon </w:t>
      </w:r>
      <w:r w:rsidRPr="005B5CB6">
        <w:rPr>
          <w:rFonts w:ascii="Verdana" w:eastAsia="Verdana" w:hAnsi="Verdana" w:cs="Verdana"/>
        </w:rPr>
        <w:t xml:space="preserve">McDougall, executive director for technology and innovation at the Information Commissioner’s Office, was quoted at the AA LEAD conference as saying: “In the end, it’s the brands that are funding all of this. If a regulator keeps on saying something is unethical, and it’s illegal, it’s problematic, at what point does it become an ethical issue for the brands to keep bankrolling those instances?” </w:t>
      </w:r>
    </w:p>
    <w:p w:rsidR="00FB0B24" w:rsidRPr="005B5CB6" w:rsidP="006F32A5">
      <w:pPr>
        <w:spacing w:after="168" w:line="250" w:lineRule="auto"/>
        <w:ind w:left="23" w:right="11" w:hanging="8"/>
        <w:jc w:val="both"/>
        <w:rPr>
          <w:rFonts w:ascii="Verdana" w:hAnsi="Verdana"/>
        </w:rPr>
      </w:pPr>
      <w:r w:rsidRPr="005B5CB6">
        <w:rPr>
          <w:rFonts w:ascii="Verdana" w:eastAsia="Verdana" w:hAnsi="Verdana" w:cs="Verdana"/>
        </w:rPr>
        <w:t xml:space="preserve">Behavioural ads are also hurting publisher revenue. </w:t>
      </w:r>
      <w:r>
        <w:fldChar w:fldCharType="begin"/>
      </w:r>
      <w:r>
        <w:instrText xml:space="preserve"> HYPERLINK "https://techcrunch.com/2019/05/31/targeted-ads-offer-little-extra-value-for-online-publishers-study-suggests/" </w:instrText>
      </w:r>
      <w:r>
        <w:fldChar w:fldCharType="separate"/>
      </w:r>
      <w:r w:rsidRPr="005B5CB6">
        <w:rPr>
          <w:rFonts w:ascii="Verdana" w:eastAsia="Verdana" w:hAnsi="Verdana" w:cs="Verdana"/>
          <w:color w:val="0563C1"/>
          <w:u w:val="single" w:color="0563C1"/>
        </w:rPr>
        <w:t>New academic research a</w:t>
      </w:r>
      <w:r>
        <w:fldChar w:fldCharType="end"/>
      </w:r>
      <w:r w:rsidRPr="005B5CB6">
        <w:rPr>
          <w:rFonts w:ascii="Verdana" w:eastAsia="Verdana" w:hAnsi="Verdana" w:cs="Verdana"/>
          <w:color w:val="0563C1"/>
          <w:u w:val="single" w:color="0563C1"/>
        </w:rPr>
        <w:t>lso</w:t>
      </w:r>
      <w:r w:rsidRPr="005B5CB6">
        <w:rPr>
          <w:rFonts w:ascii="Verdana" w:eastAsia="Verdana" w:hAnsi="Verdana" w:cs="Verdana"/>
          <w:color w:val="0563C1"/>
        </w:rPr>
        <w:t xml:space="preserve"> </w:t>
      </w:r>
      <w:r w:rsidRPr="005B5CB6">
        <w:rPr>
          <w:rFonts w:ascii="Verdana" w:eastAsia="Verdana" w:hAnsi="Verdana" w:cs="Verdana"/>
        </w:rPr>
        <w:t>goes against industry data and shows that personalised ads translate to only 4% more revenue for publishers</w:t>
      </w:r>
      <w:r w:rsidRPr="005B5CB6">
        <w:rPr>
          <w:rFonts w:ascii="Verdana" w:eastAsia="Verdana" w:hAnsi="Verdana" w:cs="Verdana"/>
          <w:b/>
        </w:rPr>
        <w:t>,</w:t>
      </w:r>
      <w:r w:rsidRPr="005B5CB6">
        <w:rPr>
          <w:rFonts w:ascii="Verdana" w:eastAsia="Verdana" w:hAnsi="Verdana" w:cs="Verdana"/>
        </w:rPr>
        <w:t xml:space="preserve"> as opposed to contextual ads. A </w:t>
      </w:r>
      <w:r>
        <w:fldChar w:fldCharType="begin"/>
      </w:r>
      <w:r>
        <w:instrText xml:space="preserve"> HYPERLINK "https://digiday.com/media/digiday-research-most-publishers-dont-benefit-from-behavioral-ad-targeting/" </w:instrText>
      </w:r>
      <w:r>
        <w:fldChar w:fldCharType="separate"/>
      </w:r>
      <w:r w:rsidRPr="005B5CB6">
        <w:rPr>
          <w:rFonts w:ascii="Verdana" w:eastAsia="Verdana" w:hAnsi="Verdana" w:cs="Verdana"/>
          <w:color w:val="0563C1"/>
          <w:u w:val="single" w:color="0563C1"/>
        </w:rPr>
        <w:t>recent poll</w:t>
      </w:r>
      <w:r>
        <w:fldChar w:fldCharType="end"/>
      </w:r>
      <w:r>
        <w:fldChar w:fldCharType="begin"/>
      </w:r>
      <w:r>
        <w:instrText xml:space="preserve"> HYPERLINK "https://digiday.com/media/digiday-research-most-publishers-dont-benefit-from-behavioral-ad-targeting/"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by Digiday of publishing executives found that 45 percent of them saw no significant benefit from behavioural ads, and 23 percent said they actually caused a decline in revenue.  </w:t>
      </w:r>
    </w:p>
    <w:p w:rsidR="00FB0B24" w:rsidRPr="005B5CB6" w:rsidP="006F32A5">
      <w:pPr>
        <w:spacing w:after="159"/>
        <w:jc w:val="both"/>
        <w:rPr>
          <w:rFonts w:ascii="Verdana" w:hAnsi="Verdana"/>
        </w:rPr>
      </w:pPr>
      <w:r w:rsidRPr="005B5CB6">
        <w:rPr>
          <w:rFonts w:ascii="Verdana" w:eastAsia="Verdana" w:hAnsi="Verdana" w:cs="Verdana"/>
          <w:b/>
        </w:rPr>
        <w:t xml:space="preserve"> </w:t>
      </w:r>
    </w:p>
    <w:p w:rsidR="00FB0B24" w:rsidRPr="005B5CB6" w:rsidP="006F32A5">
      <w:pPr>
        <w:spacing w:after="165" w:line="250" w:lineRule="auto"/>
        <w:ind w:left="11" w:hanging="10"/>
        <w:jc w:val="both"/>
        <w:rPr>
          <w:rFonts w:ascii="Verdana" w:hAnsi="Verdana"/>
        </w:rPr>
      </w:pPr>
      <w:r w:rsidRPr="005B5CB6">
        <w:rPr>
          <w:rFonts w:ascii="Verdana" w:eastAsia="Verdana" w:hAnsi="Verdana" w:cs="Verdana"/>
          <w:b/>
        </w:rPr>
        <w:t xml:space="preserve">4.5 Consumer ‘consent’ is not informed </w:t>
      </w:r>
    </w:p>
    <w:p w:rsidR="00FB0B24" w:rsidRPr="005B5CB6" w:rsidP="006F32A5">
      <w:pPr>
        <w:spacing w:after="165" w:line="250" w:lineRule="auto"/>
        <w:ind w:left="23" w:right="11" w:hanging="8"/>
        <w:jc w:val="both"/>
        <w:rPr>
          <w:rFonts w:ascii="Verdana" w:hAnsi="Verdana"/>
        </w:rPr>
      </w:pPr>
      <w:r w:rsidRPr="005B5CB6">
        <w:rPr>
          <w:rFonts w:ascii="Verdana" w:eastAsia="Verdana" w:hAnsi="Verdana" w:cs="Verdana"/>
        </w:rPr>
        <w:t xml:space="preserve">The pop-ups which we must now act on when we visit new websites are </w:t>
      </w:r>
      <w:r w:rsidRPr="005B5CB6">
        <w:rPr>
          <w:rFonts w:ascii="Verdana" w:eastAsia="Verdana" w:hAnsi="Verdana" w:cs="Verdana"/>
          <w:color w:val="0000FF"/>
          <w:u w:val="single" w:color="0000FF"/>
        </w:rPr>
        <w:t xml:space="preserve">designed to ‘nudge’ </w:t>
      </w:r>
      <w:r w:rsidRPr="005B5CB6">
        <w:rPr>
          <w:rFonts w:ascii="Verdana" w:eastAsia="Verdana" w:hAnsi="Verdana" w:cs="Verdana"/>
        </w:rPr>
        <w:t xml:space="preserve">people to click ‘yes, I agree’, as opposed to the ‘no’ option through design. Further, consent fatigue causes people to close the banner just to get rid of it as fast as possible. In many cases clicking ‘X’ is also interpreted as consent. The law states that valid consent should be informed, but many companies don’t clearly explain how ad targeting works. </w:t>
      </w:r>
      <w:r>
        <w:fldChar w:fldCharType="begin"/>
      </w:r>
      <w:r>
        <w:instrText xml:space="preserve"> HYPERLINK "https://medium.com/@ka.iwanska/behavioural-advertising-101-5fee17913b22" </w:instrText>
      </w:r>
      <w:r>
        <w:fldChar w:fldCharType="separate"/>
      </w:r>
      <w:r w:rsidRPr="005B5CB6">
        <w:rPr>
          <w:rFonts w:ascii="Verdana" w:eastAsia="Verdana" w:hAnsi="Verdana" w:cs="Verdana"/>
          <w:color w:val="0563C1"/>
          <w:u w:val="single" w:color="0563C1"/>
        </w:rPr>
        <w:t>Given how complicated</w:t>
      </w:r>
      <w:r>
        <w:fldChar w:fldCharType="end"/>
      </w:r>
      <w:r>
        <w:fldChar w:fldCharType="begin"/>
      </w:r>
      <w:r>
        <w:instrText xml:space="preserve"> HYPERLINK "https://medium.com/@ka.iwanska/behavioural-advertising-101-5fee17913b22" </w:instrText>
      </w:r>
      <w:r>
        <w:fldChar w:fldCharType="separate"/>
      </w:r>
      <w:r w:rsidRPr="005B5CB6">
        <w:rPr>
          <w:rFonts w:ascii="Verdana" w:eastAsia="Verdana" w:hAnsi="Verdana" w:cs="Verdana"/>
          <w:color w:val="0563C1"/>
        </w:rPr>
        <w:t xml:space="preserve"> </w:t>
      </w:r>
      <w:r>
        <w:fldChar w:fldCharType="end"/>
      </w:r>
      <w:r>
        <w:fldChar w:fldCharType="begin"/>
      </w:r>
      <w:r>
        <w:instrText xml:space="preserve"> HYPERLINK "https://medium.com/@ka.iwanska/behavioural-advertising-101-5fee17913b22" </w:instrText>
      </w:r>
      <w:r>
        <w:fldChar w:fldCharType="separate"/>
      </w:r>
      <w:r w:rsidRPr="005B5CB6">
        <w:rPr>
          <w:rFonts w:ascii="Verdana" w:eastAsia="Verdana" w:hAnsi="Verdana" w:cs="Verdana"/>
          <w:color w:val="0563C1"/>
          <w:u w:val="single" w:color="0563C1"/>
        </w:rPr>
        <w:t>and opaque it is</w:t>
      </w:r>
      <w:r>
        <w:fldChar w:fldCharType="end"/>
      </w:r>
      <w:r>
        <w:fldChar w:fldCharType="begin"/>
      </w:r>
      <w:r>
        <w:instrText xml:space="preserve"> HYPERLINK "https://medium.com/@ka.iwanska/behavioural-advertising-101-5fee17913b22"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is it actually possible for users to understand and accept the consequences of giving consent? </w:t>
      </w:r>
    </w:p>
    <w:p w:rsidR="00FB0B24" w:rsidRPr="005B5CB6" w:rsidP="006F32A5">
      <w:pPr>
        <w:spacing w:after="166" w:line="250" w:lineRule="auto"/>
        <w:ind w:left="23" w:right="11" w:hanging="8"/>
        <w:jc w:val="both"/>
        <w:rPr>
          <w:rFonts w:ascii="Verdana" w:hAnsi="Verdana"/>
        </w:rPr>
      </w:pPr>
      <w:r w:rsidRPr="005B5CB6">
        <w:rPr>
          <w:rFonts w:ascii="Verdana" w:eastAsia="Verdana" w:hAnsi="Verdana" w:cs="Verdana"/>
        </w:rPr>
        <w:t xml:space="preserve">Because the extent of tracking and complexity of the adtech industry is </w:t>
      </w:r>
      <w:r>
        <w:fldChar w:fldCharType="begin"/>
      </w:r>
      <w:r>
        <w:instrText xml:space="preserve"> HYPERLINK "https://www.consumersinternational.org/news-resources/blog/posts/data-goldrush-new-research-shows-apps-selling-personal-data-without-meaningful-consent/" </w:instrText>
      </w:r>
      <w:r>
        <w:fldChar w:fldCharType="separate"/>
      </w:r>
      <w:r w:rsidRPr="005B5CB6">
        <w:rPr>
          <w:rFonts w:ascii="Verdana" w:eastAsia="Verdana" w:hAnsi="Verdana" w:cs="Verdana"/>
          <w:color w:val="0563C1"/>
          <w:u w:val="single" w:color="0563C1"/>
        </w:rPr>
        <w:t>incomprehensible to consumers</w:t>
      </w:r>
      <w:r>
        <w:fldChar w:fldCharType="end"/>
      </w:r>
      <w:r>
        <w:fldChar w:fldCharType="begin"/>
      </w:r>
      <w:r>
        <w:instrText xml:space="preserve"> HYPERLINK "https://www.consumersinternational.org/news-resources/blog/posts/data-goldrush-new-research-shows-apps-selling-personal-data-without-meaningful-consent/"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they cannot make informed choices and give their meaningful consent. These profiles are anonymised, but difficult for consumers to access, edit, or withdraw from.</w:t>
      </w:r>
      <w:r w:rsidRPr="005B5CB6">
        <w:rPr>
          <w:rFonts w:ascii="Verdana" w:eastAsia="Verdana" w:hAnsi="Verdana" w:cs="Verdana"/>
          <w:b/>
        </w:rPr>
        <w:t xml:space="preserve"> </w:t>
      </w:r>
    </w:p>
    <w:p w:rsidR="00FB0B24" w:rsidRPr="005B5CB6" w:rsidP="006F32A5">
      <w:pPr>
        <w:spacing w:after="159"/>
        <w:jc w:val="both"/>
        <w:rPr>
          <w:rFonts w:ascii="Verdana" w:hAnsi="Verdana"/>
        </w:rPr>
      </w:pPr>
      <w:r w:rsidRPr="005B5CB6">
        <w:rPr>
          <w:rFonts w:ascii="Verdana" w:eastAsia="Verdana" w:hAnsi="Verdana" w:cs="Verdana"/>
          <w:b/>
        </w:rPr>
        <w:t xml:space="preserve"> </w:t>
      </w:r>
    </w:p>
    <w:p w:rsidR="00FB0B24" w:rsidRPr="005B5CB6" w:rsidP="006F32A5">
      <w:pPr>
        <w:pStyle w:val="Heading2"/>
        <w:rPr>
          <w:sz w:val="22"/>
        </w:rPr>
      </w:pPr>
      <w:r w:rsidRPr="005B5CB6">
        <w:rPr>
          <w:sz w:val="22"/>
          <w:u w:val="single" w:color="000000"/>
        </w:rPr>
        <w:t>5. The Conscious Advertising Network</w:t>
      </w:r>
      <w:r w:rsidRPr="005B5CB6">
        <w:rPr>
          <w:sz w:val="22"/>
        </w:rPr>
        <w:t xml:space="preserve"> </w:t>
      </w:r>
    </w:p>
    <w:p w:rsidR="00FB0B24" w:rsidRPr="005B5CB6" w:rsidP="006F32A5">
      <w:pPr>
        <w:spacing w:after="165" w:line="250" w:lineRule="auto"/>
        <w:ind w:left="11" w:hanging="10"/>
        <w:jc w:val="both"/>
        <w:rPr>
          <w:rFonts w:ascii="Verdana" w:hAnsi="Verdana"/>
        </w:rPr>
      </w:pPr>
      <w:r w:rsidRPr="005B5CB6">
        <w:rPr>
          <w:rFonts w:ascii="Verdana" w:eastAsia="Verdana" w:hAnsi="Verdana" w:cs="Verdana"/>
          <w:b/>
        </w:rPr>
        <w:t xml:space="preserve">5.1 Solutions are available, and volunteers should not be policing the internet </w:t>
      </w:r>
    </w:p>
    <w:p w:rsidR="00FB0B24" w:rsidRPr="005B5CB6" w:rsidP="006F32A5">
      <w:pPr>
        <w:spacing w:after="165" w:line="250" w:lineRule="auto"/>
        <w:ind w:left="23" w:right="11" w:hanging="8"/>
        <w:jc w:val="both"/>
        <w:rPr>
          <w:rFonts w:ascii="Verdana" w:hAnsi="Verdana"/>
        </w:rPr>
      </w:pPr>
      <w:r w:rsidRPr="005B5CB6">
        <w:rPr>
          <w:rFonts w:ascii="Verdana" w:eastAsia="Verdana" w:hAnsi="Verdana" w:cs="Verdana"/>
        </w:rPr>
        <w:t xml:space="preserve">All major advertisers signing up to </w:t>
      </w:r>
      <w:r>
        <w:fldChar w:fldCharType="begin"/>
      </w:r>
      <w:r>
        <w:instrText xml:space="preserve"> HYPERLINK "https://www.consciousadnetwork.org/" </w:instrText>
      </w:r>
      <w:r>
        <w:fldChar w:fldCharType="separate"/>
      </w:r>
      <w:r w:rsidRPr="005B5CB6">
        <w:rPr>
          <w:rFonts w:ascii="Verdana" w:eastAsia="Verdana" w:hAnsi="Verdana" w:cs="Verdana"/>
          <w:color w:val="0563C1"/>
          <w:u w:val="single" w:color="0563C1"/>
        </w:rPr>
        <w:t>The Conscious Advertising Network</w:t>
      </w:r>
      <w:r>
        <w:fldChar w:fldCharType="end"/>
      </w:r>
      <w:r>
        <w:fldChar w:fldCharType="begin"/>
      </w:r>
      <w:r>
        <w:instrText xml:space="preserve"> HYPERLINK "https://www.consciousadnetwork.org/"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and embedding our principles in all RFPs would go some way to solving the problems described below. It is aimed at marketing decision makers, and something we would highly recommend. It is also worth noting that the Network is voluntary, free to join, and something we are not gaining from monetarily. </w:t>
      </w:r>
    </w:p>
    <w:p w:rsidR="00FB0B24" w:rsidRPr="005B5CB6" w:rsidP="006F32A5">
      <w:pPr>
        <w:spacing w:after="165" w:line="250" w:lineRule="auto"/>
        <w:ind w:left="23" w:right="11" w:hanging="8"/>
        <w:jc w:val="both"/>
        <w:rPr>
          <w:rFonts w:ascii="Verdana" w:hAnsi="Verdana"/>
        </w:rPr>
      </w:pPr>
      <w:r w:rsidRPr="005B5CB6">
        <w:rPr>
          <w:rFonts w:ascii="Verdana" w:eastAsia="Verdana" w:hAnsi="Verdana" w:cs="Verdana"/>
        </w:rPr>
        <w:t xml:space="preserve">Brands continue to monetise harmful content. See below for examples of advertising on homophobic, antisemitic Gazeta Polska. And AI is barely able to recognise objects, never mind nuance. It is not the silver bullet we need.  </w:t>
      </w:r>
    </w:p>
    <w:p w:rsidR="00FB0B24" w:rsidRPr="005B5CB6" w:rsidP="006F32A5">
      <w:pPr>
        <w:spacing w:after="114" w:line="250" w:lineRule="auto"/>
        <w:ind w:left="23" w:right="11" w:hanging="8"/>
        <w:jc w:val="both"/>
        <w:rPr>
          <w:rFonts w:ascii="Verdana" w:hAnsi="Verdana"/>
        </w:rPr>
      </w:pPr>
      <w:r w:rsidRPr="005B5CB6">
        <w:rPr>
          <w:rFonts w:ascii="Verdana" w:eastAsia="Verdana" w:hAnsi="Verdana" w:cs="Verdana"/>
        </w:rPr>
        <w:t xml:space="preserve">Volunteers such as CAN, Sleeping Giants, Stop Funding Hate, as well as civil society groups are policing the internet, while advertisers make vast sums of money. This should not be the case. It’s time for brands and the advertising industry to lean into their responsibilities, clean up their digital supply chains, and defund the fraud, hate speech and misinformation which threatens our democracy and climate.  </w:t>
      </w:r>
    </w:p>
    <w:p w:rsidR="00FB0B24" w:rsidRPr="005B5CB6" w:rsidP="006F32A5">
      <w:pPr>
        <w:spacing w:after="0"/>
        <w:ind w:right="1366"/>
        <w:jc w:val="both"/>
        <w:rPr>
          <w:rFonts w:ascii="Verdana" w:hAnsi="Verdana"/>
        </w:rPr>
      </w:pPr>
      <w:r>
        <w:rPr>
          <w:rFonts w:ascii="Verdana" w:hAnsi="Verdana"/>
          <w:noProof/>
        </w:rPr>
        <w:pict>
          <v:group id="Group 612881" o:spid="_x0000_i1479" style="height:323.4pt;mso-position-horizontal-relative:char;mso-position-vertical-relative:line;width:379.2pt" coordsize="48160,41072">
            <v:rect id="Rectangle 50684" o:spid="_x0000_s1480" style="height:1817;left:24188;mso-wrap-style:square;position:absolute;top:22164;v-text-anchor:top;visibility:visible;width:657" filled="f" stroked="f">
              <v:textbox inset="0,0,0,0">
                <w:txbxContent>
                  <w:p w:rsidR="00673732">
                    <w:r>
                      <w:rPr>
                        <w:rFonts w:ascii="Verdana" w:eastAsia="Verdana" w:hAnsi="Verdana" w:cs="Verdana"/>
                      </w:rPr>
                      <w:t xml:space="preserve"> </w:t>
                    </w:r>
                  </w:p>
                </w:txbxContent>
              </v:textbox>
            </v:rect>
            <v:rect id="Rectangle 50686" o:spid="_x0000_s1481" style="height:1817;left:21903;mso-wrap-style:square;position:absolute;top:39705;v-text-anchor:top;visibility:visible;width:656" filled="f" stroked="f">
              <v:textbox inset="0,0,0,0">
                <w:txbxContent>
                  <w:p w:rsidR="00673732">
                    <w:r>
                      <w:rPr>
                        <w:rFonts w:ascii="Verdana" w:eastAsia="Verdana" w:hAnsi="Verdana" w:cs="Verdana"/>
                      </w:rPr>
                      <w:t xml:space="preserve"> </w:t>
                    </w:r>
                  </w:p>
                </w:txbxContent>
              </v:textbox>
            </v:rect>
            <v:shape id="Picture 50688" o:spid="_x0000_s1482" type="#_x0000_t75" style="height:23237;mso-wrap-style:square;position:absolute;visibility:visible;width:24130">
              <v:imagedata r:id="rId497" o:title=""/>
            </v:shape>
            <v:shape id="Picture 50690" o:spid="_x0000_s1483" type="#_x0000_t75" style="height:19871;left:24684;mso-wrap-style:square;position:absolute;top:3365;visibility:visible;width:23476">
              <v:imagedata r:id="rId498" o:title=""/>
            </v:shape>
            <v:shape id="Picture 50692" o:spid="_x0000_s1484" type="#_x0000_t75" style="height:16313;mso-wrap-style:square;position:absolute;top:24391;visibility:visible;width:21836">
              <v:imagedata r:id="rId499" o:title=""/>
            </v:shape>
            <w10:wrap type="none"/>
            <w10:anchorlock/>
          </v:group>
        </w:pict>
      </w:r>
      <w:r w:rsidRPr="005B5CB6">
        <w:rPr>
          <w:rFonts w:ascii="Verdana" w:eastAsia="Verdana" w:hAnsi="Verdana" w:cs="Verdana"/>
        </w:rPr>
        <w:t xml:space="preserve"> </w:t>
      </w:r>
    </w:p>
    <w:p w:rsidR="00FB0B24" w:rsidRPr="005B5CB6" w:rsidP="006F32A5">
      <w:pPr>
        <w:spacing w:after="168" w:line="249" w:lineRule="auto"/>
        <w:ind w:left="10" w:hanging="10"/>
        <w:jc w:val="both"/>
        <w:rPr>
          <w:rFonts w:ascii="Verdana" w:hAnsi="Verdana"/>
        </w:rPr>
      </w:pPr>
      <w:r w:rsidRPr="005B5CB6">
        <w:rPr>
          <w:rFonts w:ascii="Verdana" w:eastAsia="Verdana" w:hAnsi="Verdana" w:cs="Verdana"/>
          <w:i/>
        </w:rPr>
        <w:t xml:space="preserve">Household brands such as Addison Lee, Audi, Ikea and Buckingham Palace found on anti-Semitic and homophobic Gazeta Polska. A large software company removed their adverts and conducted an internal review based on tip offs from CAN.  </w:t>
      </w:r>
    </w:p>
    <w:p w:rsidR="00FB0B24" w:rsidRPr="005B5CB6" w:rsidP="006F32A5">
      <w:pPr>
        <w:pStyle w:val="Heading2"/>
        <w:rPr>
          <w:sz w:val="22"/>
        </w:rPr>
      </w:pPr>
      <w:r w:rsidRPr="005B5CB6">
        <w:rPr>
          <w:sz w:val="22"/>
          <w:u w:val="single" w:color="000000"/>
        </w:rPr>
        <w:t>6. Questions</w:t>
      </w:r>
      <w:r w:rsidRPr="005B5CB6">
        <w:rPr>
          <w:sz w:val="22"/>
        </w:rPr>
        <w:t xml:space="preserve">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 xml:space="preserve">What’s the ASA’s position on greenwash and blatant misinformation surrounding climate change? How will it lead on catching advertisers and cutting off the business model around climate misinformation around COP26?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 xml:space="preserve">For example, are there plans to develop guidance around greenwash and climate denial, similar to the highly successful guidance on gender for example? Are there plans to update the ASA green claims guidance for an age of climate misinfo that goes beyond products?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 xml:space="preserve">Where is the responsibility when advertisers are found to be funding hate speech/fake news/climate denial? There appear to be no accountability mechanism. Why is this?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 xml:space="preserve">What is the ASA’s position on hate speech/free speech and also climate misinformation from an oil and gas perspective (as guidance only covers certain sectors, does not deal with placement and talks about renewable energy but not claims made by oil and gas producers more widely). How to they define it? What do they do about it?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The information presented by companies such as BP, Shell and Exxon, who may spend about 1/100</w:t>
      </w:r>
      <w:r w:rsidRPr="005B5CB6">
        <w:rPr>
          <w:rFonts w:ascii="Verdana" w:eastAsia="Verdana" w:hAnsi="Verdana" w:cs="Verdana"/>
          <w:vertAlign w:val="superscript"/>
        </w:rPr>
        <w:t>th</w:t>
      </w:r>
      <w:r w:rsidRPr="005B5CB6">
        <w:rPr>
          <w:rFonts w:ascii="Verdana" w:eastAsia="Verdana" w:hAnsi="Verdana" w:cs="Verdana"/>
        </w:rPr>
        <w:t xml:space="preserve"> of their yearly revenue on ‘green technology’, yet advertise about their green credentials is clearly wrong and misleading. What is your position on these adverts?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 xml:space="preserve">Targeting large OOH, publications etc. around Extinction Rebellion protests was a core tactic of the oil companies this year. What is your view on this kind of freedom of reach?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 xml:space="preserve">Evidence seems to suggest that the ASA is only tracking programmatic ads which are badly targeted, around nutrition. Is this true? Are there plans to extend this to correspond with international events, for example, climate misinformation around COP?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The ASA’s guidance on</w:t>
      </w:r>
      <w:r>
        <w:fldChar w:fldCharType="begin"/>
      </w:r>
      <w:r>
        <w:instrText xml:space="preserve"> HYPERLINK "https://www.asa.org.uk/about-asa-and-cap/the-work-we-do/what-we-cover.html" \l "OBA"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"https://www.asa.org.uk/about-asa-and-cap/the-work-we-do/what-we-cover.html" \l "OBA" </w:instrText>
      </w:r>
      <w:r>
        <w:fldChar w:fldCharType="separate"/>
      </w:r>
      <w:r w:rsidRPr="005B5CB6">
        <w:rPr>
          <w:rFonts w:ascii="Verdana" w:eastAsia="Verdana" w:hAnsi="Verdana" w:cs="Verdana"/>
          <w:u w:val="single" w:color="000000"/>
        </w:rPr>
        <w:t>what it does cover</w:t>
      </w:r>
      <w:r>
        <w:fldChar w:fldCharType="end"/>
      </w:r>
      <w:r>
        <w:fldChar w:fldCharType="begin"/>
      </w:r>
      <w:r>
        <w:instrText xml:space="preserve"> HYPERLINK "https://www.asa.org.uk/about-asa-and-cap/the-work-we-do/what-we-cover.html" \l "OBA"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doesn’t seem to say social media ads. Why is this? Are they covered?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 xml:space="preserve">How can the ASA hope to properly regulate programmatically targeted ads pertaining to ideas and information, if it does not have a record of what is being targeted to whom?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 xml:space="preserve">YouTube is the most read platform amongst people under 35, yet time and time again, information, funded by advertising is found to be false, or radicalising. What are they doing to protect users and advertisers against appearing next to/consuming information contamination?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 xml:space="preserve">Why can Facebook carry political ads at scale including misinformation with no checks and balances other than the ‘transparency’ library? This is clearly insufficient. Even if an ad is proved to contain misinformation no correction is then issued to the millions of people that saw the first ad. Why is Facebook not subject to the same rules as the newspapers?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 xml:space="preserve">Arguably, content creators on YouTube are developing content in a way that advertises themselves and their channels. Are there plans for the ASA to consider promotional content as advertising? How should this be regulated if not?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 xml:space="preserve">What do you think of the latest Sleeping Giants amendment in France? Should all advertisers in the UK have to publish where there advertising is going as a matter of public interest?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 xml:space="preserve">Do you think, if it did so, it would change the way advertising is bought and sold? </w:t>
      </w:r>
    </w:p>
    <w:p w:rsidR="00FB0B24" w:rsidRPr="005B5CB6" w:rsidP="00575F14">
      <w:pPr>
        <w:numPr>
          <w:ilvl w:val="0"/>
          <w:numId w:val="275"/>
        </w:numPr>
        <w:spacing w:after="5" w:line="250" w:lineRule="auto"/>
        <w:ind w:right="11" w:hanging="360"/>
        <w:jc w:val="both"/>
        <w:rPr>
          <w:rFonts w:ascii="Verdana" w:hAnsi="Verdana"/>
        </w:rPr>
      </w:pPr>
      <w:r w:rsidRPr="005B5CB6">
        <w:rPr>
          <w:rFonts w:ascii="Verdana" w:eastAsia="Verdana" w:hAnsi="Verdana" w:cs="Verdana"/>
        </w:rPr>
        <w:t xml:space="preserve">If advertising funds the internet, don’t advertisers have a greater responsibility to ensure that they do this well, fairly and in the spirit of the SDGs? How should advertisers the world over respond to this challenge? </w:t>
      </w:r>
    </w:p>
    <w:p w:rsidR="00FB0B24" w:rsidRPr="005B5CB6" w:rsidP="006F32A5">
      <w:pPr>
        <w:jc w:val="both"/>
        <w:rPr>
          <w:rFonts w:ascii="Verdana" w:hAnsi="Verdana"/>
        </w:rPr>
        <w:sectPr w:rsidSect="00297D29">
          <w:headerReference w:type="even" r:id="rId500"/>
          <w:headerReference w:type="default" r:id="rId501"/>
          <w:footerReference w:type="even" r:id="rId502"/>
          <w:footerReference w:type="default" r:id="rId503"/>
          <w:headerReference w:type="first" r:id="rId504"/>
          <w:footerReference w:type="first" r:id="rId505"/>
          <w:pgSz w:w="11906" w:h="16838"/>
          <w:pgMar w:top="1440" w:right="1440" w:bottom="1576" w:left="1440" w:header="720" w:footer="709" w:gutter="0"/>
          <w:cols w:space="720"/>
        </w:sectPr>
      </w:pPr>
    </w:p>
    <w:p w:rsidR="00FB0B24" w:rsidRPr="005B5CB6" w:rsidP="00A1624B">
      <w:pPr>
        <w:pStyle w:val="Heading1"/>
        <w:rPr>
          <w:sz w:val="22"/>
        </w:rPr>
      </w:pPr>
      <w:bookmarkStart w:id="79" w:name="_Toc44517767"/>
      <w:r w:rsidRPr="005B5CB6">
        <w:rPr>
          <w:sz w:val="22"/>
        </w:rPr>
        <w:t>Coalition for Reform in Political Advertising – written evidence (DAD0092)</w:t>
      </w:r>
      <w:bookmarkEnd w:id="79"/>
      <w:r w:rsidRPr="005B5CB6">
        <w:rPr>
          <w:sz w:val="22"/>
        </w:rPr>
        <w:t xml:space="preserve"> </w:t>
      </w:r>
    </w:p>
    <w:p w:rsidR="00FB0B24" w:rsidRPr="005B5CB6" w:rsidP="006F32A5">
      <w:pPr>
        <w:spacing w:after="0"/>
        <w:jc w:val="both"/>
        <w:rPr>
          <w:rFonts w:ascii="Verdana" w:hAnsi="Verdana"/>
        </w:rPr>
      </w:pPr>
      <w:r w:rsidRPr="005B5CB6">
        <w:rPr>
          <w:rFonts w:ascii="Verdana" w:eastAsia="Verdana" w:hAnsi="Verdana" w:cs="Verdana"/>
          <w:b/>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Introduction </w:t>
      </w:r>
    </w:p>
    <w:p w:rsidR="00FB0B24" w:rsidRPr="005B5CB6" w:rsidP="006F32A5">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276"/>
        </w:numPr>
        <w:spacing w:after="5" w:line="249" w:lineRule="auto"/>
        <w:ind w:right="-10" w:hanging="358"/>
        <w:jc w:val="both"/>
        <w:rPr>
          <w:rFonts w:ascii="Verdana" w:hAnsi="Verdana"/>
        </w:rPr>
      </w:pPr>
      <w:r w:rsidRPr="005B5CB6">
        <w:rPr>
          <w:rFonts w:ascii="Verdana" w:eastAsia="Verdana" w:hAnsi="Verdana" w:cs="Verdana"/>
          <w:i/>
        </w:rPr>
        <w:t xml:space="preserve">The authors of this evidence are from the Coalition for Reform in Political </w:t>
      </w:r>
    </w:p>
    <w:p w:rsidR="00FB0B24" w:rsidRPr="005B5CB6" w:rsidP="006F32A5">
      <w:pPr>
        <w:spacing w:after="2" w:line="249" w:lineRule="auto"/>
        <w:ind w:left="358" w:right="-10"/>
        <w:jc w:val="both"/>
        <w:rPr>
          <w:rFonts w:ascii="Verdana" w:hAnsi="Verdana"/>
        </w:rPr>
      </w:pPr>
      <w:r w:rsidRPr="005B5CB6">
        <w:rPr>
          <w:rFonts w:ascii="Verdana" w:eastAsia="Verdana" w:hAnsi="Verdana" w:cs="Verdana"/>
          <w:i/>
        </w:rPr>
        <w:t xml:space="preserve">Advertising (The Coalition); background is at </w:t>
      </w:r>
      <w:r>
        <w:fldChar w:fldCharType="begin"/>
      </w:r>
      <w:r>
        <w:instrText xml:space="preserve"> HYPERLINK "https://reformpoliticaladvertising.org/" </w:instrText>
      </w:r>
      <w:r>
        <w:fldChar w:fldCharType="separate"/>
      </w:r>
      <w:r w:rsidRPr="005B5CB6">
        <w:rPr>
          <w:rFonts w:ascii="Verdana" w:eastAsia="Verdana" w:hAnsi="Verdana" w:cs="Verdana"/>
          <w:i/>
          <w:u w:val="single" w:color="000000"/>
        </w:rPr>
        <w:t>https://reformpoliticaladvertising.org/</w:t>
      </w:r>
      <w:r>
        <w:fldChar w:fldCharType="end"/>
      </w:r>
      <w:r>
        <w:fldChar w:fldCharType="begin"/>
      </w:r>
      <w:r>
        <w:instrText xml:space="preserve"> HYPERLINK "https://reformpoliticaladvertising.org/" </w:instrText>
      </w:r>
      <w:r>
        <w:fldChar w:fldCharType="separate"/>
      </w:r>
      <w:r w:rsidRPr="005B5CB6">
        <w:rPr>
          <w:rFonts w:ascii="Verdana" w:eastAsia="Verdana" w:hAnsi="Verdana" w:cs="Verdana"/>
          <w:i/>
        </w:rPr>
        <w:t>.</w:t>
      </w:r>
      <w:r>
        <w:fldChar w:fldCharType="end"/>
      </w:r>
      <w:r w:rsidRPr="005B5CB6">
        <w:rPr>
          <w:rFonts w:ascii="Verdana" w:eastAsia="Verdana" w:hAnsi="Verdana" w:cs="Verdana"/>
          <w:i/>
        </w:rPr>
        <w:t xml:space="preserve"> This is a politically neutral, non-profit organisation whose founders are from the advertising industry and experienced in the operations of that industry, including its regulatory mechanisms.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575F14">
      <w:pPr>
        <w:numPr>
          <w:ilvl w:val="0"/>
          <w:numId w:val="276"/>
        </w:numPr>
        <w:spacing w:after="2" w:line="249" w:lineRule="auto"/>
        <w:ind w:right="-10" w:hanging="358"/>
        <w:jc w:val="both"/>
        <w:rPr>
          <w:rFonts w:ascii="Verdana" w:hAnsi="Verdana"/>
        </w:rPr>
      </w:pPr>
      <w:r w:rsidRPr="005B5CB6">
        <w:rPr>
          <w:rFonts w:ascii="Verdana" w:eastAsia="Verdana" w:hAnsi="Verdana" w:cs="Verdana"/>
          <w:i/>
        </w:rPr>
        <w:t>The Green Party, the Yorkshire Party and the Women’s Equality Party are among the political parties that support the Coalition. While the Coalition seeks to extend its role so that its principles and pledges are supported by all parties, its position with regard to the assessment of advertising remains as objective as any organisation of this kind can be. The organisation is self-funding and driven only by principle; political party supporters do not pay any form of subscription.</w:t>
      </w:r>
      <w:r w:rsidRPr="005B5CB6">
        <w:rPr>
          <w:rFonts w:ascii="Verdana" w:eastAsia="Verdana" w:hAnsi="Verdana" w:cs="Verdana"/>
        </w:rPr>
        <w:t xml:space="preser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76"/>
        </w:numPr>
        <w:spacing w:after="2" w:line="249" w:lineRule="auto"/>
        <w:ind w:right="-10" w:hanging="358"/>
        <w:jc w:val="both"/>
        <w:rPr>
          <w:rFonts w:ascii="Verdana" w:hAnsi="Verdana"/>
        </w:rPr>
      </w:pPr>
      <w:r w:rsidRPr="005B5CB6">
        <w:rPr>
          <w:rFonts w:ascii="Verdana" w:eastAsia="Verdana" w:hAnsi="Verdana" w:cs="Verdana"/>
          <w:i/>
        </w:rPr>
        <w:t>One of our early supporters was the UK trade body</w:t>
      </w:r>
      <w:r>
        <w:fldChar w:fldCharType="begin"/>
      </w:r>
      <w:r>
        <w:instrText xml:space="preserve"> HYPERLINK "https://www.isba.org.uk/" </w:instrText>
      </w:r>
      <w:r>
        <w:fldChar w:fldCharType="separate"/>
      </w:r>
      <w:r w:rsidRPr="005B5CB6">
        <w:rPr>
          <w:rFonts w:ascii="Verdana" w:eastAsia="Verdana" w:hAnsi="Verdana" w:cs="Verdana"/>
          <w:i/>
        </w:rPr>
        <w:t xml:space="preserve"> </w:t>
      </w:r>
      <w:r>
        <w:fldChar w:fldCharType="end"/>
      </w:r>
      <w:r>
        <w:fldChar w:fldCharType="begin"/>
      </w:r>
      <w:r>
        <w:instrText xml:space="preserve"> HYPERLINK "https://www.isba.org.uk/" </w:instrText>
      </w:r>
      <w:r>
        <w:fldChar w:fldCharType="separate"/>
      </w:r>
      <w:r w:rsidRPr="005B5CB6">
        <w:rPr>
          <w:rFonts w:ascii="Verdana" w:eastAsia="Verdana" w:hAnsi="Verdana" w:cs="Verdana"/>
          <w:i/>
          <w:u w:val="single" w:color="000000"/>
        </w:rPr>
        <w:t>ISBA</w:t>
      </w:r>
      <w:r>
        <w:fldChar w:fldCharType="end"/>
      </w:r>
      <w:r>
        <w:fldChar w:fldCharType="begin"/>
      </w:r>
      <w:r>
        <w:instrText xml:space="preserve"> HYPERLINK "https://www.isba.org.uk/" </w:instrText>
      </w:r>
      <w:r>
        <w:fldChar w:fldCharType="separate"/>
      </w:r>
      <w:r w:rsidRPr="005B5CB6">
        <w:rPr>
          <w:rFonts w:ascii="Verdana" w:eastAsia="Verdana" w:hAnsi="Verdana" w:cs="Verdana"/>
          <w:i/>
        </w:rPr>
        <w:t>,</w:t>
      </w:r>
      <w:r>
        <w:fldChar w:fldCharType="end"/>
      </w:r>
      <w:r w:rsidRPr="005B5CB6">
        <w:rPr>
          <w:rFonts w:ascii="Verdana" w:eastAsia="Verdana" w:hAnsi="Verdana" w:cs="Verdana"/>
          <w:i/>
        </w:rPr>
        <w:t xml:space="preserve"> which represents advertisers who fund the highly regarded U.K. self-regulatory system managed by the Advertising Standards Authority. The perspective which ISBA shares with the Coalition is that it is fundamentally wrong that electoral political advertising should not be subject to the same rules required of virtually all other advertising and that the absence of such rules and the concomitant political misinformation brings all advertising into disrepute. </w:t>
      </w:r>
      <w:r w:rsidRPr="005B5CB6">
        <w:rPr>
          <w:rFonts w:ascii="Verdana" w:eastAsia="Verdana" w:hAnsi="Verdana" w:cs="Verdana"/>
          <w:b/>
        </w:rPr>
        <w:t xml:space="preserve"> </w:t>
      </w:r>
    </w:p>
    <w:p w:rsidR="00FB0B24" w:rsidRPr="005B5CB6" w:rsidP="006F32A5">
      <w:pPr>
        <w:spacing w:after="0"/>
        <w:jc w:val="both"/>
        <w:rPr>
          <w:rFonts w:ascii="Verdana" w:hAnsi="Verdana"/>
        </w:rPr>
      </w:pPr>
      <w:r w:rsidRPr="005B5CB6">
        <w:rPr>
          <w:rFonts w:ascii="Verdana" w:eastAsia="Verdana" w:hAnsi="Verdana" w:cs="Verdana"/>
          <w:b/>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THE COMMITTEE IS SEEKING INPUT ON THE FOLLOWING QUESTIONS: </w:t>
      </w: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b/>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GENERAL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1. HOW HAS DIGITAL TECHNOLOGY CHANGED THE WAY THAT DEMOCRACY WORKS IN THE UK AND HAS THIS BEEN A NET POSITIVE OR NEGATIVE EFFECT?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77"/>
        </w:numPr>
        <w:spacing w:after="2" w:line="249" w:lineRule="auto"/>
        <w:ind w:right="-10" w:hanging="360"/>
        <w:jc w:val="both"/>
        <w:rPr>
          <w:rFonts w:ascii="Verdana" w:hAnsi="Verdana"/>
        </w:rPr>
      </w:pPr>
      <w:r w:rsidRPr="005B5CB6">
        <w:rPr>
          <w:rFonts w:ascii="Verdana" w:eastAsia="Verdana" w:hAnsi="Verdana" w:cs="Verdana"/>
          <w:i/>
        </w:rPr>
        <w:t xml:space="preserve">Our relatively narrow applicable expertise and the very wide scope of this question require us only to address the way in which digital technology has developed channels which invite or require all technology users, politicians and commentators among them, to communicate differently and in addition to more traditional methods. To further narrow that context, we are focused on communications, paid or otherwise, in the electoral process and as expressed in or by digital technology. Equally, we make the assumption that the issue at stake here is the way in which digital technology is applied, rather than its existence per se, which will obviously provide significant benefits unless it is abused.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77"/>
        </w:numPr>
        <w:spacing w:after="2" w:line="249" w:lineRule="auto"/>
        <w:ind w:right="-10" w:hanging="360"/>
        <w:jc w:val="both"/>
        <w:rPr>
          <w:rFonts w:ascii="Verdana" w:hAnsi="Verdana"/>
        </w:rPr>
      </w:pPr>
      <w:r w:rsidRPr="005B5CB6">
        <w:rPr>
          <w:rFonts w:ascii="Verdana" w:eastAsia="Verdana" w:hAnsi="Verdana" w:cs="Verdana"/>
          <w:i/>
        </w:rPr>
        <w:t xml:space="preserve">The committee will already have heard evidence on the issue of micro-targeting. It will also be aware of work from the CMA and its recent interim report ‘Online platforms and digital advertising’; the Furman Report; the current DCMS Online Advertising Review; the work of the ICO on Real Time Bidding; and the CDEI’s review of Online Targeting. All of those reports and reviews contain admirable and valuable work, but they do not to any notable extent address what voters — who in general have little knowledge of the manipulation of data — actually see and experience. This seems to be at best an oversight, as it is the content of advertising that will have the most significant impact in forming opinions and influencing behaviour. So our attention in this submission is on the content of political </w:t>
      </w:r>
      <w:r w:rsidRPr="005B5CB6">
        <w:rPr>
          <w:rFonts w:ascii="Verdana" w:eastAsia="Verdana" w:hAnsi="Verdana" w:cs="Verdana"/>
          <w:i/>
        </w:rPr>
        <w:t xml:space="preserve">advertising, the way in which it is regulated, and how that content is deployed in digital technology in particular.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77"/>
        </w:numPr>
        <w:spacing w:after="2" w:line="249" w:lineRule="auto"/>
        <w:ind w:right="-10" w:hanging="360"/>
        <w:jc w:val="both"/>
        <w:rPr>
          <w:rFonts w:ascii="Verdana" w:hAnsi="Verdana"/>
        </w:rPr>
      </w:pPr>
      <w:r w:rsidRPr="005B5CB6">
        <w:rPr>
          <w:rFonts w:ascii="Verdana" w:eastAsia="Verdana" w:hAnsi="Verdana" w:cs="Verdana"/>
          <w:i/>
        </w:rPr>
        <w:t xml:space="preserve">We propose that ‘digital technology’ has had a positive effect on ‘the way that democracy works in the UK’, because it allows faster and more complete information. The way the technology is applied by its owners and users is quite another matter: the nature of the technology and a lack of proper regulation has led to some serious abuse, which we will highlight later, of the electoral process. However, if the question is whether, for example, ‘digital technology’ or its application would have changed the result in Blyth Valley or any other constituency, we are not convinced that there is sufficiently strong evidence to support that assertion. Voters are smarter than technology, though we recognise that many may be influenced by its unscrupulous application.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77"/>
        </w:numPr>
        <w:spacing w:after="2" w:line="249" w:lineRule="auto"/>
        <w:ind w:right="-10" w:hanging="360"/>
        <w:jc w:val="both"/>
        <w:rPr>
          <w:rFonts w:ascii="Verdana" w:hAnsi="Verdana"/>
        </w:rPr>
      </w:pPr>
      <w:r w:rsidRPr="005B5CB6">
        <w:rPr>
          <w:rFonts w:ascii="Verdana" w:eastAsia="Verdana" w:hAnsi="Verdana" w:cs="Verdana"/>
          <w:i/>
        </w:rPr>
        <w:t xml:space="preserve">We conclude that digital technology in this democratic/ electoral context is ‘a good thing with some serious downsides’. Of these negatives, the most visible, the most offensive, the most damaging (in other industries as well as in the electoral process) and for all those reasons by some margin the most serious, is the lack of regulation of the content of political advertising. This applies however it is expressed, but especially in digital channels, as those now command the majority share of political party spend. Bizarrely, it is also the negative aspect most easily fixed.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2. HOW HAS THE DESIGN OF ALGORITHMS USED BY SOCIAL MEDIA PLATFORMS SHAPED DEMOCRATIC DEBATE? TO WHAT EXTENT SHOULD THERE BE GREATER ACCOUNTABILITY FOR THE DESIGN OF THESE ALGORITHMS?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360" w:hanging="360"/>
        <w:jc w:val="both"/>
        <w:rPr>
          <w:rFonts w:ascii="Verdana" w:hAnsi="Verdana"/>
        </w:rPr>
      </w:pPr>
      <w:r w:rsidRPr="005B5CB6">
        <w:rPr>
          <w:rFonts w:ascii="Verdana" w:eastAsia="Segoe UI Symbol" w:hAnsi="Verdana" w:cs="Segoe UI Symbol"/>
        </w:rPr>
        <w:t>•</w:t>
      </w:r>
      <w:r w:rsidRPr="005B5CB6">
        <w:rPr>
          <w:rFonts w:ascii="Verdana" w:eastAsia="Arial" w:hAnsi="Verdana" w:cs="Arial"/>
        </w:rPr>
        <w:t xml:space="preserve"> </w:t>
      </w:r>
      <w:r w:rsidRPr="005B5CB6">
        <w:rPr>
          <w:rFonts w:ascii="Verdana" w:eastAsia="Verdana" w:hAnsi="Verdana" w:cs="Verdana"/>
          <w:i/>
        </w:rPr>
        <w:t xml:space="preserve">See above. The CDEI investigation will be more valuable than any contribution we can make on this issue. </w:t>
      </w:r>
    </w:p>
    <w:p w:rsidR="00FB0B24" w:rsidRPr="005B5CB6" w:rsidP="006F32A5">
      <w:pPr>
        <w:spacing w:after="0"/>
        <w:ind w:left="1"/>
        <w:jc w:val="both"/>
        <w:rPr>
          <w:rFonts w:ascii="Verdana" w:hAnsi="Verdana"/>
        </w:rPr>
      </w:pPr>
      <w:r w:rsidRPr="005B5CB6">
        <w:rPr>
          <w:rFonts w:ascii="Verdana" w:eastAsia="Verdana" w:hAnsi="Verdana" w:cs="Verdana"/>
          <w:b/>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EDUCATION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3. WHAT ROLE SHOULD EVERY STAGE OF EDUCATION PLAY IN HELPING TO CREATE A HEALTHY, ACTIVE, DIGITALLY LITERATE DEMOCRACY?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2" w:line="249" w:lineRule="auto"/>
        <w:ind w:left="355" w:right="-10" w:hanging="367"/>
        <w:jc w:val="both"/>
        <w:rPr>
          <w:rFonts w:ascii="Verdana" w:hAnsi="Verdana"/>
        </w:rPr>
      </w:pPr>
      <w:r w:rsidRPr="005B5CB6">
        <w:rPr>
          <w:rFonts w:ascii="Verdana" w:eastAsia="Segoe UI Symbol" w:hAnsi="Verdana" w:cs="Segoe UI Symbol"/>
        </w:rPr>
        <w:t>•</w:t>
      </w:r>
      <w:r w:rsidRPr="005B5CB6">
        <w:rPr>
          <w:rFonts w:ascii="Verdana" w:eastAsia="Arial" w:hAnsi="Verdana" w:cs="Arial"/>
        </w:rPr>
        <w:t xml:space="preserve"> </w:t>
      </w:r>
      <w:r w:rsidRPr="005B5CB6">
        <w:rPr>
          <w:rFonts w:ascii="Verdana" w:eastAsia="Verdana" w:hAnsi="Verdana" w:cs="Verdana"/>
          <w:i/>
        </w:rPr>
        <w:t xml:space="preserve">A significant role at every stage. We suggest it is critical that the objective of education in a ‘healthy, active, digitally literate’ democracy should include a specific element of ‘savviness’. It is important that young people in particular can distinguish between ‘editorial’ and ‘advertising’ and, within that scenario, opinion and fact, contention and truth, especially in commercial or political matters. We would reference as good practice in this context the Advertising Association’s Mediasmart programme. </w:t>
      </w:r>
    </w:p>
    <w:p w:rsidR="00FB0B24" w:rsidRPr="005B5CB6" w:rsidP="006F32A5">
      <w:pPr>
        <w:spacing w:after="0"/>
        <w:ind w:left="1"/>
        <w:jc w:val="both"/>
        <w:rPr>
          <w:rFonts w:ascii="Verdana" w:hAnsi="Verdana"/>
        </w:rPr>
      </w:pPr>
      <w:r w:rsidRPr="005B5CB6">
        <w:rPr>
          <w:rFonts w:ascii="Verdana" w:eastAsia="Verdana" w:hAnsi="Verdana" w:cs="Verdana"/>
          <w:b/>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ONLINE CAMPAIGNING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4. WOULD GREATER TRANSPARENCY IN THE ONLINE SPENDING AND CAMPAIGNING OF POLITICAL GROUPS IMPROVE THE ELECTORAL PROCESS IN THE UK BY ENSURING ACCOUNTABILITY, AND IF SO WHAT SHOULD THIS TRANSPARENCY LOOK LIKE?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 xml:space="preserve">It is our view that almost by definition greater transparency would improve the electoral process. Our earlier evidence makes some suggestions in that respect. This version of our evidence to the Committee benefits from being able to provide examples of when transparency of advertising content was singularly lacking, to the detriment of the process.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6F32A5">
      <w:pPr>
        <w:spacing w:after="0"/>
        <w:ind w:left="355" w:hanging="10"/>
        <w:jc w:val="both"/>
        <w:rPr>
          <w:rFonts w:ascii="Verdana" w:hAnsi="Verdana"/>
        </w:rPr>
      </w:pPr>
      <w:r w:rsidRPr="005B5CB6">
        <w:rPr>
          <w:rFonts w:ascii="Verdana" w:eastAsia="Verdana" w:hAnsi="Verdana" w:cs="Verdana"/>
          <w:i/>
          <w:u w:val="single" w:color="000000"/>
        </w:rPr>
        <w:t>4.1. Transparency of identification of the advertiser</w:t>
      </w: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The following examples, which in all cases appeared as shown, are from the 2019 General Election campaign, which we reviewed more fully in our December 2019 paper</w:t>
      </w:r>
      <w:r>
        <w:fldChar w:fldCharType="begin"/>
      </w:r>
      <w:r>
        <w:instrText xml:space="preserve"> HYPERLINK "https://reformpoliticaladvertising.org/wp-content/uploads/2019/12/Illegal-Indecent-Dishonest-and-Untruthful-The-Coalition-for-Reform-in-Political-Advertising.pdf" </w:instrText>
      </w:r>
      <w:r>
        <w:fldChar w:fldCharType="separate"/>
      </w:r>
      <w:r w:rsidRPr="005B5CB6">
        <w:rPr>
          <w:rFonts w:ascii="Verdana" w:eastAsia="Verdana" w:hAnsi="Verdana" w:cs="Verdana"/>
          <w:i/>
        </w:rPr>
        <w:t xml:space="preserve"> </w:t>
      </w:r>
      <w:r>
        <w:fldChar w:fldCharType="end"/>
      </w:r>
      <w:r>
        <w:fldChar w:fldCharType="begin"/>
      </w:r>
      <w:r>
        <w:instrText xml:space="preserve"> HYPERLINK "https://reformpoliticaladvertising.org/wp-content/uploads/2019/12/Illegal-Indecent-Dishonest-and-Untruthful-The-Coalition-for-Reform-in-Political-Advertising.pdf" </w:instrText>
      </w:r>
      <w:r>
        <w:fldChar w:fldCharType="separate"/>
      </w:r>
      <w:r w:rsidRPr="005B5CB6">
        <w:rPr>
          <w:rFonts w:ascii="Verdana" w:eastAsia="Verdana" w:hAnsi="Verdana" w:cs="Verdana"/>
          <w:i/>
          <w:u w:val="single" w:color="000000"/>
        </w:rPr>
        <w:t>here</w:t>
      </w:r>
      <w:r>
        <w:fldChar w:fldCharType="end"/>
      </w:r>
      <w:r>
        <w:fldChar w:fldCharType="begin"/>
      </w:r>
      <w:r>
        <w:instrText xml:space="preserve"> HYPERLINK "https://reformpoliticaladvertising.org/wp-content/uploads/2019/12/Illegal-Indecent-Dishonest-and-Untruthful-The-Coalition-for-Reform-in-Political-Advertising.pdf" </w:instrText>
      </w:r>
      <w:r>
        <w:fldChar w:fldCharType="separate"/>
      </w:r>
      <w:r w:rsidRPr="005B5CB6">
        <w:rPr>
          <w:rFonts w:ascii="Verdana" w:eastAsia="Verdana" w:hAnsi="Verdana" w:cs="Verdana"/>
          <w:i/>
        </w:rPr>
        <w:t>.</w:t>
      </w:r>
      <w:r>
        <w:fldChar w:fldCharType="end"/>
      </w:r>
      <w:r w:rsidRPr="005B5CB6">
        <w:rPr>
          <w:rFonts w:ascii="Verdana" w:eastAsia="Verdana" w:hAnsi="Verdana" w:cs="Verdana"/>
          <w:i/>
        </w:rPr>
        <w:t xml:space="preserve"> The paper makes the point, as we now repeat, that virtually all other forms of advertising are regulated by the Advertising Standards Authority: political advertising is not. In the linked paper and below, we draw on the ASA’s codes, which are in the public domain, to help the process of identification of transgression. We have not requested permission from the ASA to do so; the exercise is in good faith, however, and we have no intention or the presumption to undermine the ASA’s authority in this regard.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ind w:left="1"/>
        <w:jc w:val="both"/>
        <w:rPr>
          <w:rFonts w:ascii="Verdana" w:hAnsi="Verdana"/>
        </w:rPr>
      </w:pPr>
      <w:r w:rsidRPr="005B5CB6">
        <w:rPr>
          <w:rFonts w:ascii="Verdana" w:hAnsi="Verdana"/>
          <w:noProof/>
        </w:rPr>
        <w:drawing>
          <wp:inline distT="0" distB="0" distL="0" distR="0">
            <wp:extent cx="1792224" cy="1016508"/>
            <wp:effectExtent l="0" t="0" r="0" b="0"/>
            <wp:docPr id="51069" name="Picture 51069"/>
            <wp:cNvGraphicFramePr/>
            <a:graphic xmlns:a="http://schemas.openxmlformats.org/drawingml/2006/main">
              <a:graphicData uri="http://schemas.openxmlformats.org/drawingml/2006/picture">
                <pic:pic xmlns:pic="http://schemas.openxmlformats.org/drawingml/2006/picture">
                  <pic:nvPicPr>
                    <pic:cNvPr id="51069" name="Picture 51069"/>
                    <pic:cNvPicPr/>
                  </pic:nvPicPr>
                  <pic:blipFill>
                    <a:blip xmlns:r="http://schemas.openxmlformats.org/officeDocument/2006/relationships" r:embed="rId506"/>
                    <a:stretch>
                      <a:fillRect/>
                    </a:stretch>
                  </pic:blipFill>
                  <pic:spPr>
                    <a:xfrm>
                      <a:off x="0" y="0"/>
                      <a:ext cx="1792224" cy="1016508"/>
                    </a:xfrm>
                    <a:prstGeom prst="rect">
                      <a:avLst/>
                    </a:prstGeom>
                  </pic:spPr>
                </pic:pic>
              </a:graphicData>
            </a:graphic>
          </wp:inline>
        </w:drawing>
      </w: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 xml:space="preserve">The press office Twitter account for the Conservative party rebranded itself as ‘FactcheckUK’ for the duration of the televised leaders’ debate, issuing a series of ‘correcting’ statements on the Labour leader’s ‘lies’. Close examination of the top right hand corner of the ad, underneath the Factcheck UK logo, reveals the letters ‘CCHQ’. Leaving aside the prominence or lack of it of the reference to Conservative Campaign Headquarters, it would anyway be meaningless to most. It is a fundamental tenet of both the law (Consumer Protection Regulations 2008) and the self-regulatory regime managed by the ASA (CAP Code clause 2.1), that advertising is recognisable as such.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0"/>
        <w:ind w:left="1"/>
        <w:jc w:val="both"/>
        <w:rPr>
          <w:rFonts w:ascii="Verdana" w:hAnsi="Verdana"/>
        </w:rPr>
      </w:pPr>
      <w:r w:rsidRPr="005B5CB6">
        <w:rPr>
          <w:rFonts w:ascii="Verdana" w:hAnsi="Verdana"/>
          <w:noProof/>
        </w:rPr>
        <w:drawing>
          <wp:inline distT="0" distB="0" distL="0" distR="0">
            <wp:extent cx="1397000" cy="1943100"/>
            <wp:effectExtent l="0" t="0" r="0" b="0"/>
            <wp:docPr id="51071" name="Picture 51071"/>
            <wp:cNvGraphicFramePr/>
            <a:graphic xmlns:a="http://schemas.openxmlformats.org/drawingml/2006/main">
              <a:graphicData uri="http://schemas.openxmlformats.org/drawingml/2006/picture">
                <pic:pic xmlns:pic="http://schemas.openxmlformats.org/drawingml/2006/picture">
                  <pic:nvPicPr>
                    <pic:cNvPr id="51071" name="Picture 51071"/>
                    <pic:cNvPicPr/>
                  </pic:nvPicPr>
                  <pic:blipFill>
                    <a:blip xmlns:r="http://schemas.openxmlformats.org/officeDocument/2006/relationships" r:embed="rId507"/>
                    <a:stretch>
                      <a:fillRect/>
                    </a:stretch>
                  </pic:blipFill>
                  <pic:spPr>
                    <a:xfrm>
                      <a:off x="0" y="0"/>
                      <a:ext cx="1397000" cy="1943100"/>
                    </a:xfrm>
                    <a:prstGeom prst="rect">
                      <a:avLst/>
                    </a:prstGeom>
                  </pic:spPr>
                </pic:pic>
              </a:graphicData>
            </a:graphic>
          </wp:inline>
        </w:drawing>
      </w:r>
      <w:r w:rsidRPr="005B5CB6">
        <w:rPr>
          <w:rFonts w:ascii="Verdana" w:eastAsia="Verdana" w:hAnsi="Verdana" w:cs="Verdana"/>
        </w:rPr>
        <w:t xml:space="preser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 xml:space="preserve">The above letter, received in the Golders Green constituency, was posted on Twitter by its recipient. It is signed by Mike Smithson, a ‘Polling and Elections Expert’ signs it. The letter sets out the potential impact of tactical voting, claiming that nearly 200 seats across the UK could be decided by Labour supporters voting tactically. The ‘imprint’ required by the Electoral Commission (on printed material, not digital material) indicates that the letter is from the Liberal Democrats. Mike Smithson is a former Liberal Democrat politician, but is not identified as such.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 xml:space="preserve">Both the Conservative and the Liberal Democrat parties distributed electoral material in the style of local freesheets; references to these can be found in the above linked document. The (actual) advertiser/ ‘publisher’, i.e., the political party concerned, is identified minimally – again, regulated advertising is required to give sufficient emphasis to ‘material information’. The CAP Code clause 3.3 requires that ‘Marketing communications must not mislead the consumer by omitting material information. They must not mislead by hiding material information or presenting it in an unclear, unintelligible, ambiguous or untimely manner.’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 xml:space="preserve">Our earlier submission called for the legal requirement to include the identity of the distributor in hard copy election material to be extended to digital material. We repeat the request here. Since digital communications have now been around for some 25 years, it is something of an anomaly that it hasn’t already happened. We also note here that minimum standards of legibility of such a notice should be established: these apply in regulated advertising.  </w:t>
      </w:r>
    </w:p>
    <w:p w:rsidR="00FB0B24" w:rsidRPr="005B5CB6" w:rsidP="006F32A5">
      <w:pPr>
        <w:spacing w:after="0"/>
        <w:ind w:left="1"/>
        <w:jc w:val="both"/>
        <w:rPr>
          <w:rFonts w:ascii="Verdana" w:hAnsi="Verdana"/>
        </w:rPr>
      </w:pPr>
      <w:r w:rsidRPr="005B5CB6">
        <w:rPr>
          <w:rFonts w:ascii="Verdana" w:eastAsia="Arial" w:hAnsi="Verdana" w:cs="Arial"/>
          <w:i/>
        </w:rPr>
        <w:t xml:space="preserve"> </w:t>
      </w:r>
      <w:r w:rsidRPr="005B5CB6">
        <w:rPr>
          <w:rFonts w:ascii="Verdana" w:eastAsia="Arial" w:hAnsi="Verdana" w:cs="Arial"/>
          <w:i/>
        </w:rPr>
        <w:tab/>
      </w:r>
      <w:r w:rsidRPr="005B5CB6">
        <w:rPr>
          <w:rFonts w:ascii="Verdana" w:eastAsia="Verdana" w:hAnsi="Verdana" w:cs="Verdana"/>
          <w:i/>
        </w:rPr>
        <w:t xml:space="preserve"> </w:t>
      </w:r>
      <w:r w:rsidRPr="005B5CB6">
        <w:rPr>
          <w:rFonts w:ascii="Verdana" w:hAnsi="Verdana"/>
        </w:rPr>
        <w:br w:type="page"/>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6F32A5">
      <w:pPr>
        <w:spacing w:after="0"/>
        <w:ind w:left="355" w:hanging="10"/>
        <w:jc w:val="both"/>
        <w:rPr>
          <w:rFonts w:ascii="Verdana" w:hAnsi="Verdana"/>
        </w:rPr>
      </w:pPr>
      <w:r w:rsidRPr="005B5CB6">
        <w:rPr>
          <w:rFonts w:ascii="Verdana" w:eastAsia="Verdana" w:hAnsi="Verdana" w:cs="Verdana"/>
          <w:i/>
          <w:u w:val="single" w:color="000000"/>
        </w:rPr>
        <w:t>4.2. Transparency of material claim evidence</w:t>
      </w: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25" w:line="216" w:lineRule="auto"/>
        <w:ind w:right="7781"/>
        <w:jc w:val="both"/>
        <w:rPr>
          <w:rFonts w:ascii="Verdana" w:hAnsi="Verdana"/>
        </w:rPr>
      </w:pPr>
      <w:r w:rsidRPr="005B5CB6">
        <w:rPr>
          <w:rFonts w:ascii="Verdana" w:hAnsi="Verdana"/>
          <w:noProof/>
        </w:rPr>
        <w:drawing>
          <wp:inline distT="0" distB="0" distL="0" distR="0">
            <wp:extent cx="990600" cy="1663700"/>
            <wp:effectExtent l="0" t="0" r="0" b="0"/>
            <wp:docPr id="51185" name="Picture 51185"/>
            <wp:cNvGraphicFramePr/>
            <a:graphic xmlns:a="http://schemas.openxmlformats.org/drawingml/2006/main">
              <a:graphicData uri="http://schemas.openxmlformats.org/drawingml/2006/picture">
                <pic:pic xmlns:pic="http://schemas.openxmlformats.org/drawingml/2006/picture">
                  <pic:nvPicPr>
                    <pic:cNvPr id="51185" name="Picture 51185"/>
                    <pic:cNvPicPr/>
                  </pic:nvPicPr>
                  <pic:blipFill>
                    <a:blip xmlns:r="http://schemas.openxmlformats.org/officeDocument/2006/relationships" r:embed="rId508"/>
                    <a:stretch>
                      <a:fillRect/>
                    </a:stretch>
                  </pic:blipFill>
                  <pic:spPr>
                    <a:xfrm>
                      <a:off x="0" y="0"/>
                      <a:ext cx="990600" cy="1663700"/>
                    </a:xfrm>
                    <a:prstGeom prst="rect">
                      <a:avLst/>
                    </a:prstGeom>
                  </pic:spPr>
                </pic:pic>
              </a:graphicData>
            </a:graphic>
          </wp:inline>
        </w:drawing>
      </w:r>
      <w:r w:rsidRPr="005B5CB6">
        <w:rPr>
          <w:rFonts w:ascii="Verdana" w:eastAsia="Verdana" w:hAnsi="Verdana" w:cs="Verdana"/>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 xml:space="preserve">The above Facebook ad for the Liberal Democrats used a technique which was extensively deployed by the party in the 2019 General Election – suggesting by means of polling data of dubious integrity that they were in contention. In this particular case, there is no data relating to the bar charts and their position. There is therefore no way of knowing whether the columns refer to opinion polls, for example, or other election results, or whether they are a symbol of hope or imagination. Claims of this type in regulated advertising require clear communication of actual and relevant evidence to support a claim; there is no such offer in this case. The advertising was transparent in the sense that it was clear that it was from the Liberal Democrats, but highly misleading in the sense that it was not transparent about the source or form of the data.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6F32A5">
      <w:pPr>
        <w:spacing w:after="0"/>
        <w:ind w:left="1"/>
        <w:jc w:val="both"/>
        <w:rPr>
          <w:rFonts w:ascii="Verdana" w:hAnsi="Verdana"/>
        </w:rPr>
      </w:pPr>
      <w:r w:rsidRPr="005B5CB6">
        <w:rPr>
          <w:rFonts w:ascii="Verdana" w:hAnsi="Verdana"/>
          <w:noProof/>
        </w:rPr>
        <w:drawing>
          <wp:inline distT="0" distB="0" distL="0" distR="0">
            <wp:extent cx="1361103" cy="1186815"/>
            <wp:effectExtent l="0" t="0" r="0" b="0"/>
            <wp:docPr id="51187" name="Picture 51187"/>
            <wp:cNvGraphicFramePr/>
            <a:graphic xmlns:a="http://schemas.openxmlformats.org/drawingml/2006/main">
              <a:graphicData uri="http://schemas.openxmlformats.org/drawingml/2006/picture">
                <pic:pic xmlns:pic="http://schemas.openxmlformats.org/drawingml/2006/picture">
                  <pic:nvPicPr>
                    <pic:cNvPr id="51187" name="Picture 51187"/>
                    <pic:cNvPicPr/>
                  </pic:nvPicPr>
                  <pic:blipFill>
                    <a:blip xmlns:r="http://schemas.openxmlformats.org/officeDocument/2006/relationships" r:embed="rId509"/>
                    <a:stretch>
                      <a:fillRect/>
                    </a:stretch>
                  </pic:blipFill>
                  <pic:spPr>
                    <a:xfrm>
                      <a:off x="0" y="0"/>
                      <a:ext cx="1361103" cy="1186815"/>
                    </a:xfrm>
                    <a:prstGeom prst="rect">
                      <a:avLst/>
                    </a:prstGeom>
                  </pic:spPr>
                </pic:pic>
              </a:graphicData>
            </a:graphic>
          </wp:inline>
        </w:drawing>
      </w: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This Facebook advertising from the Labour party featured Conservative leaders and a photo-shopped bus carrying claims that the Tories have been in talks with the U.S. about ‘selling off’ the NHS; this and similar claims were emphatically denied and there was no evidence to support such claims in fact-checking services. The ‘transparency’ issue in this case is that regulated advertising is required to observe CAP Code rule 3.7</w:t>
      </w:r>
      <w:r w:rsidRPr="005B5CB6">
        <w:rPr>
          <w:rFonts w:ascii="Verdana" w:eastAsia="Verdana" w:hAnsi="Verdana" w:cs="Verdana"/>
        </w:rPr>
        <w:t>: ‘</w:t>
      </w:r>
      <w:r w:rsidRPr="005B5CB6">
        <w:rPr>
          <w:rFonts w:ascii="Verdana" w:eastAsia="Verdana" w:hAnsi="Verdana" w:cs="Verdana"/>
          <w:i/>
        </w:rPr>
        <w:t xml:space="preserve">Before distributing or submitting a marketing communication for publication, marketers must hold documentary evidence to prove claims that consumers are likely to regard as objective and that are capable of objective substantiation. The ASA may regard claims as misleading in the absence of adequate substantiation.’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Arial" w:hAnsi="Verdana" w:cs="Arial"/>
          <w:i/>
        </w:rPr>
        <w:t xml:space="preserve"> </w:t>
      </w:r>
      <w:r w:rsidRPr="005B5CB6">
        <w:rPr>
          <w:rFonts w:ascii="Verdana" w:eastAsia="Arial" w:hAnsi="Verdana" w:cs="Arial"/>
          <w:i/>
        </w:rPr>
        <w:tab/>
      </w: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6F32A5">
      <w:pPr>
        <w:spacing w:after="0"/>
        <w:ind w:left="355" w:hanging="10"/>
        <w:jc w:val="both"/>
        <w:rPr>
          <w:rFonts w:ascii="Verdana" w:hAnsi="Verdana"/>
        </w:rPr>
      </w:pPr>
      <w:r w:rsidRPr="005B5CB6">
        <w:rPr>
          <w:rFonts w:ascii="Verdana" w:eastAsia="Verdana" w:hAnsi="Verdana" w:cs="Verdana"/>
          <w:i/>
          <w:u w:val="single" w:color="000000"/>
        </w:rPr>
        <w:t>4.3. Transparency of personal data collection</w:t>
      </w: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6F32A5">
      <w:pPr>
        <w:spacing w:after="25" w:line="216" w:lineRule="auto"/>
        <w:ind w:right="7932"/>
        <w:jc w:val="both"/>
        <w:rPr>
          <w:rFonts w:ascii="Verdana" w:hAnsi="Verdana"/>
        </w:rPr>
      </w:pPr>
      <w:r w:rsidRPr="005B5CB6">
        <w:rPr>
          <w:rFonts w:ascii="Verdana" w:hAnsi="Verdana"/>
          <w:noProof/>
        </w:rPr>
        <w:drawing>
          <wp:inline distT="0" distB="0" distL="0" distR="0">
            <wp:extent cx="895350" cy="1301572"/>
            <wp:effectExtent l="0" t="0" r="0" b="0"/>
            <wp:docPr id="51265" name="Picture 51265"/>
            <wp:cNvGraphicFramePr/>
            <a:graphic xmlns:a="http://schemas.openxmlformats.org/drawingml/2006/main">
              <a:graphicData uri="http://schemas.openxmlformats.org/drawingml/2006/picture">
                <pic:pic xmlns:pic="http://schemas.openxmlformats.org/drawingml/2006/picture">
                  <pic:nvPicPr>
                    <pic:cNvPr id="51265" name="Picture 51265"/>
                    <pic:cNvPicPr/>
                  </pic:nvPicPr>
                  <pic:blipFill>
                    <a:blip xmlns:r="http://schemas.openxmlformats.org/officeDocument/2006/relationships" r:embed="rId510"/>
                    <a:stretch>
                      <a:fillRect/>
                    </a:stretch>
                  </pic:blipFill>
                  <pic:spPr>
                    <a:xfrm>
                      <a:off x="0" y="0"/>
                      <a:ext cx="895350" cy="1301572"/>
                    </a:xfrm>
                    <a:prstGeom prst="rect">
                      <a:avLst/>
                    </a:prstGeom>
                  </pic:spPr>
                </pic:pic>
              </a:graphicData>
            </a:graphic>
          </wp:inline>
        </w:drawing>
      </w:r>
      <w:r w:rsidRPr="005B5CB6">
        <w:rPr>
          <w:rFonts w:ascii="Verdana" w:eastAsia="Verdana" w:hAnsi="Verdana" w:cs="Verdana"/>
        </w:rPr>
        <w:t xml:space="preserve"> </w:t>
      </w: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 xml:space="preserve">The advertising above, from the Tiverton and Honiton Conservatives, is not GDPR compliant, as completion of the survey it offers will require the processing of personal data. In that event, the advertising must explicitly state the lawful basis of the processing. We are reasonably confident in stating that many local constituency campaign managers or helpers may not be familiar with the demands of GDPR. We also note from observation of local campaigns in particular that there does not appear to be an approval process between constituency and campaign headquarters, nor would there appear to be distribution and observation of a clear set of communication rules which observe the established laws, in this context, GDPR and CPRs (albeit the latter is business to consumer law). If there is indeed such a set of rules, it is either deficient, ignored, or forgotten.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6F32A5">
      <w:pPr>
        <w:spacing w:after="0"/>
        <w:ind w:left="355" w:hanging="10"/>
        <w:jc w:val="both"/>
        <w:rPr>
          <w:rFonts w:ascii="Verdana" w:hAnsi="Verdana"/>
        </w:rPr>
      </w:pPr>
      <w:r w:rsidRPr="005B5CB6">
        <w:rPr>
          <w:rFonts w:ascii="Verdana" w:eastAsia="Verdana" w:hAnsi="Verdana" w:cs="Verdana"/>
          <w:i/>
          <w:u w:val="single" w:color="000000"/>
        </w:rPr>
        <w:t>4.4. Transparency of all campaign material</w:t>
      </w: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 xml:space="preserve">Our earlier submission called for a searchable repository for online political advertising; this proposal was included verbatim in the DCMS Disinformation and Fake News Inquiry recommendations. If there is to be transparency for political ads, it is essential that they should be permanently available and that the repository should provide the following information: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575F14">
      <w:pPr>
        <w:numPr>
          <w:ilvl w:val="2"/>
          <w:numId w:val="279"/>
        </w:numPr>
        <w:spacing w:after="5" w:line="267" w:lineRule="auto"/>
        <w:ind w:right="343" w:hanging="872"/>
        <w:jc w:val="both"/>
        <w:rPr>
          <w:rFonts w:ascii="Verdana" w:hAnsi="Verdana"/>
        </w:rPr>
      </w:pPr>
      <w:r w:rsidRPr="005B5CB6">
        <w:rPr>
          <w:rFonts w:ascii="Verdana" w:eastAsia="Verdana" w:hAnsi="Verdana" w:cs="Verdana"/>
          <w:i/>
        </w:rPr>
        <w:t xml:space="preserve">the advertising </w:t>
      </w:r>
    </w:p>
    <w:p w:rsidR="00FB0B24" w:rsidRPr="005B5CB6" w:rsidP="00575F14">
      <w:pPr>
        <w:numPr>
          <w:ilvl w:val="2"/>
          <w:numId w:val="279"/>
        </w:numPr>
        <w:spacing w:after="5" w:line="267" w:lineRule="auto"/>
        <w:ind w:right="343" w:hanging="872"/>
        <w:jc w:val="both"/>
        <w:rPr>
          <w:rFonts w:ascii="Verdana" w:hAnsi="Verdana"/>
        </w:rPr>
      </w:pPr>
      <w:r w:rsidRPr="005B5CB6">
        <w:rPr>
          <w:rFonts w:ascii="Verdana" w:eastAsia="Verdana" w:hAnsi="Verdana" w:cs="Verdana"/>
          <w:i/>
        </w:rPr>
        <w:t xml:space="preserve">the date it was posted </w:t>
      </w:r>
    </w:p>
    <w:p w:rsidR="00FB0B24" w:rsidRPr="005B5CB6" w:rsidP="00575F14">
      <w:pPr>
        <w:numPr>
          <w:ilvl w:val="2"/>
          <w:numId w:val="279"/>
        </w:numPr>
        <w:spacing w:after="5" w:line="267" w:lineRule="auto"/>
        <w:ind w:right="343" w:hanging="872"/>
        <w:jc w:val="both"/>
        <w:rPr>
          <w:rFonts w:ascii="Verdana" w:hAnsi="Verdana"/>
        </w:rPr>
      </w:pPr>
      <w:r w:rsidRPr="005B5CB6">
        <w:rPr>
          <w:rFonts w:ascii="Verdana" w:eastAsia="Verdana" w:hAnsi="Verdana" w:cs="Verdana"/>
          <w:i/>
        </w:rPr>
        <w:t xml:space="preserve">targeting </w:t>
      </w:r>
    </w:p>
    <w:p w:rsidR="00FB0B24" w:rsidRPr="005B5CB6" w:rsidP="00575F14">
      <w:pPr>
        <w:numPr>
          <w:ilvl w:val="2"/>
          <w:numId w:val="279"/>
        </w:numPr>
        <w:spacing w:after="5" w:line="267" w:lineRule="auto"/>
        <w:ind w:right="343" w:hanging="872"/>
        <w:jc w:val="both"/>
        <w:rPr>
          <w:rFonts w:ascii="Verdana" w:hAnsi="Verdana"/>
        </w:rPr>
      </w:pPr>
      <w:r w:rsidRPr="005B5CB6">
        <w:rPr>
          <w:rFonts w:ascii="Verdana" w:eastAsia="Verdana" w:hAnsi="Verdana" w:cs="Verdana"/>
          <w:i/>
        </w:rPr>
        <w:t xml:space="preserve">spend </w:t>
      </w:r>
    </w:p>
    <w:p w:rsidR="00FB0B24" w:rsidRPr="005B5CB6" w:rsidP="00575F14">
      <w:pPr>
        <w:numPr>
          <w:ilvl w:val="2"/>
          <w:numId w:val="279"/>
        </w:numPr>
        <w:spacing w:after="5" w:line="249" w:lineRule="auto"/>
        <w:ind w:right="343" w:hanging="872"/>
        <w:jc w:val="both"/>
        <w:rPr>
          <w:rFonts w:ascii="Verdana" w:hAnsi="Verdana"/>
        </w:rPr>
      </w:pPr>
      <w:r w:rsidRPr="005B5CB6">
        <w:rPr>
          <w:rFonts w:ascii="Verdana" w:eastAsia="Verdana" w:hAnsi="Verdana" w:cs="Verdana"/>
          <w:i/>
        </w:rPr>
        <w:t xml:space="preserve">reach -          engagement.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 xml:space="preserve">We believe that the CDEI have also called for mandatory online archives for political advertising. The issue that arises is when and how these are posted and the accuracy of the information they contain. Those expert in the business of advertising, as well as data practitioners, should be invited to be involved in the process of establishing the access, structure and processes of such an archive.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6F32A5">
      <w:pPr>
        <w:spacing w:after="0"/>
        <w:ind w:left="10" w:hanging="10"/>
        <w:jc w:val="both"/>
        <w:rPr>
          <w:rFonts w:ascii="Verdana" w:hAnsi="Verdana"/>
        </w:rPr>
      </w:pPr>
      <w:r w:rsidRPr="005B5CB6">
        <w:rPr>
          <w:rFonts w:ascii="Verdana" w:eastAsia="Verdana" w:hAnsi="Verdana" w:cs="Verdana"/>
          <w:i/>
          <w:u w:val="single" w:color="000000"/>
        </w:rPr>
        <w:t>Summary</w:t>
      </w: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 xml:space="preserve">The few examples shown above, necessarily limited in number, do not do justice to the scale of transgression by all political party advertising at the time of the General Election 2019. Much of the advertising we reviewed was almost risible in its flagrant breaching of the most basic and obvious requirements for any form of commercial communication in any context.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 xml:space="preserve">This context is more significant than most, yet confectionery, for example, is subject to at least three laws (Regulation 1924/2006, Food Information Regulations 2014, and CPRs 2008) and three codes of practice (CAP and BCAP Codes, the EU Pledge, and various media codes such as TFL’s). It is our vote, not a predilection or otherwise towards a chocolate bar, that is being treated with such disdain.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78"/>
        </w:numPr>
        <w:spacing w:after="2" w:line="249" w:lineRule="auto"/>
        <w:ind w:right="-10" w:hanging="360"/>
        <w:jc w:val="both"/>
        <w:rPr>
          <w:rFonts w:ascii="Verdana" w:hAnsi="Verdana"/>
        </w:rPr>
      </w:pPr>
      <w:r w:rsidRPr="005B5CB6">
        <w:rPr>
          <w:rFonts w:ascii="Verdana" w:eastAsia="Verdana" w:hAnsi="Verdana" w:cs="Verdana"/>
          <w:i/>
        </w:rPr>
        <w:t xml:space="preserve">If advertisers in the private sector were to behave similarly, they would rightly be vilified. They don’t, either because they are self-regulated, or because they have a higher regard for, and sensitivity towards, their ‘voters’ and their brands.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5. WHAT EFFECT DOES ONLINE TARGETED ADVERTISING HAVE ON THE POLITICAL PROCESS, AND WHAT EFFECTS COULD IT HAVE IN THE FUTURE? SHOULD THERE BE ADDITIONAL REGULATION OF POLITICAL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ADVERTISING?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0"/>
        <w:ind w:left="1"/>
        <w:jc w:val="both"/>
        <w:rPr>
          <w:rFonts w:ascii="Verdana" w:hAnsi="Verdana"/>
        </w:rPr>
      </w:pPr>
      <w:r w:rsidRPr="005B5CB6">
        <w:rPr>
          <w:rFonts w:ascii="Verdana" w:eastAsia="Verdana" w:hAnsi="Verdana" w:cs="Verdana"/>
          <w:b/>
        </w:rPr>
        <w:t xml:space="preserve"> </w:t>
      </w:r>
    </w:p>
    <w:p w:rsidR="00FB0B24" w:rsidRPr="005B5CB6" w:rsidP="00575F14">
      <w:pPr>
        <w:numPr>
          <w:ilvl w:val="0"/>
          <w:numId w:val="280"/>
        </w:numPr>
        <w:spacing w:after="2" w:line="249" w:lineRule="auto"/>
        <w:ind w:right="-10" w:hanging="360"/>
        <w:jc w:val="both"/>
        <w:rPr>
          <w:rFonts w:ascii="Verdana" w:hAnsi="Verdana"/>
        </w:rPr>
      </w:pPr>
      <w:r w:rsidRPr="005B5CB6">
        <w:rPr>
          <w:rFonts w:ascii="Verdana" w:eastAsia="Verdana" w:hAnsi="Verdana" w:cs="Verdana"/>
          <w:i/>
        </w:rPr>
        <w:t xml:space="preserve">We believe targeted online advertising has a significant effect on the </w:t>
      </w:r>
      <w:r w:rsidRPr="005B5CB6">
        <w:rPr>
          <w:rFonts w:ascii="Verdana" w:eastAsia="Verdana" w:hAnsi="Verdana" w:cs="Verdana"/>
          <w:i/>
          <w:u w:val="single" w:color="000000"/>
        </w:rPr>
        <w:t>political</w:t>
      </w:r>
      <w:r w:rsidRPr="005B5CB6">
        <w:rPr>
          <w:rFonts w:ascii="Verdana" w:eastAsia="Verdana" w:hAnsi="Verdana" w:cs="Verdana"/>
          <w:i/>
        </w:rPr>
        <w:t xml:space="preserve"> </w:t>
      </w:r>
      <w:r w:rsidRPr="005B5CB6">
        <w:rPr>
          <w:rFonts w:ascii="Verdana" w:eastAsia="Verdana" w:hAnsi="Verdana" w:cs="Verdana"/>
          <w:i/>
          <w:u w:val="single" w:color="000000"/>
        </w:rPr>
        <w:t>process</w:t>
      </w:r>
      <w:r w:rsidRPr="005B5CB6">
        <w:rPr>
          <w:rFonts w:ascii="Verdana" w:eastAsia="Verdana" w:hAnsi="Verdana" w:cs="Verdana"/>
          <w:i/>
        </w:rPr>
        <w:t xml:space="preserve"> (versus the choice of party, on which the impact may be more uncertain), in that online targeted advertising has become the political battleground. That is a significant departure from the ‘carpet bombing’ campaigns of only a decade ago where the battle was fought in 48-sheet posters and in the pages of the national press. The result, due to the nature of the channels concerned and the process deployed, is an hour-by-hour exchange of fire, deploying weapons of targeted persuasion: the propaganda of bar charts, rallying slogans, video trickery, and huge and frequent promises and claims.  </w:t>
      </w:r>
    </w:p>
    <w:p w:rsidR="00FB0B24" w:rsidRPr="005B5CB6" w:rsidP="006F32A5">
      <w:pPr>
        <w:spacing w:after="0"/>
        <w:ind w:left="360"/>
        <w:jc w:val="both"/>
        <w:rPr>
          <w:rFonts w:ascii="Verdana" w:hAnsi="Verdana"/>
        </w:rPr>
      </w:pPr>
      <w:r w:rsidRPr="005B5CB6">
        <w:rPr>
          <w:rFonts w:ascii="Verdana" w:eastAsia="Verdana" w:hAnsi="Verdana" w:cs="Verdana"/>
          <w:i/>
        </w:rPr>
        <w:t xml:space="preserve"> </w:t>
      </w:r>
    </w:p>
    <w:p w:rsidR="00FB0B24" w:rsidRPr="005B5CB6" w:rsidP="00575F14">
      <w:pPr>
        <w:numPr>
          <w:ilvl w:val="0"/>
          <w:numId w:val="280"/>
        </w:numPr>
        <w:spacing w:after="2" w:line="249" w:lineRule="auto"/>
        <w:ind w:right="-10" w:hanging="360"/>
        <w:jc w:val="both"/>
        <w:rPr>
          <w:rFonts w:ascii="Verdana" w:hAnsi="Verdana"/>
        </w:rPr>
      </w:pPr>
      <w:r w:rsidRPr="005B5CB6">
        <w:rPr>
          <w:rFonts w:ascii="Verdana" w:eastAsia="Verdana" w:hAnsi="Verdana" w:cs="Verdana"/>
          <w:i/>
        </w:rPr>
        <w:t xml:space="preserve">This form of political warfare requires significant resources, working practically round the clock — generating ideas, finding new channels, jumping on perceived opposition mistakes, creating and delivering stunts, feeding the hungry media, reading the polls, commissioning and interpreting proprietary research, spotting the trends and opportunities, and bashing out another hundred ads that reflect these.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6F32A5">
      <w:pPr>
        <w:spacing w:after="0"/>
        <w:ind w:left="355" w:hanging="10"/>
        <w:jc w:val="both"/>
        <w:rPr>
          <w:rFonts w:ascii="Verdana" w:hAnsi="Verdana"/>
        </w:rPr>
      </w:pPr>
      <w:r w:rsidRPr="005B5CB6">
        <w:rPr>
          <w:rFonts w:ascii="Verdana" w:eastAsia="Verdana" w:hAnsi="Verdana" w:cs="Verdana"/>
          <w:i/>
          <w:u w:val="single" w:color="000000"/>
        </w:rPr>
        <w:t>A new culture</w:t>
      </w: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575F14">
      <w:pPr>
        <w:numPr>
          <w:ilvl w:val="0"/>
          <w:numId w:val="280"/>
        </w:numPr>
        <w:spacing w:after="2" w:line="249" w:lineRule="auto"/>
        <w:ind w:right="-10" w:hanging="360"/>
        <w:jc w:val="both"/>
        <w:rPr>
          <w:rFonts w:ascii="Verdana" w:hAnsi="Verdana"/>
        </w:rPr>
      </w:pPr>
      <w:r w:rsidRPr="005B5CB6">
        <w:rPr>
          <w:rFonts w:ascii="Verdana" w:eastAsia="Verdana" w:hAnsi="Verdana" w:cs="Verdana"/>
          <w:i/>
        </w:rPr>
        <w:t xml:space="preserve">So the impact on the political process is considerable: it is faster, dirtier (for the week of 2nd December 2019, research via YouGov, commissioned by ourselves, revealed that more than a third of voters felt that ‘politicians and political parties have been less honest than at previous elections’), much greater in volume, and reflects a new culture where the rules are irrelevant, because they don’t exist, and ethics are equally absent.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575F14">
      <w:pPr>
        <w:numPr>
          <w:ilvl w:val="0"/>
          <w:numId w:val="280"/>
        </w:numPr>
        <w:spacing w:after="2" w:line="249" w:lineRule="auto"/>
        <w:ind w:right="-10" w:hanging="360"/>
        <w:jc w:val="both"/>
        <w:rPr>
          <w:rFonts w:ascii="Verdana" w:hAnsi="Verdana"/>
        </w:rPr>
      </w:pPr>
      <w:r w:rsidRPr="005B5CB6">
        <w:rPr>
          <w:rFonts w:ascii="Verdana" w:eastAsia="Verdana" w:hAnsi="Verdana" w:cs="Verdana"/>
          <w:i/>
        </w:rPr>
        <w:t xml:space="preserve">It seems reasonable to observe that approval processes, which may provide an opportunity for scrutiny of some of the more extreme expressions, may well occur, if at all, at a less senior level than has been the case. Sheer volume, speed, culture, and dispersion of authority to communicate will probably have made the ‘ethical filter’ process virtually non-existent. This is a ‘digital get-itdone’ culture, where brand values and the higher ground are a distant second to reactive staccato messaging on the topic of the day.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80"/>
        </w:numPr>
        <w:spacing w:after="2" w:line="249" w:lineRule="auto"/>
        <w:ind w:right="-10" w:hanging="360"/>
        <w:jc w:val="both"/>
        <w:rPr>
          <w:rFonts w:ascii="Verdana" w:hAnsi="Verdana"/>
        </w:rPr>
      </w:pPr>
      <w:r w:rsidRPr="005B5CB6">
        <w:rPr>
          <w:rFonts w:ascii="Verdana" w:eastAsia="Verdana" w:hAnsi="Verdana" w:cs="Verdana"/>
          <w:i/>
        </w:rPr>
        <w:t xml:space="preserve">In that context, and to address the Committee’s specific question: ‘Should there be additional regulation of political advertising?’, at the risk of flippancy we question the use of ‘additional’. </w:t>
      </w:r>
      <w:r w:rsidRPr="005B5CB6">
        <w:rPr>
          <w:rFonts w:ascii="Verdana" w:eastAsia="Verdana" w:hAnsi="Verdana" w:cs="Verdana"/>
          <w:i/>
          <w:u w:val="single" w:color="000000"/>
        </w:rPr>
        <w:t>There is no regulation of electoral political</w:t>
      </w:r>
      <w:r w:rsidRPr="005B5CB6">
        <w:rPr>
          <w:rFonts w:ascii="Verdana" w:eastAsia="Verdana" w:hAnsi="Verdana" w:cs="Verdana"/>
          <w:i/>
        </w:rPr>
        <w:t xml:space="preserve"> </w:t>
      </w:r>
      <w:r w:rsidRPr="005B5CB6">
        <w:rPr>
          <w:rFonts w:ascii="Verdana" w:eastAsia="Verdana" w:hAnsi="Verdana" w:cs="Verdana"/>
          <w:i/>
          <w:u w:val="single" w:color="000000"/>
        </w:rPr>
        <w:t>advertising</w:t>
      </w:r>
      <w:r w:rsidRPr="005B5CB6">
        <w:rPr>
          <w:rFonts w:ascii="Verdana" w:eastAsia="Verdana" w:hAnsi="Verdana" w:cs="Verdana"/>
          <w:i/>
        </w:rPr>
        <w:t xml:space="preserve"> and it is unique in that regard.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6F32A5">
      <w:pPr>
        <w:spacing w:after="0"/>
        <w:ind w:left="10" w:hanging="10"/>
        <w:jc w:val="both"/>
        <w:rPr>
          <w:rFonts w:ascii="Verdana" w:hAnsi="Verdana"/>
        </w:rPr>
      </w:pPr>
      <w:r w:rsidRPr="005B5CB6">
        <w:rPr>
          <w:rFonts w:ascii="Verdana" w:eastAsia="Verdana" w:hAnsi="Verdana" w:cs="Verdana"/>
          <w:i/>
          <w:u w:val="single" w:color="000000"/>
        </w:rPr>
        <w:t>A way forward</w:t>
      </w: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b/>
        </w:rPr>
        <w:t xml:space="preserve"> </w:t>
      </w:r>
    </w:p>
    <w:p w:rsidR="00FB0B24" w:rsidRPr="005B5CB6" w:rsidP="00575F14">
      <w:pPr>
        <w:numPr>
          <w:ilvl w:val="0"/>
          <w:numId w:val="281"/>
        </w:numPr>
        <w:spacing w:after="2" w:line="249" w:lineRule="auto"/>
        <w:ind w:right="-10" w:hanging="360"/>
        <w:jc w:val="both"/>
        <w:rPr>
          <w:rFonts w:ascii="Verdana" w:hAnsi="Verdana"/>
        </w:rPr>
      </w:pPr>
      <w:r w:rsidRPr="005B5CB6">
        <w:rPr>
          <w:rFonts w:ascii="Verdana" w:eastAsia="Verdana" w:hAnsi="Verdana" w:cs="Verdana"/>
          <w:i/>
        </w:rPr>
        <w:t xml:space="preserve">In our earlier evidence to the Committee, and in our December 2019 review ‘Illegal, Indecent, Dishonest, &amp; Untruthful’, linked earlier, we proposed that, subject to the agreement of the political and regulatory parties concerned, regulation of content of electoral political advertising might become the responsibility of a ‘specialist extension’ of the ASA, with involvement from the Electoral Commission in particular.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81"/>
        </w:numPr>
        <w:spacing w:after="2" w:line="249" w:lineRule="auto"/>
        <w:ind w:right="-10" w:hanging="360"/>
        <w:jc w:val="both"/>
        <w:rPr>
          <w:rFonts w:ascii="Verdana" w:hAnsi="Verdana"/>
        </w:rPr>
      </w:pPr>
      <w:r w:rsidRPr="005B5CB6">
        <w:rPr>
          <w:rFonts w:ascii="Verdana" w:eastAsia="Verdana" w:hAnsi="Verdana" w:cs="Verdana"/>
          <w:i/>
        </w:rPr>
        <w:t xml:space="preserve">We continue to believe that that proposal, which did not require legislation, remains a sensible solution. However, mindful that the CDEI have proposed measures that would enhance campaign transparency, and sensing a gathering of ‘political’ support for the issue of regulation of political advertising (for example Jess Phillips, until recently a Labour Party leadership candidate, came out in favour), then it may be that the time is right for consideration of legislation that will secure the way forwards.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81"/>
        </w:numPr>
        <w:spacing w:after="2" w:line="249" w:lineRule="auto"/>
        <w:ind w:right="-10" w:hanging="360"/>
        <w:jc w:val="both"/>
        <w:rPr>
          <w:rFonts w:ascii="Verdana" w:hAnsi="Verdana"/>
        </w:rPr>
      </w:pPr>
      <w:r w:rsidRPr="005B5CB6">
        <w:rPr>
          <w:rFonts w:ascii="Verdana" w:eastAsia="Verdana" w:hAnsi="Verdana" w:cs="Verdana"/>
          <w:i/>
        </w:rPr>
        <w:t xml:space="preserve">This implies the repeal or amendment of the relevant element of the Communications Act 2003, and its enforcement by Ofcom. If, therefore, parliamentary time is found, it would seem appropriate that the opportunity be taken to draft broader legislation embedding in law the regulation of content and placement of political advertising, establishing that a Code of Conduct should be developed to which all political parties must adhere.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81"/>
        </w:numPr>
        <w:spacing w:after="2" w:line="249" w:lineRule="auto"/>
        <w:ind w:right="-10" w:hanging="360"/>
        <w:jc w:val="both"/>
        <w:rPr>
          <w:rFonts w:ascii="Verdana" w:hAnsi="Verdana"/>
        </w:rPr>
      </w:pPr>
      <w:r w:rsidRPr="005B5CB6">
        <w:rPr>
          <w:rFonts w:ascii="Verdana" w:eastAsia="Verdana" w:hAnsi="Verdana" w:cs="Verdana"/>
          <w:i/>
        </w:rPr>
        <w:t xml:space="preserve">It is not as if this proposal would lack voter support: in the same December 2019 YouGov research that we referenced earlier, 87% of voters thought that ‘it should be a legal requirement that factual claims in political adverts must be accurate.’     </w:t>
      </w:r>
    </w:p>
    <w:p w:rsidR="00FB0B24" w:rsidRPr="005B5CB6" w:rsidP="006F32A5">
      <w:pPr>
        <w:spacing w:after="0"/>
        <w:ind w:left="1"/>
        <w:jc w:val="both"/>
        <w:rPr>
          <w:rFonts w:ascii="Verdana" w:hAnsi="Verdana"/>
        </w:rPr>
      </w:pPr>
      <w:r w:rsidRPr="005B5CB6">
        <w:rPr>
          <w:rFonts w:ascii="Verdana" w:eastAsia="Verdana" w:hAnsi="Verdana" w:cs="Verdana"/>
          <w:b/>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PRIVACY AND ANONYMITY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82"/>
        </w:numPr>
        <w:spacing w:after="5" w:line="250" w:lineRule="auto"/>
        <w:ind w:hanging="10"/>
        <w:jc w:val="both"/>
        <w:rPr>
          <w:rFonts w:ascii="Verdana" w:hAnsi="Verdana"/>
        </w:rPr>
      </w:pPr>
      <w:r w:rsidRPr="005B5CB6">
        <w:rPr>
          <w:rFonts w:ascii="Verdana" w:eastAsia="Verdana" w:hAnsi="Verdana" w:cs="Verdana"/>
          <w:b/>
        </w:rPr>
        <w:t xml:space="preserve">TO WHAT EXTENT DOES INCREASING USE OF ENCRYPTED MESSAGING AND PRIVATE GROUPS PRESENT A CHALLENGE TO THE DEMOCRATIC PROCESS?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hanging="10"/>
        <w:jc w:val="both"/>
        <w:rPr>
          <w:rFonts w:ascii="Verdana" w:hAnsi="Verdana"/>
        </w:rPr>
      </w:pPr>
      <w:r w:rsidRPr="005B5CB6">
        <w:rPr>
          <w:rFonts w:ascii="Verdana" w:eastAsia="Verdana" w:hAnsi="Verdana" w:cs="Verdana"/>
          <w:i/>
        </w:rPr>
        <w:t xml:space="preserve">We believe this question will be better addressed by the authorities we referenced above.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82"/>
        </w:numPr>
        <w:spacing w:after="5" w:line="250" w:lineRule="auto"/>
        <w:ind w:hanging="10"/>
        <w:jc w:val="both"/>
        <w:rPr>
          <w:rFonts w:ascii="Verdana" w:hAnsi="Verdana"/>
        </w:rPr>
      </w:pPr>
      <w:r w:rsidRPr="005B5CB6">
        <w:rPr>
          <w:rFonts w:ascii="Verdana" w:eastAsia="Verdana" w:hAnsi="Verdana" w:cs="Verdana"/>
          <w:b/>
        </w:rPr>
        <w:t xml:space="preserve">WHAT ARE THE POSITIVE OR NEGATIVE EFFECTS OF ANONYMITY ON ONLINE DEMOCRATIC DISCOURSE?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hanging="10"/>
        <w:jc w:val="both"/>
        <w:rPr>
          <w:rFonts w:ascii="Verdana" w:hAnsi="Verdana"/>
        </w:rPr>
      </w:pPr>
      <w:r w:rsidRPr="005B5CB6">
        <w:rPr>
          <w:rFonts w:ascii="Verdana" w:eastAsia="Verdana" w:hAnsi="Verdana" w:cs="Verdana"/>
          <w:i/>
        </w:rPr>
        <w:t xml:space="preserve">We believe this question will be better addressed by the authorities we referenced above.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DEMOCRATIC DEBATE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82"/>
        </w:numPr>
        <w:spacing w:after="5" w:line="250" w:lineRule="auto"/>
        <w:ind w:hanging="10"/>
        <w:jc w:val="both"/>
        <w:rPr>
          <w:rFonts w:ascii="Verdana" w:hAnsi="Verdana"/>
        </w:rPr>
      </w:pPr>
      <w:r w:rsidRPr="005B5CB6">
        <w:rPr>
          <w:rFonts w:ascii="Verdana" w:eastAsia="Verdana" w:hAnsi="Verdana" w:cs="Verdana"/>
          <w:b/>
        </w:rPr>
        <w:t xml:space="preserve">TO WHAT EXTENT DOES SOCIAL MEDIA NEGATIVELY SHAPE PUBLIC DEBATE, EITHER THROUGH ENCOURAGING POLARISATION OR THROUGH ABUSE DETERRING INDIVIDUALS FROM ENGAGING IN PUBLIC LIFE?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hanging="10"/>
        <w:jc w:val="both"/>
        <w:rPr>
          <w:rFonts w:ascii="Verdana" w:hAnsi="Verdana"/>
        </w:rPr>
      </w:pPr>
      <w:r w:rsidRPr="005B5CB6">
        <w:rPr>
          <w:rFonts w:ascii="Verdana" w:eastAsia="Verdana" w:hAnsi="Verdana" w:cs="Verdana"/>
          <w:i/>
        </w:rPr>
        <w:t xml:space="preserve">We believe this question will be better addressed by the authorities we referenced above.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82"/>
        </w:numPr>
        <w:spacing w:after="5" w:line="250" w:lineRule="auto"/>
        <w:ind w:hanging="10"/>
        <w:jc w:val="both"/>
        <w:rPr>
          <w:rFonts w:ascii="Verdana" w:hAnsi="Verdana"/>
        </w:rPr>
      </w:pPr>
      <w:r w:rsidRPr="005B5CB6">
        <w:rPr>
          <w:rFonts w:ascii="Verdana" w:eastAsia="Verdana" w:hAnsi="Verdana" w:cs="Verdana"/>
          <w:b/>
        </w:rPr>
        <w:t xml:space="preserve">TO WHAT EXTENT DO YOU THINK THAT THERE ARE THOSE WHO ARE USING SOCIAL MEDIA TO ATTEMPT TO UNDERMINE TRUST IN THE DEMOCRATIC PROCESS AND IN DEMOCRATIC INSTITUTIONS; AND WHAT MIGHT BE THE BEST WAYS TO COMBAT THIS AND STRENGTHEN FAITH IN DEMOCRACY?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MISINFORMATION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82"/>
        </w:numPr>
        <w:spacing w:after="5" w:line="250" w:lineRule="auto"/>
        <w:ind w:hanging="10"/>
        <w:jc w:val="both"/>
        <w:rPr>
          <w:rFonts w:ascii="Verdana" w:hAnsi="Verdana"/>
        </w:rPr>
      </w:pPr>
      <w:r w:rsidRPr="005B5CB6">
        <w:rPr>
          <w:rFonts w:ascii="Verdana" w:eastAsia="Verdana" w:hAnsi="Verdana" w:cs="Verdana"/>
          <w:b/>
        </w:rPr>
        <w:t xml:space="preserve">WHAT MIGHT BE THE BEST WAYS OF REDUCING THE EFFECTS OF MISINFORMATION ON SOCIAL MEDIA PLATFORMS?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hanging="10"/>
        <w:jc w:val="both"/>
        <w:rPr>
          <w:rFonts w:ascii="Verdana" w:hAnsi="Verdana"/>
        </w:rPr>
      </w:pPr>
      <w:r w:rsidRPr="005B5CB6">
        <w:rPr>
          <w:rFonts w:ascii="Verdana" w:eastAsia="Verdana" w:hAnsi="Verdana" w:cs="Verdana"/>
          <w:i/>
        </w:rPr>
        <w:t xml:space="preserve">We confine our answer to the issue of misinformation as expressed in electoral political advertising.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83"/>
        </w:numPr>
        <w:spacing w:after="5" w:line="249" w:lineRule="auto"/>
        <w:ind w:hanging="358"/>
        <w:jc w:val="both"/>
        <w:rPr>
          <w:rFonts w:ascii="Verdana" w:hAnsi="Verdana"/>
        </w:rPr>
      </w:pPr>
      <w:r w:rsidRPr="005B5CB6">
        <w:rPr>
          <w:rFonts w:ascii="Verdana" w:eastAsia="Verdana" w:hAnsi="Verdana" w:cs="Verdana"/>
          <w:i/>
        </w:rPr>
        <w:t xml:space="preserve">Give an existing body the power to regulate political advertising content or create a new one to do so; </w:t>
      </w:r>
    </w:p>
    <w:p w:rsidR="00FB0B24" w:rsidRPr="005B5CB6" w:rsidP="00575F14">
      <w:pPr>
        <w:numPr>
          <w:ilvl w:val="0"/>
          <w:numId w:val="283"/>
        </w:numPr>
        <w:spacing w:after="5" w:line="249" w:lineRule="auto"/>
        <w:ind w:hanging="358"/>
        <w:jc w:val="both"/>
        <w:rPr>
          <w:rFonts w:ascii="Verdana" w:hAnsi="Verdana"/>
        </w:rPr>
      </w:pPr>
      <w:r w:rsidRPr="005B5CB6">
        <w:rPr>
          <w:rFonts w:ascii="Verdana" w:eastAsia="Verdana" w:hAnsi="Verdana" w:cs="Verdana"/>
          <w:i/>
        </w:rPr>
        <w:t xml:space="preserve">Legislate so that all paid-for political advertising can be viewed by the public; </w:t>
      </w:r>
    </w:p>
    <w:p w:rsidR="00FB0B24" w:rsidRPr="005B5CB6" w:rsidP="00575F14">
      <w:pPr>
        <w:numPr>
          <w:ilvl w:val="0"/>
          <w:numId w:val="283"/>
        </w:numPr>
        <w:spacing w:after="5" w:line="249" w:lineRule="auto"/>
        <w:ind w:hanging="358"/>
        <w:jc w:val="both"/>
        <w:rPr>
          <w:rFonts w:ascii="Verdana" w:hAnsi="Verdana"/>
        </w:rPr>
      </w:pPr>
      <w:r w:rsidRPr="005B5CB6">
        <w:rPr>
          <w:rFonts w:ascii="Verdana" w:eastAsia="Verdana" w:hAnsi="Verdana" w:cs="Verdana"/>
          <w:i/>
        </w:rPr>
        <w:t xml:space="preserve">Introduce compulsory imprints or watermarks to show the provenance of online advertising.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84"/>
        </w:numPr>
        <w:spacing w:after="5" w:line="249" w:lineRule="auto"/>
        <w:ind w:right="-10" w:hanging="360"/>
        <w:jc w:val="both"/>
        <w:rPr>
          <w:rFonts w:ascii="Verdana" w:hAnsi="Verdana"/>
        </w:rPr>
      </w:pPr>
      <w:r w:rsidRPr="005B5CB6">
        <w:rPr>
          <w:rFonts w:ascii="Verdana" w:eastAsia="Verdana" w:hAnsi="Verdana" w:cs="Verdana"/>
          <w:i/>
        </w:rPr>
        <w:t xml:space="preserve">While the select committee is focusing on digital channels, regulation of electoral political advertising should apply to all media.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84"/>
        </w:numPr>
        <w:spacing w:after="2" w:line="249" w:lineRule="auto"/>
        <w:ind w:right="-10" w:hanging="360"/>
        <w:jc w:val="both"/>
        <w:rPr>
          <w:rFonts w:ascii="Verdana" w:hAnsi="Verdana"/>
        </w:rPr>
      </w:pPr>
      <w:r w:rsidRPr="005B5CB6">
        <w:rPr>
          <w:rFonts w:ascii="Verdana" w:eastAsia="Verdana" w:hAnsi="Verdana" w:cs="Verdana"/>
          <w:i/>
        </w:rPr>
        <w:t xml:space="preserve">The remit of the appointed authority must include not only paid advertising but also owned spaces such as political parties’ own websites and other spaces under their control. Such a remit would include, for example, Tweets, as per this explanation from the ASA website (albeit related to commerce): ‘The ASA applies the rules to all marketing within the remit of the Code. Since 2011, this has included ads directly connected with the supply of goods or services appearing on marketers’ own websites or in space, such as social media, that they control. Tweets that feature even indirect links to products and services are in remit and must comply with the CAP Code.’ </w:t>
      </w:r>
    </w:p>
    <w:p w:rsidR="00FB0B24" w:rsidRPr="005B5CB6" w:rsidP="006F32A5">
      <w:pPr>
        <w:spacing w:after="0"/>
        <w:ind w:left="1"/>
        <w:jc w:val="both"/>
        <w:rPr>
          <w:rFonts w:ascii="Verdana" w:hAnsi="Verdana"/>
        </w:rPr>
      </w:pPr>
      <w:r w:rsidRPr="005B5CB6">
        <w:rPr>
          <w:rFonts w:ascii="Verdana" w:eastAsia="Verdana" w:hAnsi="Verdana" w:cs="Verdana"/>
          <w:i/>
        </w:rPr>
        <w:t xml:space="preserve"> </w:t>
      </w:r>
    </w:p>
    <w:p w:rsidR="00FB0B24" w:rsidRPr="005B5CB6" w:rsidP="00575F14">
      <w:pPr>
        <w:numPr>
          <w:ilvl w:val="0"/>
          <w:numId w:val="284"/>
        </w:numPr>
        <w:spacing w:after="2" w:line="249" w:lineRule="auto"/>
        <w:ind w:right="-10" w:hanging="360"/>
        <w:jc w:val="both"/>
        <w:rPr>
          <w:rFonts w:ascii="Verdana" w:hAnsi="Verdana"/>
        </w:rPr>
      </w:pPr>
      <w:r w:rsidRPr="005B5CB6">
        <w:rPr>
          <w:rFonts w:ascii="Verdana" w:eastAsia="Verdana" w:hAnsi="Verdana" w:cs="Verdana"/>
          <w:i/>
        </w:rPr>
        <w:t xml:space="preserve">When addressing digital channels specifically, focus should extend beyond advertising content. Regulation should cover the entire digital marketing ecosystem and should take into account, for example, the work of the ICO in Real Time Bidding, and the way in which GDPR is understood and applied or otherwise. </w:t>
      </w:r>
      <w:r w:rsidRPr="005B5CB6">
        <w:rPr>
          <w:rFonts w:ascii="Verdana" w:eastAsia="Verdana" w:hAnsi="Verdana" w:cs="Verdana"/>
          <w:b/>
          <w:i/>
        </w:rPr>
        <w:t xml:space="preserve"> </w:t>
      </w:r>
    </w:p>
    <w:p w:rsidR="00FB0B24" w:rsidRPr="005B5CB6" w:rsidP="006F32A5">
      <w:pPr>
        <w:spacing w:after="0"/>
        <w:ind w:left="2"/>
        <w:jc w:val="both"/>
        <w:rPr>
          <w:rFonts w:ascii="Verdana" w:hAnsi="Verdana"/>
        </w:rPr>
      </w:pPr>
      <w:r w:rsidRPr="005B5CB6">
        <w:rPr>
          <w:rFonts w:ascii="Verdana" w:eastAsia="Verdana" w:hAnsi="Verdana" w:cs="Verdana"/>
          <w:b/>
          <w:i/>
        </w:rPr>
        <w:t xml:space="preserve"> </w:t>
      </w:r>
    </w:p>
    <w:p w:rsidR="00FB0B24" w:rsidRPr="005B5CB6" w:rsidP="00575F14">
      <w:pPr>
        <w:numPr>
          <w:ilvl w:val="0"/>
          <w:numId w:val="284"/>
        </w:numPr>
        <w:spacing w:after="2" w:line="249" w:lineRule="auto"/>
        <w:ind w:right="-10" w:hanging="360"/>
        <w:jc w:val="both"/>
        <w:rPr>
          <w:rFonts w:ascii="Verdana" w:hAnsi="Verdana"/>
        </w:rPr>
      </w:pPr>
      <w:r w:rsidRPr="005B5CB6">
        <w:rPr>
          <w:rFonts w:ascii="Verdana" w:eastAsia="Verdana" w:hAnsi="Verdana" w:cs="Verdana"/>
          <w:i/>
        </w:rPr>
        <w:t xml:space="preserve">The scope of the remit of the created or appointed authority will inevitably be largely concerned with the scrutiny of ‘material claims’ in electoral political advertising, as this is where most advertising transgresses — approximately three-quarters of complaints to the ASA fall into the category of being misleading. Albeit on less securely quantified grounds, 2019 General Election advertising appeared largely to reflect that more general picture, with more extreme forms of misleading advertising than those which the ASA usually addresses. </w:t>
      </w:r>
    </w:p>
    <w:p w:rsidR="00FB0B24" w:rsidRPr="005B5CB6" w:rsidP="006F32A5">
      <w:pPr>
        <w:spacing w:after="0"/>
        <w:ind w:left="3"/>
        <w:jc w:val="both"/>
        <w:rPr>
          <w:rFonts w:ascii="Verdana" w:hAnsi="Verdana"/>
        </w:rPr>
      </w:pPr>
      <w:r w:rsidRPr="005B5CB6">
        <w:rPr>
          <w:rFonts w:ascii="Verdana" w:eastAsia="Verdana" w:hAnsi="Verdana" w:cs="Verdana"/>
          <w:i/>
        </w:rPr>
        <w:t xml:space="preserve"> </w:t>
      </w:r>
    </w:p>
    <w:p w:rsidR="00FB0B24" w:rsidRPr="005B5CB6" w:rsidP="00575F14">
      <w:pPr>
        <w:numPr>
          <w:ilvl w:val="0"/>
          <w:numId w:val="284"/>
        </w:numPr>
        <w:spacing w:after="2" w:line="249" w:lineRule="auto"/>
        <w:ind w:right="-10" w:hanging="360"/>
        <w:jc w:val="both"/>
        <w:rPr>
          <w:rFonts w:ascii="Verdana" w:hAnsi="Verdana"/>
        </w:rPr>
      </w:pPr>
      <w:r w:rsidRPr="005B5CB6">
        <w:rPr>
          <w:rFonts w:ascii="Verdana" w:eastAsia="Verdana" w:hAnsi="Verdana" w:cs="Verdana"/>
          <w:i/>
        </w:rPr>
        <w:t xml:space="preserve">Nevertheless, we would anticipate that the remit should include the equivalent of the CAP Code’s ‘Harm and Offence’ clauses, notwithstanding that any form of intrusion into freedom of political speech must be avoided. In other words, opinions will remain untouched unless indecent or harmful in some way, but lies/ misinformation/ omissions of material information should really be the particular bugbear of any new or existing authority. </w:t>
      </w:r>
    </w:p>
    <w:p w:rsidR="00FB0B24" w:rsidRPr="005B5CB6" w:rsidP="006F32A5">
      <w:pPr>
        <w:spacing w:after="0"/>
        <w:ind w:left="3"/>
        <w:jc w:val="both"/>
        <w:rPr>
          <w:rFonts w:ascii="Verdana" w:hAnsi="Verdana"/>
        </w:rPr>
      </w:pPr>
      <w:r w:rsidRPr="005B5CB6">
        <w:rPr>
          <w:rFonts w:ascii="Verdana" w:eastAsia="Verdana" w:hAnsi="Verdana" w:cs="Verdana"/>
          <w:i/>
        </w:rPr>
        <w:t xml:space="preserve"> </w:t>
      </w:r>
    </w:p>
    <w:p w:rsidR="00FB0B24" w:rsidRPr="005B5CB6" w:rsidP="006F32A5">
      <w:pPr>
        <w:spacing w:after="0"/>
        <w:ind w:left="10" w:hanging="10"/>
        <w:jc w:val="both"/>
        <w:rPr>
          <w:rFonts w:ascii="Verdana" w:hAnsi="Verdana"/>
        </w:rPr>
      </w:pPr>
      <w:r w:rsidRPr="005B5CB6">
        <w:rPr>
          <w:rFonts w:ascii="Verdana" w:eastAsia="Verdana" w:hAnsi="Verdana" w:cs="Verdana"/>
          <w:i/>
          <w:u w:val="single" w:color="000000"/>
        </w:rPr>
        <w:t>Funding the regulator</w:t>
      </w:r>
      <w:r w:rsidRPr="005B5CB6">
        <w:rPr>
          <w:rFonts w:ascii="Verdana" w:eastAsia="Verdana" w:hAnsi="Verdana" w:cs="Verdana"/>
          <w:i/>
        </w:rPr>
        <w:t xml:space="preserve">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575F14">
      <w:pPr>
        <w:numPr>
          <w:ilvl w:val="0"/>
          <w:numId w:val="284"/>
        </w:numPr>
        <w:spacing w:after="2" w:line="249" w:lineRule="auto"/>
        <w:ind w:right="-10" w:hanging="360"/>
        <w:jc w:val="both"/>
        <w:rPr>
          <w:rFonts w:ascii="Verdana" w:hAnsi="Verdana"/>
        </w:rPr>
      </w:pPr>
      <w:r w:rsidRPr="005B5CB6">
        <w:rPr>
          <w:rFonts w:ascii="Verdana" w:eastAsia="Verdana" w:hAnsi="Verdana" w:cs="Verdana"/>
          <w:i/>
        </w:rPr>
        <w:t xml:space="preserve">An electoral political advertising regulator might be funded in a manner similar to the ASA's arrangement whose revenues derive from a 0.1% fee on advertising spend. Given the special requirements of electoral political advertising — rapid turnaround, not necessarily only complaint-based, the possibility of pre-vetting material claims etc. — it will almost certainly be the case that some set-up costs will need to be funded. </w:t>
      </w:r>
    </w:p>
    <w:p w:rsidR="00FB0B24" w:rsidRPr="005B5CB6" w:rsidP="006F32A5">
      <w:pPr>
        <w:spacing w:after="0"/>
        <w:jc w:val="both"/>
        <w:rPr>
          <w:rFonts w:ascii="Verdana" w:hAnsi="Verdana"/>
        </w:rPr>
      </w:pPr>
      <w:r w:rsidRPr="005B5CB6">
        <w:rPr>
          <w:rFonts w:ascii="Verdana" w:eastAsia="Verdana" w:hAnsi="Verdana" w:cs="Verdana"/>
          <w:i/>
        </w:rPr>
        <w:t xml:space="preserve"> </w:t>
      </w:r>
    </w:p>
    <w:p w:rsidR="00FB0B24" w:rsidRPr="005B5CB6" w:rsidP="00575F14">
      <w:pPr>
        <w:numPr>
          <w:ilvl w:val="0"/>
          <w:numId w:val="284"/>
        </w:numPr>
        <w:spacing w:after="2" w:line="249" w:lineRule="auto"/>
        <w:ind w:right="-10" w:hanging="360"/>
        <w:jc w:val="both"/>
        <w:rPr>
          <w:rFonts w:ascii="Verdana" w:hAnsi="Verdana"/>
        </w:rPr>
      </w:pPr>
      <w:r w:rsidRPr="005B5CB6">
        <w:rPr>
          <w:rFonts w:ascii="Verdana" w:eastAsia="Verdana" w:hAnsi="Verdana" w:cs="Verdana"/>
          <w:i/>
        </w:rPr>
        <w:t xml:space="preserve">The funding issue, however, is part of the ‘how’ answer to this issue: we must first deal with the more important question of whether electoral political advertising should be regulated. It is unambiguously our view that that should happen and that this is a significant and urgent matter. Some nine out of ten voters agree with us; they should not continue to be treated with the kind of contempt that has been manifested in electoral political advertising for far too long.   </w:t>
      </w:r>
    </w:p>
    <w:p w:rsidR="00FB0B24" w:rsidRPr="005B5CB6" w:rsidP="006F32A5">
      <w:pPr>
        <w:spacing w:after="2" w:line="238" w:lineRule="auto"/>
        <w:ind w:left="1" w:right="9264"/>
        <w:jc w:val="both"/>
        <w:rPr>
          <w:rFonts w:ascii="Verdana" w:hAnsi="Verdana"/>
        </w:rPr>
      </w:pPr>
      <w:r w:rsidRPr="005B5CB6">
        <w:rPr>
          <w:rFonts w:ascii="Verdana" w:eastAsia="Verdana" w:hAnsi="Verdana" w:cs="Verdana"/>
          <w:i/>
        </w:rPr>
        <w:t xml:space="preserve">  </w:t>
      </w:r>
      <w:r w:rsidRPr="005B5CB6">
        <w:rPr>
          <w:rFonts w:ascii="Verdana" w:eastAsia="Verdana" w:hAnsi="Verdana" w:cs="Verdana"/>
          <w:b/>
        </w:rPr>
        <w:t xml:space="preserve">  </w:t>
      </w:r>
    </w:p>
    <w:p w:rsidR="00FB0B24" w:rsidRPr="005B5CB6" w:rsidP="006F32A5">
      <w:pPr>
        <w:spacing w:after="0"/>
        <w:ind w:left="1"/>
        <w:jc w:val="both"/>
        <w:rPr>
          <w:rFonts w:ascii="Verdana" w:hAnsi="Verdana"/>
        </w:rPr>
      </w:pPr>
      <w:r w:rsidRPr="005B5CB6">
        <w:rPr>
          <w:rFonts w:ascii="Verdana" w:eastAsia="Verdana" w:hAnsi="Verdana" w:cs="Verdana"/>
          <w:b/>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MODERATION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85"/>
        </w:numPr>
        <w:spacing w:after="5" w:line="250" w:lineRule="auto"/>
        <w:ind w:hanging="10"/>
        <w:jc w:val="both"/>
        <w:rPr>
          <w:rFonts w:ascii="Verdana" w:hAnsi="Verdana"/>
        </w:rPr>
      </w:pPr>
      <w:r w:rsidRPr="005B5CB6">
        <w:rPr>
          <w:rFonts w:ascii="Verdana" w:eastAsia="Verdana" w:hAnsi="Verdana" w:cs="Verdana"/>
          <w:b/>
        </w:rPr>
        <w:t xml:space="preserve">HOW COULD THE MODERATION PROCESSES OF LARGE TECHNOLOGY COMPANIES BE IMPROVED TO BETTER TACKLE ABUSE AND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MISINFORMATION, AS WELL AS HELPING PUBLIC DEBATE FLOURISH?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TECHNOLOGY AND DEMOCRATIC ENGAGEMENT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85"/>
        </w:numPr>
        <w:spacing w:after="5" w:line="250" w:lineRule="auto"/>
        <w:ind w:hanging="10"/>
        <w:jc w:val="both"/>
        <w:rPr>
          <w:rFonts w:ascii="Verdana" w:hAnsi="Verdana"/>
        </w:rPr>
      </w:pPr>
      <w:r w:rsidRPr="005B5CB6">
        <w:rPr>
          <w:rFonts w:ascii="Verdana" w:eastAsia="Verdana" w:hAnsi="Verdana" w:cs="Verdana"/>
          <w:b/>
        </w:rPr>
        <w:t xml:space="preserve">HOW COULD THE GOVERNMENT BETTER SUPPORT THE POSITIVE WORK OF CIVIL SOCIETY ORGANISATIONS USING TECHNOLOGY TO FACILITATE ENGAGEMENT WITH DEMOCRATIC PROCESSES?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85"/>
        </w:numPr>
        <w:spacing w:after="5" w:line="250" w:lineRule="auto"/>
        <w:ind w:hanging="10"/>
        <w:jc w:val="both"/>
        <w:rPr>
          <w:rFonts w:ascii="Verdana" w:hAnsi="Verdana"/>
        </w:rPr>
      </w:pPr>
      <w:r w:rsidRPr="005B5CB6">
        <w:rPr>
          <w:rFonts w:ascii="Verdana" w:eastAsia="Verdana" w:hAnsi="Verdana" w:cs="Verdana"/>
          <w:b/>
        </w:rPr>
        <w:t xml:space="preserve">HOW CAN ELECTED REPRESENTATIVES USE TECHNOLOGY TO ENGAGE WITH THE PUBLIC IN LOCAL AND NATIONAL DECISION MAKING? WHAT CAN PARLIAMENT AND GOVERNMENT DO TO BETTER USE TECHNOLOGY TO SUPPORT DEMOCRATIC ENGAGEMENT AND ENSURE THE EFFICACY OF THE DEMOCRATIC PROCESS?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85"/>
        </w:numPr>
        <w:spacing w:after="5" w:line="250" w:lineRule="auto"/>
        <w:ind w:hanging="10"/>
        <w:jc w:val="both"/>
        <w:rPr>
          <w:rFonts w:ascii="Verdana" w:hAnsi="Verdana"/>
        </w:rPr>
      </w:pPr>
      <w:r w:rsidRPr="005B5CB6">
        <w:rPr>
          <w:rFonts w:ascii="Verdana" w:eastAsia="Verdana" w:hAnsi="Verdana" w:cs="Verdana"/>
          <w:b/>
        </w:rPr>
        <w:t xml:space="preserve">WHAT POSITIVE EXAMPLES ARE THERE OF TECHNOLOGY BEING USED TO ENHANCE DEMOCRACY?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jc w:val="both"/>
        <w:rPr>
          <w:rFonts w:ascii="Verdana" w:hAnsi="Verdana"/>
        </w:rPr>
        <w:sectPr w:rsidSect="00297D29">
          <w:headerReference w:type="even" r:id="rId511"/>
          <w:headerReference w:type="default" r:id="rId512"/>
          <w:footerReference w:type="even" r:id="rId513"/>
          <w:footerReference w:type="default" r:id="rId514"/>
          <w:headerReference w:type="first" r:id="rId515"/>
          <w:footerReference w:type="first" r:id="rId516"/>
          <w:pgSz w:w="11906" w:h="17338"/>
          <w:pgMar w:top="1218" w:right="1139" w:bottom="1019" w:left="1348" w:header="720" w:footer="718" w:gutter="0"/>
          <w:cols w:space="720"/>
        </w:sectPr>
      </w:pPr>
    </w:p>
    <w:p w:rsidR="00FB0B24" w:rsidRPr="005B5CB6" w:rsidP="00A1624B">
      <w:pPr>
        <w:pStyle w:val="Heading1"/>
        <w:rPr>
          <w:sz w:val="22"/>
        </w:rPr>
      </w:pPr>
      <w:bookmarkStart w:id="80" w:name="_Toc44517768"/>
      <w:r w:rsidRPr="005B5CB6">
        <w:rPr>
          <w:sz w:val="22"/>
        </w:rPr>
        <w:t>Dr Ysabel Gerrard – written evidence (DAD0093)</w:t>
      </w:r>
      <w:bookmarkEnd w:id="80"/>
      <w:r w:rsidRPr="005B5CB6">
        <w:rPr>
          <w:sz w:val="22"/>
        </w:rPr>
        <w:t xml:space="preserve"> </w:t>
      </w:r>
    </w:p>
    <w:p w:rsidR="00FB0B24" w:rsidRPr="005B5CB6" w:rsidP="006F32A5">
      <w:pPr>
        <w:spacing w:after="257"/>
        <w:ind w:left="502"/>
        <w:jc w:val="both"/>
        <w:rPr>
          <w:rFonts w:ascii="Verdana" w:hAnsi="Verdana"/>
        </w:rPr>
      </w:pPr>
      <w:r w:rsidRPr="005B5CB6">
        <w:rPr>
          <w:rFonts w:ascii="Verdana" w:eastAsia="Verdana" w:hAnsi="Verdana" w:cs="Verdana"/>
        </w:rPr>
        <w:t xml:space="preserve"> </w:t>
      </w:r>
    </w:p>
    <w:p w:rsidR="00FB0B24" w:rsidRPr="005B5CB6" w:rsidP="006F32A5">
      <w:pPr>
        <w:spacing w:after="264" w:line="249" w:lineRule="auto"/>
        <w:ind w:left="502" w:right="-10"/>
        <w:jc w:val="both"/>
        <w:rPr>
          <w:rFonts w:ascii="Verdana" w:hAnsi="Verdana"/>
        </w:rPr>
      </w:pPr>
      <w:r w:rsidRPr="005B5CB6">
        <w:rPr>
          <w:rFonts w:ascii="Verdana" w:eastAsia="Verdana" w:hAnsi="Verdana" w:cs="Verdana"/>
          <w:i/>
        </w:rPr>
        <w:t xml:space="preserve">This submission is based on research I have conducted since 2017 on: (1) the moderation of eating disorder communities across globally popular platforms like Instagram, Pinterest, Reddit and Tumblr, and (2) young people’s experiences of anonymous ‘secret-telling’ social media apps. My expertise also derives from my role on the FACEBOOK company’s Suicide and Self-Injury (SSI) Advisory Board, where I am a named contributor to Instagram’s policies on, for example, advertisements for cosmetic surgery and weight loss products. </w:t>
      </w:r>
    </w:p>
    <w:p w:rsidR="00FB0B24" w:rsidRPr="005B5CB6" w:rsidP="006F32A5">
      <w:pPr>
        <w:spacing w:after="257"/>
        <w:ind w:left="503"/>
        <w:jc w:val="both"/>
        <w:rPr>
          <w:rFonts w:ascii="Verdana" w:hAnsi="Verdana"/>
        </w:rPr>
      </w:pPr>
      <w:r w:rsidRPr="005B5CB6">
        <w:rPr>
          <w:rFonts w:ascii="Verdana" w:eastAsia="Verdana" w:hAnsi="Verdana" w:cs="Verdana"/>
          <w:b/>
        </w:rPr>
        <w:t xml:space="preserve"> </w:t>
      </w:r>
    </w:p>
    <w:p w:rsidR="00FB0B24" w:rsidRPr="005B5CB6" w:rsidP="00575F14">
      <w:pPr>
        <w:numPr>
          <w:ilvl w:val="0"/>
          <w:numId w:val="286"/>
        </w:numPr>
        <w:spacing w:after="383" w:line="250" w:lineRule="auto"/>
        <w:ind w:hanging="360"/>
        <w:jc w:val="both"/>
        <w:rPr>
          <w:rFonts w:ascii="Verdana" w:hAnsi="Verdana"/>
        </w:rPr>
      </w:pPr>
      <w:r w:rsidRPr="005B5CB6">
        <w:rPr>
          <w:rFonts w:ascii="Verdana" w:eastAsia="Verdana" w:hAnsi="Verdana" w:cs="Verdana"/>
          <w:b/>
        </w:rPr>
        <w:t xml:space="preserve">How do the content moderation policies of major technology platforms shape democratic discussion online? </w:t>
      </w:r>
    </w:p>
    <w:p w:rsidR="00FB0B24" w:rsidRPr="005B5CB6" w:rsidP="006F32A5">
      <w:pPr>
        <w:spacing w:after="383" w:line="249" w:lineRule="auto"/>
        <w:ind w:left="10" w:right="12" w:hanging="9"/>
        <w:jc w:val="both"/>
        <w:rPr>
          <w:rFonts w:ascii="Verdana" w:hAnsi="Verdana"/>
        </w:rPr>
      </w:pPr>
      <w:r w:rsidRPr="005B5CB6">
        <w:rPr>
          <w:rFonts w:ascii="Verdana" w:eastAsia="Verdana" w:hAnsi="Verdana" w:cs="Verdana"/>
        </w:rPr>
        <w:t xml:space="preserve">Content moderation policies shape online democratic discussion in various ways, not limited to the ones discussed here, but one of the most important factors to consider is the influence of platforms’ policies on the </w:t>
      </w:r>
      <w:r w:rsidRPr="005B5CB6">
        <w:rPr>
          <w:rFonts w:ascii="Verdana" w:eastAsia="Verdana" w:hAnsi="Verdana" w:cs="Verdana"/>
          <w:i/>
        </w:rPr>
        <w:t>cultures of acceptability</w:t>
      </w:r>
      <w:r w:rsidRPr="005B5CB6">
        <w:rPr>
          <w:rFonts w:ascii="Verdana" w:eastAsia="Verdana" w:hAnsi="Verdana" w:cs="Verdana"/>
        </w:rPr>
        <w:t xml:space="preserve"> around the kinds of speech that are and are not acceptable.</w:t>
      </w:r>
      <w:r w:rsidRPr="005B5CB6">
        <w:rPr>
          <w:rFonts w:ascii="Verdana" w:eastAsia="Verdana" w:hAnsi="Verdana" w:cs="Verdana"/>
          <w:vertAlign w:val="superscript"/>
        </w:rPr>
        <w:t>i</w:t>
      </w:r>
      <w:r w:rsidRPr="005B5CB6">
        <w:rPr>
          <w:rFonts w:ascii="Verdana" w:eastAsia="Verdana" w:hAnsi="Verdana" w:cs="Verdana"/>
        </w:rPr>
        <w:t xml:space="preserve"> This can vary wildly between platforms. For example, the founders of Facebook and 4chan have opposing views on the value of using ‘real names’ online: policies which directly feed into the nature of users’ democratic discussions.</w:t>
      </w:r>
      <w:r w:rsidRPr="005B5CB6">
        <w:rPr>
          <w:rFonts w:ascii="Verdana" w:eastAsia="Verdana" w:hAnsi="Verdana" w:cs="Verdana"/>
          <w:vertAlign w:val="superscript"/>
        </w:rPr>
        <w:t>ii</w:t>
      </w:r>
      <w:r w:rsidRPr="005B5CB6">
        <w:rPr>
          <w:rFonts w:ascii="Verdana" w:eastAsia="Verdana" w:hAnsi="Verdana" w:cs="Verdana"/>
        </w:rPr>
        <w:t xml:space="preserve"> A further influence on democratic discussion is the vagueness of rationales used to support the removal or retention of particular posts, and the inconsistency with which these rules are applied. For example, </w:t>
      </w:r>
      <w:r w:rsidRPr="005B5CB6">
        <w:rPr>
          <w:rFonts w:ascii="Verdana" w:eastAsia="Verdana" w:hAnsi="Verdana" w:cs="Verdana"/>
          <w:i/>
        </w:rPr>
        <w:t>ProPublica’s</w:t>
      </w:r>
      <w:r w:rsidRPr="005B5CB6">
        <w:rPr>
          <w:rFonts w:ascii="Verdana" w:eastAsia="Verdana" w:hAnsi="Verdana" w:cs="Verdana"/>
        </w:rPr>
        <w:t xml:space="preserve"> 2018 investigation revealed that Facebook permitted moderators to ignore posts ‘display[ing] hate symbols for political messaging’, like swastikas.</w:t>
      </w:r>
      <w:r w:rsidRPr="005B5CB6">
        <w:rPr>
          <w:rFonts w:ascii="Verdana" w:eastAsia="Verdana" w:hAnsi="Verdana" w:cs="Verdana"/>
          <w:vertAlign w:val="superscript"/>
        </w:rPr>
        <w:t>iii</w:t>
      </w:r>
      <w:r w:rsidRPr="005B5CB6">
        <w:rPr>
          <w:rFonts w:ascii="Verdana" w:eastAsia="Verdana" w:hAnsi="Verdana" w:cs="Verdana"/>
        </w:rPr>
        <w:t xml:space="preserve"> While it is likely Facebook overhauled this particular rule after the investigation was released, it is equally likely that there remain other inconsistences and subjectivities in their moderator guidelines. Social media companies’ Community Guidelines – the public-facing documents explaining a site’s rules to its users – are also infamously vague.</w:t>
      </w:r>
      <w:r w:rsidRPr="005B5CB6">
        <w:rPr>
          <w:rFonts w:ascii="Verdana" w:eastAsia="Verdana" w:hAnsi="Verdana" w:cs="Verdana"/>
          <w:vertAlign w:val="superscript"/>
        </w:rPr>
        <w:t>iv</w:t>
      </w:r>
      <w:r w:rsidRPr="005B5CB6">
        <w:rPr>
          <w:rFonts w:ascii="Verdana" w:eastAsia="Verdana" w:hAnsi="Verdana" w:cs="Verdana"/>
        </w:rPr>
        <w:t xml:space="preserve"> Related to this point, there are disproportionate levels of power that particular people – often public figures – have to bend the rules and remain active on platforms despite their clear violations of Terms of Service and/or Community Guidelines. </w:t>
      </w:r>
    </w:p>
    <w:p w:rsidR="00FB0B24" w:rsidRPr="005B5CB6" w:rsidP="006F32A5">
      <w:pPr>
        <w:spacing w:after="420" w:line="249" w:lineRule="auto"/>
        <w:ind w:left="10" w:right="12" w:hanging="9"/>
        <w:jc w:val="both"/>
        <w:rPr>
          <w:rFonts w:ascii="Verdana" w:hAnsi="Verdana"/>
        </w:rPr>
      </w:pPr>
      <w:r w:rsidRPr="005B5CB6">
        <w:rPr>
          <w:rFonts w:ascii="Verdana" w:eastAsia="Verdana" w:hAnsi="Verdana" w:cs="Verdana"/>
        </w:rPr>
        <w:t>Content moderation policies are not the only factor shaping democratic discussion online: the algorithmic amplification of particular posts and viewpoints can undermine even the best intentions. As Siva Vaidhyanathan notes, one of Facebook (and other platforms’) defining features is ‘Its algorithmic design that amplifies content judged to attract attention and interaction (clicks, shares, likes, comments) [and] favors extremism and powerful emotions over rational and measured expression’.</w:t>
      </w:r>
      <w:r w:rsidRPr="005B5CB6">
        <w:rPr>
          <w:rFonts w:ascii="Verdana" w:eastAsia="Verdana" w:hAnsi="Verdana" w:cs="Verdana"/>
          <w:vertAlign w:val="superscript"/>
        </w:rPr>
        <w:t>v</w:t>
      </w:r>
      <w:r w:rsidRPr="005B5CB6">
        <w:rPr>
          <w:rFonts w:ascii="Verdana" w:eastAsia="Verdana" w:hAnsi="Verdana" w:cs="Verdana"/>
        </w:rPr>
        <w:t xml:space="preserve"> Social media platforms are designed to show users what they likely want to see – their fundamental, perhaps defining feature – but this is a real concern for democratic debate and, in the case of my research, users’ mental health.</w:t>
      </w:r>
      <w:r w:rsidRPr="005B5CB6">
        <w:rPr>
          <w:rFonts w:ascii="Verdana" w:eastAsia="Verdana" w:hAnsi="Verdana" w:cs="Verdana"/>
          <w:vertAlign w:val="superscript"/>
        </w:rPr>
        <w:t>vi</w:t>
      </w:r>
      <w:r w:rsidRPr="005B5CB6">
        <w:rPr>
          <w:rFonts w:ascii="Verdana" w:eastAsia="Verdana" w:hAnsi="Verdana" w:cs="Verdana"/>
        </w:rPr>
        <w:t xml:space="preserve"> </w:t>
      </w:r>
    </w:p>
    <w:p w:rsidR="00FB0B24" w:rsidRPr="005B5CB6" w:rsidP="006F32A5">
      <w:pPr>
        <w:spacing w:after="383" w:line="249" w:lineRule="auto"/>
        <w:ind w:left="10" w:right="12" w:hanging="9"/>
        <w:jc w:val="both"/>
        <w:rPr>
          <w:rFonts w:ascii="Verdana" w:hAnsi="Verdana"/>
        </w:rPr>
      </w:pPr>
      <w:r w:rsidRPr="005B5CB6">
        <w:rPr>
          <w:rFonts w:ascii="Verdana" w:eastAsia="Verdana" w:hAnsi="Verdana" w:cs="Verdana"/>
        </w:rPr>
        <w:t>Although this might seem unrelated, I also want to note that the definition of ‘major technology platforms’ can be fairly unstable because some platforms with small workforces can become extremely popular and therefore ‘major’ in a stunningly short space of time. Saudi Arabian secret-telling app Sarahah, for example, started out as an app for workers to give anonymous feedback about their employer, but young people across the world reappropriated the app and used it for online harms like bullying.</w:t>
      </w:r>
      <w:r w:rsidRPr="005B5CB6">
        <w:rPr>
          <w:rFonts w:ascii="Verdana" w:eastAsia="Verdana" w:hAnsi="Verdana" w:cs="Verdana"/>
          <w:vertAlign w:val="superscript"/>
        </w:rPr>
        <w:t>vii</w:t>
      </w:r>
      <w:r w:rsidRPr="005B5CB6">
        <w:rPr>
          <w:rFonts w:ascii="Verdana" w:eastAsia="Verdana" w:hAnsi="Verdana" w:cs="Verdana"/>
        </w:rPr>
        <w:t xml:space="preserve"> Small content moderation teams behind apps like Sarahah often cannot infrastructurally deal with the waves of abuse that flow through the platforms, sometimes leading to their removal from app stores. My point here is that the ‘major’ technology companies have unequal resources and sometimes radically different rules, so the terrain for online democratic discussion is changing all the time and it is important to be aware of this. </w:t>
      </w:r>
    </w:p>
    <w:p w:rsidR="00FB0B24" w:rsidRPr="005B5CB6" w:rsidP="006F32A5">
      <w:pPr>
        <w:spacing w:after="377"/>
        <w:ind w:left="75"/>
        <w:jc w:val="both"/>
        <w:rPr>
          <w:rFonts w:ascii="Verdana" w:hAnsi="Verdana"/>
        </w:rPr>
      </w:pPr>
      <w:r w:rsidRPr="005B5CB6">
        <w:rPr>
          <w:rFonts w:ascii="Verdana" w:eastAsia="Verdana" w:hAnsi="Verdana" w:cs="Verdana"/>
        </w:rPr>
        <w:t xml:space="preserve"> </w:t>
      </w:r>
    </w:p>
    <w:p w:rsidR="00FB0B24" w:rsidRPr="005B5CB6" w:rsidP="00575F14">
      <w:pPr>
        <w:numPr>
          <w:ilvl w:val="0"/>
          <w:numId w:val="286"/>
        </w:numPr>
        <w:spacing w:after="383" w:line="250" w:lineRule="auto"/>
        <w:ind w:hanging="360"/>
        <w:jc w:val="both"/>
        <w:rPr>
          <w:rFonts w:ascii="Verdana" w:hAnsi="Verdana"/>
        </w:rPr>
      </w:pPr>
      <w:r w:rsidRPr="005B5CB6">
        <w:rPr>
          <w:rFonts w:ascii="Verdana" w:eastAsia="Verdana" w:hAnsi="Verdana" w:cs="Verdana"/>
          <w:b/>
        </w:rPr>
        <w:t xml:space="preserve">Is a lack of transparency a problem in online moderation? If it is, how could this be improved? </w:t>
      </w:r>
    </w:p>
    <w:p w:rsidR="00FB0B24" w:rsidRPr="005B5CB6" w:rsidP="006F32A5">
      <w:pPr>
        <w:spacing w:after="383" w:line="249" w:lineRule="auto"/>
        <w:ind w:left="10" w:right="12" w:hanging="9"/>
        <w:jc w:val="both"/>
        <w:rPr>
          <w:rFonts w:ascii="Verdana" w:hAnsi="Verdana"/>
        </w:rPr>
      </w:pPr>
      <w:r w:rsidRPr="005B5CB6">
        <w:rPr>
          <w:rFonts w:ascii="Verdana" w:eastAsia="Verdana" w:hAnsi="Verdana" w:cs="Verdana"/>
        </w:rPr>
        <w:t xml:space="preserve">A lack of transparency is absolutely a problem in content moderation and there are </w:t>
      </w:r>
      <w:r w:rsidRPr="005B5CB6">
        <w:rPr>
          <w:rFonts w:ascii="Verdana" w:eastAsia="Verdana" w:hAnsi="Verdana" w:cs="Verdana"/>
          <w:u w:val="single" w:color="000000"/>
        </w:rPr>
        <w:t>four</w:t>
      </w:r>
      <w:r w:rsidRPr="005B5CB6">
        <w:rPr>
          <w:rFonts w:ascii="Verdana" w:eastAsia="Verdana" w:hAnsi="Verdana" w:cs="Verdana"/>
        </w:rPr>
        <w:t xml:space="preserve"> different aspects of the process that are arguably the least transparent and therefore need greater oversight and intervention: </w:t>
      </w:r>
    </w:p>
    <w:p w:rsidR="00FB0B24" w:rsidRPr="005B5CB6" w:rsidP="00575F14">
      <w:pPr>
        <w:numPr>
          <w:ilvl w:val="0"/>
          <w:numId w:val="287"/>
        </w:numPr>
        <w:spacing w:after="5" w:line="249" w:lineRule="auto"/>
        <w:ind w:right="12" w:hanging="360"/>
        <w:jc w:val="both"/>
        <w:rPr>
          <w:rFonts w:ascii="Verdana" w:hAnsi="Verdana"/>
        </w:rPr>
      </w:pPr>
      <w:r w:rsidRPr="005B5CB6">
        <w:rPr>
          <w:rFonts w:ascii="Verdana" w:eastAsia="Verdana" w:hAnsi="Verdana" w:cs="Verdana"/>
          <w:i/>
        </w:rPr>
        <w:t>The rules:</w:t>
      </w:r>
      <w:r w:rsidRPr="005B5CB6">
        <w:rPr>
          <w:rFonts w:ascii="Verdana" w:eastAsia="Verdana" w:hAnsi="Verdana" w:cs="Verdana"/>
          <w:b/>
        </w:rPr>
        <w:t xml:space="preserve"> </w:t>
      </w:r>
      <w:r w:rsidRPr="005B5CB6">
        <w:rPr>
          <w:rFonts w:ascii="Verdana" w:eastAsia="Verdana" w:hAnsi="Verdana" w:cs="Verdana"/>
        </w:rPr>
        <w:t xml:space="preserve">we need to know far more about who influences and – crucially – agrees to implement social media platforms’ rules. In particular, I would like to know more about the top-level decision-making that goes on </w:t>
      </w:r>
      <w:r w:rsidRPr="005B5CB6">
        <w:rPr>
          <w:rFonts w:ascii="Verdana" w:eastAsia="Verdana" w:hAnsi="Verdana" w:cs="Verdana"/>
          <w:i/>
        </w:rPr>
        <w:t>after</w:t>
      </w:r>
      <w:r w:rsidRPr="005B5CB6">
        <w:rPr>
          <w:rFonts w:ascii="Verdana" w:eastAsia="Verdana" w:hAnsi="Verdana" w:cs="Verdana"/>
        </w:rPr>
        <w:t xml:space="preserve"> companies like Facebook consult experts for guidance on their policies, and I would also like to know more about which platforms are and are not working with independent experts to co-create policies; </w:t>
      </w:r>
    </w:p>
    <w:p w:rsidR="00FB0B24" w:rsidRPr="005B5CB6" w:rsidP="00575F14">
      <w:pPr>
        <w:numPr>
          <w:ilvl w:val="0"/>
          <w:numId w:val="287"/>
        </w:numPr>
        <w:spacing w:after="5" w:line="249" w:lineRule="auto"/>
        <w:ind w:right="12" w:hanging="360"/>
        <w:jc w:val="both"/>
        <w:rPr>
          <w:rFonts w:ascii="Verdana" w:hAnsi="Verdana"/>
        </w:rPr>
      </w:pPr>
      <w:r w:rsidRPr="005B5CB6">
        <w:rPr>
          <w:rFonts w:ascii="Verdana" w:eastAsia="Verdana" w:hAnsi="Verdana" w:cs="Verdana"/>
          <w:i/>
        </w:rPr>
        <w:t>Labour conditions:</w:t>
      </w:r>
      <w:r w:rsidRPr="005B5CB6">
        <w:rPr>
          <w:rFonts w:ascii="Verdana" w:eastAsia="Verdana" w:hAnsi="Verdana" w:cs="Verdana"/>
          <w:b/>
        </w:rPr>
        <w:t xml:space="preserve"> </w:t>
      </w:r>
      <w:r w:rsidRPr="005B5CB6">
        <w:rPr>
          <w:rFonts w:ascii="Verdana" w:eastAsia="Verdana" w:hAnsi="Verdana" w:cs="Verdana"/>
        </w:rPr>
        <w:t>despite extensive research by scholars like Sarah T. Roberts, we know too little about the conditions under which human content moderators work at different companies, and how they experience their mental health both during and after their roles. It is also important for us to know how long each type</w:t>
      </w:r>
      <w:r w:rsidRPr="005B5CB6">
        <w:rPr>
          <w:rFonts w:ascii="Verdana" w:eastAsia="Verdana" w:hAnsi="Verdana" w:cs="Verdana"/>
          <w:i/>
        </w:rPr>
        <w:t xml:space="preserve"> </w:t>
      </w:r>
      <w:r w:rsidRPr="005B5CB6">
        <w:rPr>
          <w:rFonts w:ascii="Verdana" w:eastAsia="Verdana" w:hAnsi="Verdana" w:cs="Verdana"/>
        </w:rPr>
        <w:t xml:space="preserve">of content moderator (in-house, outsourced, and so on) has to examine each category of post. For example, are moderators given longer to deal with particular kinds of content, like suicide or self-harm?;  </w:t>
      </w:r>
    </w:p>
    <w:p w:rsidR="00FB0B24" w:rsidRPr="005B5CB6" w:rsidP="00575F14">
      <w:pPr>
        <w:numPr>
          <w:ilvl w:val="0"/>
          <w:numId w:val="287"/>
        </w:numPr>
        <w:spacing w:after="28" w:line="250" w:lineRule="auto"/>
        <w:ind w:right="12" w:hanging="360"/>
        <w:jc w:val="both"/>
        <w:rPr>
          <w:rFonts w:ascii="Verdana" w:hAnsi="Verdana"/>
        </w:rPr>
      </w:pPr>
      <w:r w:rsidRPr="005B5CB6">
        <w:rPr>
          <w:rFonts w:ascii="Verdana" w:eastAsia="Verdana" w:hAnsi="Verdana" w:cs="Verdana"/>
          <w:i/>
        </w:rPr>
        <w:t>Moderator guidelines:</w:t>
      </w:r>
      <w:r w:rsidRPr="005B5CB6">
        <w:rPr>
          <w:rFonts w:ascii="Verdana" w:eastAsia="Verdana" w:hAnsi="Verdana" w:cs="Verdana"/>
          <w:b/>
        </w:rPr>
        <w:t xml:space="preserve"> </w:t>
      </w:r>
      <w:r w:rsidRPr="005B5CB6">
        <w:rPr>
          <w:rFonts w:ascii="Verdana" w:eastAsia="Verdana" w:hAnsi="Verdana" w:cs="Verdana"/>
          <w:i/>
        </w:rPr>
        <w:t>The</w:t>
      </w:r>
      <w:r w:rsidRPr="005B5CB6">
        <w:rPr>
          <w:rFonts w:ascii="Verdana" w:eastAsia="Verdana" w:hAnsi="Verdana" w:cs="Verdana"/>
        </w:rPr>
        <w:t xml:space="preserve"> </w:t>
      </w:r>
      <w:r w:rsidRPr="005B5CB6">
        <w:rPr>
          <w:rFonts w:ascii="Verdana" w:eastAsia="Verdana" w:hAnsi="Verdana" w:cs="Verdana"/>
          <w:i/>
        </w:rPr>
        <w:t xml:space="preserve">Guardian </w:t>
      </w:r>
      <w:r w:rsidRPr="005B5CB6">
        <w:rPr>
          <w:rFonts w:ascii="Verdana" w:eastAsia="Verdana" w:hAnsi="Verdana" w:cs="Verdana"/>
        </w:rPr>
        <w:t>leaked Facebook’s internal guidelines for human content moderators in 2017, but in my view these documents should be far more transparent across all companies.</w:t>
      </w:r>
      <w:r w:rsidRPr="005B5CB6">
        <w:rPr>
          <w:rFonts w:ascii="Verdana" w:eastAsia="Verdana" w:hAnsi="Verdana" w:cs="Verdana"/>
          <w:vertAlign w:val="superscript"/>
        </w:rPr>
        <w:t>viii</w:t>
      </w:r>
      <w:r w:rsidRPr="005B5CB6">
        <w:rPr>
          <w:rFonts w:ascii="Verdana" w:eastAsia="Verdana" w:hAnsi="Verdana" w:cs="Verdana"/>
        </w:rPr>
        <w:t xml:space="preserve"> These documents should also be co-produced by external independent experts (academics, charity workers, practitioners, government representatives, activists, and so on) to ensure greater accuracy; </w:t>
      </w:r>
    </w:p>
    <w:p w:rsidR="00FB0B24" w:rsidRPr="005B5CB6" w:rsidP="00575F14">
      <w:pPr>
        <w:numPr>
          <w:ilvl w:val="0"/>
          <w:numId w:val="287"/>
        </w:numPr>
        <w:spacing w:after="412" w:line="249" w:lineRule="auto"/>
        <w:ind w:right="12" w:hanging="360"/>
        <w:jc w:val="both"/>
        <w:rPr>
          <w:rFonts w:ascii="Verdana" w:hAnsi="Verdana"/>
        </w:rPr>
      </w:pPr>
      <w:r w:rsidRPr="005B5CB6">
        <w:rPr>
          <w:rFonts w:ascii="Verdana" w:eastAsia="Verdana" w:hAnsi="Verdana" w:cs="Verdana"/>
          <w:i/>
        </w:rPr>
        <w:t>In-platforms restrictions:</w:t>
      </w:r>
      <w:r w:rsidRPr="005B5CB6">
        <w:rPr>
          <w:rFonts w:ascii="Verdana" w:eastAsia="Verdana" w:hAnsi="Verdana" w:cs="Verdana"/>
          <w:b/>
        </w:rPr>
        <w:t xml:space="preserve"> </w:t>
      </w:r>
      <w:r w:rsidRPr="005B5CB6">
        <w:rPr>
          <w:rFonts w:ascii="Verdana" w:eastAsia="Verdana" w:hAnsi="Verdana" w:cs="Verdana"/>
        </w:rPr>
        <w:t>we need to know more about why particular kinds of content (for example, searches for hashtags) are restricted in particular ways, and why this changes so frequently.</w:t>
      </w:r>
      <w:r w:rsidRPr="005B5CB6">
        <w:rPr>
          <w:rFonts w:ascii="Verdana" w:eastAsia="Verdana" w:hAnsi="Verdana" w:cs="Verdana"/>
          <w:vertAlign w:val="superscript"/>
        </w:rPr>
        <w:t>ix</w:t>
      </w:r>
      <w:r w:rsidRPr="005B5CB6">
        <w:rPr>
          <w:rFonts w:ascii="Verdana" w:eastAsia="Verdana" w:hAnsi="Verdana" w:cs="Verdana"/>
        </w:rPr>
        <w:t xml:space="preserve"> I would also like to know more about the criteria for ‘shadowbanning’ – the process of partially blocking a person from a platform, or restricting their content from view – and would </w:t>
      </w:r>
      <w:r w:rsidRPr="005B5CB6">
        <w:rPr>
          <w:rFonts w:ascii="Verdana" w:eastAsia="Verdana" w:hAnsi="Verdana" w:cs="Verdana"/>
        </w:rPr>
        <w:t>like social media companies to be far more transparent about the fact that they do this and the reasons why they do it to particular people.</w:t>
      </w:r>
      <w:r w:rsidRPr="005B5CB6">
        <w:rPr>
          <w:rFonts w:ascii="Verdana" w:eastAsia="Verdana" w:hAnsi="Verdana" w:cs="Verdana"/>
          <w:vertAlign w:val="superscript"/>
        </w:rPr>
        <w:t xml:space="preserve"> x</w:t>
      </w:r>
      <w:r w:rsidRPr="005B5CB6">
        <w:rPr>
          <w:rFonts w:ascii="Verdana" w:eastAsia="Verdana" w:hAnsi="Verdana" w:cs="Verdana"/>
        </w:rPr>
        <w:t xml:space="preserve"> </w:t>
      </w:r>
    </w:p>
    <w:p w:rsidR="00FB0B24" w:rsidRPr="005B5CB6" w:rsidP="006F32A5">
      <w:pPr>
        <w:spacing w:after="377"/>
        <w:ind w:left="75"/>
        <w:jc w:val="both"/>
        <w:rPr>
          <w:rFonts w:ascii="Verdana" w:hAnsi="Verdana"/>
        </w:rPr>
      </w:pPr>
      <w:r w:rsidRPr="005B5CB6">
        <w:rPr>
          <w:rFonts w:ascii="Verdana" w:eastAsia="Verdana" w:hAnsi="Verdana" w:cs="Verdana"/>
        </w:rPr>
        <w:t xml:space="preserve"> </w:t>
      </w:r>
    </w:p>
    <w:p w:rsidR="00FB0B24" w:rsidRPr="005B5CB6" w:rsidP="00575F14">
      <w:pPr>
        <w:numPr>
          <w:ilvl w:val="0"/>
          <w:numId w:val="288"/>
        </w:numPr>
        <w:spacing w:after="385" w:line="250" w:lineRule="auto"/>
        <w:ind w:left="721" w:hanging="360"/>
        <w:jc w:val="both"/>
        <w:rPr>
          <w:rFonts w:ascii="Verdana" w:hAnsi="Verdana"/>
        </w:rPr>
      </w:pPr>
      <w:r w:rsidRPr="005B5CB6">
        <w:rPr>
          <w:rFonts w:ascii="Verdana" w:eastAsia="Verdana" w:hAnsi="Verdana" w:cs="Verdana"/>
          <w:b/>
        </w:rPr>
        <w:t xml:space="preserve">What role could civil society play in improving content moderation? Would the social media companies not actually benefit from greater transparency? </w:t>
      </w:r>
    </w:p>
    <w:p w:rsidR="00FB0B24" w:rsidRPr="005B5CB6" w:rsidP="006F32A5">
      <w:pPr>
        <w:spacing w:after="386" w:line="249" w:lineRule="auto"/>
        <w:ind w:left="10" w:right="12" w:hanging="9"/>
        <w:jc w:val="both"/>
        <w:rPr>
          <w:rFonts w:ascii="Verdana" w:hAnsi="Verdana"/>
        </w:rPr>
      </w:pPr>
      <w:r w:rsidRPr="005B5CB6">
        <w:rPr>
          <w:rFonts w:ascii="Verdana" w:eastAsia="Verdana" w:hAnsi="Verdana" w:cs="Verdana"/>
        </w:rPr>
        <w:t xml:space="preserve">One of the many roles civil society could play – and which would help researchers to produce more knowledge about content moderation – is to raise funds to launch faster-moving research grants to match the speed with which social media and digital technologies grow. As an example, I am currently applying for a grant worth between £100,000-£300,000 and the application process takes at least a year. I will then wait around six months to hear the outcome and have a fairly slim chance of actually receiving the grant. It is therefore difficult to expect UK-based researchers to produce knowledge about, and contribute to the regulation of, social media companies without the means to do so. </w:t>
      </w:r>
    </w:p>
    <w:p w:rsidR="00FB0B24" w:rsidRPr="005B5CB6" w:rsidP="006F32A5">
      <w:pPr>
        <w:spacing w:after="386" w:line="249" w:lineRule="auto"/>
        <w:ind w:left="84" w:right="12" w:hanging="9"/>
        <w:jc w:val="both"/>
        <w:rPr>
          <w:rFonts w:ascii="Verdana" w:hAnsi="Verdana"/>
        </w:rPr>
      </w:pPr>
      <w:r w:rsidRPr="005B5CB6">
        <w:rPr>
          <w:rFonts w:ascii="Verdana" w:eastAsia="Verdana" w:hAnsi="Verdana" w:cs="Verdana"/>
        </w:rPr>
        <w:t xml:space="preserve">Social media companies would absolutely benefit from greater transparency. Being more transparent about different aspects of the content moderation process would generate public discussion and feedback to ultimately </w:t>
      </w:r>
      <w:r w:rsidRPr="005B5CB6">
        <w:rPr>
          <w:rFonts w:ascii="Verdana" w:eastAsia="Verdana" w:hAnsi="Verdana" w:cs="Verdana"/>
          <w:i/>
        </w:rPr>
        <w:t>improve</w:t>
      </w:r>
      <w:r w:rsidRPr="005B5CB6">
        <w:rPr>
          <w:rFonts w:ascii="Verdana" w:eastAsia="Verdana" w:hAnsi="Verdana" w:cs="Verdana"/>
        </w:rPr>
        <w:t xml:space="preserve"> those systems. Greater transparency would also provide policy researchers with more information on which to base their research. Given increasing restrictions to social media platforms’ Application Programming Interfaces (APIs), researching platforms can be a frustrating experience for those whose job it is to produce knowledge for and about society.  </w:t>
      </w:r>
    </w:p>
    <w:p w:rsidR="00FB0B24" w:rsidRPr="005B5CB6" w:rsidP="006F32A5">
      <w:pPr>
        <w:spacing w:after="378"/>
        <w:ind w:left="76"/>
        <w:jc w:val="both"/>
        <w:rPr>
          <w:rFonts w:ascii="Verdana" w:hAnsi="Verdana"/>
        </w:rPr>
      </w:pPr>
      <w:r w:rsidRPr="005B5CB6">
        <w:rPr>
          <w:rFonts w:ascii="Verdana" w:eastAsia="Verdana" w:hAnsi="Verdana" w:cs="Verdana"/>
        </w:rPr>
        <w:t xml:space="preserve"> </w:t>
      </w:r>
    </w:p>
    <w:p w:rsidR="00FB0B24" w:rsidRPr="005B5CB6" w:rsidP="00575F14">
      <w:pPr>
        <w:numPr>
          <w:ilvl w:val="0"/>
          <w:numId w:val="288"/>
        </w:numPr>
        <w:spacing w:after="26" w:line="250" w:lineRule="auto"/>
        <w:ind w:left="721" w:hanging="360"/>
        <w:jc w:val="both"/>
        <w:rPr>
          <w:rFonts w:ascii="Verdana" w:hAnsi="Verdana"/>
        </w:rPr>
      </w:pPr>
      <w:r w:rsidRPr="005B5CB6">
        <w:rPr>
          <w:rFonts w:ascii="Verdana" w:eastAsia="Verdana" w:hAnsi="Verdana" w:cs="Verdana"/>
          <w:b/>
        </w:rPr>
        <w:t>What should best practices in moderation look like?</w:t>
      </w:r>
      <w:r w:rsidRPr="005B5CB6">
        <w:rPr>
          <w:rFonts w:ascii="Verdana" w:eastAsia="Verdana" w:hAnsi="Verdana" w:cs="Verdana"/>
          <w:b/>
          <w:vertAlign w:val="superscript"/>
        </w:rPr>
        <w:t>xi</w:t>
      </w:r>
      <w:r w:rsidRPr="005B5CB6">
        <w:rPr>
          <w:rFonts w:ascii="Verdana" w:eastAsia="Verdana" w:hAnsi="Verdana" w:cs="Verdana"/>
          <w:b/>
        </w:rPr>
        <w:t xml:space="preserve"> Do moderators have enough time and contextual information to make reliable decisions? Do the labour conditions that moderators face impact the decisions that are made?</w:t>
      </w:r>
      <w:r w:rsidRPr="005B5CB6">
        <w:rPr>
          <w:rFonts w:ascii="Verdana" w:eastAsia="Verdana" w:hAnsi="Verdana" w:cs="Verdana"/>
          <w:b/>
          <w:color w:val="FF0000"/>
        </w:rPr>
        <w:t xml:space="preserve"> </w:t>
      </w:r>
      <w:r w:rsidRPr="005B5CB6">
        <w:rPr>
          <w:rFonts w:ascii="Verdana" w:eastAsia="Verdana" w:hAnsi="Verdana" w:cs="Verdana"/>
          <w:b/>
        </w:rPr>
        <w:t xml:space="preserve">Can it be right that ‘moderators’ are at times required to sign NDA’s, the effect of which is to encourage suspicion of malpractice? </w:t>
      </w:r>
    </w:p>
    <w:p w:rsidR="00FB0B24" w:rsidRPr="005B5CB6" w:rsidP="006F32A5">
      <w:pPr>
        <w:spacing w:after="383" w:line="249" w:lineRule="auto"/>
        <w:ind w:left="10" w:right="12" w:hanging="9"/>
        <w:jc w:val="both"/>
        <w:rPr>
          <w:rFonts w:ascii="Verdana" w:hAnsi="Verdana"/>
        </w:rPr>
      </w:pPr>
      <w:r w:rsidRPr="005B5CB6">
        <w:rPr>
          <w:rFonts w:ascii="Verdana" w:eastAsia="Verdana" w:hAnsi="Verdana" w:cs="Verdana"/>
        </w:rPr>
        <w:t xml:space="preserve">Best practices for content moderation ultimately depend on the platform in question, its core userbase, and its dominant social ‘ills’. But one of the moves all platforms should arguably aim to make is to moderate at a </w:t>
      </w:r>
      <w:r w:rsidRPr="005B5CB6">
        <w:rPr>
          <w:rFonts w:ascii="Verdana" w:eastAsia="Verdana" w:hAnsi="Verdana" w:cs="Verdana"/>
          <w:i/>
        </w:rPr>
        <w:t>local, not global</w:t>
      </w:r>
      <w:r w:rsidRPr="005B5CB6">
        <w:rPr>
          <w:rFonts w:ascii="Verdana" w:eastAsia="Verdana" w:hAnsi="Verdana" w:cs="Verdana"/>
        </w:rPr>
        <w:t xml:space="preserve"> level. While I understand the push to globalise policies, ‘both to increase transparency for users and to operationalize their enforcement for employees’, this is not always the best approach.</w:t>
      </w:r>
      <w:r w:rsidRPr="005B5CB6">
        <w:rPr>
          <w:rFonts w:ascii="Verdana" w:eastAsia="Verdana" w:hAnsi="Verdana" w:cs="Verdana"/>
          <w:vertAlign w:val="superscript"/>
        </w:rPr>
        <w:t>xii</w:t>
      </w:r>
      <w:r w:rsidRPr="005B5CB6">
        <w:rPr>
          <w:rFonts w:ascii="Verdana" w:eastAsia="Verdana" w:hAnsi="Verdana" w:cs="Verdana"/>
        </w:rPr>
        <w:t xml:space="preserve"> I sit on Facebook’s Suicide and Self-Injury (SSI) Advisory Board and witness the huge tensions and trade-offs of trying to globalise something as complex and individualised as mental health. For example, should social media companies contact law enforcement when they receive credible suicide threats if they know the user is based in a country where suicide is </w:t>
      </w:r>
      <w:r w:rsidRPr="005B5CB6">
        <w:rPr>
          <w:rFonts w:ascii="Verdana" w:eastAsia="Verdana" w:hAnsi="Verdana" w:cs="Verdana"/>
        </w:rPr>
        <w:t xml:space="preserve">criminalised? Globally dominant platforms like Facebook, YouTube and Twitter are dealing with huge tensions between consistency and locality. </w:t>
      </w:r>
    </w:p>
    <w:p w:rsidR="00FB0B24" w:rsidRPr="005B5CB6" w:rsidP="006F32A5">
      <w:pPr>
        <w:spacing w:after="383" w:line="249" w:lineRule="auto"/>
        <w:ind w:left="10" w:right="12" w:hanging="9"/>
        <w:jc w:val="both"/>
        <w:rPr>
          <w:rFonts w:ascii="Verdana" w:hAnsi="Verdana"/>
        </w:rPr>
      </w:pPr>
      <w:r w:rsidRPr="005B5CB6">
        <w:rPr>
          <w:rFonts w:ascii="Verdana" w:eastAsia="Verdana" w:hAnsi="Verdana" w:cs="Verdana"/>
        </w:rPr>
        <w:t xml:space="preserve">Further best practices include eliminating for-profit rule-making (rules implemented predominantly to please advertisers); implementing oversight boards at all social media companies for major violations that require debate and publishing the results to the public; and crowdsourcing policy contributions (to an extent), as platforms with the populations of entire countries should surely allow democratic participation. </w:t>
      </w:r>
      <w:r w:rsidRPr="005B5CB6">
        <w:rPr>
          <w:rFonts w:ascii="Verdana" w:eastAsia="Verdana" w:hAnsi="Verdana" w:cs="Verdana"/>
          <w:b/>
        </w:rPr>
        <w:t xml:space="preserve"> </w:t>
      </w:r>
    </w:p>
    <w:p w:rsidR="00FB0B24" w:rsidRPr="005B5CB6" w:rsidP="006F32A5">
      <w:pPr>
        <w:spacing w:after="383" w:line="249" w:lineRule="auto"/>
        <w:ind w:left="10" w:right="12" w:hanging="9"/>
        <w:jc w:val="both"/>
        <w:rPr>
          <w:rFonts w:ascii="Verdana" w:hAnsi="Verdana"/>
        </w:rPr>
      </w:pPr>
      <w:r w:rsidRPr="005B5CB6">
        <w:rPr>
          <w:rFonts w:ascii="Verdana" w:eastAsia="Verdana" w:hAnsi="Verdana" w:cs="Verdana"/>
        </w:rPr>
        <w:t xml:space="preserve">Even if they had all the time and data in the world, it is very difficult for a content moderator to ever have </w:t>
      </w:r>
      <w:r w:rsidRPr="005B5CB6">
        <w:rPr>
          <w:rFonts w:ascii="Verdana" w:eastAsia="Verdana" w:hAnsi="Verdana" w:cs="Verdana"/>
          <w:i/>
        </w:rPr>
        <w:t>full</w:t>
      </w:r>
      <w:r w:rsidRPr="005B5CB6">
        <w:rPr>
          <w:rFonts w:ascii="Verdana" w:eastAsia="Verdana" w:hAnsi="Verdana" w:cs="Verdana"/>
        </w:rPr>
        <w:t xml:space="preserve"> contextual information about a post. The global spread of moderator labour means contextual cues are often missed and moderators’ own subjectivities and biases are bound to leak into their decision-making. As an example, I research eating disorder communities and will admit that even I struggle to decide how I would moderate particular posts, and few people have the expertise on </w:t>
      </w:r>
      <w:r w:rsidRPr="005B5CB6">
        <w:rPr>
          <w:rFonts w:ascii="Verdana" w:eastAsia="Verdana" w:hAnsi="Verdana" w:cs="Verdana"/>
          <w:i/>
        </w:rPr>
        <w:t>both</w:t>
      </w:r>
      <w:r w:rsidRPr="005B5CB6">
        <w:rPr>
          <w:rFonts w:ascii="Verdana" w:eastAsia="Verdana" w:hAnsi="Verdana" w:cs="Verdana"/>
        </w:rPr>
        <w:t xml:space="preserve"> content moderation and eating disorders to make an accurate decision. It is therefore highly doubtful that moderators will always make the right call. That said, increasing the amount of time moderators have, coupled with</w:t>
      </w:r>
      <w:r w:rsidRPr="005B5CB6">
        <w:rPr>
          <w:rFonts w:ascii="Verdana" w:eastAsia="Verdana" w:hAnsi="Verdana" w:cs="Verdana"/>
          <w:i/>
        </w:rPr>
        <w:t xml:space="preserve"> </w:t>
      </w:r>
      <w:r w:rsidRPr="005B5CB6">
        <w:rPr>
          <w:rFonts w:ascii="Verdana" w:eastAsia="Verdana" w:hAnsi="Verdana" w:cs="Verdana"/>
        </w:rPr>
        <w:t xml:space="preserve">developing specialist teams of moderators who are knowledgeable in specific areas and assigned to only those posts might help to increase accuracy. </w:t>
      </w:r>
    </w:p>
    <w:p w:rsidR="00FB0B24" w:rsidRPr="005B5CB6" w:rsidP="006F32A5">
      <w:pPr>
        <w:spacing w:after="383" w:line="249" w:lineRule="auto"/>
        <w:ind w:left="10" w:right="12" w:hanging="9"/>
        <w:jc w:val="both"/>
        <w:rPr>
          <w:rFonts w:ascii="Verdana" w:hAnsi="Verdana"/>
        </w:rPr>
      </w:pPr>
      <w:r w:rsidRPr="005B5CB6">
        <w:rPr>
          <w:rFonts w:ascii="Verdana" w:eastAsia="Verdana" w:hAnsi="Verdana" w:cs="Verdana"/>
        </w:rPr>
        <w:t>Researchers have compiled enough evidence to argue that the labour conditions for content moderators are often abhorrent, and the absolute priority should be that moderators receive health benefits and aftercare, regardless of where they are based and the type of role the occupy (e.g., in-house or outsourced).</w:t>
      </w:r>
      <w:r w:rsidRPr="005B5CB6">
        <w:rPr>
          <w:rFonts w:ascii="Verdana" w:eastAsia="Verdana" w:hAnsi="Verdana" w:cs="Verdana"/>
          <w:vertAlign w:val="superscript"/>
        </w:rPr>
        <w:t>xiii</w:t>
      </w:r>
      <w:r w:rsidRPr="005B5CB6">
        <w:rPr>
          <w:rFonts w:ascii="Verdana" w:eastAsia="Verdana" w:hAnsi="Verdana" w:cs="Verdana"/>
        </w:rPr>
        <w:t xml:space="preserve"> I can understand asking moderators to sign Non-Disclosure Agreements (NDAs) to protect the identities of individual </w:t>
      </w:r>
      <w:r w:rsidRPr="005B5CB6">
        <w:rPr>
          <w:rFonts w:ascii="Verdana" w:eastAsia="Verdana" w:hAnsi="Verdana" w:cs="Verdana"/>
          <w:i/>
        </w:rPr>
        <w:t xml:space="preserve">users </w:t>
      </w:r>
      <w:r w:rsidRPr="005B5CB6">
        <w:rPr>
          <w:rFonts w:ascii="Verdana" w:eastAsia="Verdana" w:hAnsi="Verdana" w:cs="Verdana"/>
        </w:rPr>
        <w:t xml:space="preserve">whose posts they see, but moderators should not be barred from speaking about their working conditions: the hours they work, how long they are permitted to spend on each post, rough descriptions of the kinds of post they see, and so on. </w:t>
      </w:r>
    </w:p>
    <w:p w:rsidR="00FB0B24" w:rsidRPr="005B5CB6" w:rsidP="006F32A5">
      <w:pPr>
        <w:spacing w:after="0"/>
        <w:ind w:left="75"/>
        <w:jc w:val="both"/>
        <w:rPr>
          <w:rFonts w:ascii="Verdana" w:hAnsi="Verdana"/>
        </w:rPr>
      </w:pPr>
      <w:r w:rsidRPr="005B5CB6">
        <w:rPr>
          <w:rFonts w:ascii="Verdana" w:eastAsia="Verdana" w:hAnsi="Verdana" w:cs="Verdana"/>
        </w:rPr>
        <w:t xml:space="preserve"> </w:t>
      </w:r>
    </w:p>
    <w:p w:rsidR="00FB0B24" w:rsidRPr="005B5CB6" w:rsidP="006F32A5">
      <w:pPr>
        <w:spacing w:after="383" w:line="250" w:lineRule="auto"/>
        <w:ind w:left="720" w:hanging="360"/>
        <w:jc w:val="both"/>
        <w:rPr>
          <w:rFonts w:ascii="Verdana" w:hAnsi="Verdana"/>
        </w:rPr>
      </w:pPr>
      <w:r w:rsidRPr="005B5CB6">
        <w:rPr>
          <w:rFonts w:ascii="Verdana" w:eastAsia="Verdana" w:hAnsi="Verdana" w:cs="Verdana"/>
          <w:b/>
        </w:rPr>
        <w:t>5.</w:t>
      </w:r>
      <w:r w:rsidRPr="005B5CB6">
        <w:rPr>
          <w:rFonts w:ascii="Verdana" w:eastAsia="Arial" w:hAnsi="Verdana" w:cs="Arial"/>
          <w:b/>
        </w:rPr>
        <w:t xml:space="preserve"> </w:t>
      </w:r>
      <w:r w:rsidRPr="005B5CB6">
        <w:rPr>
          <w:rFonts w:ascii="Verdana" w:eastAsia="Verdana" w:hAnsi="Verdana" w:cs="Verdana"/>
          <w:b/>
        </w:rPr>
        <w:t xml:space="preserve">If Government could do one thing to regulate content moderation what should that be?  </w:t>
      </w:r>
    </w:p>
    <w:p w:rsidR="00FB0B24" w:rsidRPr="005B5CB6" w:rsidP="006F32A5">
      <w:pPr>
        <w:spacing w:after="383" w:line="249" w:lineRule="auto"/>
        <w:ind w:left="10" w:right="12" w:hanging="9"/>
        <w:jc w:val="both"/>
        <w:rPr>
          <w:rFonts w:ascii="Verdana" w:hAnsi="Verdana"/>
        </w:rPr>
      </w:pPr>
      <w:r w:rsidRPr="005B5CB6">
        <w:rPr>
          <w:rFonts w:ascii="Verdana" w:eastAsia="Verdana" w:hAnsi="Verdana" w:cs="Verdana"/>
        </w:rPr>
        <w:t xml:space="preserve">Require all globally dominant social media companies to recruit teams of independent experts to work with them to develop their policies. There is absolutely no way this can be done in-house at </w:t>
      </w:r>
      <w:r w:rsidRPr="005B5CB6">
        <w:rPr>
          <w:rFonts w:ascii="Verdana" w:eastAsia="Verdana" w:hAnsi="Verdana" w:cs="Verdana"/>
          <w:i/>
        </w:rPr>
        <w:t xml:space="preserve">any </w:t>
      </w:r>
      <w:r w:rsidRPr="005B5CB6">
        <w:rPr>
          <w:rFonts w:ascii="Verdana" w:eastAsia="Verdana" w:hAnsi="Verdana" w:cs="Verdana"/>
        </w:rPr>
        <w:t xml:space="preserve">social media company and teams of non-experts should not be left unattended to write the rules of platforms the size of entire countries. </w:t>
      </w:r>
    </w:p>
    <w:p w:rsidR="00FB0B24" w:rsidRPr="005B5CB6" w:rsidP="006F32A5">
      <w:pPr>
        <w:spacing w:after="0"/>
        <w:ind w:left="74"/>
        <w:jc w:val="both"/>
        <w:rPr>
          <w:rFonts w:ascii="Verdana" w:hAnsi="Verdana"/>
        </w:rPr>
      </w:pPr>
      <w:r w:rsidRPr="005B5CB6">
        <w:rPr>
          <w:rFonts w:ascii="Verdana" w:eastAsia="Verdana" w:hAnsi="Verdana" w:cs="Verdana"/>
          <w:b/>
        </w:rPr>
        <w:t xml:space="preserve"> </w:t>
      </w:r>
    </w:p>
    <w:p w:rsidR="00FB0B24" w:rsidRPr="005B5CB6" w:rsidP="006F32A5">
      <w:pPr>
        <w:spacing w:after="0"/>
        <w:ind w:left="74"/>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hAnsi="Verdana"/>
          <w:noProof/>
        </w:rPr>
        <mc:AlternateContent>
          <mc:Choice Requires="wpg">
            <w:drawing>
              <wp:inline distT="0" distB="0" distL="0" distR="0">
                <wp:extent cx="1828800" cy="7620"/>
                <wp:effectExtent l="0" t="0" r="0" b="0"/>
                <wp:docPr id="616637" name="Group 61663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7620"/>
                          <a:chOff x="0" y="0"/>
                          <a:chExt cx="1828800" cy="7620"/>
                        </a:xfrm>
                      </wpg:grpSpPr>
                      <wps:wsp xmlns:wps="http://schemas.microsoft.com/office/word/2010/wordprocessingShape">
                        <wps:cNvPr id="636701" name="Shape 63670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85" style="height:0.6pt;mso-position-horizontal-relative:char;mso-position-vertical-relative:line;width:2in" coordsize="18288,76">
                <v:shape id="_x0000_s1486" style="height:91;position:absolute;width:18288" coordsize="1828800,9144" path="m,l1828800,l1828800,9144l,9144l,e">
                  <v:stroke joinstyle="miter" endcap="flat" opacity="0"/>
                </v:shape>
                <w10:wrap type="none"/>
              </v:group>
            </w:pict>
          </mc:Fallback>
        </mc:AlternateContent>
      </w:r>
      <w:r w:rsidRPr="005B5CB6">
        <w:rPr>
          <w:rFonts w:ascii="Verdana" w:eastAsia="Gill Sans MT" w:hAnsi="Verdana" w:cs="Gill Sans MT"/>
        </w:rPr>
        <w:t xml:space="preserve"> </w:t>
      </w:r>
    </w:p>
    <w:p w:rsidR="00FB0B24" w:rsidRPr="005B5CB6" w:rsidP="006F32A5">
      <w:pPr>
        <w:spacing w:after="4" w:line="269" w:lineRule="auto"/>
        <w:ind w:left="-5" w:right="5" w:hanging="10"/>
        <w:jc w:val="both"/>
        <w:rPr>
          <w:rFonts w:ascii="Verdana" w:hAnsi="Verdana"/>
        </w:rPr>
      </w:pPr>
      <w:r w:rsidRPr="005B5CB6">
        <w:rPr>
          <w:rFonts w:ascii="Verdana" w:eastAsia="Verdana" w:hAnsi="Verdana" w:cs="Verdana"/>
          <w:vertAlign w:val="superscript"/>
        </w:rPr>
        <w:t>i</w:t>
      </w:r>
      <w:r w:rsidRPr="005B5CB6">
        <w:rPr>
          <w:rFonts w:ascii="Verdana" w:eastAsia="Verdana" w:hAnsi="Verdana" w:cs="Verdana"/>
        </w:rPr>
        <w:t xml:space="preserve"> See for example Phillips, W. (2016). </w:t>
      </w:r>
      <w:r w:rsidRPr="005B5CB6">
        <w:rPr>
          <w:rFonts w:ascii="Verdana" w:eastAsia="Verdana" w:hAnsi="Verdana" w:cs="Verdana"/>
          <w:i/>
        </w:rPr>
        <w:t>This is why we can’t have nice things: mapping the relationship between online trolling and mainstream culture</w:t>
      </w:r>
      <w:r w:rsidRPr="005B5CB6">
        <w:rPr>
          <w:rFonts w:ascii="Verdana" w:eastAsia="Verdana" w:hAnsi="Verdana" w:cs="Verdana"/>
        </w:rPr>
        <w:t xml:space="preserve">. Cambridge, MA: MIT Press. </w:t>
      </w:r>
      <w:r w:rsidRPr="005B5CB6">
        <w:rPr>
          <w:rFonts w:ascii="Verdana" w:eastAsia="Verdana" w:hAnsi="Verdana" w:cs="Verdana"/>
          <w:vertAlign w:val="superscript"/>
        </w:rPr>
        <w:t>ii</w:t>
      </w:r>
      <w:r w:rsidRPr="005B5CB6">
        <w:rPr>
          <w:rFonts w:ascii="Verdana" w:eastAsia="Verdana" w:hAnsi="Verdana" w:cs="Verdana"/>
        </w:rPr>
        <w:t xml:space="preserve"> van der Nagel, E. and Frith. J. (2015). Anonymity, pseudonymity, and the agency of online identity: examining the social practices of r/Gonewild.</w:t>
      </w:r>
      <w:r w:rsidRPr="005B5CB6">
        <w:rPr>
          <w:rFonts w:ascii="Verdana" w:eastAsia="Verdana" w:hAnsi="Verdana" w:cs="Verdana"/>
          <w:i/>
        </w:rPr>
        <w:t xml:space="preserve"> First Monday</w:t>
      </w:r>
      <w:r w:rsidRPr="005B5CB6">
        <w:rPr>
          <w:rFonts w:ascii="Verdana" w:eastAsia="Verdana" w:hAnsi="Verdana" w:cs="Verdana"/>
        </w:rPr>
        <w:t xml:space="preserve">. </w:t>
      </w:r>
      <w:r w:rsidRPr="005B5CB6">
        <w:rPr>
          <w:rFonts w:ascii="Verdana" w:eastAsia="Verdana" w:hAnsi="Verdana" w:cs="Verdana"/>
          <w:i/>
        </w:rPr>
        <w:t>20</w:t>
      </w:r>
      <w:r w:rsidRPr="005B5CB6">
        <w:rPr>
          <w:rFonts w:ascii="Verdana" w:eastAsia="Verdana" w:hAnsi="Verdana" w:cs="Verdana"/>
        </w:rPr>
        <w:t xml:space="preserve">(3). </w:t>
      </w:r>
    </w:p>
    <w:p w:rsidR="00FB0B24" w:rsidRPr="005B5CB6" w:rsidP="006F32A5">
      <w:pPr>
        <w:spacing w:after="4" w:line="250" w:lineRule="auto"/>
        <w:ind w:left="-5" w:hanging="10"/>
        <w:jc w:val="both"/>
        <w:rPr>
          <w:rFonts w:ascii="Verdana" w:hAnsi="Verdana"/>
        </w:rPr>
      </w:pPr>
      <w:r w:rsidRPr="005B5CB6">
        <w:rPr>
          <w:rFonts w:ascii="Verdana" w:eastAsia="Verdana" w:hAnsi="Verdana" w:cs="Verdana"/>
        </w:rPr>
        <w:t xml:space="preserve">Available at: </w:t>
      </w:r>
      <w:r>
        <w:fldChar w:fldCharType="begin"/>
      </w:r>
      <w:r>
        <w:instrText xml:space="preserve"> HYPERLINK "https://firstmonday.org/ojs/index.php/fm/article/view/5615" </w:instrText>
      </w:r>
      <w:r>
        <w:fldChar w:fldCharType="separate"/>
      </w:r>
      <w:r w:rsidRPr="005B5CB6">
        <w:rPr>
          <w:rFonts w:ascii="Verdana" w:eastAsia="Verdana" w:hAnsi="Verdana" w:cs="Verdana"/>
          <w:color w:val="0000FF"/>
          <w:u w:val="single" w:color="0000FF"/>
        </w:rPr>
        <w:t>https://firstmonday.org/ojs/index.php/fm/article/view/5615</w:t>
      </w:r>
      <w:r>
        <w:fldChar w:fldCharType="end"/>
      </w:r>
      <w:r>
        <w:fldChar w:fldCharType="begin"/>
      </w:r>
      <w:r>
        <w:instrText xml:space="preserve"> HYPERLINK "https://firstmonday.org/ojs/index.php/fm/article/view/5615"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575F14">
      <w:pPr>
        <w:numPr>
          <w:ilvl w:val="0"/>
          <w:numId w:val="289"/>
        </w:numPr>
        <w:spacing w:after="4" w:line="269" w:lineRule="auto"/>
        <w:ind w:right="5" w:hanging="10"/>
        <w:jc w:val="both"/>
        <w:rPr>
          <w:rFonts w:ascii="Verdana" w:hAnsi="Verdana"/>
        </w:rPr>
      </w:pPr>
      <w:r w:rsidRPr="005B5CB6">
        <w:rPr>
          <w:rFonts w:ascii="Verdana" w:eastAsia="Verdana" w:hAnsi="Verdana" w:cs="Verdana"/>
        </w:rPr>
        <w:t xml:space="preserve">Angwin, J. (2018, June 28). Facebook’s secret censorship riles protect white men from hate speech but not Black children. </w:t>
      </w:r>
      <w:r w:rsidRPr="005B5CB6">
        <w:rPr>
          <w:rFonts w:ascii="Verdana" w:eastAsia="Verdana" w:hAnsi="Verdana" w:cs="Verdana"/>
          <w:i/>
        </w:rPr>
        <w:t>ProPublica</w:t>
      </w:r>
      <w:r w:rsidRPr="005B5CB6">
        <w:rPr>
          <w:rFonts w:ascii="Verdana" w:eastAsia="Verdana" w:hAnsi="Verdana" w:cs="Verdana"/>
        </w:rPr>
        <w:t xml:space="preserve">. Available at: </w:t>
      </w:r>
    </w:p>
    <w:p w:rsidR="00FB0B24" w:rsidRPr="005B5CB6" w:rsidP="006F32A5">
      <w:pPr>
        <w:spacing w:after="4" w:line="250" w:lineRule="auto"/>
        <w:ind w:left="-5" w:hanging="10"/>
        <w:jc w:val="both"/>
        <w:rPr>
          <w:rFonts w:ascii="Verdana" w:hAnsi="Verdana"/>
        </w:rPr>
      </w:pPr>
      <w:r>
        <w:fldChar w:fldCharType="begin"/>
      </w:r>
      <w:r>
        <w:instrText xml:space="preserve"> HYPERLINK "https://www.propublica.org/article/facebook-hate-speech-censorship-internal-documents-algorithms" </w:instrText>
      </w:r>
      <w:r>
        <w:fldChar w:fldCharType="separate"/>
      </w:r>
      <w:r w:rsidRPr="005B5CB6" w:rsidR="00A72806">
        <w:rPr>
          <w:rFonts w:ascii="Verdana" w:eastAsia="Verdana" w:hAnsi="Verdana" w:cs="Verdana"/>
          <w:color w:val="0000FF"/>
          <w:u w:val="single" w:color="0000FF"/>
        </w:rPr>
        <w:t>https://www.propublica.org/article/facebook-hate-speech-censorship-internal</w:t>
      </w:r>
      <w:r>
        <w:fldChar w:fldCharType="end"/>
      </w:r>
      <w:r>
        <w:fldChar w:fldCharType="begin"/>
      </w:r>
      <w:r>
        <w:instrText xml:space="preserve"> HYPERLINK "https://www.propublica.org/article/facebook-hate-speech-censorship-internal-documents-algorithms" </w:instrText>
      </w:r>
      <w:r>
        <w:fldChar w:fldCharType="separate"/>
      </w:r>
      <w:r w:rsidRPr="005B5CB6" w:rsidR="00A72806">
        <w:rPr>
          <w:rFonts w:ascii="Verdana" w:eastAsia="Verdana" w:hAnsi="Verdana" w:cs="Verdana"/>
          <w:color w:val="0000FF"/>
          <w:u w:val="single" w:color="0000FF"/>
        </w:rPr>
        <w:t>documents-algorithms</w:t>
      </w:r>
      <w:r>
        <w:fldChar w:fldCharType="end"/>
      </w:r>
      <w:r>
        <w:fldChar w:fldCharType="begin"/>
      </w:r>
      <w:r>
        <w:instrText xml:space="preserve"> HYPERLINK "https://www.propublica.org/article/facebook-hate-speech-censorship-internal-documents-algorithms"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w:t>
      </w:r>
    </w:p>
    <w:p w:rsidR="00FB0B24" w:rsidRPr="005B5CB6" w:rsidP="00575F14">
      <w:pPr>
        <w:numPr>
          <w:ilvl w:val="0"/>
          <w:numId w:val="289"/>
        </w:numPr>
        <w:spacing w:after="3" w:line="264" w:lineRule="auto"/>
        <w:ind w:right="5" w:hanging="10"/>
        <w:jc w:val="both"/>
        <w:rPr>
          <w:rFonts w:ascii="Verdana" w:hAnsi="Verdana"/>
        </w:rPr>
      </w:pPr>
      <w:r w:rsidRPr="005B5CB6">
        <w:rPr>
          <w:rFonts w:ascii="Verdana" w:eastAsia="Verdana" w:hAnsi="Verdana" w:cs="Verdana"/>
        </w:rPr>
        <w:t xml:space="preserve">Gillespie, T. (2018). </w:t>
      </w:r>
      <w:r w:rsidRPr="005B5CB6">
        <w:rPr>
          <w:rFonts w:ascii="Verdana" w:eastAsia="Verdana" w:hAnsi="Verdana" w:cs="Verdana"/>
          <w:i/>
        </w:rPr>
        <w:t>Custodians of the internet: platforms, content moderation, and the hidden decisions that shape social media</w:t>
      </w:r>
      <w:r w:rsidRPr="005B5CB6">
        <w:rPr>
          <w:rFonts w:ascii="Verdana" w:eastAsia="Verdana" w:hAnsi="Verdana" w:cs="Verdana"/>
        </w:rPr>
        <w:t xml:space="preserve">. New Haven: Yale University Press. </w:t>
      </w:r>
    </w:p>
    <w:p w:rsidR="00FB0B24" w:rsidRPr="005B5CB6" w:rsidP="00575F14">
      <w:pPr>
        <w:numPr>
          <w:ilvl w:val="0"/>
          <w:numId w:val="289"/>
        </w:numPr>
        <w:spacing w:after="4" w:line="269" w:lineRule="auto"/>
        <w:ind w:right="5" w:hanging="10"/>
        <w:jc w:val="both"/>
        <w:rPr>
          <w:rFonts w:ascii="Verdana" w:hAnsi="Verdana"/>
        </w:rPr>
      </w:pPr>
      <w:r w:rsidRPr="005B5CB6">
        <w:rPr>
          <w:rFonts w:ascii="Verdana" w:eastAsia="Verdana" w:hAnsi="Verdana" w:cs="Verdana"/>
        </w:rPr>
        <w:t>Vaidhyanathan, S. (2019, October 18). Mark Zuckerberg doesn’t understand free speech in the 21</w:t>
      </w:r>
      <w:r w:rsidRPr="005B5CB6">
        <w:rPr>
          <w:rFonts w:ascii="Verdana" w:eastAsia="Verdana" w:hAnsi="Verdana" w:cs="Verdana"/>
          <w:vertAlign w:val="superscript"/>
        </w:rPr>
        <w:t>st</w:t>
      </w:r>
      <w:r w:rsidRPr="005B5CB6">
        <w:rPr>
          <w:rFonts w:ascii="Verdana" w:eastAsia="Verdana" w:hAnsi="Verdana" w:cs="Verdana"/>
        </w:rPr>
        <w:t xml:space="preserve"> century. </w:t>
      </w:r>
      <w:r w:rsidRPr="005B5CB6">
        <w:rPr>
          <w:rFonts w:ascii="Verdana" w:eastAsia="Verdana" w:hAnsi="Verdana" w:cs="Verdana"/>
          <w:i/>
        </w:rPr>
        <w:t xml:space="preserve">The Guardian. </w:t>
      </w:r>
      <w:r w:rsidRPr="005B5CB6">
        <w:rPr>
          <w:rFonts w:ascii="Verdana" w:eastAsia="Verdana" w:hAnsi="Verdana" w:cs="Verdana"/>
        </w:rPr>
        <w:t xml:space="preserve">Available at: </w:t>
      </w:r>
    </w:p>
    <w:p w:rsidR="00FB0B24" w:rsidRPr="005B5CB6" w:rsidP="006F32A5">
      <w:pPr>
        <w:spacing w:after="4" w:line="250" w:lineRule="auto"/>
        <w:ind w:left="-5" w:hanging="10"/>
        <w:jc w:val="both"/>
        <w:rPr>
          <w:rFonts w:ascii="Verdana" w:hAnsi="Verdana"/>
        </w:rPr>
      </w:pPr>
      <w:r>
        <w:fldChar w:fldCharType="begin"/>
      </w:r>
      <w:r>
        <w:instrText xml:space="preserve"> HYPERLINK "https://www.theguardian.com/commentisfree/2019/oct/18/mark-zuckerberg-free-speech-21st-century" </w:instrText>
      </w:r>
      <w:r>
        <w:fldChar w:fldCharType="separate"/>
      </w:r>
      <w:r w:rsidRPr="005B5CB6" w:rsidR="00A72806">
        <w:rPr>
          <w:rFonts w:ascii="Verdana" w:eastAsia="Verdana" w:hAnsi="Verdana" w:cs="Verdana"/>
          <w:color w:val="0000FF"/>
          <w:u w:val="single" w:color="0000FF"/>
        </w:rPr>
        <w:t>https://www.theguardian.com/commentisfree/2019/oct/18/mark-zuckerberg-free</w:t>
      </w:r>
      <w:r>
        <w:fldChar w:fldCharType="end"/>
      </w:r>
      <w:r>
        <w:fldChar w:fldCharType="begin"/>
      </w:r>
      <w:r>
        <w:instrText xml:space="preserve"> HYPERLINK "https://www.theguardian.com/commentisfree/2019/oct/18/mark-zuckerberg-free-speech-21st-century" </w:instrText>
      </w:r>
      <w:r>
        <w:fldChar w:fldCharType="separate"/>
      </w:r>
      <w:r w:rsidRPr="005B5CB6" w:rsidR="00A72806">
        <w:rPr>
          <w:rFonts w:ascii="Verdana" w:eastAsia="Verdana" w:hAnsi="Verdana" w:cs="Verdana"/>
          <w:color w:val="0000FF"/>
          <w:u w:val="single" w:color="0000FF"/>
        </w:rPr>
        <w:t>speech-21st-century</w:t>
      </w:r>
      <w:r>
        <w:fldChar w:fldCharType="end"/>
      </w:r>
      <w:r>
        <w:fldChar w:fldCharType="begin"/>
      </w:r>
      <w:r>
        <w:instrText xml:space="preserve"> HYPERLINK "https://www.theguardian.com/commentisfree/2019/oct/18/mark-zuckerberg-free-speech-21st-century"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w:t>
      </w:r>
    </w:p>
    <w:p w:rsidR="00FB0B24" w:rsidRPr="005B5CB6" w:rsidP="00575F14">
      <w:pPr>
        <w:numPr>
          <w:ilvl w:val="0"/>
          <w:numId w:val="289"/>
        </w:numPr>
        <w:spacing w:after="4" w:line="269" w:lineRule="auto"/>
        <w:ind w:right="5" w:hanging="10"/>
        <w:jc w:val="both"/>
        <w:rPr>
          <w:rFonts w:ascii="Verdana" w:hAnsi="Verdana"/>
        </w:rPr>
      </w:pPr>
      <w:r w:rsidRPr="005B5CB6">
        <w:rPr>
          <w:rFonts w:ascii="Verdana" w:eastAsia="Verdana" w:hAnsi="Verdana" w:cs="Verdana"/>
        </w:rPr>
        <w:t xml:space="preserve">Gerrard, Y. (2018). Beyond the hashtag: circumventing content moderation on social media. </w:t>
      </w:r>
      <w:r w:rsidRPr="005B5CB6">
        <w:rPr>
          <w:rFonts w:ascii="Verdana" w:eastAsia="Verdana" w:hAnsi="Verdana" w:cs="Verdana"/>
          <w:i/>
        </w:rPr>
        <w:t>New Media and Society</w:t>
      </w:r>
      <w:r w:rsidRPr="005B5CB6">
        <w:rPr>
          <w:rFonts w:ascii="Verdana" w:eastAsia="Verdana" w:hAnsi="Verdana" w:cs="Verdana"/>
        </w:rPr>
        <w:t xml:space="preserve">. </w:t>
      </w:r>
      <w:r w:rsidRPr="005B5CB6">
        <w:rPr>
          <w:rFonts w:ascii="Verdana" w:eastAsia="Verdana" w:hAnsi="Verdana" w:cs="Verdana"/>
          <w:i/>
        </w:rPr>
        <w:t>20</w:t>
      </w:r>
      <w:r w:rsidRPr="005B5CB6">
        <w:rPr>
          <w:rFonts w:ascii="Verdana" w:eastAsia="Verdana" w:hAnsi="Verdana" w:cs="Verdana"/>
        </w:rPr>
        <w:t xml:space="preserve">(12): 4492-4511. </w:t>
      </w:r>
    </w:p>
    <w:p w:rsidR="00FB0B24" w:rsidRPr="005B5CB6" w:rsidP="00575F14">
      <w:pPr>
        <w:numPr>
          <w:ilvl w:val="0"/>
          <w:numId w:val="289"/>
        </w:numPr>
        <w:spacing w:after="4" w:line="269" w:lineRule="auto"/>
        <w:ind w:right="5" w:hanging="10"/>
        <w:jc w:val="both"/>
        <w:rPr>
          <w:rFonts w:ascii="Verdana" w:hAnsi="Verdana"/>
        </w:rPr>
      </w:pPr>
      <w:r w:rsidRPr="005B5CB6">
        <w:rPr>
          <w:rFonts w:ascii="Verdana" w:eastAsia="Verdana" w:hAnsi="Verdana" w:cs="Verdana"/>
        </w:rPr>
        <w:t xml:space="preserve">Lunden, I. (2019, Jan 31). After bans from Apple and Google, Sarahah debuts Enoff, an iOS app for anonymous feedback at work. </w:t>
      </w:r>
      <w:r w:rsidRPr="005B5CB6">
        <w:rPr>
          <w:rFonts w:ascii="Verdana" w:eastAsia="Verdana" w:hAnsi="Verdana" w:cs="Verdana"/>
          <w:i/>
        </w:rPr>
        <w:t xml:space="preserve">Tech Crunch. </w:t>
      </w:r>
      <w:r w:rsidRPr="005B5CB6">
        <w:rPr>
          <w:rFonts w:ascii="Verdana" w:eastAsia="Verdana" w:hAnsi="Verdana" w:cs="Verdana"/>
        </w:rPr>
        <w:t xml:space="preserve">Available at: </w:t>
      </w:r>
    </w:p>
    <w:p w:rsidR="00FB0B24" w:rsidRPr="005B5CB6" w:rsidP="006F32A5">
      <w:pPr>
        <w:spacing w:after="4" w:line="250" w:lineRule="auto"/>
        <w:ind w:left="-5" w:hanging="10"/>
        <w:jc w:val="both"/>
        <w:rPr>
          <w:rFonts w:ascii="Verdana" w:hAnsi="Verdana"/>
        </w:rPr>
      </w:pPr>
      <w:r>
        <w:fldChar w:fldCharType="begin"/>
      </w:r>
      <w:r>
        <w:instrText xml:space="preserve"> HYPERLINK "https://techcrunch.com/2019/01/31/after-bans-from-apple-and-google-sarahah-debuts-enoff-for-anonymous-feedback-at-work/" </w:instrText>
      </w:r>
      <w:r>
        <w:fldChar w:fldCharType="separate"/>
      </w:r>
      <w:r w:rsidRPr="005B5CB6" w:rsidR="00A72806">
        <w:rPr>
          <w:rFonts w:ascii="Verdana" w:eastAsia="Verdana" w:hAnsi="Verdana" w:cs="Verdana"/>
          <w:color w:val="0000FF"/>
          <w:u w:val="single" w:color="0000FF"/>
        </w:rPr>
        <w:t>https://techcrunch.com/2019/01/31/after-bans-from-apple-and-google-sarahah-debuts</w:t>
      </w:r>
      <w:r>
        <w:fldChar w:fldCharType="end"/>
      </w:r>
      <w:r>
        <w:fldChar w:fldCharType="begin"/>
      </w:r>
      <w:r>
        <w:instrText xml:space="preserve"> HYPERLINK "https://techcrunch.com/2019/01/31/after-bans-from-apple-and-google-sarahah-debuts-enoff-for-anonymous-feedback-at-work/" </w:instrText>
      </w:r>
      <w:r>
        <w:fldChar w:fldCharType="separate"/>
      </w:r>
      <w:r w:rsidRPr="005B5CB6" w:rsidR="00A72806">
        <w:rPr>
          <w:rFonts w:ascii="Verdana" w:eastAsia="Verdana" w:hAnsi="Verdana" w:cs="Verdana"/>
          <w:color w:val="0000FF"/>
          <w:u w:val="single" w:color="0000FF"/>
        </w:rPr>
        <w:t>enoff-for-anonymous-feedback-at-work/</w:t>
      </w:r>
      <w:r>
        <w:fldChar w:fldCharType="end"/>
      </w:r>
      <w:r>
        <w:fldChar w:fldCharType="begin"/>
      </w:r>
      <w:r>
        <w:instrText xml:space="preserve"> HYPERLINK "https://techcrunch.com/2019/01/31/after-bans-from-apple-and-google-sarahah-debuts-enoff-for-anonymous-feedback-at-work/"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w:t>
      </w:r>
    </w:p>
    <w:p w:rsidR="00FB0B24" w:rsidRPr="005B5CB6" w:rsidP="00575F14">
      <w:pPr>
        <w:numPr>
          <w:ilvl w:val="0"/>
          <w:numId w:val="289"/>
        </w:numPr>
        <w:spacing w:after="4" w:line="269" w:lineRule="auto"/>
        <w:ind w:right="5" w:hanging="10"/>
        <w:jc w:val="both"/>
        <w:rPr>
          <w:rFonts w:ascii="Verdana" w:hAnsi="Verdana"/>
        </w:rPr>
      </w:pPr>
      <w:r w:rsidRPr="005B5CB6">
        <w:rPr>
          <w:rFonts w:ascii="Verdana" w:eastAsia="Verdana" w:hAnsi="Verdana" w:cs="Verdana"/>
        </w:rPr>
        <w:t xml:space="preserve">Hopkins, N. (2017, May 21). Revealed: Facebook’s internal rulebook on sex, terrorism and violence. </w:t>
      </w:r>
      <w:r w:rsidRPr="005B5CB6">
        <w:rPr>
          <w:rFonts w:ascii="Verdana" w:eastAsia="Verdana" w:hAnsi="Verdana" w:cs="Verdana"/>
          <w:i/>
        </w:rPr>
        <w:t>The Guardian</w:t>
      </w:r>
      <w:r w:rsidRPr="005B5CB6">
        <w:rPr>
          <w:rFonts w:ascii="Verdana" w:eastAsia="Verdana" w:hAnsi="Verdana" w:cs="Verdana"/>
        </w:rPr>
        <w:t xml:space="preserve">. Available at: </w:t>
      </w:r>
    </w:p>
    <w:p w:rsidR="00FB0B24" w:rsidRPr="005B5CB6" w:rsidP="006F32A5">
      <w:pPr>
        <w:spacing w:after="4" w:line="250" w:lineRule="auto"/>
        <w:ind w:left="-5" w:hanging="10"/>
        <w:jc w:val="both"/>
        <w:rPr>
          <w:rFonts w:ascii="Verdana" w:hAnsi="Verdana"/>
        </w:rPr>
      </w:pPr>
      <w:r>
        <w:fldChar w:fldCharType="begin"/>
      </w:r>
      <w:r>
        <w:instrText xml:space="preserve"> HYPERLINK "https://www.theguardian.com/news/2017/may/21/revealed-facebook-internal-rulebook-sex-terrorism-violence" </w:instrText>
      </w:r>
      <w:r>
        <w:fldChar w:fldCharType="separate"/>
      </w:r>
      <w:r w:rsidRPr="005B5CB6" w:rsidR="00A72806">
        <w:rPr>
          <w:rFonts w:ascii="Verdana" w:eastAsia="Verdana" w:hAnsi="Verdana" w:cs="Verdana"/>
          <w:color w:val="0000FF"/>
          <w:u w:val="single" w:color="0000FF"/>
        </w:rPr>
        <w:t>https://www.theguardian.com/news/2017/may/21/revealed-facebook-internal-rulebook</w:t>
      </w:r>
      <w:r>
        <w:fldChar w:fldCharType="end"/>
      </w:r>
      <w:r>
        <w:fldChar w:fldCharType="begin"/>
      </w:r>
      <w:r>
        <w:instrText xml:space="preserve"> HYPERLINK "https://www.theguardian.com/news/2017/may/21/revealed-facebook-internal-rulebook-sex-terrorism-violence" </w:instrText>
      </w:r>
      <w:r>
        <w:fldChar w:fldCharType="separate"/>
      </w:r>
      <w:r w:rsidRPr="005B5CB6" w:rsidR="00A72806">
        <w:rPr>
          <w:rFonts w:ascii="Verdana" w:eastAsia="Verdana" w:hAnsi="Verdana" w:cs="Verdana"/>
          <w:color w:val="0000FF"/>
          <w:u w:val="single" w:color="0000FF"/>
        </w:rPr>
        <w:t>sex-terrorism-violence</w:t>
      </w:r>
      <w:r>
        <w:fldChar w:fldCharType="end"/>
      </w:r>
      <w:r>
        <w:fldChar w:fldCharType="begin"/>
      </w:r>
      <w:r>
        <w:instrText xml:space="preserve"> HYPERLINK "https://www.theguardian.com/news/2017/may/21/revealed-facebook-internal-rulebook-sex-terrorism-violence" </w:instrText>
      </w:r>
      <w:r>
        <w:fldChar w:fldCharType="separate"/>
      </w:r>
      <w:r w:rsidRPr="005B5CB6" w:rsidR="00A72806">
        <w:rPr>
          <w:rFonts w:ascii="Verdana" w:eastAsia="Verdana" w:hAnsi="Verdana" w:cs="Verdana"/>
        </w:rPr>
        <w:t>.</w:t>
      </w:r>
      <w:r>
        <w:fldChar w:fldCharType="end"/>
      </w:r>
      <w:r w:rsidRPr="005B5CB6" w:rsidR="00A72806">
        <w:rPr>
          <w:rFonts w:ascii="Verdana" w:eastAsia="Verdana" w:hAnsi="Verdana" w:cs="Verdana"/>
        </w:rPr>
        <w:t xml:space="preserve"> </w:t>
      </w:r>
    </w:p>
    <w:p w:rsidR="00FB0B24" w:rsidRPr="005B5CB6" w:rsidP="00575F14">
      <w:pPr>
        <w:numPr>
          <w:ilvl w:val="0"/>
          <w:numId w:val="289"/>
        </w:numPr>
        <w:spacing w:after="4" w:line="250" w:lineRule="auto"/>
        <w:ind w:right="5" w:hanging="10"/>
        <w:jc w:val="both"/>
        <w:rPr>
          <w:rFonts w:ascii="Verdana" w:hAnsi="Verdana"/>
        </w:rPr>
      </w:pPr>
      <w:r w:rsidRPr="005B5CB6">
        <w:rPr>
          <w:rFonts w:ascii="Verdana" w:eastAsia="Verdana" w:hAnsi="Verdana" w:cs="Verdana"/>
        </w:rPr>
        <w:t xml:space="preserve">Suzor, N. (2016, Sep 18). How does Instagram censor hashtags? </w:t>
      </w:r>
      <w:r w:rsidRPr="005B5CB6">
        <w:rPr>
          <w:rFonts w:ascii="Verdana" w:eastAsia="Verdana" w:hAnsi="Verdana" w:cs="Verdana"/>
          <w:i/>
        </w:rPr>
        <w:t>Medium: Digital Social Contract</w:t>
      </w:r>
      <w:r w:rsidRPr="005B5CB6">
        <w:rPr>
          <w:rFonts w:ascii="Verdana" w:eastAsia="Verdana" w:hAnsi="Verdana" w:cs="Verdana"/>
        </w:rPr>
        <w:t xml:space="preserve">. Available at: </w:t>
      </w:r>
      <w:r>
        <w:fldChar w:fldCharType="begin"/>
      </w:r>
      <w:r>
        <w:instrText xml:space="preserve"> HYPERLINK "https://digitalsocialcontract.net/how-does-instagram-censor-hashtags-c7f38872d1fd" </w:instrText>
      </w:r>
      <w:r>
        <w:fldChar w:fldCharType="separate"/>
      </w:r>
      <w:r w:rsidRPr="005B5CB6">
        <w:rPr>
          <w:rFonts w:ascii="Verdana" w:eastAsia="Verdana" w:hAnsi="Verdana" w:cs="Verdana"/>
          <w:color w:val="0000FF"/>
          <w:u w:val="single" w:color="0000FF"/>
        </w:rPr>
        <w:t>https://digitalsocialcontract.net/how-does-instagram-censor</w:t>
      </w:r>
      <w:r>
        <w:fldChar w:fldCharType="end"/>
      </w:r>
      <w:r>
        <w:fldChar w:fldCharType="begin"/>
      </w:r>
      <w:r>
        <w:instrText xml:space="preserve"> HYPERLINK "https://digitalsocialcontract.net/how-does-instagram-censor-hashtags-c7f38872d1fd" </w:instrText>
      </w:r>
      <w:r>
        <w:fldChar w:fldCharType="separate"/>
      </w:r>
      <w:r w:rsidRPr="005B5CB6">
        <w:rPr>
          <w:rFonts w:ascii="Verdana" w:eastAsia="Verdana" w:hAnsi="Verdana" w:cs="Verdana"/>
          <w:color w:val="0000FF"/>
          <w:u w:val="single" w:color="0000FF"/>
        </w:rPr>
        <w:t>hashtags-c7f38872d1fd</w:t>
      </w:r>
      <w:r>
        <w:fldChar w:fldCharType="end"/>
      </w:r>
      <w:r>
        <w:fldChar w:fldCharType="begin"/>
      </w:r>
      <w:r>
        <w:instrText xml:space="preserve"> HYPERLINK "https://digitalsocialcontract.net/how-does-instagram-censor-hashtags-c7f38872d1fd"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w:t>
      </w:r>
    </w:p>
    <w:p w:rsidR="00FB0B24" w:rsidRPr="005B5CB6" w:rsidP="00575F14">
      <w:pPr>
        <w:numPr>
          <w:ilvl w:val="0"/>
          <w:numId w:val="289"/>
        </w:numPr>
        <w:spacing w:after="4" w:line="269" w:lineRule="auto"/>
        <w:ind w:right="5" w:hanging="10"/>
        <w:jc w:val="both"/>
        <w:rPr>
          <w:rFonts w:ascii="Verdana" w:hAnsi="Verdana"/>
        </w:rPr>
      </w:pPr>
      <w:r w:rsidRPr="005B5CB6">
        <w:rPr>
          <w:rFonts w:ascii="Verdana" w:eastAsia="Verdana" w:hAnsi="Verdana" w:cs="Verdana"/>
        </w:rPr>
        <w:t xml:space="preserve">Myers West, S. (2018). Censored, suspended, shadowbanned: user interpretations of content moderation on social media platforms. </w:t>
      </w:r>
      <w:r w:rsidRPr="005B5CB6">
        <w:rPr>
          <w:rFonts w:ascii="Verdana" w:eastAsia="Verdana" w:hAnsi="Verdana" w:cs="Verdana"/>
          <w:i/>
        </w:rPr>
        <w:t>New Media and Society</w:t>
      </w:r>
      <w:r w:rsidRPr="005B5CB6">
        <w:rPr>
          <w:rFonts w:ascii="Verdana" w:eastAsia="Verdana" w:hAnsi="Verdana" w:cs="Verdana"/>
        </w:rPr>
        <w:t xml:space="preserve">. </w:t>
      </w:r>
      <w:r w:rsidRPr="005B5CB6">
        <w:rPr>
          <w:rFonts w:ascii="Verdana" w:eastAsia="Verdana" w:hAnsi="Verdana" w:cs="Verdana"/>
          <w:i/>
        </w:rPr>
        <w:t>20</w:t>
      </w:r>
      <w:r w:rsidRPr="005B5CB6">
        <w:rPr>
          <w:rFonts w:ascii="Verdana" w:eastAsia="Verdana" w:hAnsi="Verdana" w:cs="Verdana"/>
        </w:rPr>
        <w:t xml:space="preserve">(11): 43664383. </w:t>
      </w:r>
    </w:p>
    <w:p w:rsidR="00FB0B24" w:rsidRPr="005B5CB6" w:rsidP="00575F14">
      <w:pPr>
        <w:numPr>
          <w:ilvl w:val="0"/>
          <w:numId w:val="289"/>
        </w:numPr>
        <w:spacing w:after="4" w:line="269" w:lineRule="auto"/>
        <w:ind w:right="5" w:hanging="10"/>
        <w:jc w:val="both"/>
        <w:rPr>
          <w:rFonts w:ascii="Verdana" w:hAnsi="Verdana"/>
        </w:rPr>
      </w:pPr>
      <w:r w:rsidRPr="005B5CB6">
        <w:rPr>
          <w:rFonts w:ascii="Verdana" w:eastAsia="Verdana" w:hAnsi="Verdana" w:cs="Verdana"/>
        </w:rPr>
        <w:t xml:space="preserve">This is a question Jillian C. York – Director of International Freedom of Expression at the Electronic Frontier Foundation (EFF) – asks frequently, and would be a great contributor to this discussion if she isn’t already involved. </w:t>
      </w:r>
    </w:p>
    <w:p w:rsidR="00FB0B24" w:rsidRPr="005B5CB6" w:rsidP="00575F14">
      <w:pPr>
        <w:numPr>
          <w:ilvl w:val="0"/>
          <w:numId w:val="289"/>
        </w:numPr>
        <w:spacing w:after="4" w:line="269" w:lineRule="auto"/>
        <w:ind w:right="5" w:hanging="10"/>
        <w:jc w:val="both"/>
        <w:rPr>
          <w:rFonts w:ascii="Verdana" w:hAnsi="Verdana"/>
        </w:rPr>
      </w:pPr>
      <w:r w:rsidRPr="005B5CB6">
        <w:rPr>
          <w:rFonts w:ascii="Verdana" w:eastAsia="Verdana" w:hAnsi="Verdana" w:cs="Verdana"/>
        </w:rPr>
        <w:t xml:space="preserve">Caplan, R. (2018). Content or context moderation? Artisanal, community-reliant, and industrial approaches. </w:t>
      </w:r>
      <w:r w:rsidRPr="005B5CB6">
        <w:rPr>
          <w:rFonts w:ascii="Verdana" w:eastAsia="Verdana" w:hAnsi="Verdana" w:cs="Verdana"/>
          <w:i/>
        </w:rPr>
        <w:t>Data and Society Research Institute, New York</w:t>
      </w:r>
      <w:r w:rsidRPr="005B5CB6">
        <w:rPr>
          <w:rFonts w:ascii="Verdana" w:eastAsia="Verdana" w:hAnsi="Verdana" w:cs="Verdana"/>
        </w:rPr>
        <w:t xml:space="preserve">. Available at: </w:t>
      </w:r>
      <w:r>
        <w:fldChar w:fldCharType="begin"/>
      </w:r>
      <w:r>
        <w:instrText xml:space="preserve"> HYPERLINK "https://datasociety.net/output/content-or-context-moderation/" </w:instrText>
      </w:r>
      <w:r>
        <w:fldChar w:fldCharType="separate"/>
      </w:r>
      <w:r w:rsidRPr="005B5CB6">
        <w:rPr>
          <w:rFonts w:ascii="Verdana" w:eastAsia="Verdana" w:hAnsi="Verdana" w:cs="Verdana"/>
          <w:color w:val="0000FF"/>
          <w:u w:val="single" w:color="0000FF"/>
        </w:rPr>
        <w:t>https://datasociety.net/output/content-or-context-moderation/</w:t>
      </w:r>
      <w:r>
        <w:fldChar w:fldCharType="end"/>
      </w:r>
      <w:r>
        <w:fldChar w:fldCharType="begin"/>
      </w:r>
      <w:r>
        <w:instrText xml:space="preserve"> HYPERLINK "https://datasociety.net/output/content-or-context-moderation/" </w:instrText>
      </w:r>
      <w:r>
        <w:fldChar w:fldCharType="separate"/>
      </w:r>
      <w:r w:rsidRPr="005B5CB6">
        <w:rPr>
          <w:rFonts w:ascii="Verdana" w:eastAsia="Verdana" w:hAnsi="Verdana" w:cs="Verdana"/>
        </w:rPr>
        <w:t>.</w:t>
      </w:r>
      <w:r>
        <w:fldChar w:fldCharType="end"/>
      </w:r>
      <w:r w:rsidRPr="005B5CB6">
        <w:rPr>
          <w:rFonts w:ascii="Verdana" w:eastAsia="Verdana" w:hAnsi="Verdana" w:cs="Verdana"/>
        </w:rPr>
        <w:t xml:space="preserve"> p.1. </w:t>
      </w:r>
    </w:p>
    <w:p w:rsidR="00FB0B24" w:rsidRPr="005B5CB6" w:rsidP="00575F14">
      <w:pPr>
        <w:numPr>
          <w:ilvl w:val="0"/>
          <w:numId w:val="289"/>
        </w:numPr>
        <w:spacing w:after="3" w:line="264" w:lineRule="auto"/>
        <w:ind w:right="5" w:hanging="10"/>
        <w:jc w:val="both"/>
        <w:rPr>
          <w:rFonts w:ascii="Verdana" w:hAnsi="Verdana"/>
        </w:rPr>
      </w:pPr>
      <w:r w:rsidRPr="005B5CB6">
        <w:rPr>
          <w:rFonts w:ascii="Verdana" w:eastAsia="Verdana" w:hAnsi="Verdana" w:cs="Verdana"/>
        </w:rPr>
        <w:t xml:space="preserve">See Roberts, S.T. (2019). </w:t>
      </w:r>
      <w:r w:rsidRPr="005B5CB6">
        <w:rPr>
          <w:rFonts w:ascii="Verdana" w:eastAsia="Verdana" w:hAnsi="Verdana" w:cs="Verdana"/>
          <w:i/>
        </w:rPr>
        <w:t>Behind the screen: content moderation in the shadows of social media</w:t>
      </w:r>
      <w:r w:rsidRPr="005B5CB6">
        <w:rPr>
          <w:rFonts w:ascii="Verdana" w:eastAsia="Verdana" w:hAnsi="Verdana" w:cs="Verdana"/>
        </w:rPr>
        <w:t xml:space="preserve">. New Haven: Yale University Press. </w:t>
      </w:r>
    </w:p>
    <w:p w:rsidR="00FB0B24" w:rsidRPr="005B5CB6" w:rsidP="006F32A5">
      <w:pPr>
        <w:jc w:val="both"/>
        <w:rPr>
          <w:rFonts w:ascii="Verdana" w:hAnsi="Verdana"/>
        </w:rPr>
        <w:sectPr w:rsidSect="00297D29">
          <w:headerReference w:type="even" r:id="rId517"/>
          <w:headerReference w:type="default" r:id="rId518"/>
          <w:footerReference w:type="even" r:id="rId519"/>
          <w:footerReference w:type="default" r:id="rId520"/>
          <w:headerReference w:type="first" r:id="rId521"/>
          <w:footerReference w:type="first" r:id="rId522"/>
          <w:pgSz w:w="11906" w:h="16838"/>
          <w:pgMar w:top="1492" w:right="1436" w:bottom="1648" w:left="1365" w:header="720" w:footer="708" w:gutter="0"/>
          <w:cols w:space="720"/>
          <w:titlePg/>
        </w:sectPr>
      </w:pPr>
    </w:p>
    <w:p w:rsidR="00FB0B24" w:rsidRPr="005B5CB6" w:rsidP="00A1624B">
      <w:pPr>
        <w:pStyle w:val="Heading1"/>
        <w:rPr>
          <w:sz w:val="22"/>
        </w:rPr>
      </w:pPr>
      <w:bookmarkStart w:id="81" w:name="_Toc44517769"/>
      <w:r w:rsidRPr="005B5CB6">
        <w:rPr>
          <w:sz w:val="22"/>
        </w:rPr>
        <w:t>Liberal Democrats – written evidence (DAD0094)</w:t>
      </w:r>
      <w:bookmarkEnd w:id="81"/>
      <w:r w:rsidRPr="005B5CB6">
        <w:rPr>
          <w:sz w:val="22"/>
        </w:rPr>
        <w:t xml:space="preserve"> </w:t>
      </w:r>
    </w:p>
    <w:p w:rsidR="00FB0B24" w:rsidRPr="005B5CB6" w:rsidP="006F32A5">
      <w:pPr>
        <w:spacing w:after="0"/>
        <w:ind w:left="36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369" w:right="11" w:hanging="8"/>
        <w:jc w:val="both"/>
        <w:rPr>
          <w:rFonts w:ascii="Verdana" w:hAnsi="Verdana"/>
        </w:rPr>
      </w:pPr>
      <w:r w:rsidRPr="005B5CB6">
        <w:rPr>
          <w:rFonts w:ascii="Verdana" w:eastAsia="Verdana" w:hAnsi="Verdana" w:cs="Verdana"/>
        </w:rPr>
        <w:t xml:space="preserve">Denise Baron, Deputy Director of Campaigns, Liberal Democrats </w:t>
      </w:r>
    </w:p>
    <w:p w:rsidR="00FB0B24" w:rsidRPr="005B5CB6" w:rsidP="006F32A5">
      <w:pPr>
        <w:spacing w:after="0"/>
        <w:ind w:left="361"/>
        <w:jc w:val="both"/>
        <w:rPr>
          <w:rFonts w:ascii="Verdana" w:hAnsi="Verdana"/>
        </w:rPr>
      </w:pPr>
      <w:r w:rsidRPr="005B5CB6">
        <w:rPr>
          <w:rFonts w:ascii="Verdana" w:eastAsia="Verdana" w:hAnsi="Verdana" w:cs="Verdana"/>
        </w:rPr>
        <w:t xml:space="preserve">  </w:t>
      </w:r>
    </w:p>
    <w:p w:rsidR="00FB0B24" w:rsidRPr="005B5CB6" w:rsidP="00575F14">
      <w:pPr>
        <w:numPr>
          <w:ilvl w:val="0"/>
          <w:numId w:val="290"/>
        </w:numPr>
        <w:spacing w:after="5" w:line="249" w:lineRule="auto"/>
        <w:ind w:right="12" w:hanging="360"/>
        <w:jc w:val="both"/>
        <w:rPr>
          <w:rFonts w:ascii="Verdana" w:hAnsi="Verdana"/>
        </w:rPr>
      </w:pPr>
      <w:r w:rsidRPr="005B5CB6">
        <w:rPr>
          <w:rFonts w:ascii="Verdana" w:eastAsia="Verdana" w:hAnsi="Verdana" w:cs="Verdana"/>
        </w:rPr>
        <w:t xml:space="preserve">How much of your online campaign strategy relies on the organic spread of your content and how much relies on paid promotion? To what extent do you rely on campaigning material created by activists over which you have no control? What reputational and other risks does this pose?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During a campaign we seek to maximise the ability of both organic and paid activity on social media to communicate our positions and policies. For the purposes of campaigning, the potential reach of paid activity is greater than organic activity. We can measure our KPIs and overall performance more closely. Organic sharing is by its nature much more limited in terms of targeting and more difficult to optimise due to its nature.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The core objectives of our digital campaigning do not currently rely on campaigning material created by activists. While organic, grassroots content is very helpful and welcome, even with guidance it has proven inconsistent in quality and often inconsistent with our messaging.</w:t>
      </w:r>
      <w:r w:rsidRPr="005B5CB6">
        <w:rPr>
          <w:rFonts w:ascii="Verdana" w:eastAsia="Verdana" w:hAnsi="Verdana" w:cs="Verdana"/>
          <w:b/>
          <w:color w:val="FF0000"/>
        </w:rPr>
        <w:t xml:space="preser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90"/>
        </w:numPr>
        <w:spacing w:after="5" w:line="249" w:lineRule="auto"/>
        <w:ind w:right="12" w:hanging="360"/>
        <w:jc w:val="both"/>
        <w:rPr>
          <w:rFonts w:ascii="Verdana" w:hAnsi="Verdana"/>
        </w:rPr>
      </w:pPr>
      <w:r w:rsidRPr="005B5CB6">
        <w:rPr>
          <w:rFonts w:ascii="Verdana" w:eastAsia="Verdana" w:hAnsi="Verdana" w:cs="Verdana"/>
        </w:rPr>
        <w:t xml:space="preserve">How important is data from companies that monitor the public’s online activity (either from social media companies or from data brokers) to your data operation? Has this changed significantly in recent years?  </w:t>
      </w:r>
    </w:p>
    <w:p w:rsidR="00FB0B24" w:rsidRPr="005B5CB6" w:rsidP="006F32A5">
      <w:pPr>
        <w:spacing w:after="0"/>
        <w:ind w:left="1"/>
        <w:jc w:val="both"/>
        <w:rPr>
          <w:rFonts w:ascii="Verdana" w:hAnsi="Verdana"/>
        </w:rPr>
      </w:pPr>
      <w:r w:rsidRPr="005B5CB6">
        <w:rPr>
          <w:rFonts w:ascii="Verdana" w:eastAsia="Verdana" w:hAnsi="Verdana" w:cs="Verdana"/>
          <w:b/>
          <w:color w:val="FF0000"/>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We do not use data brokers or social listening platforms. The use-case of information produced by social listening plarforms is very limited. The organic social media space can provide interesting insights, but realistically the information garnered from such companies is imprecise and cannot be easily used in our online campaigning activities. </w:t>
      </w:r>
      <w:r w:rsidRPr="005B5CB6">
        <w:rPr>
          <w:rFonts w:ascii="Verdana" w:eastAsia="Verdana" w:hAnsi="Verdana" w:cs="Verdana"/>
        </w:rPr>
        <w:t xml:space="preser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90"/>
        </w:numPr>
        <w:spacing w:after="5" w:line="249" w:lineRule="auto"/>
        <w:ind w:right="12" w:hanging="360"/>
        <w:jc w:val="both"/>
        <w:rPr>
          <w:rFonts w:ascii="Verdana" w:hAnsi="Verdana"/>
        </w:rPr>
      </w:pPr>
      <w:r w:rsidRPr="005B5CB6">
        <w:rPr>
          <w:rFonts w:ascii="Verdana" w:eastAsia="Verdana" w:hAnsi="Verdana" w:cs="Verdana"/>
        </w:rPr>
        <w:t xml:space="preserve">How much do you rely on the current GDPR exception for the use of data for political engagement for your use of individual’s data? What would be the effect of revisiting this exception in light of increased public concern?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We do not use the GDPR exception of special category data regarding political outlook with our digital advertising or organic activity. Our understanding of the GDPR guidelines led us to only use personal data where we have consent opted in. The GDPR exception for political outlook does not fall under this category, so we do not match data on political outlook in Connect with our advertising activities on social platforms.</w:t>
      </w: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90"/>
        </w:numPr>
        <w:spacing w:after="5" w:line="249" w:lineRule="auto"/>
        <w:ind w:right="12" w:hanging="360"/>
        <w:jc w:val="both"/>
        <w:rPr>
          <w:rFonts w:ascii="Verdana" w:hAnsi="Verdana"/>
        </w:rPr>
      </w:pPr>
      <w:r w:rsidRPr="005B5CB6">
        <w:rPr>
          <w:rFonts w:ascii="Verdana" w:eastAsia="Verdana" w:hAnsi="Verdana" w:cs="Verdana"/>
        </w:rPr>
        <w:t xml:space="preserve">What would be the effect of Facebook limiting data targeting to postcode, age and gender, in a similar manner to Google, on your social media strategy?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176" w:line="250" w:lineRule="auto"/>
        <w:ind w:left="11" w:hanging="10"/>
        <w:jc w:val="both"/>
        <w:rPr>
          <w:rFonts w:ascii="Verdana" w:hAnsi="Verdana"/>
        </w:rPr>
      </w:pPr>
      <w:r w:rsidRPr="005B5CB6">
        <w:rPr>
          <w:rFonts w:ascii="Verdana" w:eastAsia="Verdana" w:hAnsi="Verdana" w:cs="Verdana"/>
          <w:b/>
        </w:rPr>
        <w:t xml:space="preserve">It is impossible to say right now what the overall impact would be without </w:t>
      </w:r>
    </w:p>
    <w:p w:rsidR="00FB0B24" w:rsidRPr="005B5CB6" w:rsidP="006F32A5">
      <w:pPr>
        <w:spacing w:after="0"/>
        <w:ind w:left="10" w:right="-11" w:hanging="10"/>
        <w:jc w:val="both"/>
        <w:rPr>
          <w:rFonts w:ascii="Verdana" w:hAnsi="Verdana"/>
        </w:rPr>
      </w:pPr>
      <w:r w:rsidRPr="005B5CB6">
        <w:rPr>
          <w:rFonts w:ascii="Verdana" w:hAnsi="Verdana"/>
        </w:rPr>
        <w:t xml:space="preserve">1 </w:t>
      </w:r>
    </w:p>
    <w:p w:rsidR="00FB0B24" w:rsidRPr="005B5CB6" w:rsidP="006F32A5">
      <w:pPr>
        <w:spacing w:after="0"/>
        <w:ind w:left="1"/>
        <w:jc w:val="both"/>
        <w:rPr>
          <w:rFonts w:ascii="Verdana" w:hAnsi="Verdana"/>
        </w:rPr>
      </w:pPr>
      <w:r w:rsidRPr="005B5CB6">
        <w:rPr>
          <w:rFonts w:ascii="Verdana" w:hAnsi="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knowing what other regulatory changes or Facebook platform changes would also take place at that time. Facebook’s algorithm would have a large impact on how we would change our strategy in that kind of context. Hypothetically, such a shift would likely lead to a reprioritisation of our digital strategy on social media, but it’s difficult to detail specific changes we would make without more information as well as basic testing. </w:t>
      </w:r>
      <w:r w:rsidRPr="005B5CB6">
        <w:rPr>
          <w:rFonts w:ascii="Verdana" w:eastAsia="Verdana" w:hAnsi="Verdana" w:cs="Verdana"/>
          <w:b/>
          <w:color w:val="FF0000"/>
        </w:rPr>
        <w:t xml:space="preserve"> </w:t>
      </w:r>
    </w:p>
    <w:p w:rsidR="00FB0B24" w:rsidRPr="005B5CB6" w:rsidP="006F32A5">
      <w:pPr>
        <w:spacing w:after="0"/>
        <w:ind w:left="2"/>
        <w:jc w:val="both"/>
        <w:rPr>
          <w:rFonts w:ascii="Verdana" w:hAnsi="Verdana"/>
        </w:rPr>
      </w:pPr>
      <w:r w:rsidRPr="005B5CB6">
        <w:rPr>
          <w:rFonts w:ascii="Verdana" w:eastAsia="Verdana" w:hAnsi="Verdana" w:cs="Verdana"/>
        </w:rPr>
        <w:t xml:space="preserve"> </w:t>
      </w:r>
    </w:p>
    <w:p w:rsidR="00FB0B24" w:rsidRPr="005B5CB6" w:rsidP="006F32A5">
      <w:pPr>
        <w:spacing w:after="0"/>
        <w:ind w:left="2"/>
        <w:jc w:val="both"/>
        <w:rPr>
          <w:rFonts w:ascii="Verdana" w:hAnsi="Verdana"/>
        </w:rPr>
      </w:pPr>
      <w:r w:rsidRPr="005B5CB6">
        <w:rPr>
          <w:rFonts w:ascii="Verdana" w:eastAsia="Verdana" w:hAnsi="Verdana" w:cs="Verdana"/>
        </w:rPr>
        <w:t xml:space="preserve"> </w:t>
      </w:r>
    </w:p>
    <w:p w:rsidR="00FB0B24" w:rsidRPr="005B5CB6" w:rsidP="00575F14">
      <w:pPr>
        <w:numPr>
          <w:ilvl w:val="0"/>
          <w:numId w:val="290"/>
        </w:numPr>
        <w:spacing w:after="5" w:line="249" w:lineRule="auto"/>
        <w:ind w:right="12" w:hanging="360"/>
        <w:jc w:val="both"/>
        <w:rPr>
          <w:rFonts w:ascii="Verdana" w:hAnsi="Verdana"/>
        </w:rPr>
      </w:pPr>
      <w:r w:rsidRPr="005B5CB6">
        <w:rPr>
          <w:rFonts w:ascii="Verdana" w:eastAsia="Verdana" w:hAnsi="Verdana" w:cs="Verdana"/>
        </w:rPr>
        <w:t xml:space="preserve">What changes do you expect to happen in online campaigning in the next five years? How will you ensure that your Party maintains public trust in adapting to new technological opportunities?  </w:t>
      </w:r>
    </w:p>
    <w:p w:rsidR="00FB0B24" w:rsidRPr="005B5CB6" w:rsidP="006F32A5">
      <w:pPr>
        <w:spacing w:after="0"/>
        <w:ind w:left="2"/>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The biggest questions we have about the future of online campaigning are related to regulatory changes, such as new interpretations of GDPR and appropriate guidance from that as well as restrictions on social media or digital platforms in terms of sharing or promoting political content. The organic creation and rise of new platforms, such as TikTok, also introduces questions that we must take into account. Lastly, our members and the public’s usage of different digital platforms will determine the most appropriate and convenient way to communicate with people. Media usage continues to shift, and we aim to be as helpful and efficient in providing out members and the public with clarity on our positions and policies.  </w:t>
      </w:r>
    </w:p>
    <w:p w:rsidR="00FB0B24" w:rsidRPr="005B5CB6" w:rsidP="006F32A5">
      <w:pPr>
        <w:spacing w:after="0"/>
        <w:ind w:left="2"/>
        <w:jc w:val="both"/>
        <w:rPr>
          <w:rFonts w:ascii="Verdana" w:hAnsi="Verdana"/>
        </w:rPr>
      </w:pPr>
      <w:r w:rsidRPr="005B5CB6">
        <w:rPr>
          <w:rFonts w:ascii="Verdana" w:eastAsia="Verdana" w:hAnsi="Verdana" w:cs="Verdana"/>
          <w:b/>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Our party has a very strong commitment to transparency, individuals’ civil rights, and responsible data usage, and so we ensure that our internal strategy and policies adhere to those values in addition to taking ICO and other regulatory guidance very seriously.</w:t>
      </w:r>
      <w:r w:rsidRPr="005B5CB6">
        <w:rPr>
          <w:rFonts w:ascii="Verdana" w:eastAsia="Verdana" w:hAnsi="Verdana" w:cs="Verdana"/>
          <w:b/>
          <w:color w:val="FF0000"/>
        </w:rPr>
        <w:t xml:space="preserve"> </w:t>
      </w:r>
    </w:p>
    <w:p w:rsidR="00FB0B24" w:rsidRPr="005B5CB6" w:rsidP="006F32A5">
      <w:pPr>
        <w:spacing w:after="0"/>
        <w:ind w:left="2"/>
        <w:jc w:val="both"/>
        <w:rPr>
          <w:rFonts w:ascii="Verdana" w:hAnsi="Verdana"/>
        </w:rPr>
      </w:pPr>
      <w:r w:rsidRPr="005B5CB6">
        <w:rPr>
          <w:rFonts w:ascii="Verdana" w:eastAsia="Verdana" w:hAnsi="Verdana" w:cs="Verdana"/>
        </w:rPr>
        <w:t xml:space="preserve"> </w:t>
      </w:r>
    </w:p>
    <w:p w:rsidR="00FB0B24" w:rsidRPr="005B5CB6" w:rsidP="006F32A5">
      <w:pPr>
        <w:spacing w:after="0"/>
        <w:ind w:left="2"/>
        <w:jc w:val="both"/>
        <w:rPr>
          <w:rFonts w:ascii="Verdana" w:hAnsi="Verdana"/>
        </w:rPr>
      </w:pPr>
      <w:r w:rsidRPr="005B5CB6">
        <w:rPr>
          <w:rFonts w:ascii="Verdana" w:eastAsia="Verdana" w:hAnsi="Verdana" w:cs="Verdana"/>
        </w:rPr>
        <w:t xml:space="preserve"> </w:t>
      </w:r>
    </w:p>
    <w:p w:rsidR="00FB0B24" w:rsidRPr="005B5CB6" w:rsidP="00575F14">
      <w:pPr>
        <w:numPr>
          <w:ilvl w:val="0"/>
          <w:numId w:val="290"/>
        </w:numPr>
        <w:spacing w:after="5" w:line="250" w:lineRule="auto"/>
        <w:ind w:right="12" w:hanging="360"/>
        <w:jc w:val="both"/>
        <w:rPr>
          <w:rFonts w:ascii="Verdana" w:hAnsi="Verdana"/>
        </w:rPr>
      </w:pPr>
      <w:r w:rsidRPr="005B5CB6">
        <w:rPr>
          <w:rFonts w:ascii="Verdana" w:eastAsia="Verdana" w:hAnsi="Verdana" w:cs="Verdana"/>
        </w:rPr>
        <w:t xml:space="preserve">Should political advertising (both digital and traditional) fall under the same constraints as do all other forms of advertising?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Due to the broader civic and social impacts of political advertising, and the role it plays with the public understanding of national issues, it is fair and reasonable that the facts and views expressed by political ads have greater </w:t>
      </w:r>
      <w:r w:rsidRPr="005B5CB6">
        <w:rPr>
          <w:rFonts w:ascii="Verdana" w:eastAsia="Verdana" w:hAnsi="Verdana" w:cs="Verdana"/>
          <w:b/>
        </w:rPr>
        <w:tab/>
        <w:t xml:space="preserve">transparency.  </w:t>
      </w:r>
    </w:p>
    <w:p w:rsidR="00FB0B24" w:rsidRPr="005B5CB6" w:rsidP="006F32A5">
      <w:pPr>
        <w:spacing w:after="0"/>
        <w:ind w:left="1"/>
        <w:jc w:val="both"/>
        <w:rPr>
          <w:rFonts w:ascii="Verdana" w:hAnsi="Verdana"/>
        </w:rPr>
      </w:pPr>
      <w:r w:rsidRPr="005B5CB6">
        <w:rPr>
          <w:rFonts w:ascii="Verdana" w:eastAsia="Verdana" w:hAnsi="Verdana" w:cs="Verdana"/>
          <w:b/>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It is also fair to demand greater transparency on financing of political ads. </w:t>
      </w:r>
      <w:r w:rsidRPr="005B5CB6">
        <w:rPr>
          <w:rFonts w:ascii="Verdana" w:eastAsia="Verdana" w:hAnsi="Verdana" w:cs="Verdana"/>
        </w:rPr>
        <w:t xml:space="preser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575F14">
      <w:pPr>
        <w:numPr>
          <w:ilvl w:val="0"/>
          <w:numId w:val="290"/>
        </w:numPr>
        <w:spacing w:after="5" w:line="250" w:lineRule="auto"/>
        <w:ind w:right="12" w:hanging="360"/>
        <w:jc w:val="both"/>
        <w:rPr>
          <w:rFonts w:ascii="Verdana" w:hAnsi="Verdana"/>
        </w:rPr>
      </w:pPr>
      <w:r w:rsidRPr="005B5CB6">
        <w:rPr>
          <w:rFonts w:ascii="Verdana" w:eastAsia="Verdana" w:hAnsi="Verdana" w:cs="Verdana"/>
        </w:rPr>
        <w:t xml:space="preserve">If just one thing could be done to improve public trust in election campaigns (by parties, platforms or anyone else) what would it be?  </w:t>
      </w:r>
    </w:p>
    <w:p w:rsidR="00FB0B24" w:rsidRPr="005B5CB6" w:rsidP="006F32A5">
      <w:pPr>
        <w:spacing w:after="0"/>
        <w:ind w:left="1"/>
        <w:jc w:val="both"/>
        <w:rPr>
          <w:rFonts w:ascii="Verdana" w:hAnsi="Verdana"/>
        </w:rPr>
      </w:pPr>
      <w:r w:rsidRPr="005B5CB6">
        <w:rPr>
          <w:rFonts w:ascii="Verdana" w:eastAsia="Verdana" w:hAnsi="Verdana" w:cs="Verdana"/>
        </w:rPr>
        <w:t xml:space="preserve"> </w:t>
      </w:r>
    </w:p>
    <w:p w:rsidR="00FB0B24" w:rsidRPr="005B5CB6" w:rsidP="006F32A5">
      <w:pPr>
        <w:spacing w:after="1297" w:line="250" w:lineRule="auto"/>
        <w:ind w:left="11" w:hanging="10"/>
        <w:jc w:val="both"/>
        <w:rPr>
          <w:rFonts w:ascii="Verdana" w:hAnsi="Verdana"/>
        </w:rPr>
      </w:pPr>
      <w:r w:rsidRPr="005B5CB6">
        <w:rPr>
          <w:rFonts w:ascii="Verdana" w:eastAsia="Verdana" w:hAnsi="Verdana" w:cs="Verdana"/>
          <w:b/>
        </w:rPr>
        <w:t xml:space="preserve">One potential way to improve trust in democratic digital activity would involve penalising disinformation or fake news claims promoted via social media ads by introducing temporary bans on users who violate their guidelines.  </w:t>
      </w:r>
    </w:p>
    <w:p w:rsidR="00FB0B24" w:rsidRPr="005B5CB6" w:rsidP="006F32A5">
      <w:pPr>
        <w:spacing w:after="0"/>
        <w:ind w:left="10" w:right="-11" w:hanging="10"/>
        <w:jc w:val="both"/>
        <w:rPr>
          <w:rFonts w:ascii="Verdana" w:hAnsi="Verdana"/>
        </w:rPr>
      </w:pPr>
      <w:r w:rsidRPr="005B5CB6">
        <w:rPr>
          <w:rFonts w:ascii="Verdana" w:hAnsi="Verdana"/>
        </w:rPr>
        <w:t xml:space="preserve">2 </w:t>
      </w:r>
    </w:p>
    <w:p w:rsidR="00FB0B24" w:rsidRPr="005B5CB6" w:rsidP="006F32A5">
      <w:pPr>
        <w:spacing w:after="0"/>
        <w:ind w:left="1"/>
        <w:jc w:val="both"/>
        <w:rPr>
          <w:rFonts w:ascii="Verdana" w:hAnsi="Verdana"/>
        </w:rPr>
      </w:pPr>
      <w:r w:rsidRPr="005B5CB6">
        <w:rPr>
          <w:rFonts w:ascii="Verdana" w:hAnsi="Verdana"/>
        </w:rPr>
        <w:t xml:space="preserve"> </w:t>
      </w:r>
    </w:p>
    <w:p w:rsidR="00FB0B24" w:rsidRPr="005B5CB6" w:rsidP="006F32A5">
      <w:pPr>
        <w:jc w:val="both"/>
        <w:rPr>
          <w:rFonts w:ascii="Verdana" w:hAnsi="Verdana"/>
        </w:rPr>
        <w:sectPr w:rsidSect="006562C6">
          <w:headerReference w:type="even" r:id="rId523"/>
          <w:headerReference w:type="default" r:id="rId524"/>
          <w:footerReference w:type="even" r:id="rId525"/>
          <w:footerReference w:type="default" r:id="rId526"/>
          <w:headerReference w:type="first" r:id="rId527"/>
          <w:footerReference w:type="first" r:id="rId528"/>
          <w:pgSz w:w="11906" w:h="16838"/>
          <w:pgMar w:top="1492" w:right="1435" w:bottom="709" w:left="1439" w:header="720" w:footer="998" w:gutter="0"/>
          <w:cols w:space="720"/>
        </w:sectPr>
      </w:pPr>
    </w:p>
    <w:p w:rsidR="00FB0B24" w:rsidRPr="005B5CB6" w:rsidP="00A1624B">
      <w:pPr>
        <w:pStyle w:val="Heading1"/>
        <w:rPr>
          <w:sz w:val="22"/>
        </w:rPr>
      </w:pPr>
      <w:bookmarkStart w:id="82" w:name="_Toc44517770"/>
      <w:r w:rsidRPr="005B5CB6">
        <w:rPr>
          <w:sz w:val="22"/>
        </w:rPr>
        <w:t>Conservative Party - written evidence (DAD0095)</w:t>
      </w:r>
      <w:bookmarkEnd w:id="82"/>
      <w:r w:rsidRPr="005B5CB6">
        <w:rPr>
          <w:sz w:val="22"/>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I am writing to provide evidence on behalf of the Conservative Party to the Committee’s inquiry. The Committee kindly provided a number of questions, and I have structured our answers accordingly. </w:t>
      </w:r>
    </w:p>
    <w:p w:rsidR="00FB0B24" w:rsidRPr="005B5CB6" w:rsidP="006F32A5">
      <w:pPr>
        <w:spacing w:after="0"/>
        <w:jc w:val="both"/>
        <w:rPr>
          <w:rFonts w:ascii="Verdana" w:hAnsi="Verdana"/>
        </w:rPr>
      </w:pPr>
      <w:r w:rsidRPr="005B5CB6">
        <w:rPr>
          <w:rFonts w:ascii="Verdana" w:eastAsia="Verdana" w:hAnsi="Verdana" w:cs="Verdana"/>
        </w:rPr>
        <w:t xml:space="preserve"> </w:t>
      </w:r>
      <w:r w:rsidRPr="005B5CB6">
        <w:rPr>
          <w:rFonts w:ascii="Verdana" w:eastAsia="Verdana" w:hAnsi="Verdana" w:cs="Verdana"/>
        </w:rPr>
        <w:tab/>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Q1: How much of your online campaign strategy relies on the organic spread of your content and how much relies on paid promotion? To what extent do you rely on campaigning material created by activists over which you have no control? What reputational and other risks does this pose?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23" w:right="11" w:hanging="8"/>
        <w:jc w:val="both"/>
        <w:rPr>
          <w:rFonts w:ascii="Verdana" w:hAnsi="Verdana"/>
        </w:rPr>
      </w:pPr>
      <w:r w:rsidRPr="005B5CB6">
        <w:rPr>
          <w:rFonts w:ascii="Verdana" w:eastAsia="Verdana" w:hAnsi="Verdana" w:cs="Verdana"/>
        </w:rPr>
        <w:t xml:space="preserve">Details of our spending on online campaigning will be available in due course for public scrutiny when national returns are published by the Electoral Commission.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Leaving aside personal communications by individuals, under electoral law, the Conservative Party itself only issues election materials which have been authorised (by the party, the party’s candidate or the candidate’s agent). This is particularly the case in light of the change in electoral law that stems from the Supreme Court’s </w:t>
      </w:r>
      <w:r w:rsidRPr="005B5CB6">
        <w:rPr>
          <w:rFonts w:ascii="Verdana" w:eastAsia="Verdana" w:hAnsi="Verdana" w:cs="Verdana"/>
          <w:i/>
        </w:rPr>
        <w:t>Mackinlay</w:t>
      </w:r>
      <w:r w:rsidRPr="005B5CB6">
        <w:rPr>
          <w:rFonts w:ascii="Verdana" w:eastAsia="Verdana" w:hAnsi="Verdana" w:cs="Verdana"/>
        </w:rPr>
        <w:t xml:space="preserve"> judgement (which has had a chilling and confusing effect on the law on authorisations).</w:t>
      </w:r>
      <w:r>
        <w:rPr>
          <w:rFonts w:ascii="Verdana" w:eastAsia="Verdana" w:hAnsi="Verdana" w:cs="Verdana"/>
          <w:vertAlign w:val="superscript"/>
        </w:rPr>
        <w:footnoteReference w:id="478"/>
      </w: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Equally, it is important to understand that political organisations are essentially voluntary sector organisations. Political campaigning by volunteers, party members and elected representatives (including councillors and MPs) is an important part of the democratic process – it is not for central political parties to ‘control’ or oversee every comment made on social media by a political party representative.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Q2: How important is data from companies that monitor the public’s online activity (either from social media companies or from data brokers) to your data operation? Has this changed significantly in recent years?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23" w:right="11" w:hanging="8"/>
        <w:jc w:val="both"/>
        <w:rPr>
          <w:rFonts w:ascii="Verdana" w:hAnsi="Verdana"/>
        </w:rPr>
      </w:pPr>
      <w:r w:rsidRPr="005B5CB6">
        <w:rPr>
          <w:rFonts w:ascii="Verdana" w:eastAsia="Verdana" w:hAnsi="Verdana" w:cs="Verdana"/>
        </w:rPr>
        <w:t xml:space="preserve">Analytics data from social media platforms allows us to determine how well our content has performed. This is in the public interest, as it allows us to see what policies and messages have strong public support, thereby facilitating democratic engagement (listening to the views of the public). The Conservative Party operates within the confines of the Data Protection Act 2018 when analysing such data.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Q3 How much do you rely on the current GDPR exception for the use of data for political engagement for your use of individual’s data? What would be the effect of revisiting this exception in light of increased public concern?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104" w:line="249" w:lineRule="auto"/>
        <w:ind w:left="10" w:right="12" w:hanging="9"/>
        <w:jc w:val="both"/>
        <w:rPr>
          <w:rFonts w:ascii="Verdana" w:hAnsi="Verdana"/>
        </w:rPr>
      </w:pPr>
      <w:r w:rsidRPr="005B5CB6">
        <w:rPr>
          <w:rFonts w:ascii="Verdana" w:eastAsia="Verdana" w:hAnsi="Verdana" w:cs="Verdana"/>
        </w:rPr>
        <w:t xml:space="preserve">There is no such exemption under GDPR. Rather Parliament, via the Data Protection Act 2018 – legislated with cross-party support to provide a basis for processing of ‘democratic engagement’, as a task in the public interest. There is also a permitted </w:t>
      </w:r>
      <w:r w:rsidRPr="005B5CB6">
        <w:rPr>
          <w:rFonts w:ascii="Verdana" w:eastAsia="Verdana" w:hAnsi="Verdana" w:cs="Verdana"/>
        </w:rPr>
        <w:t xml:space="preserve">provision for political parties to process the ‘special category data’ of political opinions. </w:t>
      </w:r>
    </w:p>
    <w:p w:rsidR="00FB0B24" w:rsidRPr="005B5CB6" w:rsidP="006F32A5">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616994" name="Group 616994"/>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725" name="Shape 63672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87" style="height:0.72pt;mso-position-horizontal-relative:char;mso-position-vertical-relative:line;width:2in" coordsize="18288,91">
                <v:shape id="_x0000_s1488"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The Act’s provision did not seek to create a partisan advantage for any one side, nor to create new exemptions from past data protection practices. It was intended to provide greater clarity, and be independent of any particular technology. It would not legalise activities which were illegal under the Data Protection Act 1998, nor which remained illegal under the 2018 Act. The activities by the firm Cambridge Analytica remain against data protection law.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During the Bill, the Government stated it was open to suggestions of what else could be done to ensure legal and operational clarity for political parties, candidates and elected representatives. Ministers noted that further work might be needed to ensure that their current activities have the legal basis required to rely on the public interest condition, and the Government pledged to engage with the Parliamentary Parties Panel.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The policy intent behind that legislative provision is to ensure that long-standing and established practices by political parties, elected representatives and candidates continue, and to avoid unintended consequences or inconsistent regulation as a consequence of confusing and voluminous GDPR.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Q4 What would be the effect of Facebook limiting data targeting to postcode, age and gender, in a similar manner to Google, on your social media strategy?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Decisions by commercial organisations on the digital tools they offer are a matter for that organisation. The Conservative Party operates under the prevailing rules of electoral, data protection and privacy law.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Q5: What changes do you expect to happen in online campaigning in the next five years? How will you ensure that your Party maintains public trust in adapting to new technological opportunities?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We support greater transparency on online campaigning. In particular, we have long advocated the extension of the tried and tested system of imprints to electronic campaigning material. The imprint provides a check and balance against inappropriate content – as the publisher or promoter can be held to account publicly, and legal action can be initiated in the case of defamation or electoral offences (such as making a false statement about a candidate).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For example, in 2018, the Labour Party stopped accepting donations from Max Mosely after his role in a 1961 racist election leaflet was revealed – scrutiny that occurred only thanks to the hard copy imprint.</w:t>
      </w:r>
      <w:r>
        <w:rPr>
          <w:rFonts w:ascii="Verdana" w:eastAsia="Verdana" w:hAnsi="Verdana" w:cs="Verdana"/>
          <w:vertAlign w:val="superscript"/>
        </w:rPr>
        <w:footnoteReference w:id="479"/>
      </w:r>
      <w:r w:rsidRPr="005B5CB6">
        <w:rPr>
          <w:rFonts w:ascii="Verdana" w:eastAsia="Verdana" w:hAnsi="Verdana" w:cs="Verdana"/>
          <w:b/>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Q6: Should political advertising (both digital and traditional) fall under the same constraints as do all other forms of advertising? </w:t>
      </w:r>
    </w:p>
    <w:p w:rsidR="00FB0B24" w:rsidRPr="005B5CB6" w:rsidP="006F32A5">
      <w:pPr>
        <w:spacing w:after="319"/>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617485" name="Group 617485"/>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727" name="Shape 63672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89" style="height:0.72pt;mso-position-horizontal-relative:char;mso-position-vertical-relative:line;width:2in" coordsize="18288,91">
                <v:shape id="_x0000_s1490"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Political advertising is an important expression of free speech and freedom of association, and is a fundamental part of democratic engagement and the responsive functioning of our democracy. It should not be conflated with commercial advertising; yet we have concerns that the Information Commissioner seeks to do (such as in its draft guidance on direct marketing)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Since 1997, the Advertising Standards Authority has not overseen political advertising. We do not believe it would be beneficial to try to create some ‘political truth commission’. Rather, the Government should ensure that there is an independent free press to facilitate robust political debate and scrutiny by the press and public.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We have concerns that the Information Commissioner has wrongly conflated political and commercial advertising in its interpretation of data protection and privacy law. We are happy to elaborate on this further, and explain the potential chilling effects on the work of MPs and councillors.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Q: If just one thing could be done to improve public trust in election campaigns (by parties, platforms or anyone else) what would it be?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The Conservative Party’s 2019 manifesto re-affirmed its support for legislative measures to tackle electoral fraud (including postal vote harvesting, and through introducing voter ID in Great Britain), alongside measures to prevent any future foreign interference. Such measures will help safeguard the integrity of our elections and the public’s trust in our democracy.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23" w:right="11" w:hanging="8"/>
        <w:jc w:val="both"/>
        <w:rPr>
          <w:rFonts w:ascii="Verdana" w:hAnsi="Verdana"/>
        </w:rPr>
      </w:pPr>
      <w:r w:rsidRPr="005B5CB6">
        <w:rPr>
          <w:rFonts w:ascii="Verdana" w:eastAsia="Verdana" w:hAnsi="Verdana" w:cs="Verdana"/>
        </w:rPr>
        <w:t xml:space="preserve">We hope these points will be useful.  </w:t>
      </w:r>
    </w:p>
    <w:p w:rsidR="00FB0B24" w:rsidRPr="005B5CB6" w:rsidP="006F32A5">
      <w:pPr>
        <w:spacing w:after="0"/>
        <w:ind w:left="72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23" w:right="11" w:hanging="8"/>
        <w:jc w:val="both"/>
        <w:rPr>
          <w:rFonts w:ascii="Verdana" w:hAnsi="Verdana"/>
        </w:rPr>
      </w:pPr>
      <w:r w:rsidRPr="005B5CB6">
        <w:rPr>
          <w:rFonts w:ascii="Verdana" w:eastAsia="Verdana" w:hAnsi="Verdana" w:cs="Verdana"/>
        </w:rPr>
        <w:t xml:space="preserve">Yours faithfully,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50" w:lineRule="auto"/>
        <w:ind w:left="11" w:hanging="10"/>
        <w:jc w:val="both"/>
        <w:rPr>
          <w:rFonts w:ascii="Verdana" w:hAnsi="Verdana"/>
        </w:rPr>
      </w:pPr>
      <w:r w:rsidRPr="005B5CB6">
        <w:rPr>
          <w:rFonts w:ascii="Verdana" w:eastAsia="Verdana" w:hAnsi="Verdana" w:cs="Verdana"/>
          <w:b/>
        </w:rPr>
        <w:t xml:space="preserve">Alan Mabbutt OBE </w:t>
      </w:r>
    </w:p>
    <w:p w:rsidR="00FB0B24" w:rsidRPr="005B5CB6" w:rsidP="006F32A5">
      <w:pPr>
        <w:spacing w:after="5" w:line="249" w:lineRule="auto"/>
        <w:ind w:left="10" w:hanging="10"/>
        <w:jc w:val="both"/>
        <w:rPr>
          <w:rFonts w:ascii="Verdana" w:hAnsi="Verdana"/>
        </w:rPr>
      </w:pPr>
      <w:r w:rsidRPr="005B5CB6">
        <w:rPr>
          <w:rFonts w:ascii="Verdana" w:eastAsia="Verdana" w:hAnsi="Verdana" w:cs="Verdana"/>
          <w:i/>
        </w:rPr>
        <w:t xml:space="preserve">Director-General </w:t>
      </w:r>
    </w:p>
    <w:p w:rsidR="00FB0B24" w:rsidRPr="005B5CB6" w:rsidP="006F32A5">
      <w:pPr>
        <w:spacing w:after="5" w:line="249" w:lineRule="auto"/>
        <w:ind w:left="10" w:hanging="10"/>
        <w:jc w:val="both"/>
        <w:rPr>
          <w:rFonts w:ascii="Verdana" w:hAnsi="Verdana"/>
        </w:rPr>
      </w:pPr>
      <w:r w:rsidRPr="005B5CB6">
        <w:rPr>
          <w:rFonts w:ascii="Verdana" w:eastAsia="Verdana" w:hAnsi="Verdana" w:cs="Verdana"/>
          <w:i/>
        </w:rPr>
        <w:t>Conservative Party</w:t>
      </w: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b/>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159"/>
        <w:jc w:val="both"/>
        <w:rPr>
          <w:rFonts w:ascii="Verdana" w:hAnsi="Verdana"/>
        </w:rPr>
      </w:pPr>
      <w:r w:rsidRPr="005B5CB6">
        <w:rPr>
          <w:rFonts w:ascii="Verdana" w:eastAsia="Verdana" w:hAnsi="Verdana" w:cs="Verdana"/>
        </w:rPr>
        <w:t xml:space="preserve"> </w:t>
      </w:r>
    </w:p>
    <w:p w:rsidR="00FB0B24" w:rsidRPr="005B5CB6" w:rsidP="006F32A5">
      <w:pPr>
        <w:spacing w:after="159"/>
        <w:jc w:val="both"/>
        <w:rPr>
          <w:rFonts w:ascii="Verdana" w:hAnsi="Verdana"/>
        </w:rPr>
      </w:pPr>
      <w:r w:rsidRPr="005B5CB6">
        <w:rPr>
          <w:rFonts w:ascii="Verdana" w:eastAsia="Verdana" w:hAnsi="Verdana" w:cs="Verdana"/>
        </w:rPr>
        <w:t xml:space="preserve"> </w:t>
      </w:r>
    </w:p>
    <w:p w:rsidR="00FB0B24" w:rsidRPr="005B5CB6" w:rsidP="006F32A5">
      <w:pPr>
        <w:spacing w:after="159"/>
        <w:jc w:val="both"/>
        <w:rPr>
          <w:rFonts w:ascii="Verdana" w:hAnsi="Verdana"/>
        </w:rPr>
      </w:pPr>
      <w:r w:rsidRPr="005B5CB6">
        <w:rPr>
          <w:rFonts w:ascii="Verdana" w:eastAsia="Verdana" w:hAnsi="Verdana" w:cs="Verdana"/>
        </w:rPr>
        <w:t xml:space="preserve"> </w:t>
      </w:r>
    </w:p>
    <w:p w:rsidR="00FB0B24" w:rsidRPr="005B5CB6" w:rsidP="006F32A5">
      <w:pPr>
        <w:spacing w:after="159"/>
        <w:jc w:val="both"/>
        <w:rPr>
          <w:rFonts w:ascii="Verdana" w:hAnsi="Verdana"/>
        </w:rPr>
      </w:pPr>
      <w:r w:rsidRPr="005B5CB6">
        <w:rPr>
          <w:rFonts w:ascii="Verdana" w:eastAsia="Verdana" w:hAnsi="Verdana" w:cs="Verdana"/>
        </w:rPr>
        <w:t xml:space="preserve"> </w:t>
      </w:r>
    </w:p>
    <w:p w:rsidR="00FB0B24" w:rsidRPr="005B5CB6" w:rsidP="006F32A5">
      <w:pPr>
        <w:spacing w:after="159"/>
        <w:jc w:val="both"/>
        <w:rPr>
          <w:rFonts w:ascii="Verdana" w:hAnsi="Verdana"/>
        </w:rPr>
      </w:pPr>
      <w:r w:rsidRPr="005B5CB6">
        <w:rPr>
          <w:rFonts w:ascii="Verdana" w:eastAsia="Verdana" w:hAnsi="Verdana" w:cs="Verdana"/>
        </w:rPr>
        <w:t xml:space="preserve"> </w:t>
      </w:r>
    </w:p>
    <w:p w:rsidR="00FB0B24" w:rsidRPr="005B5CB6" w:rsidP="006F32A5">
      <w:pPr>
        <w:spacing w:after="159"/>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159"/>
        <w:jc w:val="both"/>
        <w:rPr>
          <w:rFonts w:ascii="Verdana" w:hAnsi="Verdana"/>
        </w:rPr>
      </w:pPr>
      <w:r w:rsidRPr="005B5CB6">
        <w:rPr>
          <w:rFonts w:ascii="Verdana" w:eastAsia="Verdana" w:hAnsi="Verdana" w:cs="Verdana"/>
        </w:rPr>
        <w:t xml:space="preserve"> </w:t>
      </w:r>
    </w:p>
    <w:p w:rsidR="00FB0B24" w:rsidRPr="005B5CB6" w:rsidP="006F32A5">
      <w:pPr>
        <w:spacing w:after="159"/>
        <w:jc w:val="both"/>
        <w:rPr>
          <w:rFonts w:ascii="Verdana" w:hAnsi="Verdana"/>
        </w:rPr>
      </w:pPr>
      <w:r w:rsidRPr="005B5CB6">
        <w:rPr>
          <w:rFonts w:ascii="Verdana" w:eastAsia="Verdana" w:hAnsi="Verdana" w:cs="Verdana"/>
        </w:rPr>
        <w:t xml:space="preserve"> </w:t>
      </w:r>
    </w:p>
    <w:p w:rsidR="00FB0B24" w:rsidRPr="005B5CB6" w:rsidP="006F32A5">
      <w:pPr>
        <w:spacing w:after="159"/>
        <w:jc w:val="both"/>
        <w:rPr>
          <w:rFonts w:ascii="Verdana" w:hAnsi="Verdana"/>
        </w:rPr>
      </w:pPr>
      <w:r w:rsidRPr="005B5CB6">
        <w:rPr>
          <w:rFonts w:ascii="Verdana" w:eastAsia="Verdana" w:hAnsi="Verdana" w:cs="Verdana"/>
        </w:rPr>
        <w:t xml:space="preserve"> </w:t>
      </w:r>
    </w:p>
    <w:p w:rsidR="00FB0B24" w:rsidRPr="005B5CB6" w:rsidP="006F32A5">
      <w:pPr>
        <w:spacing w:after="159"/>
        <w:jc w:val="both"/>
        <w:rPr>
          <w:rFonts w:ascii="Verdana" w:hAnsi="Verdana"/>
        </w:rPr>
      </w:pPr>
      <w:r w:rsidRPr="005B5CB6">
        <w:rPr>
          <w:rFonts w:ascii="Verdana" w:eastAsia="Verdana" w:hAnsi="Verdana" w:cs="Verdana"/>
        </w:rPr>
        <w:t xml:space="preserve"> </w:t>
      </w:r>
    </w:p>
    <w:p w:rsidR="00FB0B24" w:rsidRPr="005B5CB6" w:rsidP="006F32A5">
      <w:pPr>
        <w:spacing w:after="156"/>
        <w:ind w:right="4606"/>
        <w:jc w:val="both"/>
        <w:rPr>
          <w:rFonts w:ascii="Verdana" w:hAnsi="Verdana"/>
        </w:rPr>
      </w:pPr>
      <w:r w:rsidRPr="005B5CB6">
        <w:rPr>
          <w:rFonts w:ascii="Verdana" w:eastAsia="Verdana" w:hAnsi="Verdana" w:cs="Verdana"/>
          <w:color w:val="5B9BD5"/>
        </w:rPr>
        <w:t xml:space="preserve"> </w:t>
      </w:r>
    </w:p>
    <w:p w:rsidR="00FB0B24" w:rsidRPr="005B5CB6" w:rsidP="006F32A5">
      <w:pPr>
        <w:spacing w:after="0"/>
        <w:ind w:right="4606"/>
        <w:jc w:val="both"/>
        <w:rPr>
          <w:rFonts w:ascii="Verdana" w:hAnsi="Verdana"/>
        </w:rPr>
      </w:pPr>
      <w:r w:rsidRPr="005B5CB6">
        <w:rPr>
          <w:rFonts w:ascii="Verdana" w:eastAsia="Verdana" w:hAnsi="Verdana" w:cs="Verdana"/>
          <w:color w:val="5B9BD5"/>
        </w:rPr>
        <w:t xml:space="preserve"> </w:t>
      </w:r>
    </w:p>
    <w:p w:rsidR="00FB0B24" w:rsidRPr="005B5CB6" w:rsidP="006F32A5">
      <w:pPr>
        <w:jc w:val="both"/>
        <w:rPr>
          <w:rFonts w:ascii="Verdana" w:hAnsi="Verdana"/>
        </w:rPr>
        <w:sectPr w:rsidSect="00C45A7F">
          <w:headerReference w:type="even" r:id="rId529"/>
          <w:headerReference w:type="default" r:id="rId530"/>
          <w:footerReference w:type="even" r:id="rId531"/>
          <w:footerReference w:type="default" r:id="rId532"/>
          <w:headerReference w:type="first" r:id="rId533"/>
          <w:footerReference w:type="first" r:id="rId534"/>
          <w:pgSz w:w="12240" w:h="15840"/>
          <w:pgMar w:top="1492" w:right="1436" w:bottom="1245" w:left="1440" w:header="720" w:footer="709" w:gutter="0"/>
          <w:cols w:space="720"/>
        </w:sectPr>
      </w:pPr>
    </w:p>
    <w:p w:rsidR="00FB0B24" w:rsidRPr="005B5CB6" w:rsidP="00A1624B">
      <w:pPr>
        <w:pStyle w:val="Heading1"/>
        <w:rPr>
          <w:sz w:val="22"/>
        </w:rPr>
      </w:pPr>
      <w:bookmarkStart w:id="83" w:name="_Toc44517771"/>
      <w:r w:rsidRPr="005B5CB6">
        <w:rPr>
          <w:sz w:val="22"/>
        </w:rPr>
        <w:t>Labour Party – written evidence</w:t>
      </w:r>
      <w:r w:rsidRPr="005B5CB6" w:rsidR="00C45A7F">
        <w:rPr>
          <w:sz w:val="22"/>
        </w:rPr>
        <w:t xml:space="preserve"> </w:t>
      </w:r>
      <w:r w:rsidRPr="005B5CB6">
        <w:rPr>
          <w:sz w:val="22"/>
        </w:rPr>
        <w:t>(DAD0096)</w:t>
      </w:r>
      <w:bookmarkEnd w:id="83"/>
      <w:r w:rsidRPr="005B5CB6">
        <w:rPr>
          <w:sz w:val="22"/>
        </w:rPr>
        <w:t xml:space="preserve"> </w:t>
      </w:r>
    </w:p>
    <w:p w:rsidR="00FB0B24" w:rsidRPr="005B5CB6" w:rsidP="006F32A5">
      <w:pPr>
        <w:spacing w:after="39"/>
        <w:jc w:val="both"/>
        <w:rPr>
          <w:rFonts w:ascii="Verdana" w:hAnsi="Verdana"/>
        </w:rPr>
      </w:pPr>
      <w:r w:rsidRPr="005B5CB6">
        <w:rPr>
          <w:rFonts w:ascii="Verdana" w:eastAsia="Verdana" w:hAnsi="Verdana" w:cs="Verdana"/>
          <w:b/>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91"/>
        </w:numPr>
        <w:spacing w:after="5" w:line="250" w:lineRule="auto"/>
        <w:ind w:hanging="10"/>
        <w:jc w:val="both"/>
        <w:rPr>
          <w:rFonts w:ascii="Verdana" w:hAnsi="Verdana"/>
        </w:rPr>
      </w:pPr>
      <w:r w:rsidRPr="005B5CB6">
        <w:rPr>
          <w:rFonts w:ascii="Verdana" w:eastAsia="Verdana" w:hAnsi="Verdana" w:cs="Verdana"/>
          <w:b/>
        </w:rPr>
        <w:t xml:space="preserve">How much of your online campaign strategy relies on the organic spread of your content and how much relies on paid promotion? To what extent do you rely on campaigning material created by activists over which you have no control? What reputational and other risks does this pose?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The Labour Party uses both organic and paid social media content to promote our message. The exact split is difficult to determine as content crosses both of these definitions. However, organic as opposed to paid content have very different focuses. Organic content largely reaches people who follow our accounts and/or are connected to people who follow our accounts. Therefore, organic content serves a better function to engage, inform, and mobilise people who, by the nature they follow us, are likely more politically engaged. Paid advertising, on the other hand, helps us reach beyond this organic bubble to people who perhaps don’t follow us or regularly engage in politics. Therefore it serves a better function to reach target voters. As an internal strategy, we do not rely on user-generated content which we have no control over. There is naturally, like any brand or organisation, an inherent risk with unauthorised use of the brand identity. The Labour Party has processes in place to take action against members who breach the standards we set for engagement on social media.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91"/>
        </w:numPr>
        <w:spacing w:after="5" w:line="250" w:lineRule="auto"/>
        <w:ind w:hanging="10"/>
        <w:jc w:val="both"/>
        <w:rPr>
          <w:rFonts w:ascii="Verdana" w:hAnsi="Verdana"/>
        </w:rPr>
      </w:pPr>
      <w:r w:rsidRPr="005B5CB6">
        <w:rPr>
          <w:rFonts w:ascii="Verdana" w:eastAsia="Verdana" w:hAnsi="Verdana" w:cs="Verdana"/>
          <w:b/>
        </w:rPr>
        <w:t xml:space="preserve">How important is data from companies that monitor the public’s online activity (either from social media companies or from data brokers) to your data operation? Has this changed significantly in recent years?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The Labour Party does not purchase any information from any outside companies based on the public’s online activity.  We primarily use our own data (voter ID), demographic data and usually some kind of modelled propensity scores (e.g. predicting how likely someone might be to support Labour).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91"/>
        </w:numPr>
        <w:spacing w:after="5" w:line="250" w:lineRule="auto"/>
        <w:ind w:hanging="10"/>
        <w:jc w:val="both"/>
        <w:rPr>
          <w:rFonts w:ascii="Verdana" w:hAnsi="Verdana"/>
        </w:rPr>
      </w:pPr>
      <w:r w:rsidRPr="005B5CB6">
        <w:rPr>
          <w:rFonts w:ascii="Verdana" w:eastAsia="Verdana" w:hAnsi="Verdana" w:cs="Verdana"/>
          <w:b/>
        </w:rPr>
        <w:t xml:space="preserve">How much do you rely on the current GDPR exception for the use of data for democratic engagement for your use of individual’s data? What would be the effect of revisiting this exception in light of increased public concern?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The Labour Party relies on a number of lawful bases for processing personal data under the General Data Regulation and Data Protection Act 2018. In accordance with the statutory provisions and guidance from the regulator, the Party has identified the most appropriate basis for processing based on the specific task at hand.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During the passage of the Data Protection Bill through Parliament in 2018, the Government tabled an amendment which specifically made clear that the “public task” lawful basis for processing personal data pursuant to Article 6(1)(e) GDPR includes the processing of personal data that is necessary for an activity that supports democratic engagement (now Section 8 of the Data Protection Act 2018).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The clause provides a specific lawful basis (rather than an “exception”) for the processing of non-special category personal data and supplements the Schedule 1 </w:t>
      </w:r>
      <w:r w:rsidRPr="005B5CB6">
        <w:rPr>
          <w:rFonts w:ascii="Verdana" w:eastAsia="Verdana" w:hAnsi="Verdana" w:cs="Verdana"/>
        </w:rPr>
        <w:t xml:space="preserve">provisions of the Data Protection Act 2018 that provide the “public task” lawful basis for processing special category data relating to political opinions.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It is clearly a matter of public interest that political parties are able to engage with voters as part of the democratic process. It is also absolutely necessary for political parties to be able to process personal data as part of any modern campaign in order to do that. We consider that the Section 8 and Schedule 1 Part 2 Para 22 public task provisions set out in the DPA 2018 are the most appropriate lawful basis for a significant amount of the data processing we undertake.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We are firmly of the view that a specific statutory basis for processing personal data (both non-special category and special category) is an essential means of providing the necessary clarity and assurance to political parties, and indeed to individual data subjects on the terms on which such data may be lawfully processed. It is not at all the case that the current statutory provisions provide an “exception” for political parties. Rather, the necessity of such processing must be carefully considered and demonstrated to be necessary in proportion to a party’s legitimate aims. That assessment must be documented by the Data Controller in a detailed Data Protection Impact Assessment. In our view, the existing legislative provisions provide an appropriate basis for a significant amount of our data processing and sufficient safeguards for data subjects.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92"/>
        </w:numPr>
        <w:spacing w:after="5" w:line="250" w:lineRule="auto"/>
        <w:ind w:hanging="10"/>
        <w:jc w:val="both"/>
        <w:rPr>
          <w:rFonts w:ascii="Verdana" w:hAnsi="Verdana"/>
        </w:rPr>
      </w:pPr>
      <w:r w:rsidRPr="005B5CB6">
        <w:rPr>
          <w:rFonts w:ascii="Verdana" w:eastAsia="Verdana" w:hAnsi="Verdana" w:cs="Verdana"/>
          <w:b/>
        </w:rPr>
        <w:t xml:space="preserve">What would be the effect of Facebook limiting data targeting to postcode, age and gender, in a similar manner to Google, on your social media strategy?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Democratic engagement is one of the most important functions of a healthy democracy. Digital communications have allowed political parties to speak to and engage voters like never before. And this has, in the exception of organisations who have been intentionally malicious, been a positive step in improving democratic engagement. Limiting the options that political parties have to undertake this vital democratic engagement would be a net loss to the democratic process. Political parties are more restricted and monitored in our targeting of voters than any other corporate or nonpolitical organisation. Further disruption to how political parties communicate with voters would likely have three main effects.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Firstly, reduce the level of political engagement, as meaningful and personalised political communications would become virtually impossible. Secondly, the cost of advertising would increase as a result of being unable to identify small segments of people, therefore advertisers would need to include more people who may not even be able to vote at a significant cost increase. Thirdly, the net result would be that the balance would swing significantly towards parties with more income and significant amounts of available funds to deliver a vastly expanded and imprecise campaign, excluding smaller parties.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92"/>
        </w:numPr>
        <w:spacing w:after="5" w:line="250" w:lineRule="auto"/>
        <w:ind w:hanging="10"/>
        <w:jc w:val="both"/>
        <w:rPr>
          <w:rFonts w:ascii="Verdana" w:hAnsi="Verdana"/>
        </w:rPr>
      </w:pPr>
      <w:r w:rsidRPr="005B5CB6">
        <w:rPr>
          <w:rFonts w:ascii="Verdana" w:eastAsia="Verdana" w:hAnsi="Verdana" w:cs="Verdana"/>
          <w:b/>
        </w:rPr>
        <w:t xml:space="preserve">What changes do you expect to happen in online campaigning in the next five years? How will you ensure that your Party maintains public trust in adapting to new technological opportunities?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Looking at digital campaigns in 2015, it would have been impossible to predict what the 2019 General Election would look like. For instance, TikTok launched in 2017 and already has millions of users. It's conceivable that TikTok will become a new platform for future political engagement of voters. But to have predicted this in 2015 would have been impossible. The important thing to do to maintain public trust is to provide, where possible, as much information about political advertising and use of digital platforms to ensure that there is an understanding of how data is used and how they are communicated to. While the Labour Party can take steps to do this, the primary and significant works need to be done by the social media platforms, and other emerging technologies to gain meaningful consent and educate their users as well.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92"/>
        </w:numPr>
        <w:spacing w:after="5" w:line="250" w:lineRule="auto"/>
        <w:ind w:hanging="10"/>
        <w:jc w:val="both"/>
        <w:rPr>
          <w:rFonts w:ascii="Verdana" w:hAnsi="Verdana"/>
        </w:rPr>
      </w:pPr>
      <w:r w:rsidRPr="005B5CB6">
        <w:rPr>
          <w:rFonts w:ascii="Verdana" w:eastAsia="Verdana" w:hAnsi="Verdana" w:cs="Verdana"/>
          <w:b/>
        </w:rPr>
        <w:t xml:space="preserve">Should political advertising (both digital and traditional) fall under the same constraints as do all other forms of advertising?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In many ways, political digital advertising is already far more regulated and constrained than non-political advertisers. Non-political advertisers do not face blanket bans from channels, such as Twitter; or heavily reduced targeting options such as Google; or need to provide breakdowns of political adverts on a public database such as Facebook, Google, and Snapchat do. On top of this, all political donations and spend are heavily regulated and accounted for by political parties and submitted for public scrutiny. These are constraints that no other non-political brand must comply with.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In terms of data, targeting, and the secrecy of this process – a brand such as a car company needs to be less transparent in who they are targeting for a purchase than we do for engaging people in the democratic process.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575F14">
      <w:pPr>
        <w:numPr>
          <w:ilvl w:val="0"/>
          <w:numId w:val="292"/>
        </w:numPr>
        <w:spacing w:after="5" w:line="250" w:lineRule="auto"/>
        <w:ind w:hanging="10"/>
        <w:jc w:val="both"/>
        <w:rPr>
          <w:rFonts w:ascii="Verdana" w:hAnsi="Verdana"/>
        </w:rPr>
      </w:pPr>
      <w:r w:rsidRPr="005B5CB6">
        <w:rPr>
          <w:rFonts w:ascii="Verdana" w:eastAsia="Verdana" w:hAnsi="Verdana" w:cs="Verdana"/>
          <w:b/>
        </w:rPr>
        <w:t xml:space="preserve">If just one thing could be done to improve public trust in election campaigns (by parties, platforms or anyone else) what would it be?  </w:t>
      </w:r>
    </w:p>
    <w:p w:rsidR="00FB0B24" w:rsidRPr="005B5CB6" w:rsidP="006F32A5">
      <w:pPr>
        <w:spacing w:after="0"/>
        <w:jc w:val="both"/>
        <w:rPr>
          <w:rFonts w:ascii="Verdana" w:hAnsi="Verdana"/>
        </w:rPr>
      </w:pPr>
      <w:r w:rsidRPr="005B5CB6">
        <w:rPr>
          <w:rFonts w:ascii="Verdana" w:eastAsia="Verdana" w:hAnsi="Verdana" w:cs="Verdana"/>
        </w:rPr>
        <w:t xml:space="preserve"> </w:t>
      </w:r>
    </w:p>
    <w:p w:rsidR="00FB0B24" w:rsidRPr="005B5CB6" w:rsidP="006F32A5">
      <w:pPr>
        <w:spacing w:after="5" w:line="249" w:lineRule="auto"/>
        <w:ind w:left="10" w:right="12" w:hanging="9"/>
        <w:jc w:val="both"/>
        <w:rPr>
          <w:rFonts w:ascii="Verdana" w:hAnsi="Verdana"/>
        </w:rPr>
      </w:pPr>
      <w:r w:rsidRPr="005B5CB6">
        <w:rPr>
          <w:rFonts w:ascii="Verdana" w:eastAsia="Verdana" w:hAnsi="Verdana" w:cs="Verdana"/>
        </w:rPr>
        <w:t xml:space="preserve">While the approach that Facebook has taken to political advertising transparency has not been perfect, the broad approach has been welcome. It balances the need for transparency in what is being advertised, spent, and whom is targeted with the advertiser’s need to not disclose so much as to make strategies and proprietary targeting completely exposed. This approach would be welcome across all platforms in making political advertising more transparent to the public and therefore improving trust in the process overall. </w:t>
      </w:r>
    </w:p>
    <w:p w:rsidR="00FB0B24" w:rsidRPr="005B5CB6" w:rsidP="006F32A5">
      <w:pPr>
        <w:jc w:val="both"/>
        <w:rPr>
          <w:rFonts w:ascii="Verdana" w:hAnsi="Verdana"/>
        </w:rPr>
        <w:sectPr w:rsidSect="00C45A7F">
          <w:headerReference w:type="even" r:id="rId535"/>
          <w:headerReference w:type="default" r:id="rId536"/>
          <w:footerReference w:type="even" r:id="rId537"/>
          <w:footerReference w:type="default" r:id="rId538"/>
          <w:headerReference w:type="first" r:id="rId539"/>
          <w:footerReference w:type="first" r:id="rId540"/>
          <w:pgSz w:w="11906" w:h="16838"/>
          <w:pgMar w:top="1185" w:right="1131" w:bottom="1695" w:left="1133" w:header="720" w:footer="710" w:gutter="0"/>
          <w:cols w:space="720"/>
        </w:sectPr>
      </w:pPr>
    </w:p>
    <w:p w:rsidR="00FB0B24" w:rsidRPr="005B5CB6" w:rsidP="00A1624B">
      <w:pPr>
        <w:pStyle w:val="Heading1"/>
        <w:rPr>
          <w:sz w:val="22"/>
        </w:rPr>
      </w:pPr>
      <w:bookmarkStart w:id="84" w:name="_Toc44517772"/>
      <w:r w:rsidRPr="005B5CB6">
        <w:rPr>
          <w:sz w:val="22"/>
        </w:rPr>
        <w:t>Professor Cristina Leston-Bandeira – supplementary written evidence</w:t>
      </w:r>
      <w:bookmarkEnd w:id="84"/>
      <w:r w:rsidRPr="005B5CB6">
        <w:rPr>
          <w:sz w:val="22"/>
        </w:rPr>
        <w:t xml:space="preserve"> </w:t>
      </w:r>
    </w:p>
    <w:p w:rsidR="00FB0B24" w:rsidRPr="005B5CB6" w:rsidP="00EA5212">
      <w:pPr>
        <w:spacing w:after="149"/>
        <w:jc w:val="both"/>
        <w:rPr>
          <w:rFonts w:ascii="Verdana" w:hAnsi="Verdana"/>
        </w:rPr>
      </w:pPr>
      <w:r w:rsidRPr="005B5CB6">
        <w:rPr>
          <w:rFonts w:ascii="Verdana" w:hAnsi="Verdana"/>
        </w:rPr>
        <w:t xml:space="preserve"> </w:t>
      </w:r>
    </w:p>
    <w:p w:rsidR="00FB0B24" w:rsidRPr="005B5CB6" w:rsidP="00EA5212">
      <w:pPr>
        <w:spacing w:after="199" w:line="247" w:lineRule="auto"/>
        <w:ind w:right="73"/>
        <w:jc w:val="both"/>
        <w:rPr>
          <w:rFonts w:ascii="Verdana" w:hAnsi="Verdana"/>
        </w:rPr>
      </w:pPr>
      <w:r w:rsidRPr="005B5CB6">
        <w:rPr>
          <w:rFonts w:ascii="Verdana" w:hAnsi="Verdana"/>
        </w:rPr>
        <w:t>I’m submitting this evidence to supplement the oral evidence I gave on the 10</w:t>
      </w:r>
      <w:r w:rsidRPr="005B5CB6">
        <w:rPr>
          <w:rFonts w:ascii="Verdana" w:hAnsi="Verdana"/>
          <w:vertAlign w:val="superscript"/>
        </w:rPr>
        <w:t>th</w:t>
      </w:r>
      <w:r w:rsidRPr="005B5CB6">
        <w:rPr>
          <w:rFonts w:ascii="Verdana" w:hAnsi="Verdana"/>
        </w:rPr>
        <w:t xml:space="preserve"> of March 2020.  </w:t>
      </w:r>
    </w:p>
    <w:p w:rsidR="00FB0B24" w:rsidRPr="005B5CB6" w:rsidP="00EA5212">
      <w:pPr>
        <w:spacing w:after="187" w:line="257" w:lineRule="auto"/>
        <w:ind w:right="-11"/>
        <w:jc w:val="both"/>
        <w:rPr>
          <w:rFonts w:ascii="Verdana" w:hAnsi="Verdana"/>
        </w:rPr>
      </w:pPr>
      <w:r w:rsidRPr="005B5CB6">
        <w:rPr>
          <w:rFonts w:ascii="Verdana" w:hAnsi="Verdana"/>
        </w:rPr>
        <w:t xml:space="preserve">I’m Professor of Politics and Co-Director of the </w:t>
      </w:r>
      <w:r>
        <w:fldChar w:fldCharType="begin"/>
      </w:r>
      <w:r>
        <w:instrText xml:space="preserve"> HYPERLINK "https://cde.leeds.ac.uk/" </w:instrText>
      </w:r>
      <w:r>
        <w:fldChar w:fldCharType="separate"/>
      </w:r>
      <w:r w:rsidRPr="005B5CB6">
        <w:rPr>
          <w:rFonts w:ascii="Verdana" w:hAnsi="Verdana"/>
          <w:color w:val="0563C1"/>
          <w:u w:val="single" w:color="0563C1"/>
        </w:rPr>
        <w:t>Centre for Democratic Engagement</w:t>
      </w:r>
      <w:r>
        <w:fldChar w:fldCharType="end"/>
      </w:r>
      <w:r>
        <w:fldChar w:fldCharType="begin"/>
      </w:r>
      <w:r>
        <w:instrText xml:space="preserve"> HYPERLINK "https://cde.leeds.ac.uk/" </w:instrText>
      </w:r>
      <w:r>
        <w:fldChar w:fldCharType="separate"/>
      </w:r>
      <w:r w:rsidRPr="005B5CB6">
        <w:rPr>
          <w:rFonts w:ascii="Verdana" w:hAnsi="Verdana"/>
        </w:rPr>
        <w:t>,</w:t>
      </w:r>
      <w:r>
        <w:fldChar w:fldCharType="end"/>
      </w:r>
      <w:r w:rsidRPr="005B5CB6">
        <w:rPr>
          <w:rFonts w:ascii="Verdana" w:hAnsi="Verdana"/>
        </w:rPr>
        <w:t xml:space="preserve"> at the University of Leeds, as well as the current Chair of th</w:t>
      </w:r>
      <w:r>
        <w:fldChar w:fldCharType="begin"/>
      </w:r>
      <w:r>
        <w:instrText xml:space="preserve"> HYPERLINK "http://www.studyofparliament.org.uk/about.htm" </w:instrText>
      </w:r>
      <w:r>
        <w:fldChar w:fldCharType="separate"/>
      </w:r>
      <w:r w:rsidRPr="005B5CB6">
        <w:rPr>
          <w:rFonts w:ascii="Verdana" w:hAnsi="Verdana"/>
        </w:rPr>
        <w:t xml:space="preserve">e </w:t>
      </w:r>
      <w:r>
        <w:fldChar w:fldCharType="end"/>
      </w:r>
      <w:r>
        <w:fldChar w:fldCharType="begin"/>
      </w:r>
      <w:r>
        <w:instrText xml:space="preserve"> HYPERLINK "http://www.studyofparliament.org.uk/about.htm" </w:instrText>
      </w:r>
      <w:r>
        <w:fldChar w:fldCharType="separate"/>
      </w:r>
      <w:r w:rsidRPr="005B5CB6">
        <w:rPr>
          <w:rFonts w:ascii="Verdana" w:hAnsi="Verdana"/>
          <w:color w:val="0563C1"/>
          <w:u w:val="single" w:color="0563C1"/>
        </w:rPr>
        <w:t>Study of Parliament Group</w:t>
      </w:r>
      <w:r>
        <w:fldChar w:fldCharType="end"/>
      </w:r>
      <w:r>
        <w:fldChar w:fldCharType="begin"/>
      </w:r>
      <w:r>
        <w:instrText xml:space="preserve"> HYPERLINK "http://www.studyofparliament.org.uk/about.htm" </w:instrText>
      </w:r>
      <w:r>
        <w:fldChar w:fldCharType="separate"/>
      </w:r>
      <w:r w:rsidRPr="005B5CB6">
        <w:rPr>
          <w:rFonts w:ascii="Verdana" w:hAnsi="Verdana"/>
        </w:rPr>
        <w:t xml:space="preserve"> a</w:t>
      </w:r>
      <w:r>
        <w:fldChar w:fldCharType="end"/>
      </w:r>
      <w:r w:rsidRPr="005B5CB6">
        <w:rPr>
          <w:rFonts w:ascii="Verdana" w:hAnsi="Verdana"/>
        </w:rPr>
        <w:t>nd co-editor of the journa</w:t>
      </w:r>
      <w:r>
        <w:fldChar w:fldCharType="begin"/>
      </w:r>
      <w:r>
        <w:instrText xml:space="preserve"> HYPERLINK "https://academic.oup.com/pa/" </w:instrText>
      </w:r>
      <w:r>
        <w:fldChar w:fldCharType="separate"/>
      </w:r>
      <w:r w:rsidRPr="005B5CB6">
        <w:rPr>
          <w:rFonts w:ascii="Verdana" w:hAnsi="Verdana"/>
        </w:rPr>
        <w:t xml:space="preserve">l </w:t>
      </w:r>
      <w:r>
        <w:fldChar w:fldCharType="end"/>
      </w:r>
      <w:r>
        <w:fldChar w:fldCharType="begin"/>
      </w:r>
      <w:r>
        <w:instrText xml:space="preserve"> HYPERLINK "https://academic.oup.com/pa/" </w:instrText>
      </w:r>
      <w:r>
        <w:fldChar w:fldCharType="separate"/>
      </w:r>
      <w:r w:rsidRPr="005B5CB6">
        <w:rPr>
          <w:rFonts w:ascii="Verdana" w:hAnsi="Verdana"/>
          <w:i/>
          <w:color w:val="0563C1"/>
          <w:u w:val="single" w:color="0563C1"/>
        </w:rPr>
        <w:t>Parliamentary Affairs</w:t>
      </w:r>
      <w:r>
        <w:fldChar w:fldCharType="end"/>
      </w:r>
      <w:r>
        <w:fldChar w:fldCharType="begin"/>
      </w:r>
      <w:r>
        <w:instrText xml:space="preserve"> HYPERLINK "https://academic.oup.com/pa/" </w:instrText>
      </w:r>
      <w:r>
        <w:fldChar w:fldCharType="separate"/>
      </w:r>
      <w:r w:rsidRPr="005B5CB6">
        <w:rPr>
          <w:rFonts w:ascii="Verdana" w:hAnsi="Verdana"/>
        </w:rPr>
        <w:t>.</w:t>
      </w:r>
      <w:r>
        <w:fldChar w:fldCharType="end"/>
      </w:r>
      <w:r w:rsidRPr="005B5CB6">
        <w:rPr>
          <w:rFonts w:ascii="Verdana" w:hAnsi="Verdana"/>
        </w:rPr>
        <w:t xml:space="preserve"> My research focuses on parliament and public engagement, a topic on which I have written extensively, covering a wide range of legislatures, besides the UK Parliament; as public engagement often takes place online, a considerable part of my research has focused specifically on the use of digital by parliaments.</w:t>
      </w:r>
      <w:r>
        <w:rPr>
          <w:rFonts w:ascii="Verdana" w:hAnsi="Verdana"/>
          <w:vertAlign w:val="superscript"/>
        </w:rPr>
        <w:footnoteReference w:id="480"/>
      </w:r>
      <w:r w:rsidRPr="005B5CB6">
        <w:rPr>
          <w:rFonts w:ascii="Verdana" w:hAnsi="Verdana"/>
        </w:rPr>
        <w:t xml:space="preserve"> </w:t>
      </w:r>
    </w:p>
    <w:p w:rsidR="00FB0B24" w:rsidRPr="005B5CB6" w:rsidP="00EA5212">
      <w:pPr>
        <w:spacing w:after="158"/>
        <w:jc w:val="both"/>
        <w:rPr>
          <w:rFonts w:ascii="Verdana" w:hAnsi="Verdana"/>
        </w:rPr>
      </w:pPr>
      <w:r w:rsidRPr="005B5CB6">
        <w:rPr>
          <w:rFonts w:ascii="Verdana" w:hAnsi="Verdana"/>
        </w:rPr>
        <w:t xml:space="preserve"> </w:t>
      </w:r>
    </w:p>
    <w:p w:rsidR="00FB0B24" w:rsidRPr="005B5CB6" w:rsidP="00575F14">
      <w:pPr>
        <w:numPr>
          <w:ilvl w:val="0"/>
          <w:numId w:val="293"/>
        </w:numPr>
        <w:spacing w:after="1" w:line="257" w:lineRule="auto"/>
        <w:ind w:right="-11" w:hanging="360"/>
        <w:jc w:val="both"/>
        <w:rPr>
          <w:rFonts w:ascii="Verdana" w:hAnsi="Verdana"/>
        </w:rPr>
      </w:pPr>
      <w:r w:rsidRPr="005B5CB6">
        <w:rPr>
          <w:rFonts w:ascii="Verdana" w:hAnsi="Verdana"/>
        </w:rPr>
        <w:t xml:space="preserve">Before considering how effective UK institutions, and Parliament in particular, have been in using technology to facilitate democracy, I want to break it down into four separate elements, which all contribute towards facilitating democracy: information, education, participation and actual contribution to democratic decisions. Thinking in terms of these four elements, I’d say that UK institutions have become much better using technology for the first two (information an education), but not as effective for the latter ones. </w:t>
      </w:r>
    </w:p>
    <w:p w:rsidR="00FB0B24" w:rsidRPr="005B5CB6" w:rsidP="00575F14">
      <w:pPr>
        <w:numPr>
          <w:ilvl w:val="0"/>
          <w:numId w:val="293"/>
        </w:numPr>
        <w:spacing w:after="1" w:line="257" w:lineRule="auto"/>
        <w:ind w:right="-11" w:hanging="360"/>
        <w:jc w:val="both"/>
        <w:rPr>
          <w:rFonts w:ascii="Verdana" w:hAnsi="Verdana"/>
        </w:rPr>
      </w:pPr>
      <w:r w:rsidRPr="005B5CB6">
        <w:rPr>
          <w:rFonts w:ascii="Verdana" w:hAnsi="Verdana"/>
        </w:rPr>
        <w:t xml:space="preserve">However, there is plenty of innovation taking place. This often takes place more at a local level, see for instance the Kirklees Council and its democracy programme, as an excellent example of using digital technologies to keep local communities informed and to involve them in Council decisions. Our devolved legislatures also have plenty of innovative practices, as has the UK Parliament.  </w:t>
      </w:r>
    </w:p>
    <w:p w:rsidR="00FB0B24" w:rsidRPr="005B5CB6" w:rsidP="00575F14">
      <w:pPr>
        <w:numPr>
          <w:ilvl w:val="0"/>
          <w:numId w:val="293"/>
        </w:numPr>
        <w:spacing w:after="1" w:line="257" w:lineRule="auto"/>
        <w:ind w:right="-11" w:hanging="360"/>
        <w:jc w:val="both"/>
        <w:rPr>
          <w:rFonts w:ascii="Verdana" w:hAnsi="Verdana"/>
        </w:rPr>
      </w:pPr>
      <w:r w:rsidRPr="005B5CB6">
        <w:rPr>
          <w:rFonts w:ascii="Verdana" w:hAnsi="Verdana"/>
        </w:rPr>
        <w:t xml:space="preserve">Focusing on the UK parliament specifically, whilst there is considerable innovation and many examples of initiatives which aim to promote better participation and contribution towards democratic decisions, this is still very ad-hoc and dependent on specific Chairs, Representatives and/or Officials (Clerks), rather than the result of a systemic approach to using technology to facilitate better participation and contribution to democratic decisions.  </w:t>
      </w:r>
    </w:p>
    <w:p w:rsidR="00FB0B24" w:rsidRPr="005B5CB6" w:rsidP="00575F14">
      <w:pPr>
        <w:numPr>
          <w:ilvl w:val="0"/>
          <w:numId w:val="293"/>
        </w:numPr>
        <w:spacing w:after="11" w:line="247" w:lineRule="auto"/>
        <w:ind w:right="-11" w:hanging="360"/>
        <w:jc w:val="both"/>
        <w:rPr>
          <w:rFonts w:ascii="Verdana" w:hAnsi="Verdana"/>
        </w:rPr>
      </w:pPr>
      <w:r w:rsidRPr="005B5CB6">
        <w:rPr>
          <w:rFonts w:ascii="Verdana" w:hAnsi="Verdana"/>
        </w:rPr>
        <w:t xml:space="preserve">Examples of innovative and good practice within the UK Parliament include:  </w:t>
      </w:r>
    </w:p>
    <w:p w:rsidR="00FB0B24" w:rsidRPr="005B5CB6" w:rsidP="00575F14">
      <w:pPr>
        <w:numPr>
          <w:ilvl w:val="2"/>
          <w:numId w:val="294"/>
        </w:numPr>
        <w:spacing w:after="1" w:line="257" w:lineRule="auto"/>
        <w:ind w:right="-11" w:hanging="360"/>
        <w:jc w:val="both"/>
        <w:rPr>
          <w:rFonts w:ascii="Verdana" w:hAnsi="Verdana"/>
        </w:rPr>
      </w:pPr>
      <w:r w:rsidRPr="005B5CB6">
        <w:rPr>
          <w:rFonts w:ascii="Verdana" w:hAnsi="Verdana"/>
        </w:rPr>
        <w:t xml:space="preserve">the new House of Commons e-petitions system which keeps regular communication with signatories and integrates the use of digital technologies with its own processes, making sure public engagement collated through digital have an impact onto parliamentary practice;  </w:t>
      </w:r>
    </w:p>
    <w:p w:rsidR="00FB0B24" w:rsidRPr="005B5CB6" w:rsidP="00575F14">
      <w:pPr>
        <w:numPr>
          <w:ilvl w:val="2"/>
          <w:numId w:val="294"/>
        </w:numPr>
        <w:spacing w:after="1" w:line="257" w:lineRule="auto"/>
        <w:ind w:right="-11" w:hanging="360"/>
        <w:jc w:val="both"/>
        <w:rPr>
          <w:rFonts w:ascii="Verdana" w:hAnsi="Verdana"/>
        </w:rPr>
      </w:pPr>
      <w:r w:rsidRPr="005B5CB6">
        <w:rPr>
          <w:rFonts w:ascii="Verdana" w:hAnsi="Verdana"/>
        </w:rPr>
        <w:t xml:space="preserve">the use of hashtags for a variety of purposes, such as by House of Commons select committees to set their own agenda, such as the #MyScience for the Science and Technology Select Committee, through which members of the </w:t>
      </w:r>
      <w:r w:rsidRPr="005B5CB6">
        <w:rPr>
          <w:rFonts w:ascii="Verdana" w:hAnsi="Verdana"/>
        </w:rPr>
        <w:t xml:space="preserve">public were able to suggest themes for the committee’s inquiries (this approach was also used by the Scottish Affairs Select Committee);  </w:t>
      </w:r>
    </w:p>
    <w:p w:rsidR="00FB0B24" w:rsidRPr="005B5CB6" w:rsidP="00575F14">
      <w:pPr>
        <w:numPr>
          <w:ilvl w:val="2"/>
          <w:numId w:val="294"/>
        </w:numPr>
        <w:spacing w:after="346" w:line="257" w:lineRule="auto"/>
        <w:ind w:right="-11" w:hanging="360"/>
        <w:jc w:val="both"/>
        <w:rPr>
          <w:rFonts w:ascii="Verdana" w:hAnsi="Verdana"/>
        </w:rPr>
      </w:pPr>
      <w:r w:rsidRPr="005B5CB6">
        <w:rPr>
          <w:rFonts w:ascii="Verdana" w:hAnsi="Verdana"/>
        </w:rPr>
        <w:t xml:space="preserve">the use of a more deliberative type of platform, Discourse, to host discussions on three inquiries (on plastic packaging, on invasive species and on pavement parking) by three select committees in the Commons, leading to useful public contributions through a deepening of issues and by bringing up new issues unknown to the committee; </w:t>
      </w:r>
    </w:p>
    <w:p w:rsidR="00FB0B24" w:rsidRPr="005B5CB6" w:rsidP="00EA5212">
      <w:pPr>
        <w:spacing w:after="0"/>
        <w:jc w:val="both"/>
        <w:rPr>
          <w:rFonts w:ascii="Verdana" w:hAnsi="Verdana"/>
        </w:rPr>
      </w:pPr>
      <w:r w:rsidRPr="005B5CB6">
        <w:rPr>
          <w:rFonts w:ascii="Verdana" w:hAnsi="Verdana"/>
          <w:noProof/>
        </w:rPr>
        <mc:AlternateContent>
          <mc:Choice Requires="wpg">
            <w:drawing>
              <wp:inline distT="0" distB="0" distL="0" distR="0">
                <wp:extent cx="1828800" cy="9144"/>
                <wp:effectExtent l="0" t="0" r="0" b="0"/>
                <wp:docPr id="618837" name="Group 618837"/>
                <wp:cNvGraphicFramePr/>
                <a:graphic xmlns:a="http://schemas.openxmlformats.org/drawingml/2006/main">
                  <a:graphicData uri="http://schemas.microsoft.com/office/word/2010/wordprocessingGroup">
                    <wpg:wgp xmlns:wpg="http://schemas.microsoft.com/office/word/2010/wordprocessingGroup">
                      <wpg:cNvGrpSpPr/>
                      <wpg:grpSpPr>
                        <a:xfrm>
                          <a:off x="0" y="0"/>
                          <a:ext cx="1828800" cy="9144"/>
                          <a:chOff x="0" y="0"/>
                          <a:chExt cx="1828800" cy="9144"/>
                        </a:xfrm>
                      </wpg:grpSpPr>
                      <wps:wsp xmlns:wps="http://schemas.microsoft.com/office/word/2010/wordprocessingShape">
                        <wps:cNvPr id="636743" name="Shape 63674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491" style="height:0.72pt;mso-position-horizontal-relative:char;mso-position-vertical-relative:line;width:2in" coordsize="18288,91">
                <v:shape id="_x0000_s1492" style="height:91;position:absolute;width:18288" coordsize="1828800,9144" path="m,l1828800,l1828800,9144l,9144l,e">
                  <v:stroke joinstyle="miter" endcap="flat" opacity="0"/>
                </v:shape>
                <w10:wrap type="none"/>
              </v:group>
            </w:pict>
          </mc:Fallback>
        </mc:AlternateContent>
      </w:r>
      <w:r w:rsidRPr="005B5CB6">
        <w:rPr>
          <w:rFonts w:ascii="Verdana" w:hAnsi="Verdana"/>
        </w:rPr>
        <w:t xml:space="preserve"> </w:t>
      </w:r>
    </w:p>
    <w:p w:rsidR="00FB0B24" w:rsidRPr="005B5CB6" w:rsidP="00575F14">
      <w:pPr>
        <w:numPr>
          <w:ilvl w:val="2"/>
          <w:numId w:val="294"/>
        </w:numPr>
        <w:spacing w:after="10" w:line="247" w:lineRule="auto"/>
        <w:ind w:right="-11" w:hanging="360"/>
        <w:jc w:val="both"/>
        <w:rPr>
          <w:rFonts w:ascii="Verdana" w:hAnsi="Verdana"/>
        </w:rPr>
      </w:pPr>
      <w:r w:rsidRPr="005B5CB6">
        <w:rPr>
          <w:rFonts w:ascii="Verdana" w:hAnsi="Verdana"/>
        </w:rPr>
        <w:t xml:space="preserve">the use of web forums for a variety of purposes, namely to check on a government response to a report (Education Select Committee); </w:t>
      </w:r>
    </w:p>
    <w:p w:rsidR="00FB0B24" w:rsidRPr="005B5CB6" w:rsidP="00575F14">
      <w:pPr>
        <w:numPr>
          <w:ilvl w:val="2"/>
          <w:numId w:val="294"/>
        </w:numPr>
        <w:spacing w:after="11" w:line="247" w:lineRule="auto"/>
        <w:ind w:right="-11" w:hanging="360"/>
        <w:jc w:val="both"/>
        <w:rPr>
          <w:rFonts w:ascii="Verdana" w:hAnsi="Verdana"/>
        </w:rPr>
      </w:pPr>
      <w:r w:rsidRPr="005B5CB6">
        <w:rPr>
          <w:rFonts w:ascii="Verdana" w:hAnsi="Verdana"/>
        </w:rPr>
        <w:t xml:space="preserve">the use of video to bring in the testimonies of vulnerable groups to MPs and Ministers, in the Universal Credit and Survival Sex inquiry of the Work and Pensions Select Committee. </w:t>
      </w:r>
    </w:p>
    <w:p w:rsidR="00FB0B24" w:rsidRPr="005B5CB6" w:rsidP="00575F14">
      <w:pPr>
        <w:numPr>
          <w:ilvl w:val="0"/>
          <w:numId w:val="293"/>
        </w:numPr>
        <w:spacing w:after="1" w:line="257" w:lineRule="auto"/>
        <w:ind w:right="-11" w:hanging="360"/>
        <w:jc w:val="both"/>
        <w:rPr>
          <w:rFonts w:ascii="Verdana" w:hAnsi="Verdana"/>
        </w:rPr>
      </w:pPr>
      <w:r w:rsidRPr="005B5CB6">
        <w:rPr>
          <w:rFonts w:ascii="Verdana" w:hAnsi="Verdana"/>
        </w:rPr>
        <w:t xml:space="preserve">What makes these examples “good practice” is the use of technology that is </w:t>
      </w:r>
      <w:r w:rsidRPr="005B5CB6">
        <w:rPr>
          <w:rFonts w:ascii="Verdana" w:hAnsi="Verdana"/>
          <w:b/>
        </w:rPr>
        <w:t>specifically suitable to the problems and audiences at hand</w:t>
      </w:r>
      <w:r w:rsidRPr="005B5CB6">
        <w:rPr>
          <w:rFonts w:ascii="Verdana" w:hAnsi="Verdana"/>
        </w:rPr>
        <w:t xml:space="preserve"> and the fact that </w:t>
      </w:r>
      <w:r w:rsidRPr="005B5CB6">
        <w:rPr>
          <w:rFonts w:ascii="Verdana" w:hAnsi="Verdana"/>
          <w:b/>
        </w:rPr>
        <w:t>it is integrated into the ongoing parliamentary business</w:t>
      </w:r>
      <w:r w:rsidRPr="005B5CB6">
        <w:rPr>
          <w:rFonts w:ascii="Verdana" w:hAnsi="Verdana"/>
        </w:rPr>
        <w:t xml:space="preserve"> (that is, it is not simply a gimmick, it leads somewhere).  </w:t>
      </w:r>
    </w:p>
    <w:p w:rsidR="00FB0B24" w:rsidRPr="005B5CB6" w:rsidP="00575F14">
      <w:pPr>
        <w:numPr>
          <w:ilvl w:val="0"/>
          <w:numId w:val="293"/>
        </w:numPr>
        <w:spacing w:after="11" w:line="247" w:lineRule="auto"/>
        <w:ind w:right="-11" w:hanging="360"/>
        <w:jc w:val="both"/>
        <w:rPr>
          <w:rFonts w:ascii="Verdana" w:hAnsi="Verdana"/>
        </w:rPr>
      </w:pPr>
      <w:r w:rsidRPr="005B5CB6">
        <w:rPr>
          <w:rFonts w:ascii="Verdana" w:hAnsi="Verdana"/>
        </w:rPr>
        <w:t xml:space="preserve">There are plenty of examples of good technology out there, ready to be used to facilitate democracy. </w:t>
      </w:r>
    </w:p>
    <w:p w:rsidR="00FB0B24" w:rsidRPr="005B5CB6" w:rsidP="00EA5212">
      <w:pPr>
        <w:spacing w:after="11" w:line="247" w:lineRule="auto"/>
        <w:ind w:left="721" w:right="73"/>
        <w:jc w:val="both"/>
        <w:rPr>
          <w:rFonts w:ascii="Verdana" w:hAnsi="Verdana"/>
        </w:rPr>
      </w:pPr>
      <w:r w:rsidRPr="005B5CB6">
        <w:rPr>
          <w:rFonts w:ascii="Verdana" w:hAnsi="Verdana"/>
        </w:rPr>
        <w:t xml:space="preserve">What often lacks from public institutions, and namely the UK Parliament, is: </w:t>
      </w:r>
    </w:p>
    <w:p w:rsidR="00FB0B24" w:rsidRPr="005B5CB6" w:rsidP="00575F14">
      <w:pPr>
        <w:numPr>
          <w:ilvl w:val="1"/>
          <w:numId w:val="293"/>
        </w:numPr>
        <w:spacing w:after="11" w:line="247" w:lineRule="auto"/>
        <w:ind w:hanging="360"/>
        <w:jc w:val="both"/>
        <w:rPr>
          <w:rFonts w:ascii="Verdana" w:hAnsi="Verdana"/>
        </w:rPr>
      </w:pPr>
      <w:r w:rsidRPr="005B5CB6">
        <w:rPr>
          <w:rFonts w:ascii="Verdana" w:hAnsi="Verdana"/>
        </w:rPr>
        <w:t xml:space="preserve">an understanding of how technology can be used,  </w:t>
      </w:r>
    </w:p>
    <w:p w:rsidR="00FB0B24" w:rsidRPr="005B5CB6" w:rsidP="00575F14">
      <w:pPr>
        <w:numPr>
          <w:ilvl w:val="1"/>
          <w:numId w:val="293"/>
        </w:numPr>
        <w:spacing w:after="11" w:line="247" w:lineRule="auto"/>
        <w:ind w:hanging="360"/>
        <w:jc w:val="both"/>
        <w:rPr>
          <w:rFonts w:ascii="Verdana" w:hAnsi="Verdana"/>
        </w:rPr>
      </w:pPr>
      <w:r w:rsidRPr="005B5CB6">
        <w:rPr>
          <w:rFonts w:ascii="Verdana" w:hAnsi="Verdana"/>
        </w:rPr>
        <w:t xml:space="preserve">an approach that is flexible enough to suit technology to problem and audiences and </w:t>
      </w:r>
    </w:p>
    <w:p w:rsidR="00FB0B24" w:rsidRPr="005B5CB6" w:rsidP="00575F14">
      <w:pPr>
        <w:numPr>
          <w:ilvl w:val="1"/>
          <w:numId w:val="293"/>
        </w:numPr>
        <w:spacing w:after="10" w:line="247" w:lineRule="auto"/>
        <w:ind w:hanging="360"/>
        <w:jc w:val="both"/>
        <w:rPr>
          <w:rFonts w:ascii="Verdana" w:hAnsi="Verdana"/>
        </w:rPr>
      </w:pPr>
      <w:r w:rsidRPr="005B5CB6">
        <w:rPr>
          <w:rFonts w:ascii="Verdana" w:hAnsi="Verdana"/>
        </w:rPr>
        <w:t xml:space="preserve">a reflection on how the use of technology should be integrated with the ongoing parliamentary process (rather than being a gimmick or an add-on). </w:t>
      </w:r>
    </w:p>
    <w:p w:rsidR="00FB0B24" w:rsidRPr="005B5CB6" w:rsidP="00575F14">
      <w:pPr>
        <w:numPr>
          <w:ilvl w:val="0"/>
          <w:numId w:val="293"/>
        </w:numPr>
        <w:spacing w:after="10" w:line="247" w:lineRule="auto"/>
        <w:ind w:right="-11" w:hanging="360"/>
        <w:jc w:val="both"/>
        <w:rPr>
          <w:rFonts w:ascii="Verdana" w:hAnsi="Verdana"/>
        </w:rPr>
      </w:pPr>
      <w:r w:rsidRPr="005B5CB6">
        <w:rPr>
          <w:rFonts w:ascii="Verdana" w:hAnsi="Verdana"/>
        </w:rPr>
        <w:t xml:space="preserve">In order for the UK Parliament to become more effective in using technology to facilitate democracy it needs to:  </w:t>
      </w:r>
    </w:p>
    <w:p w:rsidR="00FB0B24" w:rsidRPr="005B5CB6" w:rsidP="00575F14">
      <w:pPr>
        <w:numPr>
          <w:ilvl w:val="1"/>
          <w:numId w:val="293"/>
        </w:numPr>
        <w:spacing w:after="1" w:line="257" w:lineRule="auto"/>
        <w:ind w:hanging="360"/>
        <w:jc w:val="both"/>
        <w:rPr>
          <w:rFonts w:ascii="Verdana" w:hAnsi="Verdana"/>
        </w:rPr>
      </w:pPr>
      <w:r w:rsidRPr="005B5CB6">
        <w:rPr>
          <w:rFonts w:ascii="Verdana" w:hAnsi="Verdana"/>
        </w:rPr>
        <w:t xml:space="preserve">Encourage experimentation, with evaluation. Technology thrives on experimentation, but parliaments are not good at experimenting/trying new things (for lots of reasons). Innovation sometimes happens, but then disappears, because there is no evaluation and no tracking down of what happened and what were its effects;  </w:t>
      </w:r>
    </w:p>
    <w:p w:rsidR="00FB0B24" w:rsidRPr="005B5CB6" w:rsidP="00575F14">
      <w:pPr>
        <w:numPr>
          <w:ilvl w:val="1"/>
          <w:numId w:val="293"/>
        </w:numPr>
        <w:spacing w:after="10" w:line="247" w:lineRule="auto"/>
        <w:ind w:hanging="360"/>
        <w:jc w:val="both"/>
        <w:rPr>
          <w:rFonts w:ascii="Verdana" w:hAnsi="Verdana"/>
        </w:rPr>
      </w:pPr>
      <w:r w:rsidRPr="005B5CB6">
        <w:rPr>
          <w:rFonts w:ascii="Verdana" w:hAnsi="Verdana"/>
        </w:rPr>
        <w:t xml:space="preserve">Integrate the use of technology into the ongoing parliamentary process, rather than see it as an add-on; </w:t>
      </w:r>
    </w:p>
    <w:p w:rsidR="00FB0B24" w:rsidRPr="005B5CB6" w:rsidP="00575F14">
      <w:pPr>
        <w:numPr>
          <w:ilvl w:val="1"/>
          <w:numId w:val="293"/>
        </w:numPr>
        <w:spacing w:after="11" w:line="247" w:lineRule="auto"/>
        <w:ind w:hanging="360"/>
        <w:jc w:val="both"/>
        <w:rPr>
          <w:rFonts w:ascii="Verdana" w:hAnsi="Verdana"/>
        </w:rPr>
      </w:pPr>
      <w:r w:rsidRPr="005B5CB6">
        <w:rPr>
          <w:rFonts w:ascii="Verdana" w:hAnsi="Verdana"/>
        </w:rPr>
        <w:t xml:space="preserve">Match technology to problem and to audience; </w:t>
      </w:r>
    </w:p>
    <w:p w:rsidR="00FB0B24" w:rsidRPr="005B5CB6" w:rsidP="00575F14">
      <w:pPr>
        <w:numPr>
          <w:ilvl w:val="1"/>
          <w:numId w:val="293"/>
        </w:numPr>
        <w:spacing w:after="1" w:line="257" w:lineRule="auto"/>
        <w:ind w:hanging="360"/>
        <w:jc w:val="both"/>
        <w:rPr>
          <w:rFonts w:ascii="Verdana" w:hAnsi="Verdana"/>
        </w:rPr>
      </w:pPr>
      <w:r w:rsidRPr="005B5CB6">
        <w:rPr>
          <w:rFonts w:ascii="Verdana" w:hAnsi="Verdana"/>
        </w:rPr>
        <w:t xml:space="preserve">Focus more on “listening” tools and processes rather than “broadcasting”: this includes using technology to create opportunities for the public to have a say, but also using technology to assist officials and representatives to deal with the public’s response. Technology can help considerably to cut through the noise created in social media, for instance, to identify genuine voices of different publics. </w:t>
      </w:r>
    </w:p>
    <w:p w:rsidR="00FB0B24" w:rsidRPr="005B5CB6" w:rsidP="00575F14">
      <w:pPr>
        <w:numPr>
          <w:ilvl w:val="1"/>
          <w:numId w:val="293"/>
        </w:numPr>
        <w:spacing w:after="1" w:line="257" w:lineRule="auto"/>
        <w:ind w:hanging="360"/>
        <w:jc w:val="both"/>
        <w:rPr>
          <w:rFonts w:ascii="Verdana" w:hAnsi="Verdana"/>
        </w:rPr>
      </w:pPr>
      <w:r w:rsidRPr="005B5CB6">
        <w:rPr>
          <w:rFonts w:ascii="Verdana" w:hAnsi="Verdana"/>
        </w:rPr>
        <w:t xml:space="preserve">Retain Information and Technology (IT) staff: public institutions are notoriously bad at attracting and retaining IT staff (again, for lots of reasons). This is particularly true of parliaments, which is why Parliament needs to be particularly pro-active in making sure it attracts and retains IT staff;  </w:t>
      </w:r>
    </w:p>
    <w:p w:rsidR="00FB0B24" w:rsidRPr="005B5CB6" w:rsidP="00575F14">
      <w:pPr>
        <w:numPr>
          <w:ilvl w:val="1"/>
          <w:numId w:val="293"/>
        </w:numPr>
        <w:spacing w:after="1" w:line="257" w:lineRule="auto"/>
        <w:ind w:hanging="360"/>
        <w:jc w:val="both"/>
        <w:rPr>
          <w:rFonts w:ascii="Verdana" w:hAnsi="Verdana"/>
        </w:rPr>
      </w:pPr>
      <w:r w:rsidRPr="005B5CB6">
        <w:rPr>
          <w:rFonts w:ascii="Verdana" w:hAnsi="Verdana"/>
        </w:rPr>
        <w:t xml:space="preserve">Skill up: linked to the previous point, parliament needs to step-change its use and awareness of technology and how this can assist parliamentary work. This is about IT staff, but also about thinking through processes which integrate skilling up.  </w:t>
      </w:r>
    </w:p>
    <w:p w:rsidR="0098734B" w:rsidRPr="005B5CB6" w:rsidP="00575F14">
      <w:pPr>
        <w:numPr>
          <w:ilvl w:val="0"/>
          <w:numId w:val="293"/>
        </w:numPr>
        <w:spacing w:after="1" w:line="257" w:lineRule="auto"/>
        <w:ind w:right="-11" w:hanging="360"/>
        <w:jc w:val="both"/>
        <w:rPr>
          <w:rFonts w:ascii="Verdana" w:hAnsi="Verdana"/>
        </w:rPr>
      </w:pPr>
      <w:r w:rsidRPr="005B5CB6">
        <w:rPr>
          <w:rFonts w:ascii="Verdana" w:hAnsi="Verdana"/>
        </w:rPr>
        <w:t xml:space="preserve">As an aside, there was some discussion about deliberative democracy in our oral evidence session. I would like to make the point that “deliberative methods” can be used, without being a full blown deliberative democracy exercise. Deliberative methods of engagement are about providing the space (online or face to face) for in-depth, reflective, and inclusive discussion. Digital spaces can be used to provide for this very effectively, as long as officials know what they are doing, namely how to facilitate a discussion online, which feels inclusive. Online deliberative methods of engagement can in fact sometimes suit better some groups, such as young people, or groups who wish to stay anonymous – for instance, years ago, one of the first online exercises done in the UK Parliament was with a group of women who were victims of domestic violence. Doing the discussion online, with careful facilitation from officials, was an excellent way to obtain the insight of this vulnerable group. </w:t>
      </w:r>
    </w:p>
    <w:p w:rsidR="00FB0B24" w:rsidRPr="005B5CB6" w:rsidP="0098734B">
      <w:pPr>
        <w:rPr>
          <w:rFonts w:ascii="Verdana" w:hAnsi="Verdana"/>
        </w:rPr>
      </w:pPr>
      <w:r w:rsidRPr="005B5CB6">
        <w:rPr>
          <w:rFonts w:ascii="Verdana" w:hAnsi="Verdana"/>
        </w:rPr>
        <w:br w:type="page"/>
      </w:r>
    </w:p>
    <w:p w:rsidR="00FB0B24" w:rsidRPr="005B5CB6" w:rsidP="00A1624B">
      <w:pPr>
        <w:pStyle w:val="Heading1"/>
        <w:rPr>
          <w:sz w:val="22"/>
        </w:rPr>
      </w:pPr>
      <w:bookmarkStart w:id="85" w:name="_Toc44517773"/>
      <w:r w:rsidRPr="005B5CB6">
        <w:rPr>
          <w:sz w:val="22"/>
        </w:rPr>
        <w:t>Daniel Kreiss – written evidence (DAD0098)</w:t>
      </w:r>
      <w:bookmarkEnd w:id="85"/>
      <w:r w:rsidRPr="005B5CB6">
        <w:rPr>
          <w:sz w:val="22"/>
        </w:rPr>
        <w:t xml:space="preserve"> </w:t>
      </w:r>
    </w:p>
    <w:p w:rsidR="00FB0B24" w:rsidRPr="005B5CB6" w:rsidP="00EA5212">
      <w:pPr>
        <w:spacing w:after="253"/>
        <w:ind w:left="286"/>
        <w:jc w:val="both"/>
        <w:rPr>
          <w:rFonts w:ascii="Verdana" w:hAnsi="Verdana"/>
        </w:rPr>
      </w:pPr>
      <w:r w:rsidRPr="005B5CB6">
        <w:rPr>
          <w:rFonts w:ascii="Verdana" w:eastAsia="Gill Sans MT" w:hAnsi="Verdana" w:cs="Gill Sans MT"/>
        </w:rPr>
        <w:t xml:space="preserve"> </w:t>
      </w:r>
    </w:p>
    <w:p w:rsidR="00FB0B24" w:rsidRPr="005B5CB6" w:rsidP="00EA5212">
      <w:pPr>
        <w:spacing w:after="383" w:line="250" w:lineRule="auto"/>
        <w:ind w:left="1006" w:right="364" w:hanging="360"/>
        <w:jc w:val="both"/>
        <w:rPr>
          <w:rFonts w:ascii="Verdana" w:hAnsi="Verdana"/>
        </w:rPr>
      </w:pPr>
      <w:r w:rsidRPr="005B5CB6">
        <w:rPr>
          <w:rFonts w:ascii="Verdana" w:eastAsia="Verdana" w:hAnsi="Verdana" w:cs="Verdana"/>
          <w:b/>
        </w:rPr>
        <w:t>1.</w:t>
      </w:r>
      <w:r w:rsidRPr="005B5CB6">
        <w:rPr>
          <w:rFonts w:ascii="Verdana" w:eastAsia="Arial" w:hAnsi="Verdana" w:cs="Arial"/>
          <w:b/>
        </w:rPr>
        <w:t xml:space="preserve"> </w:t>
      </w:r>
      <w:r w:rsidRPr="005B5CB6">
        <w:rPr>
          <w:rFonts w:ascii="Verdana" w:eastAsia="Verdana" w:hAnsi="Verdana" w:cs="Verdana"/>
          <w:b/>
        </w:rPr>
        <w:t xml:space="preserve">What are the main implications for democracy resulting from recent trends in online political campaigning? Which of these trends are positive, and which of significant concern? </w:t>
      </w:r>
    </w:p>
    <w:p w:rsidR="00FB0B24" w:rsidRPr="005B5CB6" w:rsidP="00EA5212">
      <w:pPr>
        <w:spacing w:after="383" w:line="249" w:lineRule="auto"/>
        <w:ind w:left="369" w:right="365" w:hanging="9"/>
        <w:jc w:val="both"/>
        <w:rPr>
          <w:rFonts w:ascii="Verdana" w:hAnsi="Verdana"/>
        </w:rPr>
      </w:pPr>
      <w:r w:rsidRPr="005B5CB6">
        <w:rPr>
          <w:rFonts w:ascii="Verdana" w:eastAsia="Verdana" w:hAnsi="Verdana" w:cs="Verdana"/>
        </w:rPr>
        <w:t xml:space="preserve">There are three relevant considerations to this question. What are the recent trends in online political campaigning? What are the implications or likely effects of these trends? And, how do we evaluate them according to normative theories of democracy?  </w:t>
      </w:r>
    </w:p>
    <w:p w:rsidR="00FB0B24" w:rsidRPr="005B5CB6" w:rsidP="00EA5212">
      <w:pPr>
        <w:spacing w:after="383" w:line="249" w:lineRule="auto"/>
        <w:ind w:left="369" w:right="362" w:hanging="9"/>
        <w:jc w:val="both"/>
        <w:rPr>
          <w:rFonts w:ascii="Verdana" w:hAnsi="Verdana"/>
        </w:rPr>
      </w:pPr>
      <w:r w:rsidRPr="005B5CB6">
        <w:rPr>
          <w:rFonts w:ascii="Verdana" w:eastAsia="Verdana" w:hAnsi="Verdana" w:cs="Verdana"/>
        </w:rPr>
        <w:t xml:space="preserve">In many western democracies, we have seen some broad trends in digital campaigning that concern the emergence of technology-intensive campaigning; the rise of data and analytics and social media as central to electoral efforts; and the growing centrality of platforms, and platform companies, as infrastructure for all democratic and electoral processes from discussion in the public sphere and political advertisements to serving as conduits of voting information. </w:t>
      </w:r>
    </w:p>
    <w:p w:rsidR="00FB0B24" w:rsidRPr="005B5CB6" w:rsidP="00EA5212">
      <w:pPr>
        <w:spacing w:after="386" w:line="249" w:lineRule="auto"/>
        <w:ind w:left="369" w:right="363" w:hanging="9"/>
        <w:jc w:val="both"/>
        <w:rPr>
          <w:rFonts w:ascii="Verdana" w:hAnsi="Verdana"/>
        </w:rPr>
      </w:pPr>
      <w:r w:rsidRPr="005B5CB6">
        <w:rPr>
          <w:rFonts w:ascii="Verdana" w:eastAsia="Verdana" w:hAnsi="Verdana" w:cs="Verdana"/>
        </w:rPr>
        <w:t xml:space="preserve">In a technology-intensive era of political campaigning, which increasingly characterizes electoral processes in all western democracies, everything that campaigns do—from contacting voters on their doorsteps to running television and digital advertisements—has an underlying technological and data basis. Political parties around the world have invested considerable resources in developing technological infrastructures to support voter contacts, as well as data infrastructures to figure out which voters to contact, where and how to contact them, determine what is the most effective thing to say, and learn how to get their attention. In part, this is driven by broader shifts in media and technological environments that simply make it harder to get voters’ attention. With the proliferation of media platforms, time-shifting of television, the rise of streaming services and dual screening, and changing media habits, it is much more difficult for political campaigners to get the attention of voters than it was ten, twenty, or thirty years ago. </w:t>
      </w:r>
    </w:p>
    <w:p w:rsidR="00FB0B24" w:rsidRPr="005B5CB6" w:rsidP="00EA5212">
      <w:pPr>
        <w:spacing w:after="5" w:line="249" w:lineRule="auto"/>
        <w:ind w:left="369" w:right="363" w:hanging="9"/>
        <w:jc w:val="both"/>
        <w:rPr>
          <w:rFonts w:ascii="Verdana" w:hAnsi="Verdana"/>
        </w:rPr>
      </w:pPr>
      <w:r w:rsidRPr="005B5CB6">
        <w:rPr>
          <w:rFonts w:ascii="Verdana" w:eastAsia="Verdana" w:hAnsi="Verdana" w:cs="Verdana"/>
        </w:rPr>
        <w:t xml:space="preserve">The rise of data and analytics underlying electoral campaigning and the increasing centrality of social media to the efforts of campaigners reflects this underlying reality. It is hard to reach and break through the noise to engage people, and campaigns want to efficiently contact them and therefore go to where they are, which is increasingly social media for all demographics of the electorate. This, in turn, has also meant that there are new intermediaries in electoral processes around the world: platform companies. This includes Alphabet (Google and YouTube), Facebook (including Instagram), and smaller platforms with varying reach including Snapchat, Twitter, and Reddit. These private companies are </w:t>
      </w:r>
    </w:p>
    <w:p w:rsidR="00FB0B24" w:rsidRPr="005B5CB6" w:rsidP="00EA5212">
      <w:pPr>
        <w:jc w:val="both"/>
        <w:rPr>
          <w:rFonts w:ascii="Verdana" w:hAnsi="Verdana"/>
        </w:rPr>
        <w:sectPr w:rsidSect="006562C6">
          <w:headerReference w:type="even" r:id="rId541"/>
          <w:headerReference w:type="default" r:id="rId542"/>
          <w:footerReference w:type="even" r:id="rId543"/>
          <w:footerReference w:type="default" r:id="rId544"/>
          <w:headerReference w:type="first" r:id="rId545"/>
          <w:footerReference w:type="first" r:id="rId546"/>
          <w:pgSz w:w="11906" w:h="16838"/>
          <w:pgMar w:top="1483" w:right="1074" w:bottom="1439" w:left="1080" w:header="720" w:footer="998" w:gutter="0"/>
          <w:cols w:space="720"/>
        </w:sectPr>
      </w:pPr>
    </w:p>
    <w:p w:rsidR="00FB0B24" w:rsidRPr="005B5CB6" w:rsidP="00EA5212">
      <w:pPr>
        <w:spacing w:after="0"/>
        <w:jc w:val="both"/>
        <w:rPr>
          <w:rFonts w:ascii="Verdana" w:hAnsi="Verdana"/>
        </w:rPr>
      </w:pPr>
      <w:r w:rsidRPr="005B5CB6">
        <w:rPr>
          <w:rFonts w:ascii="Verdana" w:eastAsia="Gill Sans MT" w:hAnsi="Verdana" w:cs="Gill Sans MT"/>
        </w:rPr>
        <w:t xml:space="preserve"> </w:t>
      </w:r>
    </w:p>
    <w:p w:rsidR="00FB0B24" w:rsidRPr="005B5CB6" w:rsidP="00EA5212">
      <w:pPr>
        <w:spacing w:after="148"/>
        <w:ind w:left="75"/>
        <w:jc w:val="both"/>
        <w:rPr>
          <w:rFonts w:ascii="Verdana" w:hAnsi="Verdana"/>
        </w:rPr>
      </w:pPr>
      <w:r w:rsidRPr="005B5CB6">
        <w:rPr>
          <w:rFonts w:ascii="Verdana" w:eastAsia="Gill Sans MT" w:hAnsi="Verdana" w:cs="Gill Sans MT"/>
        </w:rPr>
        <w:t xml:space="preserve"> </w:t>
      </w:r>
    </w:p>
    <w:p w:rsidR="00FB0B24" w:rsidRPr="005B5CB6" w:rsidP="00EA5212">
      <w:pPr>
        <w:spacing w:after="383" w:line="249" w:lineRule="auto"/>
        <w:ind w:left="10" w:right="12" w:hanging="9"/>
        <w:jc w:val="both"/>
        <w:rPr>
          <w:rFonts w:ascii="Verdana" w:hAnsi="Verdana"/>
        </w:rPr>
      </w:pPr>
      <w:r w:rsidRPr="005B5CB6">
        <w:rPr>
          <w:rFonts w:ascii="Verdana" w:eastAsia="Verdana" w:hAnsi="Verdana" w:cs="Verdana"/>
        </w:rPr>
        <w:t xml:space="preserve">increasingly called upon to moderate political speech, and to that end they have policies governing everything from permissible user content to political speech more broadly, and they set the terms upon which campaigns can purchase and run digital advertisements meant to sway electorates. They also facilitate the data and analytics operations of campaigns by being the primary means to distribute targeted content and harvest data. </w:t>
      </w:r>
    </w:p>
    <w:p w:rsidR="00FB0B24" w:rsidRPr="005B5CB6" w:rsidP="00EA5212">
      <w:pPr>
        <w:spacing w:after="383" w:line="249" w:lineRule="auto"/>
        <w:ind w:left="10" w:right="12" w:hanging="9"/>
        <w:jc w:val="both"/>
        <w:rPr>
          <w:rFonts w:ascii="Verdana" w:hAnsi="Verdana"/>
        </w:rPr>
      </w:pPr>
      <w:r w:rsidRPr="005B5CB6">
        <w:rPr>
          <w:rFonts w:ascii="Verdana" w:eastAsia="Verdana" w:hAnsi="Verdana" w:cs="Verdana"/>
        </w:rPr>
        <w:t xml:space="preserve">There are a number of implications of these changes that can be evaluated differently according to various democratic theories. First, we have seen, and studies have shown, that there has been an uptick of political participation in many western democracies, in part given efforts to contact and mobilize electorates efficiently using digital and social media. What the technology-intensive era has decidedly not done is create more robust forms of democratic deliberation or citizen engagement in policy making. In essence, this new technology-intensive era privileges participation over deliberation. In doing so, the ability of campaigns to micro-target voters, which often leads to socially divisive and in-group appeals, and the ways that social media platforms algorithmically reward content that is often the most emotionally engaging, has incentivized political communication that favours in-group solidarity, not a broader civil social solidarity. This, in turn, also favours participation over deliberation.  </w:t>
      </w:r>
    </w:p>
    <w:p w:rsidR="00FB0B24" w:rsidRPr="005B5CB6" w:rsidP="00EA5212">
      <w:pPr>
        <w:spacing w:after="383" w:line="249" w:lineRule="auto"/>
        <w:ind w:left="84" w:right="12" w:hanging="9"/>
        <w:jc w:val="both"/>
        <w:rPr>
          <w:rFonts w:ascii="Verdana" w:hAnsi="Verdana"/>
        </w:rPr>
      </w:pPr>
      <w:r w:rsidRPr="005B5CB6">
        <w:rPr>
          <w:rFonts w:ascii="Verdana" w:eastAsia="Verdana" w:hAnsi="Verdana" w:cs="Verdana"/>
        </w:rPr>
        <w:t xml:space="preserve">Similarly, the implication of social media forming the basis for much political communication has, in turn, given rise to both democratically beneficial and problematic processes. Social media platforms such as Facebook and YouTube have undoubtedly increased the availability and reach of political information and content for citizens around the world. People have unprecedented access to information about their government and civic affairs through the communications hosted by these platforms from government agencies, journalism organizations, academic institutions, and think tanks. At the same time, people have newfound capacities to engage in political debate and discussion with peers around the world. This same explosion of political information has, in turn, also created the conditions for the unprecedented scale and reach of deliberate disinformation and misinformation spread in ignorance of its truth value. It has facilitated the rise of new, profit-driven actors who stand to gain from the spread of this mis/disinformation, and strategic entities including foreign agents and states that seek to undermine trust in electoral processes. </w:t>
      </w:r>
    </w:p>
    <w:p w:rsidR="00FB0B24" w:rsidRPr="005B5CB6" w:rsidP="00EA5212">
      <w:pPr>
        <w:spacing w:after="384" w:line="249" w:lineRule="auto"/>
        <w:ind w:left="84" w:right="12" w:hanging="9"/>
        <w:jc w:val="both"/>
        <w:rPr>
          <w:rFonts w:ascii="Verdana" w:hAnsi="Verdana"/>
        </w:rPr>
      </w:pPr>
      <w:r w:rsidRPr="005B5CB6">
        <w:rPr>
          <w:rFonts w:ascii="Verdana" w:eastAsia="Verdana" w:hAnsi="Verdana" w:cs="Verdana"/>
        </w:rPr>
        <w:t xml:space="preserve">Finally, platforms are now the arbiters of global democratic processes in new and unprecedented ways, especially related to the scale at which they operate around the world. On the one hand, their private, corporate orientations has proven a boon to democratic speech and life in authoritarian countries around the world, while expanding sources of political information and opportunities to engage in political speech. On the other, they have also undermined democratic and electoral processes in many countries through the spread of hate speech and facilitation of unaccountable, non-transparent, and even illegal forms of political speech, all the while posing new challenges to regulators seeking to ensure their workings in line with the public interest. </w:t>
      </w:r>
    </w:p>
    <w:p w:rsidR="00FB0B24" w:rsidRPr="005B5CB6" w:rsidP="00EA5212">
      <w:pPr>
        <w:spacing w:after="385" w:line="250" w:lineRule="auto"/>
        <w:ind w:left="720" w:hanging="360"/>
        <w:jc w:val="both"/>
        <w:rPr>
          <w:rFonts w:ascii="Verdana" w:hAnsi="Verdana"/>
        </w:rPr>
      </w:pPr>
      <w:r w:rsidRPr="005B5CB6">
        <w:rPr>
          <w:rFonts w:ascii="Verdana" w:eastAsia="Verdana" w:hAnsi="Verdana" w:cs="Verdana"/>
          <w:b/>
        </w:rPr>
        <w:t>2.</w:t>
      </w:r>
      <w:r w:rsidRPr="005B5CB6">
        <w:rPr>
          <w:rFonts w:ascii="Verdana" w:eastAsia="Arial" w:hAnsi="Verdana" w:cs="Arial"/>
          <w:b/>
        </w:rPr>
        <w:t xml:space="preserve"> </w:t>
      </w:r>
      <w:r w:rsidRPr="005B5CB6">
        <w:rPr>
          <w:rFonts w:ascii="Verdana" w:eastAsia="Verdana" w:hAnsi="Verdana" w:cs="Verdana"/>
          <w:b/>
        </w:rPr>
        <w:t xml:space="preserve">What are the principal variations that exist in platform policies towards online political advertising, and do you think there is a need for a consistent policy across the sector (if so what should this be)?  </w:t>
      </w:r>
    </w:p>
    <w:p w:rsidR="00FB0B24" w:rsidRPr="005B5CB6" w:rsidP="00EA5212">
      <w:pPr>
        <w:spacing w:after="229" w:line="250" w:lineRule="auto"/>
        <w:ind w:left="23" w:right="11" w:hanging="8"/>
        <w:jc w:val="both"/>
        <w:rPr>
          <w:rFonts w:ascii="Verdana" w:hAnsi="Verdana"/>
        </w:rPr>
      </w:pPr>
      <w:r w:rsidRPr="005B5CB6">
        <w:rPr>
          <w:rFonts w:ascii="Verdana" w:eastAsia="Verdana" w:hAnsi="Verdana" w:cs="Verdana"/>
        </w:rPr>
        <w:t xml:space="preserve">I am including two charts my research center produced to illustrate the scale of this problem. </w:t>
      </w:r>
    </w:p>
    <w:p w:rsidR="00FB0B24" w:rsidRPr="005B5CB6" w:rsidP="00EA5212">
      <w:pPr>
        <w:spacing w:after="230" w:line="249" w:lineRule="auto"/>
        <w:ind w:left="10" w:right="12" w:hanging="9"/>
        <w:jc w:val="both"/>
        <w:rPr>
          <w:rFonts w:ascii="Verdana" w:hAnsi="Verdana"/>
        </w:rPr>
      </w:pPr>
      <w:r w:rsidRPr="005B5CB6">
        <w:rPr>
          <w:rFonts w:ascii="Verdana" w:eastAsia="Verdana" w:hAnsi="Verdana" w:cs="Verdana"/>
        </w:rPr>
        <w:t xml:space="preserve">The scope of policies and products that exist in relation to digital political advertising are dizzying across the leading social media platforms. While there are clear downsides that we discuss below, this diversity has afforded strategic political communicators with a much greater variety of means of appealing to the public than during the broadcast era of American, and indeed, global, politics. In this, digital and social media have lowered the costs of purchasing paid political speech, which scholars have documented in the context of allowing a much greater range of political actors engage in paid political advertising—including non-elites and challengers to incumbents. Meanwhile, the sheer variety of ads and the diversity of the platforms that they run on has meant that engaging citizens in contexts that are meaningful to them is more likely. All of which likely means that digital political advertising promotes electoral participation. </w:t>
      </w:r>
    </w:p>
    <w:p w:rsidR="00FB0B24" w:rsidRPr="005B5CB6" w:rsidP="00EA5212">
      <w:pPr>
        <w:spacing w:after="230" w:line="249" w:lineRule="auto"/>
        <w:ind w:left="10" w:right="12" w:hanging="9"/>
        <w:jc w:val="both"/>
        <w:rPr>
          <w:rFonts w:ascii="Verdana" w:hAnsi="Verdana"/>
        </w:rPr>
      </w:pPr>
      <w:r w:rsidRPr="005B5CB6">
        <w:rPr>
          <w:rFonts w:ascii="Verdana" w:eastAsia="Verdana" w:hAnsi="Verdana" w:cs="Verdana"/>
        </w:rPr>
        <w:t xml:space="preserve">To start here is an overview here of the major, easily-accessible, digital advertising platforms and the suite of different products and services they offer in the context of digital political advertising.  </w:t>
      </w:r>
    </w:p>
    <w:p w:rsidR="00FB0B24" w:rsidRPr="005B5CB6" w:rsidP="00EA5212">
      <w:pPr>
        <w:spacing w:after="230" w:line="249" w:lineRule="auto"/>
        <w:ind w:left="10" w:right="12" w:hanging="9"/>
        <w:jc w:val="both"/>
        <w:rPr>
          <w:rFonts w:ascii="Verdana" w:hAnsi="Verdana"/>
        </w:rPr>
      </w:pPr>
      <w:r w:rsidRPr="005B5CB6">
        <w:rPr>
          <w:rFonts w:ascii="Verdana" w:eastAsia="Verdana" w:hAnsi="Verdana" w:cs="Verdana"/>
          <w:i/>
        </w:rPr>
        <w:t>Google Ads (including YouTube):</w:t>
      </w:r>
      <w:r w:rsidRPr="005B5CB6">
        <w:rPr>
          <w:rFonts w:ascii="Verdana" w:eastAsia="Verdana" w:hAnsi="Verdana" w:cs="Verdana"/>
        </w:rPr>
        <w:t xml:space="preserve"> Parent company Alphabet has multiple advertising-related products and platforms. Google Ads (previously AdWords) includes search engine advertisements, banner ads, video ads (including YouTube), and Gmail ads. Google’s Display and Video 360 platform connects to the larger programmatic media-buying ecosystem outside of Google-managed advertising inventory. Display and Video 360 has minimum spend requirements that make it inaccessible to smaller campaigns. There are also advertising capabilities solely accessible through</w:t>
      </w:r>
      <w:r>
        <w:fldChar w:fldCharType="begin"/>
      </w:r>
      <w:r>
        <w:instrText xml:space="preserve"> HYPERLINK "https://developers.google.com/google-ads/api/docs/start" </w:instrText>
      </w:r>
      <w:r>
        <w:fldChar w:fldCharType="separate"/>
      </w:r>
      <w:r w:rsidRPr="005B5CB6">
        <w:rPr>
          <w:rFonts w:ascii="Verdana" w:eastAsia="Verdana" w:hAnsi="Verdana" w:cs="Verdana"/>
        </w:rPr>
        <w:t xml:space="preserve"> Google’s API,</w:t>
      </w:r>
      <w:r>
        <w:fldChar w:fldCharType="end"/>
      </w:r>
      <w:r w:rsidRPr="005B5CB6">
        <w:rPr>
          <w:rFonts w:ascii="Verdana" w:eastAsia="Verdana" w:hAnsi="Verdana" w:cs="Verdana"/>
        </w:rPr>
        <w:t xml:space="preserve"> which takes technical skills many campaign organizations lack. </w:t>
      </w:r>
    </w:p>
    <w:p w:rsidR="00FB0B24" w:rsidRPr="005B5CB6" w:rsidP="00EA5212">
      <w:pPr>
        <w:spacing w:after="230" w:line="249" w:lineRule="auto"/>
        <w:ind w:left="10" w:right="12" w:hanging="9"/>
        <w:jc w:val="both"/>
        <w:rPr>
          <w:rFonts w:ascii="Verdana" w:hAnsi="Verdana"/>
        </w:rPr>
      </w:pPr>
      <w:r w:rsidRPr="005B5CB6">
        <w:rPr>
          <w:rFonts w:ascii="Verdana" w:eastAsia="Verdana" w:hAnsi="Verdana" w:cs="Verdana"/>
          <w:i/>
        </w:rPr>
        <w:t>Facebook and Instagram:</w:t>
      </w:r>
      <w:r w:rsidRPr="005B5CB6">
        <w:rPr>
          <w:rFonts w:ascii="Verdana" w:eastAsia="Verdana" w:hAnsi="Verdana" w:cs="Verdana"/>
        </w:rPr>
        <w:t xml:space="preserve"> Advertisements on Facebook, Instagram, Facebook’s Audience Network and Messenger are all run by boosting a post or in Facebook’s Ad Manager. Currently, political advertisements are not allowed on Facebook Audience Network or Messenger, leaving Facebook and Instagram as the primary carriers of political advertisements. The rules for advertising on these platforms are mostly the same, though ads on Instagram must follow Instagram’s Community Guidelines in addition to Facebook’s. Currently, WhatsApp (also owned by Facebook) does not carry ads.  </w:t>
      </w:r>
    </w:p>
    <w:p w:rsidR="00FB0B24" w:rsidRPr="005B5CB6" w:rsidP="00EA5212">
      <w:pPr>
        <w:spacing w:after="5" w:line="249" w:lineRule="auto"/>
        <w:ind w:left="10" w:right="12" w:hanging="9"/>
        <w:jc w:val="both"/>
        <w:rPr>
          <w:rFonts w:ascii="Verdana" w:hAnsi="Verdana"/>
        </w:rPr>
      </w:pPr>
      <w:r w:rsidRPr="005B5CB6">
        <w:rPr>
          <w:rFonts w:ascii="Verdana" w:eastAsia="Verdana" w:hAnsi="Verdana" w:cs="Verdana"/>
          <w:i/>
        </w:rPr>
        <w:t xml:space="preserve">Reddit: </w:t>
      </w:r>
      <w:r w:rsidRPr="005B5CB6">
        <w:rPr>
          <w:rFonts w:ascii="Verdana" w:eastAsia="Verdana" w:hAnsi="Verdana" w:cs="Verdana"/>
        </w:rPr>
        <w:t xml:space="preserve">Reddit’s advertising platform is significantly more limited than the other companies. Its barebones capabilities and ambiguous rules are likely why it has not been adopted by many advertisers and serves as an interesting point of comparison to Google, Facebook, and Instagram.  </w:t>
      </w:r>
    </w:p>
    <w:p w:rsidR="00FB0B24" w:rsidRPr="005B5CB6" w:rsidP="00EA5212">
      <w:pPr>
        <w:spacing w:after="230" w:line="249" w:lineRule="auto"/>
        <w:ind w:left="10" w:right="12" w:hanging="9"/>
        <w:jc w:val="both"/>
        <w:rPr>
          <w:rFonts w:ascii="Verdana" w:hAnsi="Verdana"/>
        </w:rPr>
      </w:pPr>
      <w:r w:rsidRPr="005B5CB6">
        <w:rPr>
          <w:rFonts w:ascii="Verdana" w:eastAsia="Verdana" w:hAnsi="Verdana" w:cs="Verdana"/>
          <w:i/>
        </w:rPr>
        <w:t>Snapchat:</w:t>
      </w:r>
      <w:r w:rsidRPr="005B5CB6">
        <w:rPr>
          <w:rFonts w:ascii="Verdana" w:eastAsia="Verdana" w:hAnsi="Verdana" w:cs="Verdana"/>
        </w:rPr>
        <w:t xml:space="preserve"> Similar to Reddit, Snapchat’s smaller and younger user base compared with Facebook, Instagram, and YouTube has largely kept it from being widely used by political advertisers. However, its approach to political advertising moderation and transparency raises interesting alternative approaches to the larger platforms.   </w:t>
      </w:r>
    </w:p>
    <w:p w:rsidR="00FB0B24" w:rsidRPr="005B5CB6" w:rsidP="00EA5212">
      <w:pPr>
        <w:spacing w:after="232" w:line="249" w:lineRule="auto"/>
        <w:ind w:left="10" w:right="12" w:hanging="9"/>
        <w:jc w:val="both"/>
        <w:rPr>
          <w:rFonts w:ascii="Verdana" w:hAnsi="Verdana"/>
        </w:rPr>
      </w:pPr>
      <w:r w:rsidRPr="005B5CB6">
        <w:rPr>
          <w:rFonts w:ascii="Verdana" w:eastAsia="Verdana" w:hAnsi="Verdana" w:cs="Verdana"/>
          <w:i/>
        </w:rPr>
        <w:t>Twitter</w:t>
      </w:r>
      <w:r w:rsidRPr="005B5CB6">
        <w:rPr>
          <w:rFonts w:ascii="Verdana" w:eastAsia="Verdana" w:hAnsi="Verdana" w:cs="Verdana"/>
        </w:rPr>
        <w:t xml:space="preserve">: Twitter has banned political advertising, but by having to define what is prohibited “political content” and what is restricted “cause-based” content, Twitter’s rules are an interesting and informative point of comparison with other platforms. </w:t>
      </w:r>
    </w:p>
    <w:p w:rsidR="00FB0B24" w:rsidRPr="005B5CB6" w:rsidP="00EA5212">
      <w:pPr>
        <w:spacing w:after="230" w:line="249" w:lineRule="auto"/>
        <w:ind w:left="10" w:right="12" w:hanging="9"/>
        <w:jc w:val="both"/>
        <w:rPr>
          <w:rFonts w:ascii="Verdana" w:hAnsi="Verdana"/>
        </w:rPr>
      </w:pPr>
      <w:r w:rsidRPr="005B5CB6">
        <w:rPr>
          <w:rFonts w:ascii="Verdana" w:eastAsia="Verdana" w:hAnsi="Verdana" w:cs="Verdana"/>
        </w:rPr>
        <w:t xml:space="preserve">Across these platforms, there are significant differences in policies and products when it comes to digital political advertising. To take one highly salient example of the lack of standardization of definitions, categories, and products across platforms, Google is the only company that limits its definition of “political” advertising to paid content that references candidates, government officials, parties, and ballot measures. Every other definition of “political” by platforms is comparatively much broader, including Facebook’s inclusion of “any social issue in any place where the ad is being run” and Reddit’s “public communications relating to a political issue.” While easier to enforce, Google’s definition makes its policies substantively different from those of other companies. For example, Google does not apply its political advertising policies to ads that touch on political issues without referencing candidates, government officials, parties or ballot measures; Facebook and Instagram, Reddit, Snapchat, and Twitter do.  </w:t>
      </w:r>
    </w:p>
    <w:p w:rsidR="00FB0B24" w:rsidRPr="005B5CB6" w:rsidP="00EA5212">
      <w:pPr>
        <w:spacing w:after="230" w:line="249" w:lineRule="auto"/>
        <w:ind w:left="10" w:right="12" w:hanging="9"/>
        <w:jc w:val="both"/>
        <w:rPr>
          <w:rFonts w:ascii="Verdana" w:hAnsi="Verdana"/>
        </w:rPr>
      </w:pPr>
      <w:r w:rsidRPr="005B5CB6">
        <w:rPr>
          <w:rFonts w:ascii="Verdana" w:eastAsia="Verdana" w:hAnsi="Verdana" w:cs="Verdana"/>
        </w:rPr>
        <w:t xml:space="preserve">As a material consequence, as our Center argues this means that in practice such things as the disclosure of paid political content will be significantly different across platforms. Despite the lack of clear US federal regulation or enforcement compelling them to do so in the US at least, all platforms require “Paid for by” information on any political advertisement. However, even though all platforms require information on who paid for political ads, their differing definitions of “political” mean that users on one platform may see “paid for by” on messages that users on another platform would not. This extends to which ads are included in the ad transparency databases that all the major platforms have rolled out voluntarily since the 2016 US presidential election in lieu of clear federal rules or guidelines. These are voluntary efforts, and the companies maintain these databases at considerable effort and expense. As a result, the ads that are contained within them vary given fundamentally different underlying definitions of “political,” in addition to the categories of data that are actually included with them. </w:t>
      </w:r>
    </w:p>
    <w:p w:rsidR="00FB0B24" w:rsidRPr="005B5CB6" w:rsidP="00EA5212">
      <w:pPr>
        <w:spacing w:after="233" w:line="249" w:lineRule="auto"/>
        <w:ind w:left="10" w:right="12" w:hanging="9"/>
        <w:jc w:val="both"/>
        <w:rPr>
          <w:rFonts w:ascii="Verdana" w:hAnsi="Verdana"/>
        </w:rPr>
      </w:pPr>
      <w:r w:rsidRPr="005B5CB6">
        <w:rPr>
          <w:rFonts w:ascii="Verdana" w:eastAsia="Verdana" w:hAnsi="Verdana" w:cs="Verdana"/>
        </w:rPr>
        <w:t xml:space="preserve">There are other variations in platform policies at the level of their policies in the context of political advertising. For example, differences in the scale of platforms likely shape different approaches that platforms have taken with respect to their procedures for moderating political speech. Reddit and Snapchat require every political advertisement to go through human review and specifically cite that they do not necessarily follow their stated policies; they treat political ads on a caseby-case basis. Facebook and Google (and YouTube), on the other hand, rely on an opaque combination of algorithmic screening and human review of political ads for problematic content that violates their community standards and political advertising policies. Facebook, Instagram, and YouTube not only have over a billion users each, their respective ad platforms (Facebook Ad Manager and Google Ads) have millions of advertisers as well. Reddit, Snapchat, and Twitter’s user bases and ad platforms pale in comparison.  </w:t>
      </w:r>
    </w:p>
    <w:p w:rsidR="00FB0B24" w:rsidRPr="005B5CB6" w:rsidP="00EA5212">
      <w:pPr>
        <w:spacing w:after="230" w:line="249" w:lineRule="auto"/>
        <w:ind w:left="10" w:right="12" w:hanging="9"/>
        <w:jc w:val="both"/>
        <w:rPr>
          <w:rFonts w:ascii="Verdana" w:hAnsi="Verdana"/>
        </w:rPr>
      </w:pPr>
      <w:r w:rsidRPr="005B5CB6">
        <w:rPr>
          <w:rFonts w:ascii="Verdana" w:eastAsia="Verdana" w:hAnsi="Verdana" w:cs="Verdana"/>
        </w:rPr>
        <w:t xml:space="preserve">One challenge from a regulatory standpoint is that digital political advertising comes in hundreds of formats that are platform specific, for example Google search ads, Facebook sponsored posts, or Twitter promoted tweets. And, there are </w:t>
      </w:r>
      <w:r w:rsidRPr="005B5CB6">
        <w:rPr>
          <w:rFonts w:ascii="Verdana" w:eastAsia="Verdana" w:hAnsi="Verdana" w:cs="Verdana"/>
        </w:rPr>
        <w:t xml:space="preserve">hundreds of actors with touch points in advertising networks that help place ads and buy audiences. At the same time, in the US the Federal Election Commission has generally failed to create a similar set of standard definitions of political advertising, rules for how they should be disclosed, and requirements for making political promotional communications available to the public. For example, in the US context with respect to digital media, disclosure statements are required for “public communications placed for a fee on another person’s website” by political committees or those who “expressly advocate for the election or defeat </w:t>
      </w:r>
      <w:r w:rsidRPr="005B5CB6">
        <w:rPr>
          <w:rFonts w:ascii="Verdana" w:eastAsia="Verdana" w:hAnsi="Verdana" w:cs="Verdana"/>
          <w:color w:val="212121"/>
        </w:rPr>
        <w:t>of a clearly identified federal candidate or solicit a contribution.”</w:t>
      </w:r>
      <w:r w:rsidRPr="005B5CB6">
        <w:rPr>
          <w:rFonts w:ascii="Verdana" w:eastAsia="Verdana" w:hAnsi="Verdana" w:cs="Verdana"/>
        </w:rPr>
        <w:t xml:space="preserve"> However, the FEC definition of “website” does not include apps and internet-connected devices like smart appliances. In addition, what is required of audio, graphic, and video content online is ambiguous since these formats do not fall neatly into the FEC’s existing categories.  </w:t>
      </w:r>
    </w:p>
    <w:p w:rsidR="00FB0B24" w:rsidRPr="005B5CB6" w:rsidP="00EA5212">
      <w:pPr>
        <w:spacing w:after="232" w:line="249" w:lineRule="auto"/>
        <w:ind w:left="10" w:right="12" w:hanging="9"/>
        <w:jc w:val="both"/>
        <w:rPr>
          <w:rFonts w:ascii="Verdana" w:hAnsi="Verdana"/>
        </w:rPr>
      </w:pPr>
      <w:r w:rsidRPr="005B5CB6">
        <w:rPr>
          <w:rFonts w:ascii="Verdana" w:eastAsia="Verdana" w:hAnsi="Verdana" w:cs="Verdana"/>
        </w:rPr>
        <w:t xml:space="preserve">The lack of standards – whether it comes to formats, delivery mechanisms, and definitions of political ads – raises clear democratic concerns over the clarity of the rules that govern digital political advertising, their transparency and justifications (or lack thereof), and ultimately the mechanisms for accountability stakeholders have over the decision making of platforms. To that end, there are a few steps that platforms and regulators can do to create more standards for digital political advertising to further public disclosure and transparency and, ultimately, democracy—in the US and globally. </w:t>
      </w:r>
    </w:p>
    <w:p w:rsidR="00FB0B24" w:rsidRPr="005B5CB6" w:rsidP="00EA5212">
      <w:pPr>
        <w:spacing w:after="230" w:line="249" w:lineRule="auto"/>
        <w:ind w:left="10" w:right="12" w:hanging="9"/>
        <w:jc w:val="both"/>
        <w:rPr>
          <w:rFonts w:ascii="Verdana" w:hAnsi="Verdana"/>
        </w:rPr>
      </w:pPr>
      <w:r w:rsidRPr="005B5CB6">
        <w:rPr>
          <w:rFonts w:ascii="Verdana" w:eastAsia="Verdana" w:hAnsi="Verdana" w:cs="Verdana"/>
        </w:rPr>
        <w:t xml:space="preserve">First, platforms, and especially Facebook and Google, can be clearer about the existing state of their policies and products in the context of digital political advertising. To construct our table on platform ad policies, for instance, CITAP researchers gathered everything they could find scattered on blogs, in policy documents, through help centers, on interfaces and posts on their platforms, from industry media coverage, and media stories regarding how Facebook (and Instagram), Google, Reddit, Snapchat, and Twitter have differentially embraced their roles as governors of paid political speech primarily from between September and December of 2019. This search had to occur because of, and was made considerably more difficult by, the fact that there was at times no one place to find the policies governing paid political communications on these platforms, policies often changed constantly, and changes were often referred to in numerous parts of platform policy documents. Meanwhile, policies, and changes in policies, were sometimes announced directly to the media, while at other times they were simply placed on a company blog. Sometimes policy changes were not announced at all, or were released on a CEO’s personal Twitter feed. </w:t>
      </w:r>
    </w:p>
    <w:p w:rsidR="00FB0B24" w:rsidRPr="005B5CB6" w:rsidP="00EA5212">
      <w:pPr>
        <w:spacing w:after="230" w:line="249" w:lineRule="auto"/>
        <w:ind w:left="10" w:right="12" w:hanging="9"/>
        <w:jc w:val="both"/>
        <w:rPr>
          <w:rFonts w:ascii="Verdana" w:hAnsi="Verdana"/>
        </w:rPr>
      </w:pPr>
      <w:r w:rsidRPr="005B5CB6">
        <w:rPr>
          <w:rFonts w:ascii="Verdana" w:eastAsia="Verdana" w:hAnsi="Verdana" w:cs="Verdana"/>
        </w:rPr>
        <w:t xml:space="preserve">Second, there can be greater standardization in the definition of political ads. To date, each platform has essentially acted alone, making up their own definition as they go along. Even further, they have seemingly been reinventing the wheel, setting their own course without regard to definitional work performed by election law in the context of electioneering. In the US, the FEC, for instance, defines an “electioneering communication” as “any broadcast, cable or satellite communication that refers to a clearly identified federal candidate, is publicly distributed within 30 days of a primary or 60 days of a general election and is targeted to the relevant electorate.” This definition is remarkably similar to Google’s definition of “political” detailed above, and could serve as a standard for platform self-regulation here. Or, at the very least, if platforms choose to go </w:t>
      </w:r>
      <w:r w:rsidRPr="005B5CB6">
        <w:rPr>
          <w:rFonts w:ascii="Verdana" w:eastAsia="Verdana" w:hAnsi="Verdana" w:cs="Verdana"/>
        </w:rPr>
        <w:t xml:space="preserve">beyond this definition, they should still include and label advertisements that fit within this definition as such and then work to develop and defend an industry standard that potentially can govern all platforms in this space. Simply ignoring the existing legal frameworks to which other media are held accountable needlessly complicates researchers’ and the public’s ability to scrutinize political advertising on the same terms as traditional media.    </w:t>
      </w:r>
    </w:p>
    <w:p w:rsidR="00FB0B24" w:rsidRPr="005B5CB6" w:rsidP="00EA5212">
      <w:pPr>
        <w:spacing w:after="232" w:line="249" w:lineRule="auto"/>
        <w:ind w:left="10" w:right="12" w:hanging="9"/>
        <w:jc w:val="both"/>
        <w:rPr>
          <w:rFonts w:ascii="Verdana" w:hAnsi="Verdana"/>
        </w:rPr>
      </w:pPr>
      <w:r w:rsidRPr="005B5CB6">
        <w:rPr>
          <w:rFonts w:ascii="Verdana" w:eastAsia="Verdana" w:hAnsi="Verdana" w:cs="Verdana"/>
        </w:rPr>
        <w:t xml:space="preserve">Finally, and related, following from the standardization of how platforms define “political,” there should be greater standardization around the disclosure of political ads and the transparency of paid political promotions. While platforms have done a laudable job developing their political ad transparency databases on a voluntarist basis, the utility of these databases has been hampered by the lack of standardization across platforms. Basic categories of information differ across platforms, including different things being included entirely based on what is categorized as political. More broadly how data is reported is highly variable.  </w:t>
      </w:r>
    </w:p>
    <w:p w:rsidR="00FB0B24" w:rsidRPr="005B5CB6" w:rsidP="00EA5212">
      <w:pPr>
        <w:spacing w:after="232" w:line="249" w:lineRule="auto"/>
        <w:ind w:left="10" w:right="12" w:hanging="9"/>
        <w:jc w:val="both"/>
        <w:rPr>
          <w:rFonts w:ascii="Verdana" w:hAnsi="Verdana"/>
        </w:rPr>
      </w:pPr>
      <w:r w:rsidRPr="005B5CB6">
        <w:rPr>
          <w:rFonts w:ascii="Verdana" w:eastAsia="Verdana" w:hAnsi="Verdana" w:cs="Verdana"/>
        </w:rPr>
        <w:t xml:space="preserve">If the goal of platform political ad transparency databases is to counter the personalized information environments fostered by digital media and microtargeted advertising, platforms should provide the same level of transparency into political advertisements that journalists and the public had into older forms of media, specifically television and radio, in the US at the very least. Audience targeting strategies were more implicit in traditional media campaigns; the audiences targeted could be deduced based on the television station and show ads were aired on, the time of day they aired, and the designated market area (DMA) they were seen in. To reach this same level of transparency as traditional media, the targeted audience for digital political ads must be made explicit given that geographic location, time, page, or website rarely reveal how an ad was targeted or which actual audiences it was displayed to. This would allow the public to have greater visibility into the communications of campaigns, rivals for the same office and contending parties would be better able to contest one another’s claims, and journalists could hold political advertisers accountable for false or inflammatory appeals as effectively as on television.  Even further, platforms should strive to facilitate counter-speech around the micro-targeting of political advertisements to allay normative concerns. Broadly, in line with the transparency around traditional media buys, the aim should be to achieve similar clarity in spending, the dates and duration advertising ran, and the audiences that were purchased.  </w:t>
      </w:r>
    </w:p>
    <w:p w:rsidR="00FB0B24" w:rsidRPr="005B5CB6" w:rsidP="00EA5212">
      <w:pPr>
        <w:spacing w:after="17"/>
        <w:ind w:left="720"/>
        <w:jc w:val="both"/>
        <w:rPr>
          <w:rFonts w:ascii="Verdana" w:hAnsi="Verdana"/>
        </w:rPr>
      </w:pPr>
      <w:r w:rsidRPr="005B5CB6">
        <w:rPr>
          <w:rFonts w:ascii="Verdana" w:eastAsia="Verdana" w:hAnsi="Verdana" w:cs="Verdana"/>
        </w:rPr>
        <w:t xml:space="preserve"> </w:t>
      </w:r>
    </w:p>
    <w:p w:rsidR="00FB0B24" w:rsidRPr="005B5CB6" w:rsidP="00EA5212">
      <w:pPr>
        <w:spacing w:after="383" w:line="250" w:lineRule="auto"/>
        <w:ind w:left="721" w:hanging="360"/>
        <w:jc w:val="both"/>
        <w:rPr>
          <w:rFonts w:ascii="Verdana" w:hAnsi="Verdana"/>
        </w:rPr>
      </w:pPr>
      <w:r w:rsidRPr="005B5CB6">
        <w:rPr>
          <w:rFonts w:ascii="Verdana" w:eastAsia="Verdana" w:hAnsi="Verdana" w:cs="Verdana"/>
          <w:b/>
        </w:rPr>
        <w:t>3.</w:t>
      </w:r>
      <w:r w:rsidRPr="005B5CB6">
        <w:rPr>
          <w:rFonts w:ascii="Verdana" w:eastAsia="Arial" w:hAnsi="Verdana" w:cs="Arial"/>
          <w:b/>
        </w:rPr>
        <w:t xml:space="preserve"> </w:t>
      </w:r>
      <w:r w:rsidRPr="005B5CB6">
        <w:rPr>
          <w:rFonts w:ascii="Verdana" w:eastAsia="Verdana" w:hAnsi="Verdana" w:cs="Verdana"/>
          <w:b/>
        </w:rPr>
        <w:t xml:space="preserve">What role do platform companies play in facilitating democratic debate; and how much consistency is there in how platforms operate around the globe. </w:t>
      </w:r>
    </w:p>
    <w:p w:rsidR="00FB0B24" w:rsidRPr="005B5CB6" w:rsidP="00EA5212">
      <w:pPr>
        <w:spacing w:after="5" w:line="249" w:lineRule="auto"/>
        <w:ind w:left="10" w:right="12" w:hanging="9"/>
        <w:jc w:val="both"/>
        <w:rPr>
          <w:rFonts w:ascii="Verdana" w:hAnsi="Verdana"/>
        </w:rPr>
      </w:pPr>
      <w:r w:rsidRPr="005B5CB6">
        <w:rPr>
          <w:rFonts w:ascii="Verdana" w:eastAsia="Verdana" w:hAnsi="Verdana" w:cs="Verdana"/>
        </w:rPr>
        <w:t xml:space="preserve">Platform companies, especially Facebook (and Instagram), Google (and YouTube), Twitter, Snapchat, and Reddit are central to contemporary democratic debate. They are, in essence, private companies that serve as public infrastructure. As such, they combine the scale, ubiquitousness, centrality, and fundamental publicness of public infrastructure with commercial imperatives, which in turn has given rise to rapid change for economic reasons, along with technological programmability and algorithmic forms of structuring and shaping public attention. </w:t>
      </w:r>
    </w:p>
    <w:p w:rsidR="00FB0B24" w:rsidRPr="005B5CB6" w:rsidP="00EA5212">
      <w:pPr>
        <w:spacing w:after="0"/>
        <w:ind w:left="75"/>
        <w:jc w:val="both"/>
        <w:rPr>
          <w:rFonts w:ascii="Verdana" w:hAnsi="Verdana"/>
        </w:rPr>
      </w:pPr>
      <w:r w:rsidRPr="005B5CB6">
        <w:rPr>
          <w:rFonts w:ascii="Verdana" w:eastAsia="Verdana" w:hAnsi="Verdana" w:cs="Verdana"/>
        </w:rPr>
        <w:t xml:space="preserve"> </w:t>
      </w:r>
    </w:p>
    <w:p w:rsidR="00FB0B24" w:rsidRPr="005B5CB6" w:rsidP="00EA5212">
      <w:pPr>
        <w:spacing w:after="5" w:line="249" w:lineRule="auto"/>
        <w:ind w:left="10" w:right="12" w:hanging="9"/>
        <w:jc w:val="both"/>
        <w:rPr>
          <w:rFonts w:ascii="Verdana" w:hAnsi="Verdana"/>
        </w:rPr>
      </w:pPr>
      <w:r w:rsidRPr="005B5CB6">
        <w:rPr>
          <w:rFonts w:ascii="Verdana" w:eastAsia="Verdana" w:hAnsi="Verdana" w:cs="Verdana"/>
        </w:rPr>
        <w:t xml:space="preserve">As private infrastructure for public processes, platforms are central to facilitating democratic debate in the countries around the world that they operate in. Platforms do so not only through paid content guidelines and strategies, but also by hosting much of what these companies consider ‘organic’ speech—those things that politicians, non-governmental organizations, campaigns, or advocacy organizations post on these platforms, as well as routine discourse by citizens in the context of political and social life.  </w:t>
      </w:r>
    </w:p>
    <w:p w:rsidR="00FB0B24" w:rsidRPr="005B5CB6" w:rsidP="00EA5212">
      <w:pPr>
        <w:spacing w:after="0"/>
        <w:ind w:left="74"/>
        <w:jc w:val="both"/>
        <w:rPr>
          <w:rFonts w:ascii="Verdana" w:hAnsi="Verdana"/>
        </w:rPr>
      </w:pPr>
      <w:r w:rsidRPr="005B5CB6">
        <w:rPr>
          <w:rFonts w:ascii="Verdana" w:eastAsia="Verdana" w:hAnsi="Verdana" w:cs="Verdana"/>
        </w:rPr>
        <w:t xml:space="preserve"> </w:t>
      </w:r>
    </w:p>
    <w:p w:rsidR="00FB0B24" w:rsidRPr="005B5CB6" w:rsidP="00EA5212">
      <w:pPr>
        <w:spacing w:after="5" w:line="249" w:lineRule="auto"/>
        <w:ind w:left="10" w:right="12" w:hanging="9"/>
        <w:jc w:val="both"/>
        <w:rPr>
          <w:rFonts w:ascii="Verdana" w:hAnsi="Verdana"/>
        </w:rPr>
      </w:pPr>
      <w:r w:rsidRPr="005B5CB6">
        <w:rPr>
          <w:rFonts w:ascii="Verdana" w:eastAsia="Verdana" w:hAnsi="Verdana" w:cs="Verdana"/>
        </w:rPr>
        <w:t xml:space="preserve">In doing so, all of the major platforms have developed guidelines, rules, and policies for the types of content–paid and organic–that is permissible on these sites. Facebook’s community standards, for instance, actively prohibit hate speech on the platform—a prohibition that applies across the countries that Facebook is active within. At the same time, the company states that it complies with the laws of the countries it operates within in certain contexts. </w:t>
      </w:r>
    </w:p>
    <w:p w:rsidR="00FB0B24" w:rsidRPr="005B5CB6" w:rsidP="00EA5212">
      <w:pPr>
        <w:spacing w:after="5" w:line="249" w:lineRule="auto"/>
        <w:ind w:left="10" w:right="12" w:hanging="9"/>
        <w:jc w:val="both"/>
        <w:rPr>
          <w:rFonts w:ascii="Verdana" w:hAnsi="Verdana"/>
        </w:rPr>
      </w:pPr>
      <w:r w:rsidRPr="005B5CB6">
        <w:rPr>
          <w:rFonts w:ascii="Verdana" w:eastAsia="Verdana" w:hAnsi="Verdana" w:cs="Verdana"/>
        </w:rPr>
        <w:t xml:space="preserve">While there is consistency at the level of policy (Facebook’s community standards, for instance, are global), there are not universal standards of enforcement. Violations of things such as community standards have long been problematic at scale on platforms that generate millions of pieces of content per day, which means that platforms are often reliant on users or third party, public interest stakeholders to bring potentially problematic content to its attention. Even more, platform companies often lack language competencies in many of the countries in which they operate, which in turn limits their ability to enforce their standards. At the same time, policies themselves are written in an interpretatively flexible way, which means companies are making judgement calls regarding what violates standards on these platforms.  </w:t>
      </w:r>
    </w:p>
    <w:p w:rsidR="00FB0B24" w:rsidRPr="005B5CB6" w:rsidP="00EA5212">
      <w:pPr>
        <w:spacing w:after="0"/>
        <w:ind w:left="74"/>
        <w:jc w:val="both"/>
        <w:rPr>
          <w:rFonts w:ascii="Verdana" w:hAnsi="Verdana"/>
        </w:rPr>
      </w:pPr>
      <w:r w:rsidRPr="005B5CB6">
        <w:rPr>
          <w:rFonts w:ascii="Verdana" w:eastAsia="Verdana" w:hAnsi="Verdana" w:cs="Verdana"/>
        </w:rPr>
        <w:t xml:space="preserve"> </w:t>
      </w:r>
    </w:p>
    <w:p w:rsidR="00FB0B24" w:rsidRPr="005B5CB6" w:rsidP="00EA5212">
      <w:pPr>
        <w:spacing w:after="263" w:line="249" w:lineRule="auto"/>
        <w:ind w:left="10" w:right="12" w:hanging="9"/>
        <w:jc w:val="both"/>
        <w:rPr>
          <w:rFonts w:ascii="Verdana" w:hAnsi="Verdana"/>
        </w:rPr>
      </w:pPr>
      <w:r w:rsidRPr="005B5CB6">
        <w:rPr>
          <w:rFonts w:ascii="Verdana" w:eastAsia="Verdana" w:hAnsi="Verdana" w:cs="Verdana"/>
        </w:rPr>
        <w:t xml:space="preserve">Taken together, while there may be global standards for content on platforms, their flexibility combined with uneven enforcement in essence means significant variation in how these companies are engaged in moderating public debate. </w:t>
      </w:r>
    </w:p>
    <w:p w:rsidR="00FB0B24" w:rsidRPr="005B5CB6" w:rsidP="00EA5212">
      <w:pPr>
        <w:spacing w:after="383" w:line="250" w:lineRule="auto"/>
        <w:ind w:left="719" w:hanging="360"/>
        <w:jc w:val="both"/>
        <w:rPr>
          <w:rFonts w:ascii="Verdana" w:hAnsi="Verdana"/>
        </w:rPr>
      </w:pPr>
      <w:r w:rsidRPr="005B5CB6">
        <w:rPr>
          <w:rFonts w:ascii="Verdana" w:eastAsia="Verdana" w:hAnsi="Verdana" w:cs="Verdana"/>
          <w:b/>
        </w:rPr>
        <w:t>4.</w:t>
      </w:r>
      <w:r w:rsidRPr="005B5CB6">
        <w:rPr>
          <w:rFonts w:ascii="Verdana" w:eastAsia="Arial" w:hAnsi="Verdana" w:cs="Arial"/>
          <w:b/>
        </w:rPr>
        <w:t xml:space="preserve"> </w:t>
      </w:r>
      <w:r w:rsidRPr="005B5CB6">
        <w:rPr>
          <w:rFonts w:ascii="Verdana" w:eastAsia="Verdana" w:hAnsi="Verdana" w:cs="Verdana"/>
          <w:b/>
        </w:rPr>
        <w:t xml:space="preserve">How have companies responded to external pressure to improve their content moderation processes, and how satisfactory are these responses? </w:t>
      </w:r>
    </w:p>
    <w:p w:rsidR="00FB0B24" w:rsidRPr="005B5CB6" w:rsidP="00EA5212">
      <w:pPr>
        <w:spacing w:after="5" w:line="249" w:lineRule="auto"/>
        <w:ind w:left="10" w:right="12" w:hanging="9"/>
        <w:jc w:val="both"/>
        <w:rPr>
          <w:rFonts w:ascii="Verdana" w:hAnsi="Verdana"/>
        </w:rPr>
      </w:pPr>
      <w:r w:rsidRPr="005B5CB6">
        <w:rPr>
          <w:rFonts w:ascii="Verdana" w:eastAsia="Verdana" w:hAnsi="Verdana" w:cs="Verdana"/>
        </w:rPr>
        <w:t xml:space="preserve">In some of the Center’s research, we have found that platforms are deeply reactive to external pressures, as opposed to being responsive in an accountable way. We draw a meaningful distinction between being accountable and being reactive. According to the Oxford English Dictionary, being accountable means “liable to be called to account or to answer for responsibilities and conduct; required or expected to justify one's actions, decisions, etc.; answerable, responsible.” In contrast, to be ‘reactive’ refers to: “In general use, that responds or reacts to a situation, event, etc.; </w:t>
      </w:r>
      <w:r w:rsidRPr="005B5CB6">
        <w:rPr>
          <w:rFonts w:ascii="Verdana" w:eastAsia="Verdana" w:hAnsi="Verdana" w:cs="Verdana"/>
          <w:i/>
        </w:rPr>
        <w:t>esp.</w:t>
      </w:r>
      <w:r w:rsidRPr="005B5CB6">
        <w:rPr>
          <w:rFonts w:ascii="Verdana" w:eastAsia="Verdana" w:hAnsi="Verdana" w:cs="Verdana"/>
        </w:rPr>
        <w:t xml:space="preserve"> (of a person or organization) that reacts to existing circumstances, rather than anticipating or initiating new ones.” </w:t>
      </w:r>
    </w:p>
    <w:p w:rsidR="00FB0B24" w:rsidRPr="005B5CB6" w:rsidP="00EA5212">
      <w:pPr>
        <w:spacing w:after="383" w:line="249" w:lineRule="auto"/>
        <w:ind w:left="10" w:right="12" w:hanging="9"/>
        <w:jc w:val="both"/>
        <w:rPr>
          <w:rFonts w:ascii="Verdana" w:hAnsi="Verdana"/>
        </w:rPr>
      </w:pPr>
      <w:r w:rsidRPr="005B5CB6">
        <w:rPr>
          <w:rFonts w:ascii="Verdana" w:eastAsia="Verdana" w:hAnsi="Verdana" w:cs="Verdana"/>
        </w:rPr>
        <w:t xml:space="preserve">The distinction is important. Being accountable means providing a clear framework for justifying decisions. In this case, it would mean justifying platform change on the basis of articulated normative understandings of democracy and empirical evidence on the workings of platforms. The opposite, however, is more often the case. Platforms have been highly reactive, especially to negative press and public pressure. They appear to attempt to ameliorate bad news coverage and gain positive coverage through policy and product changes.  </w:t>
      </w:r>
    </w:p>
    <w:p w:rsidR="00FB0B24" w:rsidRPr="005B5CB6" w:rsidP="00EA5212">
      <w:pPr>
        <w:spacing w:after="383" w:line="250" w:lineRule="auto"/>
        <w:ind w:left="23" w:right="11" w:hanging="8"/>
        <w:jc w:val="both"/>
        <w:rPr>
          <w:rFonts w:ascii="Verdana" w:hAnsi="Verdana"/>
        </w:rPr>
      </w:pPr>
      <w:r w:rsidRPr="005B5CB6">
        <w:rPr>
          <w:rFonts w:ascii="Verdana" w:eastAsia="Verdana" w:hAnsi="Verdana" w:cs="Verdana"/>
        </w:rPr>
        <w:t xml:space="preserve">This has meant an ongoing and confusing set of changes in the content moderation approaches of major platforms. It is difficult to find clear explanations of changes in policies, rationales for content takedowns, or confirm if changes took place, and there is often little accountability regarding platform policies and their enforcement choices. Even more, the unsettled nature of public debate, unclear definitions of harm, lack of clear empirical evidence, and reactive nature of change produces potentially problematic results.  </w:t>
      </w:r>
    </w:p>
    <w:p w:rsidR="00FB0B24" w:rsidRPr="005B5CB6" w:rsidP="00EA5212">
      <w:pPr>
        <w:spacing w:after="386" w:line="249" w:lineRule="auto"/>
        <w:ind w:left="10" w:right="12" w:hanging="9"/>
        <w:jc w:val="both"/>
        <w:rPr>
          <w:rFonts w:ascii="Verdana" w:hAnsi="Verdana"/>
        </w:rPr>
      </w:pPr>
      <w:r w:rsidRPr="005B5CB6">
        <w:rPr>
          <w:rFonts w:ascii="Verdana" w:eastAsia="Verdana" w:hAnsi="Verdana" w:cs="Verdana"/>
        </w:rPr>
        <w:t xml:space="preserve">What our CITAP researchers have found is a consistent pattern whereby content moderation is often compelled by external pressure, including in many cases directed at attempts to get these firms to honour and enforce their own policies. For example, in the context of paid political speech, recent cases in the United States have demonstrated how Facebook will change the rules instead of holding a major political figure to account for violations of policy. Meanwhile, content takedowns are often compelled by outside investigation, not the initiative of platform companies.  </w:t>
      </w:r>
    </w:p>
    <w:p w:rsidR="00FB0B24" w:rsidRPr="005B5CB6" w:rsidP="00EA5212">
      <w:pPr>
        <w:spacing w:after="386" w:line="249" w:lineRule="auto"/>
        <w:ind w:left="10" w:right="12" w:hanging="9"/>
        <w:jc w:val="both"/>
        <w:rPr>
          <w:rFonts w:ascii="Verdana" w:hAnsi="Verdana"/>
        </w:rPr>
      </w:pPr>
      <w:r w:rsidRPr="005B5CB6">
        <w:rPr>
          <w:rFonts w:ascii="Verdana" w:eastAsia="Verdana" w:hAnsi="Verdana" w:cs="Verdana"/>
        </w:rPr>
        <w:t xml:space="preserve">These responses are deeply unsatisfactory. They raise fundamental issues that relate directly to the health of electoral processes. For example, if platform companies do not set clear policies, and enforce them with clear forms of accountability for bad actors, this raises questions of electoral fairness. Not having effective enforcement is creating clear incentives for political actors to break platform rules given that they know these companies will not act, and even worse incentivizes practices that will lead to a significant reduction in already limited public transparency and disclosure.  </w:t>
      </w:r>
    </w:p>
    <w:p w:rsidR="00FB0B24" w:rsidRPr="005B5CB6" w:rsidP="00EA5212">
      <w:pPr>
        <w:spacing w:after="5" w:line="249" w:lineRule="auto"/>
        <w:ind w:left="10" w:right="12" w:hanging="9"/>
        <w:jc w:val="both"/>
        <w:rPr>
          <w:rFonts w:ascii="Verdana" w:hAnsi="Verdana"/>
        </w:rPr>
      </w:pPr>
      <w:r w:rsidRPr="005B5CB6">
        <w:rPr>
          <w:rFonts w:ascii="Verdana" w:eastAsia="Verdana" w:hAnsi="Verdana" w:cs="Verdana"/>
        </w:rPr>
        <w:t xml:space="preserve">At the same time, I believe it is contingent on these platform companies to develop more public, transparent, clearer, and better justified policies and processes around their editorial roles with respect to paid political speech. There is no universal content-based framework for making speech decisions outside of egregious content, the takedown of which is not seriously disputed, but when decisions are made in the course of a campaign, rationales are not clear and can be conflicting depending on who is citing them. There are also no clear institutional means to challenge decisions. This is a significant failure of the firms that maintain private platforms for public speech.  </w:t>
      </w:r>
    </w:p>
    <w:p w:rsidR="00FB0B24" w:rsidRPr="005B5CB6" w:rsidP="00EA5212">
      <w:pPr>
        <w:spacing w:after="263" w:line="250" w:lineRule="auto"/>
        <w:ind w:left="720" w:hanging="360"/>
        <w:jc w:val="both"/>
        <w:rPr>
          <w:rFonts w:ascii="Verdana" w:hAnsi="Verdana"/>
        </w:rPr>
      </w:pPr>
      <w:r w:rsidRPr="005B5CB6">
        <w:rPr>
          <w:rFonts w:ascii="Verdana" w:eastAsia="Verdana" w:hAnsi="Verdana" w:cs="Verdana"/>
          <w:b/>
        </w:rPr>
        <w:t>5.</w:t>
      </w:r>
      <w:r w:rsidRPr="005B5CB6">
        <w:rPr>
          <w:rFonts w:ascii="Verdana" w:eastAsia="Arial" w:hAnsi="Verdana" w:cs="Arial"/>
          <w:b/>
        </w:rPr>
        <w:t xml:space="preserve"> </w:t>
      </w:r>
      <w:r w:rsidRPr="005B5CB6">
        <w:rPr>
          <w:rFonts w:ascii="Verdana" w:eastAsia="Verdana" w:hAnsi="Verdana" w:cs="Verdana"/>
          <w:b/>
        </w:rPr>
        <w:t xml:space="preserve">How does the culture of technology companies (for example around gender) affect the way in which they carry out their activities? </w:t>
      </w:r>
    </w:p>
    <w:p w:rsidR="00FB0B24" w:rsidRPr="005B5CB6" w:rsidP="00EA5212">
      <w:pPr>
        <w:spacing w:after="383" w:line="249" w:lineRule="auto"/>
        <w:ind w:left="10" w:right="12" w:hanging="9"/>
        <w:jc w:val="both"/>
        <w:rPr>
          <w:rFonts w:ascii="Verdana" w:hAnsi="Verdana"/>
        </w:rPr>
      </w:pPr>
      <w:r w:rsidRPr="005B5CB6">
        <w:rPr>
          <w:rFonts w:ascii="Verdana" w:eastAsia="Verdana" w:hAnsi="Verdana" w:cs="Verdana"/>
        </w:rPr>
        <w:t xml:space="preserve">As a research community, we lack detailed empirical evidence around the concrete ways that the culture of technology companies affect how they operate and carry out their activities, although we can say a few things. First, technology companies took root in the very specific cultural milieu of the Bay Area of the United States, well documented by scholars, which generally resulted in white and male leaders and CEOs. In turn, these firms also grew in a cultural milieu that generally saw technology as a project of new world making, and, in turn, many founders believed their companies operated outside of the normal strictures of social norms and governmental regulation. Historians of Facebook and Google have shown how these companies were aggressive at growth and development, in the process failing to consider many of the social harms that would look readily apparent in 2020. For example, these companies largely stood up commercial advertising </w:t>
      </w:r>
      <w:r w:rsidRPr="005B5CB6">
        <w:rPr>
          <w:rFonts w:ascii="Verdana" w:eastAsia="Verdana" w:hAnsi="Verdana" w:cs="Verdana"/>
        </w:rPr>
        <w:t xml:space="preserve">models in the political space, which in turn has meant deep and significant issues relating to verification, state and foreign manipulation, and a lack of public transparency and disclosure around electioneering. </w:t>
      </w:r>
    </w:p>
    <w:p w:rsidR="00FB0B24" w:rsidRPr="005B5CB6" w:rsidP="00EA5212">
      <w:pPr>
        <w:spacing w:after="383" w:line="249" w:lineRule="auto"/>
        <w:ind w:left="10" w:right="12" w:hanging="9"/>
        <w:jc w:val="both"/>
        <w:rPr>
          <w:rFonts w:ascii="Verdana" w:hAnsi="Verdana"/>
        </w:rPr>
      </w:pPr>
      <w:r w:rsidRPr="005B5CB6">
        <w:rPr>
          <w:rFonts w:ascii="Verdana" w:eastAsia="Verdana" w:hAnsi="Verdana" w:cs="Verdana"/>
        </w:rPr>
        <w:t xml:space="preserve">At the same time, there have been growing internal movements in these companies around creating greater accountability over their operations, such as protests at Google in light of #MeToo and internal pushes at companies such as Facebook to have the company take greater actions to safeguard democracy.  </w:t>
      </w:r>
    </w:p>
    <w:p w:rsidR="00FB0B24" w:rsidRPr="005B5CB6" w:rsidP="00EA5212">
      <w:pPr>
        <w:spacing w:after="385" w:line="249" w:lineRule="auto"/>
        <w:ind w:left="10" w:right="12" w:hanging="9"/>
        <w:jc w:val="both"/>
        <w:rPr>
          <w:rFonts w:ascii="Verdana" w:hAnsi="Verdana"/>
        </w:rPr>
      </w:pPr>
      <w:r w:rsidRPr="005B5CB6">
        <w:rPr>
          <w:rFonts w:ascii="Verdana" w:eastAsia="Verdana" w:hAnsi="Verdana" w:cs="Verdana"/>
        </w:rPr>
        <w:t xml:space="preserve">More broadly, the lack of racial/ethnic and gender diversity at many platform companies likely matters for all sort of reasons. As decades of work on organizations, media production, and innovation reveals, the composition of teams within organizations matters for the work they produce. Having people of different backgrounds but with enough in common that they can understand each other often produces the most innovative technologies and practices. But even more, who these innovations are for reflects the people producing them. As decades of research on technological design reveals, the groups of people who build technologies shape what they do, what they are used for, how they are designed, and ultimately what they ask of users and how users can actually use them. Teams of programmers, engineers, and developers conceptualize technologies in particular ways to solve problems that they perceive. Ultimately, people build tools in particular ways according to how they see the world, their goals, and how they understand users.  </w:t>
      </w:r>
    </w:p>
    <w:p w:rsidR="00FB0B24" w:rsidRPr="005B5CB6" w:rsidP="00EA5212">
      <w:pPr>
        <w:spacing w:after="383" w:line="249" w:lineRule="auto"/>
        <w:ind w:left="10" w:right="12" w:hanging="9"/>
        <w:jc w:val="both"/>
        <w:rPr>
          <w:rFonts w:ascii="Verdana" w:hAnsi="Verdana"/>
        </w:rPr>
      </w:pPr>
      <w:r w:rsidRPr="005B5CB6">
        <w:rPr>
          <w:rFonts w:ascii="Verdana" w:eastAsia="Verdana" w:hAnsi="Verdana" w:cs="Verdana"/>
        </w:rPr>
        <w:t>Other bodies of research have shown how diversity—in terms of things such as gender, race/ethnicity, and life experiences—leads to a host of positive outcomes, from enhanced problem solving to productivity. Racial/ethnic and gender diversity also matters for equity and fairness in the workplace</w:t>
      </w:r>
      <w:r w:rsidRPr="005B5CB6">
        <w:rPr>
          <w:rFonts w:ascii="Verdana" w:eastAsia="Verdana" w:hAnsi="Verdana" w:cs="Verdana"/>
          <w:i/>
        </w:rPr>
        <w:t xml:space="preserve"> </w:t>
      </w:r>
      <w:r w:rsidRPr="005B5CB6">
        <w:rPr>
          <w:rFonts w:ascii="Verdana" w:eastAsia="Verdana" w:hAnsi="Verdana" w:cs="Verdana"/>
        </w:rPr>
        <w:t>and political culture</w:t>
      </w:r>
      <w:r w:rsidRPr="005B5CB6">
        <w:rPr>
          <w:rFonts w:ascii="Verdana" w:eastAsia="Verdana" w:hAnsi="Verdana" w:cs="Verdana"/>
          <w:i/>
        </w:rPr>
        <w:t xml:space="preserve"> </w:t>
      </w:r>
      <w:r w:rsidRPr="005B5CB6">
        <w:rPr>
          <w:rFonts w:ascii="Verdana" w:eastAsia="Verdana" w:hAnsi="Verdana" w:cs="Verdana"/>
        </w:rPr>
        <w:t xml:space="preserve">more broadly. For example, research has found that companies with higher percentages of women were more likely to implement radical innovation. Other researchers have shown how teams that have gender balance generally outperform genderhomogeneous teams (especially male-dominated teams) across a number of measures. In the literature on technological design researchers have found that gender-balanced teams generally solve problems faster and bring a broader set of solutions to the table, better utilize the knowledge of </w:t>
      </w:r>
      <w:r w:rsidRPr="005B5CB6">
        <w:rPr>
          <w:rFonts w:ascii="Verdana" w:eastAsia="Verdana" w:hAnsi="Verdana" w:cs="Verdana"/>
          <w:i/>
        </w:rPr>
        <w:t xml:space="preserve">all </w:t>
      </w:r>
      <w:r w:rsidRPr="005B5CB6">
        <w:rPr>
          <w:rFonts w:ascii="Verdana" w:eastAsia="Verdana" w:hAnsi="Verdana" w:cs="Verdana"/>
        </w:rPr>
        <w:t xml:space="preserve">their members, and are more responsive to a wider array of users than their all-male counterparts. Other veins of literature analyze organizational processes, finding that teams with women on them make more empathetic decisions and racially diverse teams are more likely to focus on facts. </w:t>
      </w:r>
    </w:p>
    <w:p w:rsidR="00FB0B24" w:rsidRPr="005B5CB6" w:rsidP="00EA5212">
      <w:pPr>
        <w:spacing w:after="386" w:line="249" w:lineRule="auto"/>
        <w:ind w:left="10" w:right="12" w:hanging="9"/>
        <w:jc w:val="both"/>
        <w:rPr>
          <w:rFonts w:ascii="Verdana" w:hAnsi="Verdana"/>
        </w:rPr>
      </w:pPr>
      <w:r w:rsidRPr="005B5CB6">
        <w:rPr>
          <w:rFonts w:ascii="Verdana" w:eastAsia="Verdana" w:hAnsi="Verdana" w:cs="Verdana"/>
        </w:rPr>
        <w:t xml:space="preserve">More broadly, having more gender- and racial- equitable platform environments is important for their potential to anticipate problems. This might include, for instance, platforms being more aware of the ways that their policies, and bad actors on them, often disproportionally affect women and people of color. </w:t>
      </w:r>
    </w:p>
    <w:p w:rsidR="00FB0B24" w:rsidRPr="005B5CB6" w:rsidP="00575F14">
      <w:pPr>
        <w:numPr>
          <w:ilvl w:val="0"/>
          <w:numId w:val="295"/>
        </w:numPr>
        <w:spacing w:after="383" w:line="250" w:lineRule="auto"/>
        <w:ind w:hanging="360"/>
        <w:jc w:val="both"/>
        <w:rPr>
          <w:rFonts w:ascii="Verdana" w:hAnsi="Verdana"/>
        </w:rPr>
      </w:pPr>
      <w:r w:rsidRPr="005B5CB6">
        <w:rPr>
          <w:rFonts w:ascii="Verdana" w:eastAsia="Verdana" w:hAnsi="Verdana" w:cs="Verdana"/>
          <w:b/>
        </w:rPr>
        <w:t xml:space="preserve">What evidence is there that internet usage is increasing political polarisation? Are there good reasons to be concerned about the growth of online ‘echo chambers’? </w:t>
      </w:r>
    </w:p>
    <w:p w:rsidR="00FB0B24" w:rsidRPr="005B5CB6" w:rsidP="00EA5212">
      <w:pPr>
        <w:spacing w:after="383" w:line="249" w:lineRule="auto"/>
        <w:ind w:left="10" w:right="12" w:hanging="9"/>
        <w:jc w:val="both"/>
        <w:rPr>
          <w:rFonts w:ascii="Verdana" w:hAnsi="Verdana"/>
        </w:rPr>
      </w:pPr>
      <w:r w:rsidRPr="005B5CB6">
        <w:rPr>
          <w:rFonts w:ascii="Verdana" w:eastAsia="Verdana" w:hAnsi="Verdana" w:cs="Verdana"/>
        </w:rPr>
        <w:t xml:space="preserve">In general, I think that internet usage has a tendency to amplify political polarisation. We have good research demonstrating that the internet has historically played only a small role in political polarization compared with the rise of things such as partisan cable news and political talk radio in the United States or more broadly global political dynamics based on identarian movements. At the same time, it is likely also true that social media platforms, in selecting for engagement, often reward and give the most reach to speech that is the most extreme, emotional, or otherwise polarizing.  </w:t>
      </w:r>
    </w:p>
    <w:p w:rsidR="00FB0B24" w:rsidRPr="005B5CB6" w:rsidP="00EA5212">
      <w:pPr>
        <w:spacing w:after="383" w:line="249" w:lineRule="auto"/>
        <w:ind w:left="10" w:right="12" w:hanging="9"/>
        <w:jc w:val="both"/>
        <w:rPr>
          <w:rFonts w:ascii="Verdana" w:hAnsi="Verdana"/>
        </w:rPr>
      </w:pPr>
      <w:r w:rsidRPr="005B5CB6">
        <w:rPr>
          <w:rFonts w:ascii="Verdana" w:eastAsia="Verdana" w:hAnsi="Verdana" w:cs="Verdana"/>
        </w:rPr>
        <w:t xml:space="preserve">The literature on echo chambers, on balance, suggests that they are far more publicly hyped than a phenomenon of deep concern. In general, people who use the internet and social media for the purposes of consuming political information draw on more, not fewer, sources of political content, including legacy media organizations. While the algorithms of platforms might select for the most identitycongruent information, people are still exposed to more than they would otherwise be on balance in a world absent of digital and social media. </w:t>
      </w:r>
    </w:p>
    <w:p w:rsidR="00FB0B24" w:rsidRPr="005B5CB6" w:rsidP="00575F14">
      <w:pPr>
        <w:numPr>
          <w:ilvl w:val="0"/>
          <w:numId w:val="295"/>
        </w:numPr>
        <w:spacing w:after="383" w:line="250" w:lineRule="auto"/>
        <w:ind w:hanging="360"/>
        <w:jc w:val="both"/>
        <w:rPr>
          <w:rFonts w:ascii="Verdana" w:hAnsi="Verdana"/>
        </w:rPr>
      </w:pPr>
      <w:r w:rsidRPr="005B5CB6">
        <w:rPr>
          <w:rFonts w:ascii="Verdana" w:eastAsia="Verdana" w:hAnsi="Verdana" w:cs="Verdana"/>
          <w:b/>
        </w:rPr>
        <w:t xml:space="preserve">How can digital literacy amongst citizens best be promoted? And who should take primary responsibility for promoting these skills? </w:t>
      </w:r>
    </w:p>
    <w:p w:rsidR="00FB0B24" w:rsidRPr="005B5CB6" w:rsidP="00EA5212">
      <w:pPr>
        <w:spacing w:after="383" w:line="249" w:lineRule="auto"/>
        <w:ind w:left="10" w:right="12" w:hanging="9"/>
        <w:jc w:val="both"/>
        <w:rPr>
          <w:rFonts w:ascii="Verdana" w:hAnsi="Verdana"/>
        </w:rPr>
      </w:pPr>
      <w:r w:rsidRPr="005B5CB6">
        <w:rPr>
          <w:rFonts w:ascii="Verdana" w:eastAsia="Verdana" w:hAnsi="Verdana" w:cs="Verdana"/>
        </w:rPr>
        <w:t xml:space="preserve">There are a few key tenets to attempts at promoting digital literacy. I think the primary locus for this should be schools, and that information literacy should be a part of primary education from the early grades through high school. Digital literacy should also be made a fundamental component of other science, social studies, and health and wellness education. Regardless of subject matter, exercises promoting digital literacy should also be taught within units on the sciences and social sciences. </w:t>
      </w:r>
    </w:p>
    <w:p w:rsidR="00FB0B24" w:rsidRPr="005B5CB6" w:rsidP="00EA5212">
      <w:pPr>
        <w:spacing w:after="386" w:line="249" w:lineRule="auto"/>
        <w:ind w:left="10" w:right="12" w:hanging="9"/>
        <w:jc w:val="both"/>
        <w:rPr>
          <w:rFonts w:ascii="Verdana" w:hAnsi="Verdana"/>
        </w:rPr>
      </w:pPr>
      <w:r w:rsidRPr="005B5CB6">
        <w:rPr>
          <w:rFonts w:ascii="Verdana" w:eastAsia="Verdana" w:hAnsi="Verdana" w:cs="Verdana"/>
        </w:rPr>
        <w:t xml:space="preserve">Projects that involve students researching subjects for themselves and vetting the information that they come across is one avenue at promoting digital literacy. Another is to have students critically examine their social media feeds, with an eye towards separating out what is factual (and on considering critically on what grounds) or opinion. Broadly, students should have much more exposure to, and be led in thinking critically about, topics in the daily news. This would enable students to explore what they are encountering on a daily basis, discuss the contour and shape of political debate, and examine critically claims and counterclaims in political discourse. Too often there is not a structured space in our primary and secondary educational institutions—or even our institutions of higher learning—to discuss current affairs. </w:t>
      </w:r>
    </w:p>
    <w:p w:rsidR="00FB0B24" w:rsidRPr="005B5CB6" w:rsidP="00575F14">
      <w:pPr>
        <w:numPr>
          <w:ilvl w:val="0"/>
          <w:numId w:val="295"/>
        </w:numPr>
        <w:spacing w:after="383" w:line="250" w:lineRule="auto"/>
        <w:ind w:hanging="360"/>
        <w:jc w:val="both"/>
        <w:rPr>
          <w:rFonts w:ascii="Verdana" w:hAnsi="Verdana"/>
        </w:rPr>
      </w:pPr>
      <w:r w:rsidRPr="005B5CB6">
        <w:rPr>
          <w:rFonts w:ascii="Verdana" w:eastAsia="Verdana" w:hAnsi="Verdana" w:cs="Verdana"/>
          <w:b/>
        </w:rPr>
        <w:t xml:space="preserve">If the UK Government could do one thing to improve the regulation of political campaigns in a digital age, what should it be? </w:t>
      </w:r>
    </w:p>
    <w:p w:rsidR="00FB0B24" w:rsidRPr="005B5CB6" w:rsidP="00EA5212">
      <w:pPr>
        <w:spacing w:after="263" w:line="249" w:lineRule="auto"/>
        <w:ind w:left="10" w:right="12" w:hanging="9"/>
        <w:jc w:val="both"/>
        <w:rPr>
          <w:rFonts w:ascii="Verdana" w:hAnsi="Verdana"/>
        </w:rPr>
      </w:pPr>
      <w:r w:rsidRPr="005B5CB6">
        <w:rPr>
          <w:rFonts w:ascii="Verdana" w:eastAsia="Verdana" w:hAnsi="Verdana" w:cs="Verdana"/>
        </w:rPr>
        <w:t xml:space="preserve">I would advocate for a process-based approach to regulating platforms and political speech. It is clear that a lot of the tensions of contemporary campaigning come in the context of the unsettled role that platforms play in electoral processes. If the UK government had a target for regulation, I would start there. </w:t>
      </w:r>
    </w:p>
    <w:p w:rsidR="00FB0B24" w:rsidRPr="005B5CB6" w:rsidP="00EA5212">
      <w:pPr>
        <w:spacing w:after="232" w:line="249" w:lineRule="auto"/>
        <w:ind w:left="10" w:right="12" w:hanging="9"/>
        <w:jc w:val="both"/>
        <w:rPr>
          <w:rFonts w:ascii="Verdana" w:hAnsi="Verdana"/>
        </w:rPr>
      </w:pPr>
      <w:r w:rsidRPr="005B5CB6">
        <w:rPr>
          <w:rFonts w:ascii="Verdana" w:eastAsia="Verdana" w:hAnsi="Verdana" w:cs="Verdana"/>
        </w:rPr>
        <w:t xml:space="preserve">I covered this extensively above, but to reiterate, here are a few important things that can be done—which can all be grounded under one label. Taken together, I would impose greater standards on platform companies relating to definitions, public disclosure, transparency, and the standardization of the data that platform companies make available to the public and other stakeholders of democratic elections. The UK government can require platforms, and especially Facebook and Google and their related holdings, to be clearer about the existing state of their policies and products in the context of digital political advertising. There can be greater standardization in the definition of political ads. There should be greater standardization around the disclosure of political ads and the transparency of paid political promotions, including targeting data </w:t>
      </w:r>
    </w:p>
    <w:p w:rsidR="00FB0B24" w:rsidRPr="005B5CB6" w:rsidP="00EA5212">
      <w:pPr>
        <w:spacing w:after="5" w:line="249" w:lineRule="auto"/>
        <w:ind w:left="10" w:right="12" w:hanging="9"/>
        <w:jc w:val="both"/>
        <w:rPr>
          <w:rFonts w:ascii="Verdana" w:hAnsi="Verdana"/>
        </w:rPr>
      </w:pPr>
      <w:r w:rsidRPr="005B5CB6">
        <w:rPr>
          <w:rFonts w:ascii="Verdana" w:eastAsia="Verdana" w:hAnsi="Verdana" w:cs="Verdana"/>
        </w:rPr>
        <w:t xml:space="preserve">And, the UK can consider democratic beneficial reforms in platform governance, for example, requiring mechanisms for counter-speech and requiring the establishment of better processes around the ways that platforms justify content moderation and make their decisions transparent and contestable. </w:t>
      </w:r>
    </w:p>
    <w:p w:rsidR="00FB0B24" w:rsidRPr="005B5CB6" w:rsidP="00EA5212">
      <w:pPr>
        <w:jc w:val="both"/>
        <w:rPr>
          <w:rFonts w:ascii="Verdana" w:hAnsi="Verdana"/>
        </w:rPr>
        <w:sectPr w:rsidSect="0098734B">
          <w:headerReference w:type="even" r:id="rId547"/>
          <w:headerReference w:type="default" r:id="rId548"/>
          <w:footerReference w:type="even" r:id="rId549"/>
          <w:footerReference w:type="default" r:id="rId550"/>
          <w:headerReference w:type="first" r:id="rId551"/>
          <w:footerReference w:type="first" r:id="rId552"/>
          <w:pgSz w:w="11906" w:h="16838"/>
          <w:pgMar w:top="765" w:right="1436" w:bottom="1446" w:left="1365" w:header="720" w:footer="708" w:gutter="0"/>
          <w:cols w:space="720"/>
        </w:sectPr>
      </w:pPr>
    </w:p>
    <w:p w:rsidR="00FB0B24" w:rsidRPr="005B5CB6" w:rsidP="00A1624B">
      <w:pPr>
        <w:pStyle w:val="Heading1"/>
        <w:rPr>
          <w:sz w:val="22"/>
        </w:rPr>
      </w:pPr>
      <w:bookmarkStart w:id="86" w:name="_Toc44517774"/>
      <w:r w:rsidRPr="005B5CB6">
        <w:rPr>
          <w:sz w:val="22"/>
        </w:rPr>
        <w:t>Joe Mitchell</w:t>
      </w:r>
      <w:r w:rsidRPr="005B5CB6" w:rsidR="00B123E2">
        <w:rPr>
          <w:sz w:val="22"/>
        </w:rPr>
        <w:t xml:space="preserve">, Dr Alan Renwick, and Michela Palese </w:t>
      </w:r>
      <w:r w:rsidRPr="005B5CB6">
        <w:rPr>
          <w:sz w:val="22"/>
        </w:rPr>
        <w:t>– supplementary written evidence (DAD0099)</w:t>
      </w:r>
      <w:bookmarkEnd w:id="86"/>
      <w:r w:rsidRPr="005B5CB6">
        <w:rPr>
          <w:color w:val="2F5496"/>
          <w:sz w:val="22"/>
        </w:rPr>
        <w:t xml:space="preserve"> </w:t>
      </w:r>
    </w:p>
    <w:p w:rsidR="00FB0B24" w:rsidRPr="005B5CB6" w:rsidP="00EA5212">
      <w:pPr>
        <w:spacing w:after="223"/>
        <w:ind w:left="1"/>
        <w:jc w:val="both"/>
        <w:rPr>
          <w:rFonts w:ascii="Verdana" w:hAnsi="Verdana"/>
        </w:rPr>
      </w:pPr>
      <w:r w:rsidRPr="005B5CB6">
        <w:rPr>
          <w:rFonts w:ascii="Verdana" w:eastAsia="Verdana" w:hAnsi="Verdana" w:cs="Verdana"/>
        </w:rPr>
        <w:t xml:space="preserve"> </w:t>
      </w:r>
    </w:p>
    <w:p w:rsidR="00FB0B24" w:rsidRPr="005B5CB6" w:rsidP="00EA5212">
      <w:pPr>
        <w:spacing w:after="232" w:line="250" w:lineRule="auto"/>
        <w:ind w:left="23" w:right="11" w:hanging="8"/>
        <w:jc w:val="both"/>
        <w:rPr>
          <w:rFonts w:ascii="Verdana" w:hAnsi="Verdana"/>
        </w:rPr>
      </w:pPr>
      <w:r w:rsidRPr="005B5CB6">
        <w:rPr>
          <w:rFonts w:ascii="Verdana" w:eastAsia="Verdana" w:hAnsi="Verdana" w:cs="Verdana"/>
        </w:rPr>
        <w:t xml:space="preserve">During our evidence session on Tuesday 10 March 2020, Lord German asked:  </w:t>
      </w:r>
    </w:p>
    <w:p w:rsidR="00FB0B24" w:rsidRPr="005B5CB6" w:rsidP="00EA5212">
      <w:pPr>
        <w:spacing w:after="226" w:line="249" w:lineRule="auto"/>
        <w:ind w:left="736" w:right="-10"/>
        <w:jc w:val="both"/>
        <w:rPr>
          <w:rFonts w:ascii="Verdana" w:hAnsi="Verdana"/>
        </w:rPr>
      </w:pPr>
      <w:r w:rsidRPr="005B5CB6">
        <w:rPr>
          <w:rFonts w:ascii="Verdana" w:eastAsia="Verdana" w:hAnsi="Verdana" w:cs="Verdana"/>
          <w:i/>
        </w:rPr>
        <w:t xml:space="preserve">“Who deals with the process of getting the information on the ladder that Alan described? Who is going to run it and where is it going to come from? How is it going to arrive, so that you have all this information available in a systematic way that builds audiences?” </w:t>
      </w:r>
      <w:r w:rsidRPr="005B5CB6">
        <w:rPr>
          <w:rFonts w:ascii="Verdana" w:eastAsia="Verdana" w:hAnsi="Verdana" w:cs="Verdana"/>
        </w:rPr>
        <w:t xml:space="preserve"> </w:t>
      </w:r>
    </w:p>
    <w:p w:rsidR="00FB0B24" w:rsidRPr="005B5CB6" w:rsidP="00EA5212">
      <w:pPr>
        <w:spacing w:after="229" w:line="249" w:lineRule="auto"/>
        <w:ind w:left="10" w:right="12" w:hanging="9"/>
        <w:jc w:val="both"/>
        <w:rPr>
          <w:rFonts w:ascii="Verdana" w:hAnsi="Verdana"/>
        </w:rPr>
      </w:pPr>
      <w:r w:rsidRPr="005B5CB6">
        <w:rPr>
          <w:rFonts w:ascii="Verdana" w:eastAsia="Verdana" w:hAnsi="Verdana" w:cs="Verdana"/>
        </w:rPr>
        <w:t xml:space="preserve">We are pleased to include, as requested, further details of our recommendations for the committee’s consideration. We have chosen to co-author this response, as our views are closely aligned, and have been joined by Michela Palese as the coauthor of </w:t>
      </w:r>
      <w:r w:rsidRPr="005B5CB6">
        <w:rPr>
          <w:rFonts w:ascii="Verdana" w:eastAsia="Verdana" w:hAnsi="Verdana" w:cs="Verdana"/>
          <w:i/>
        </w:rPr>
        <w:t>Doing</w:t>
      </w:r>
      <w:r w:rsidRPr="005B5CB6">
        <w:rPr>
          <w:rFonts w:ascii="Verdana" w:eastAsia="Verdana" w:hAnsi="Verdana" w:cs="Verdana"/>
        </w:rPr>
        <w:t xml:space="preserve"> </w:t>
      </w:r>
      <w:r w:rsidRPr="005B5CB6">
        <w:rPr>
          <w:rFonts w:ascii="Verdana" w:eastAsia="Verdana" w:hAnsi="Verdana" w:cs="Verdana"/>
          <w:i/>
        </w:rPr>
        <w:t xml:space="preserve">Democracy Better </w:t>
      </w:r>
      <w:r w:rsidRPr="005B5CB6">
        <w:rPr>
          <w:rFonts w:ascii="Verdana" w:eastAsia="Verdana" w:hAnsi="Verdana" w:cs="Verdana"/>
        </w:rPr>
        <w:t xml:space="preserve">, the report which established the idea of a hub.  </w:t>
      </w:r>
    </w:p>
    <w:p w:rsidR="00FB0B24" w:rsidRPr="005B5CB6" w:rsidP="00EA5212">
      <w:pPr>
        <w:spacing w:after="232" w:line="250" w:lineRule="auto"/>
        <w:ind w:left="11" w:hanging="10"/>
        <w:jc w:val="both"/>
        <w:rPr>
          <w:rFonts w:ascii="Verdana" w:hAnsi="Verdana"/>
        </w:rPr>
      </w:pPr>
      <w:r w:rsidRPr="005B5CB6">
        <w:rPr>
          <w:rFonts w:ascii="Verdana" w:eastAsia="Verdana" w:hAnsi="Verdana" w:cs="Verdana"/>
          <w:b/>
        </w:rPr>
        <w:t xml:space="preserve">A democratic information hub </w:t>
      </w:r>
      <w:r w:rsidRPr="005B5CB6">
        <w:rPr>
          <w:rFonts w:ascii="Verdana" w:eastAsia="Verdana" w:hAnsi="Verdana" w:cs="Verdana"/>
        </w:rPr>
        <w:t xml:space="preserve"> </w:t>
      </w:r>
    </w:p>
    <w:p w:rsidR="00FB0B24" w:rsidRPr="005B5CB6" w:rsidP="00EA5212">
      <w:pPr>
        <w:spacing w:after="229" w:line="249" w:lineRule="auto"/>
        <w:ind w:left="10" w:right="12" w:hanging="9"/>
        <w:jc w:val="both"/>
        <w:rPr>
          <w:rFonts w:ascii="Verdana" w:hAnsi="Verdana"/>
        </w:rPr>
      </w:pPr>
      <w:r w:rsidRPr="005B5CB6">
        <w:rPr>
          <w:rFonts w:ascii="Verdana" w:eastAsia="Verdana" w:hAnsi="Verdana" w:cs="Verdana"/>
        </w:rPr>
        <w:t xml:space="preserve">Our basic premise is that electoral democracy functions truly effectively only if voters can access the information that they want from sources that they trust. That information should be accurate, balanced, relevant to the issues that matter to people, and accessible to all. Its provision should be independent of government and should draw on input from both experts and members of the public.  </w:t>
      </w:r>
    </w:p>
    <w:p w:rsidR="00FB0B24" w:rsidRPr="005B5CB6" w:rsidP="00EA5212">
      <w:pPr>
        <w:spacing w:after="232" w:line="249" w:lineRule="auto"/>
        <w:ind w:left="10" w:right="12" w:hanging="9"/>
        <w:jc w:val="both"/>
        <w:rPr>
          <w:rFonts w:ascii="Verdana" w:hAnsi="Verdana"/>
        </w:rPr>
      </w:pPr>
      <w:r w:rsidRPr="005B5CB6">
        <w:rPr>
          <w:rFonts w:ascii="Verdana" w:eastAsia="Verdana" w:hAnsi="Verdana" w:cs="Verdana"/>
        </w:rPr>
        <w:t xml:space="preserve">We propose that such information should be provided through what we call a ‘democratic information hub’. We propose a ‘hub’ model because coordination is important: voters need a familiar brand that they can trust; and they need ready pathways through different forms of information so that they can find what they want. At the same time, information within the hub should come from a variety of different sources: plurality of voices is vital to maintain vibrant democratic discourse; and the creativity of many providers in developing information in forms attractive to the full range of citizens should be harnessed.  </w:t>
      </w:r>
    </w:p>
    <w:p w:rsidR="00FB0B24" w:rsidRPr="005B5CB6" w:rsidP="00EA5212">
      <w:pPr>
        <w:spacing w:after="238" w:line="250" w:lineRule="auto"/>
        <w:ind w:left="23" w:right="11" w:hanging="8"/>
        <w:jc w:val="both"/>
        <w:rPr>
          <w:rFonts w:ascii="Verdana" w:hAnsi="Verdana"/>
        </w:rPr>
      </w:pPr>
      <w:r w:rsidRPr="005B5CB6">
        <w:rPr>
          <w:rFonts w:ascii="Verdana" w:eastAsia="Verdana" w:hAnsi="Verdana" w:cs="Verdana"/>
        </w:rPr>
        <w:t xml:space="preserve">In the following paragraphs, we respond to Lord German’s question by highlighting four key features of such an information hub that would be essential to its effective delivery.  </w:t>
      </w:r>
    </w:p>
    <w:p w:rsidR="00FB0B24" w:rsidRPr="005B5CB6" w:rsidP="00EA5212">
      <w:pPr>
        <w:tabs>
          <w:tab w:val="center" w:pos="1359"/>
        </w:tabs>
        <w:spacing w:after="239" w:line="250" w:lineRule="auto"/>
        <w:jc w:val="both"/>
        <w:rPr>
          <w:rFonts w:ascii="Verdana" w:hAnsi="Verdana"/>
        </w:rPr>
      </w:pPr>
      <w:r w:rsidRPr="005B5CB6">
        <w:rPr>
          <w:rFonts w:ascii="Verdana" w:eastAsia="Verdana" w:hAnsi="Verdana" w:cs="Verdana"/>
          <w:b/>
        </w:rPr>
        <w:t xml:space="preserve">1. </w:t>
      </w:r>
      <w:r w:rsidRPr="005B5CB6">
        <w:rPr>
          <w:rFonts w:ascii="Verdana" w:eastAsia="Verdana" w:hAnsi="Verdana" w:cs="Verdana"/>
          <w:b/>
        </w:rPr>
        <w:tab/>
        <w:t xml:space="preserve">Governance </w:t>
      </w:r>
      <w:r w:rsidRPr="005B5CB6">
        <w:rPr>
          <w:rFonts w:ascii="Verdana" w:eastAsia="Verdana" w:hAnsi="Verdana" w:cs="Verdana"/>
        </w:rPr>
        <w:t xml:space="preserve"> </w:t>
      </w:r>
    </w:p>
    <w:p w:rsidR="00FB0B24" w:rsidRPr="005B5CB6" w:rsidP="00EA5212">
      <w:pPr>
        <w:spacing w:after="235" w:line="250" w:lineRule="auto"/>
        <w:ind w:left="11" w:hanging="10"/>
        <w:jc w:val="both"/>
        <w:rPr>
          <w:rFonts w:ascii="Verdana" w:hAnsi="Verdana"/>
        </w:rPr>
      </w:pPr>
      <w:r w:rsidRPr="005B5CB6">
        <w:rPr>
          <w:rFonts w:ascii="Verdana" w:eastAsia="Verdana" w:hAnsi="Verdana" w:cs="Verdana"/>
          <w:b/>
        </w:rPr>
        <w:t xml:space="preserve">There should be a new independent public body to design, research and run the democratic information hub. </w:t>
      </w:r>
      <w:r w:rsidRPr="005B5CB6">
        <w:rPr>
          <w:rFonts w:ascii="Verdana" w:eastAsia="Verdana" w:hAnsi="Verdana" w:cs="Verdana"/>
        </w:rPr>
        <w:t xml:space="preserve"> </w:t>
      </w:r>
    </w:p>
    <w:p w:rsidR="00FB0B24" w:rsidRPr="005B5CB6" w:rsidP="00EA5212">
      <w:pPr>
        <w:spacing w:after="231" w:line="249" w:lineRule="auto"/>
        <w:ind w:left="10" w:right="12" w:hanging="9"/>
        <w:jc w:val="both"/>
        <w:rPr>
          <w:rFonts w:ascii="Verdana" w:hAnsi="Verdana"/>
        </w:rPr>
      </w:pPr>
      <w:r w:rsidRPr="005B5CB6">
        <w:rPr>
          <w:rFonts w:ascii="Verdana" w:eastAsia="Verdana" w:hAnsi="Verdana" w:cs="Verdana"/>
          <w:b/>
        </w:rPr>
        <w:t xml:space="preserve">Its work should be overseen by a board of directors and a representative panel of citizens. </w:t>
      </w:r>
      <w:r w:rsidRPr="005B5CB6">
        <w:rPr>
          <w:rFonts w:ascii="Verdana" w:eastAsia="Verdana" w:hAnsi="Verdana" w:cs="Verdana"/>
        </w:rPr>
        <w:t>The</w:t>
      </w:r>
      <w:r w:rsidRPr="005B5CB6">
        <w:rPr>
          <w:rFonts w:ascii="Verdana" w:eastAsia="Verdana" w:hAnsi="Verdana" w:cs="Verdana"/>
          <w:b/>
        </w:rPr>
        <w:t xml:space="preserve"> </w:t>
      </w:r>
      <w:r w:rsidRPr="005B5CB6">
        <w:rPr>
          <w:rFonts w:ascii="Verdana" w:eastAsia="Verdana" w:hAnsi="Verdana" w:cs="Verdana"/>
        </w:rPr>
        <w:t>board of directors would oversee the body’s financial and corporate management.</w:t>
      </w:r>
      <w:r w:rsidRPr="005B5CB6">
        <w:rPr>
          <w:rFonts w:ascii="Verdana" w:eastAsia="Verdana" w:hAnsi="Verdana" w:cs="Verdana"/>
          <w:b/>
        </w:rPr>
        <w:t xml:space="preserve"> </w:t>
      </w:r>
      <w:r w:rsidRPr="005B5CB6">
        <w:rPr>
          <w:rFonts w:ascii="Verdana" w:eastAsia="Verdana" w:hAnsi="Verdana" w:cs="Verdana"/>
        </w:rPr>
        <w:t xml:space="preserve">The citizens’ panel would direct the body as to what content is required.  </w:t>
      </w:r>
    </w:p>
    <w:p w:rsidR="00FB0B24" w:rsidRPr="005B5CB6" w:rsidP="00EA5212">
      <w:pPr>
        <w:spacing w:after="238" w:line="249" w:lineRule="auto"/>
        <w:ind w:left="10" w:right="12" w:hanging="9"/>
        <w:jc w:val="both"/>
        <w:rPr>
          <w:rFonts w:ascii="Verdana" w:hAnsi="Verdana"/>
        </w:rPr>
      </w:pPr>
      <w:r w:rsidRPr="005B5CB6">
        <w:rPr>
          <w:rFonts w:ascii="Verdana" w:eastAsia="Verdana" w:hAnsi="Verdana" w:cs="Verdana"/>
          <w:b/>
        </w:rPr>
        <w:t xml:space="preserve">A new body is necessary because there is no existing public institution that could take on the role. </w:t>
      </w:r>
      <w:r w:rsidRPr="005B5CB6">
        <w:rPr>
          <w:rFonts w:ascii="Verdana" w:eastAsia="Verdana" w:hAnsi="Verdana" w:cs="Verdana"/>
        </w:rPr>
        <w:t xml:space="preserve">The two most obvious candidates are the UK </w:t>
      </w:r>
      <w:r w:rsidRPr="005B5CB6">
        <w:rPr>
          <w:rFonts w:ascii="Verdana" w:eastAsia="Verdana" w:hAnsi="Verdana" w:cs="Verdana"/>
        </w:rPr>
        <w:t xml:space="preserve">Electoral Commission and the BBC. The former has repeatedly stated its opposition to an expanded remit in this area. It is primarily a regulatory body and would not be best suited to taking on a large, innovative role in information provision. The latter has an important role to play in elections, but the voter information content that the new body needs to provide is not ‘journalistic’. Some of the habits of traditional news reporting – bold headlines, engineered contention, dichotomised complex debates – are inappropriate for voter information.  </w:t>
      </w:r>
    </w:p>
    <w:p w:rsidR="00FB0B24" w:rsidRPr="005B5CB6" w:rsidP="00EA5212">
      <w:pPr>
        <w:tabs>
          <w:tab w:val="center" w:pos="1173"/>
        </w:tabs>
        <w:spacing w:after="242" w:line="250" w:lineRule="auto"/>
        <w:jc w:val="both"/>
        <w:rPr>
          <w:rFonts w:ascii="Verdana" w:hAnsi="Verdana"/>
        </w:rPr>
      </w:pPr>
      <w:r w:rsidRPr="005B5CB6">
        <w:rPr>
          <w:rFonts w:ascii="Verdana" w:eastAsia="Verdana" w:hAnsi="Verdana" w:cs="Verdana"/>
        </w:rPr>
        <w:t xml:space="preserve">2. </w:t>
      </w:r>
      <w:r w:rsidRPr="005B5CB6">
        <w:rPr>
          <w:rFonts w:ascii="Verdana" w:eastAsia="Verdana" w:hAnsi="Verdana" w:cs="Verdana"/>
        </w:rPr>
        <w:tab/>
      </w:r>
      <w:r w:rsidRPr="005B5CB6">
        <w:rPr>
          <w:rFonts w:ascii="Verdana" w:eastAsia="Verdana" w:hAnsi="Verdana" w:cs="Verdana"/>
          <w:b/>
        </w:rPr>
        <w:t xml:space="preserve">Funding </w:t>
      </w:r>
      <w:r w:rsidRPr="005B5CB6">
        <w:rPr>
          <w:rFonts w:ascii="Verdana" w:eastAsia="Verdana" w:hAnsi="Verdana" w:cs="Verdana"/>
        </w:rPr>
        <w:t xml:space="preserve"> </w:t>
      </w:r>
    </w:p>
    <w:p w:rsidR="00FB0B24" w:rsidRPr="005B5CB6" w:rsidP="00EA5212">
      <w:pPr>
        <w:spacing w:after="229" w:line="249" w:lineRule="auto"/>
        <w:ind w:left="10" w:right="12" w:hanging="9"/>
        <w:jc w:val="both"/>
        <w:rPr>
          <w:rFonts w:ascii="Verdana" w:hAnsi="Verdana"/>
        </w:rPr>
      </w:pPr>
      <w:r w:rsidRPr="005B5CB6">
        <w:rPr>
          <w:rFonts w:ascii="Verdana" w:eastAsia="Verdana" w:hAnsi="Verdana" w:cs="Verdana"/>
          <w:b/>
        </w:rPr>
        <w:t xml:space="preserve">It is imperative to invest in the health of our democracy. </w:t>
      </w:r>
      <w:r w:rsidRPr="005B5CB6">
        <w:rPr>
          <w:rFonts w:ascii="Verdana" w:eastAsia="Verdana" w:hAnsi="Verdana" w:cs="Verdana"/>
        </w:rPr>
        <w:t>A</w:t>
      </w:r>
      <w:r w:rsidRPr="005B5CB6">
        <w:rPr>
          <w:rFonts w:ascii="Verdana" w:eastAsia="Verdana" w:hAnsi="Verdana" w:cs="Verdana"/>
          <w:b/>
        </w:rPr>
        <w:t xml:space="preserve"> </w:t>
      </w:r>
      <w:r w:rsidRPr="005B5CB6">
        <w:rPr>
          <w:rFonts w:ascii="Verdana" w:eastAsia="Verdana" w:hAnsi="Verdana" w:cs="Verdana"/>
        </w:rPr>
        <w:t xml:space="preserve">well-functioning democracy relies upon an educated polity and upon easy access to quality information about democratic processes. The information hub could improve how we engage with each other within society and enhance policy outcomes within government. A relatively small investment in democracy has the capacity to bring significant positive effects.  </w:t>
      </w:r>
    </w:p>
    <w:p w:rsidR="00FB0B24" w:rsidRPr="005B5CB6" w:rsidP="00EA5212">
      <w:pPr>
        <w:spacing w:after="229" w:line="249" w:lineRule="auto"/>
        <w:ind w:left="10" w:right="12" w:hanging="9"/>
        <w:jc w:val="both"/>
        <w:rPr>
          <w:rFonts w:ascii="Verdana" w:hAnsi="Verdana"/>
        </w:rPr>
      </w:pPr>
      <w:r w:rsidRPr="005B5CB6">
        <w:rPr>
          <w:rFonts w:ascii="Verdana" w:eastAsia="Verdana" w:hAnsi="Verdana" w:cs="Verdana"/>
          <w:b/>
        </w:rPr>
        <w:t xml:space="preserve">The new body would require a sophisticated digital resource. </w:t>
      </w:r>
      <w:r w:rsidRPr="005B5CB6">
        <w:rPr>
          <w:rFonts w:ascii="Verdana" w:eastAsia="Verdana" w:hAnsi="Verdana" w:cs="Verdana"/>
        </w:rPr>
        <w:t xml:space="preserve">It would need to be attractive and intuitive for a wide range of users. Extensive marketing, both on- and off-line would be required. Citizen panels would require support. Teams of experts in policy, facilitation, and communications would need to be recruited.  </w:t>
      </w:r>
    </w:p>
    <w:p w:rsidR="00FB0B24" w:rsidRPr="005B5CB6" w:rsidP="00EA5212">
      <w:pPr>
        <w:spacing w:after="232" w:line="249" w:lineRule="auto"/>
        <w:ind w:left="10" w:right="12" w:hanging="9"/>
        <w:jc w:val="both"/>
        <w:rPr>
          <w:rFonts w:ascii="Verdana" w:hAnsi="Verdana"/>
        </w:rPr>
      </w:pPr>
      <w:r w:rsidRPr="005B5CB6">
        <w:rPr>
          <w:rFonts w:ascii="Verdana" w:eastAsia="Verdana" w:hAnsi="Verdana" w:cs="Verdana"/>
          <w:b/>
        </w:rPr>
        <w:t>Funding through civil society and charitable means is inadequate and unsustainable.</w:t>
      </w:r>
      <w:r w:rsidRPr="005B5CB6">
        <w:rPr>
          <w:rFonts w:ascii="Verdana" w:eastAsia="Verdana" w:hAnsi="Verdana" w:cs="Verdana"/>
        </w:rPr>
        <w:t xml:space="preserve"> Some procedural and factual information is provided by Democracy Club, and sporadic attempts have been made by civil society organisations to provide voter advice applications. A public body would be sustainably funded over the long term for the transformative approach to information and discourse that we set out here.  </w:t>
      </w:r>
    </w:p>
    <w:p w:rsidR="00FB0B24" w:rsidRPr="005B5CB6" w:rsidP="00EA5212">
      <w:pPr>
        <w:spacing w:after="229" w:line="249" w:lineRule="auto"/>
        <w:ind w:left="10" w:right="12" w:hanging="9"/>
        <w:jc w:val="both"/>
        <w:rPr>
          <w:rFonts w:ascii="Verdana" w:hAnsi="Verdana"/>
        </w:rPr>
      </w:pPr>
      <w:r w:rsidRPr="005B5CB6">
        <w:rPr>
          <w:rFonts w:ascii="Verdana" w:eastAsia="Verdana" w:hAnsi="Verdana" w:cs="Verdana"/>
          <w:b/>
        </w:rPr>
        <w:t>The information hub could be cost neutral, by diverting funding from the delivery of election addresses.</w:t>
      </w:r>
      <w:r w:rsidRPr="005B5CB6">
        <w:rPr>
          <w:rFonts w:ascii="Verdana" w:eastAsia="Verdana" w:hAnsi="Verdana" w:cs="Verdana"/>
        </w:rPr>
        <w:t xml:space="preserve"> Following the 2017 general election, the UK government reported that £42.5 million was spent ‘to cover … the delivery of election addresses at public expense by the Universal Service Provider (Royal Mail) in accordance with legislation’ (Cabinet Office 2017). Such figures were barely detectable in the overall scheme of public finances.  </w:t>
      </w:r>
    </w:p>
    <w:p w:rsidR="00FB0B24" w:rsidRPr="005B5CB6" w:rsidP="00EA5212">
      <w:pPr>
        <w:spacing w:after="36" w:line="249" w:lineRule="auto"/>
        <w:ind w:left="10" w:right="12" w:hanging="9"/>
        <w:jc w:val="both"/>
        <w:rPr>
          <w:rFonts w:ascii="Verdana" w:hAnsi="Verdana"/>
        </w:rPr>
      </w:pPr>
      <w:r w:rsidRPr="005B5CB6">
        <w:rPr>
          <w:rFonts w:ascii="Verdana" w:eastAsia="Verdana" w:hAnsi="Verdana" w:cs="Verdana"/>
          <w:b/>
        </w:rPr>
        <w:t>Public funding to support information and discourse is also widespread in other democracies.</w:t>
      </w:r>
      <w:r w:rsidRPr="005B5CB6">
        <w:rPr>
          <w:rFonts w:ascii="Verdana" w:eastAsia="Verdana" w:hAnsi="Verdana" w:cs="Verdana"/>
        </w:rPr>
        <w:t xml:space="preserve"> Schemes in Canada, Ireland, Germany, the Netherlands, and New Zealand are all publicly funded. Without public funding, provision will inevitably remain limited, ad hoc, and uncoordinated.  </w:t>
      </w:r>
    </w:p>
    <w:p w:rsidR="00FB0B24" w:rsidRPr="005B5CB6" w:rsidP="00575F14">
      <w:pPr>
        <w:numPr>
          <w:ilvl w:val="0"/>
          <w:numId w:val="296"/>
        </w:numPr>
        <w:spacing w:after="242" w:line="250" w:lineRule="auto"/>
        <w:ind w:left="741" w:hanging="545"/>
        <w:jc w:val="both"/>
        <w:rPr>
          <w:rFonts w:ascii="Verdana" w:hAnsi="Verdana"/>
        </w:rPr>
      </w:pPr>
      <w:r w:rsidRPr="005B5CB6">
        <w:rPr>
          <w:rFonts w:ascii="Verdana" w:eastAsia="Verdana" w:hAnsi="Verdana" w:cs="Verdana"/>
          <w:b/>
        </w:rPr>
        <w:t xml:space="preserve">Content </w:t>
      </w:r>
      <w:r w:rsidRPr="005B5CB6">
        <w:rPr>
          <w:rFonts w:ascii="Verdana" w:eastAsia="Verdana" w:hAnsi="Verdana" w:cs="Verdana"/>
        </w:rPr>
        <w:t xml:space="preserve"> </w:t>
      </w:r>
    </w:p>
    <w:p w:rsidR="00FB0B24" w:rsidRPr="005B5CB6" w:rsidP="00EA5212">
      <w:pPr>
        <w:spacing w:after="229" w:line="249" w:lineRule="auto"/>
        <w:ind w:left="10" w:right="12" w:hanging="9"/>
        <w:jc w:val="both"/>
        <w:rPr>
          <w:rFonts w:ascii="Verdana" w:hAnsi="Verdana"/>
        </w:rPr>
      </w:pPr>
      <w:r w:rsidRPr="005B5CB6">
        <w:rPr>
          <w:rFonts w:ascii="Verdana" w:eastAsia="Verdana" w:hAnsi="Verdana" w:cs="Verdana"/>
          <w:b/>
        </w:rPr>
        <w:t>The hub would coordinate the aggregation and creation of information content that voters require.</w:t>
      </w:r>
      <w:r w:rsidRPr="005B5CB6">
        <w:rPr>
          <w:rFonts w:ascii="Verdana" w:eastAsia="Verdana" w:hAnsi="Verdana" w:cs="Verdana"/>
        </w:rPr>
        <w:t xml:space="preserve"> In doing the former, it would become a kind of kitemark for quality information, as well as rendering others’ information more accessible (e.g. the work of the Institute for Fiscal Studies or Office for Budget Responsibility). The latter would be directed by the citizens’ panel and would likely include a voter advice application.  </w:t>
      </w:r>
    </w:p>
    <w:p w:rsidR="00FB0B24" w:rsidRPr="005B5CB6" w:rsidP="00EA5212">
      <w:pPr>
        <w:spacing w:after="242" w:line="249" w:lineRule="auto"/>
        <w:ind w:left="10" w:right="12" w:hanging="9"/>
        <w:jc w:val="both"/>
        <w:rPr>
          <w:rFonts w:ascii="Verdana" w:hAnsi="Verdana"/>
        </w:rPr>
      </w:pPr>
      <w:r w:rsidRPr="005B5CB6">
        <w:rPr>
          <w:rFonts w:ascii="Verdana" w:eastAsia="Verdana" w:hAnsi="Verdana" w:cs="Verdana"/>
          <w:b/>
        </w:rPr>
        <w:t xml:space="preserve">Deliberative panels comprising representative samples of the population could select topics and help formulate statements. </w:t>
      </w:r>
      <w:r w:rsidRPr="005B5CB6">
        <w:rPr>
          <w:rFonts w:ascii="Verdana" w:eastAsia="Verdana" w:hAnsi="Verdana" w:cs="Verdana"/>
        </w:rPr>
        <w:t>This</w:t>
      </w:r>
      <w:r w:rsidRPr="005B5CB6">
        <w:rPr>
          <w:rFonts w:ascii="Verdana" w:eastAsia="Verdana" w:hAnsi="Verdana" w:cs="Verdana"/>
          <w:b/>
        </w:rPr>
        <w:t xml:space="preserve">  </w:t>
      </w:r>
      <w:r w:rsidRPr="005B5CB6">
        <w:rPr>
          <w:rFonts w:ascii="Verdana" w:eastAsia="Verdana" w:hAnsi="Verdana" w:cs="Verdana"/>
        </w:rPr>
        <w:t xml:space="preserve"> would ensure that the materials are relevant and accessible to the wider population. The body could test new models of information provision, over video, audio, connected speakers and so on.  </w:t>
      </w:r>
    </w:p>
    <w:p w:rsidR="00FB0B24" w:rsidRPr="005B5CB6" w:rsidP="00575F14">
      <w:pPr>
        <w:numPr>
          <w:ilvl w:val="0"/>
          <w:numId w:val="296"/>
        </w:numPr>
        <w:spacing w:after="273" w:line="250" w:lineRule="auto"/>
        <w:ind w:left="741" w:hanging="545"/>
        <w:jc w:val="both"/>
        <w:rPr>
          <w:rFonts w:ascii="Verdana" w:hAnsi="Verdana"/>
        </w:rPr>
      </w:pPr>
      <w:r w:rsidRPr="005B5CB6">
        <w:rPr>
          <w:rFonts w:ascii="Verdana" w:eastAsia="Verdana" w:hAnsi="Verdana" w:cs="Verdana"/>
          <w:b/>
        </w:rPr>
        <w:t>Marketing</w:t>
      </w:r>
      <w:r w:rsidRPr="005B5CB6">
        <w:rPr>
          <w:rFonts w:ascii="Verdana" w:eastAsia="Verdana" w:hAnsi="Verdana" w:cs="Verdana"/>
        </w:rPr>
        <w:t xml:space="preserve">  </w:t>
      </w:r>
    </w:p>
    <w:p w:rsidR="00FB0B24" w:rsidRPr="005B5CB6" w:rsidP="00EA5212">
      <w:pPr>
        <w:spacing w:after="232" w:line="249" w:lineRule="auto"/>
        <w:ind w:left="10" w:right="12" w:hanging="9"/>
        <w:jc w:val="both"/>
        <w:rPr>
          <w:rFonts w:ascii="Verdana" w:hAnsi="Verdana"/>
        </w:rPr>
      </w:pPr>
      <w:r w:rsidRPr="005B5CB6">
        <w:rPr>
          <w:rFonts w:ascii="Verdana" w:eastAsia="Verdana" w:hAnsi="Verdana" w:cs="Verdana"/>
          <w:b/>
        </w:rPr>
        <w:t xml:space="preserve">The hub could be promoted via existing ‘democratic touchpoints’. </w:t>
      </w:r>
      <w:r w:rsidRPr="005B5CB6">
        <w:rPr>
          <w:rFonts w:ascii="Verdana" w:eastAsia="Verdana" w:hAnsi="Verdana" w:cs="Verdana"/>
        </w:rPr>
        <w:t>By</w:t>
      </w:r>
      <w:r w:rsidRPr="005B5CB6">
        <w:rPr>
          <w:rFonts w:ascii="Verdana" w:eastAsia="Verdana" w:hAnsi="Verdana" w:cs="Verdana"/>
          <w:b/>
        </w:rPr>
        <w:t xml:space="preserve">  </w:t>
      </w:r>
      <w:r w:rsidRPr="005B5CB6">
        <w:rPr>
          <w:rFonts w:ascii="Verdana" w:eastAsia="Verdana" w:hAnsi="Verdana" w:cs="Verdana"/>
        </w:rPr>
        <w:t xml:space="preserve"> virtue of being a new </w:t>
      </w:r>
      <w:r w:rsidRPr="005B5CB6">
        <w:rPr>
          <w:rFonts w:ascii="Verdana" w:eastAsia="Verdana" w:hAnsi="Verdana" w:cs="Verdana"/>
          <w:i/>
        </w:rPr>
        <w:t>public</w:t>
      </w:r>
      <w:r w:rsidRPr="005B5CB6">
        <w:rPr>
          <w:rFonts w:ascii="Verdana" w:eastAsia="Verdana" w:hAnsi="Verdana" w:cs="Verdana"/>
        </w:rPr>
        <w:t xml:space="preserve"> body, the information hub would benefit from being linked to from publicly provided materials, such as poll cards or the ‘register to vote’ service.  </w:t>
      </w:r>
    </w:p>
    <w:p w:rsidR="00FB0B24" w:rsidRPr="005B5CB6" w:rsidP="00EA5212">
      <w:pPr>
        <w:spacing w:after="229" w:line="250" w:lineRule="auto"/>
        <w:ind w:left="23" w:right="11" w:hanging="8"/>
        <w:jc w:val="both"/>
        <w:rPr>
          <w:rFonts w:ascii="Verdana" w:hAnsi="Verdana"/>
        </w:rPr>
      </w:pPr>
      <w:r w:rsidRPr="005B5CB6">
        <w:rPr>
          <w:rFonts w:ascii="Verdana" w:eastAsia="Verdana" w:hAnsi="Verdana" w:cs="Verdana"/>
          <w:b/>
        </w:rPr>
        <w:t>It should also have a traditional marketing budget.</w:t>
      </w:r>
      <w:r w:rsidRPr="005B5CB6">
        <w:rPr>
          <w:rFonts w:ascii="Verdana" w:eastAsia="Verdana" w:hAnsi="Verdana" w:cs="Verdana"/>
        </w:rPr>
        <w:t xml:space="preserve"> This would draw users to the hub via digital and traditional media, PR, live events and so on.  </w:t>
      </w:r>
    </w:p>
    <w:p w:rsidR="00FB0B24" w:rsidRPr="005B5CB6" w:rsidP="00EA5212">
      <w:pPr>
        <w:spacing w:after="229" w:line="249" w:lineRule="auto"/>
        <w:ind w:left="10" w:right="12" w:hanging="9"/>
        <w:jc w:val="both"/>
        <w:rPr>
          <w:rFonts w:ascii="Verdana" w:hAnsi="Verdana"/>
        </w:rPr>
      </w:pPr>
      <w:r w:rsidRPr="005B5CB6">
        <w:rPr>
          <w:rFonts w:ascii="Verdana" w:eastAsia="Verdana" w:hAnsi="Verdana" w:cs="Verdana"/>
          <w:b/>
        </w:rPr>
        <w:t>By opening up all the hub’s information for reuse, the information would reach many more people.</w:t>
      </w:r>
      <w:r w:rsidRPr="005B5CB6">
        <w:rPr>
          <w:rFonts w:ascii="Verdana" w:eastAsia="Verdana" w:hAnsi="Verdana" w:cs="Verdana"/>
        </w:rPr>
        <w:t xml:space="preserve"> This would result in reuse by social media partners, national and local newspapers, independent websites, email newsletters and so on, wherever people get their information from. The hub would encourage reuse by media likely to reach large and diverse audiences, as well as ensuring that information reaches and suits under-represented groups.  </w:t>
      </w:r>
    </w:p>
    <w:p w:rsidR="00FB0B24" w:rsidRPr="005B5CB6" w:rsidP="00EA5212">
      <w:pPr>
        <w:spacing w:after="226"/>
        <w:ind w:left="15"/>
        <w:jc w:val="both"/>
        <w:rPr>
          <w:rFonts w:ascii="Verdana" w:hAnsi="Verdana"/>
        </w:rPr>
      </w:pPr>
      <w:r w:rsidRPr="005B5CB6">
        <w:rPr>
          <w:rFonts w:ascii="Verdana" w:eastAsia="Verdana" w:hAnsi="Verdana" w:cs="Verdana"/>
        </w:rPr>
        <w:t xml:space="preserve">  </w:t>
      </w:r>
    </w:p>
    <w:p w:rsidR="00FB0B24" w:rsidRPr="005B5CB6" w:rsidP="00EA5212">
      <w:pPr>
        <w:spacing w:after="232" w:line="249" w:lineRule="auto"/>
        <w:ind w:left="10" w:right="12" w:hanging="9"/>
        <w:jc w:val="both"/>
        <w:rPr>
          <w:rFonts w:ascii="Verdana" w:hAnsi="Verdana"/>
        </w:rPr>
      </w:pPr>
      <w:r w:rsidRPr="005B5CB6">
        <w:rPr>
          <w:rFonts w:ascii="Verdana" w:eastAsia="Verdana" w:hAnsi="Verdana" w:cs="Verdana"/>
        </w:rPr>
        <w:t xml:space="preserve">This proposal takes seriously the idea that democracy is about empowering voters to make their own choices. We appreciate that it is ambitious. But we think this ambition is important: a major change is needed in how we conceive of information and discourse during election and referendum campaigns.  </w:t>
      </w:r>
    </w:p>
    <w:p w:rsidR="00FB0B24" w:rsidRPr="005B5CB6" w:rsidP="00EA5212">
      <w:pPr>
        <w:spacing w:after="36" w:line="249" w:lineRule="auto"/>
        <w:ind w:left="10" w:right="12" w:hanging="9"/>
        <w:jc w:val="both"/>
        <w:rPr>
          <w:rFonts w:ascii="Verdana" w:hAnsi="Verdana"/>
        </w:rPr>
      </w:pPr>
      <w:r w:rsidRPr="005B5CB6">
        <w:rPr>
          <w:rFonts w:ascii="Verdana" w:eastAsia="Verdana" w:hAnsi="Verdana" w:cs="Verdana"/>
        </w:rPr>
        <w:t xml:space="preserve">At the same time, we recognise that it may be best to develop such an information hub gradually, giving time for trust in this approach to information provision to develop. It may, therefore, be best to start with the relatively simple procedural and factual information at the bottom of the information ladder (see the annex below), before moving to more complex information.  </w:t>
      </w:r>
    </w:p>
    <w:p w:rsidR="00FB0B24" w:rsidRPr="005B5CB6" w:rsidP="00EA5212">
      <w:pPr>
        <w:spacing w:after="227" w:line="249" w:lineRule="auto"/>
        <w:ind w:left="10" w:right="12" w:hanging="9"/>
        <w:jc w:val="both"/>
        <w:rPr>
          <w:rFonts w:ascii="Verdana" w:hAnsi="Verdana"/>
        </w:rPr>
      </w:pPr>
      <w:r w:rsidRPr="005B5CB6">
        <w:rPr>
          <w:rFonts w:ascii="Verdana" w:eastAsia="Verdana" w:hAnsi="Verdana" w:cs="Verdana"/>
        </w:rPr>
        <w:t xml:space="preserve">For a realistic next step, the committee might consider proposing a commission to be set up to fully research and outline the design of an information hub such as we have described.  </w:t>
      </w:r>
    </w:p>
    <w:p w:rsidR="00FB0B24" w:rsidRPr="005B5CB6" w:rsidP="00EA5212">
      <w:pPr>
        <w:spacing w:after="225" w:line="249" w:lineRule="auto"/>
        <w:ind w:left="10" w:right="12" w:hanging="9"/>
        <w:jc w:val="both"/>
        <w:rPr>
          <w:rFonts w:ascii="Verdana" w:hAnsi="Verdana"/>
        </w:rPr>
      </w:pPr>
      <w:r w:rsidRPr="005B5CB6">
        <w:rPr>
          <w:rFonts w:ascii="Verdana" w:eastAsia="Verdana" w:hAnsi="Verdana" w:cs="Verdana"/>
        </w:rPr>
        <w:t xml:space="preserve">Extensive further information on the international research underlying these recommendations is found in a report by Alan Renwick and Michela Palese published in 2019: </w:t>
      </w:r>
      <w:r w:rsidRPr="005B5CB6">
        <w:rPr>
          <w:rFonts w:ascii="Verdana" w:eastAsia="Verdana" w:hAnsi="Verdana" w:cs="Verdana"/>
          <w:i/>
        </w:rPr>
        <w:t>Doing</w:t>
      </w:r>
      <w:r w:rsidRPr="005B5CB6">
        <w:rPr>
          <w:rFonts w:ascii="Verdana" w:eastAsia="Verdana" w:hAnsi="Verdana" w:cs="Verdana"/>
        </w:rPr>
        <w:t xml:space="preserve"> </w:t>
      </w:r>
      <w:r w:rsidRPr="005B5CB6">
        <w:rPr>
          <w:rFonts w:ascii="Verdana" w:eastAsia="Verdana" w:hAnsi="Verdana" w:cs="Verdana"/>
          <w:i/>
        </w:rPr>
        <w:t xml:space="preserve"> Democracy Better: How Can Information and Discourse in Election and Referendum Campaigns in the UK Be Improved?</w:t>
      </w:r>
      <w:r w:rsidRPr="005B5CB6">
        <w:rPr>
          <w:rFonts w:ascii="Verdana" w:eastAsia="Verdana" w:hAnsi="Verdana" w:cs="Verdana"/>
        </w:rPr>
        <w:t xml:space="preserve"> We regret that our current home-working arrangements mean we cannot send you a hard copy, but the report can be downloaded here: </w:t>
      </w:r>
      <w:r>
        <w:fldChar w:fldCharType="begin"/>
      </w:r>
      <w:r>
        <w:instrText xml:space="preserve"> HYPERLINK "https://www.ucl.ac.uk/constitution-unit/research/elections-and-referendums/improving-discourse-during-election-and-referendum-campaigns" </w:instrText>
      </w:r>
      <w:r>
        <w:fldChar w:fldCharType="separate"/>
      </w:r>
      <w:r w:rsidRPr="005B5CB6">
        <w:rPr>
          <w:rFonts w:ascii="Verdana" w:eastAsia="Verdana" w:hAnsi="Verdana" w:cs="Verdana"/>
          <w:color w:val="1154CC"/>
          <w:u w:val="single" w:color="1154CC"/>
        </w:rPr>
        <w:t>https://www.ucl.ac.uk/constitution</w:t>
      </w:r>
      <w:r>
        <w:fldChar w:fldCharType="end"/>
      </w:r>
      <w:r>
        <w:fldChar w:fldCharType="begin"/>
      </w:r>
      <w:r>
        <w:instrText xml:space="preserve"> HYPERLINK "https://www.ucl.ac.uk/constitution-unit/research/elections-and-referendums/improving-discourse-during-election-and-referendum-campaigns" </w:instrText>
      </w:r>
      <w:r>
        <w:fldChar w:fldCharType="separate"/>
      </w:r>
      <w:r w:rsidRPr="005B5CB6">
        <w:rPr>
          <w:rFonts w:ascii="Verdana" w:eastAsia="Verdana" w:hAnsi="Verdana" w:cs="Verdana"/>
          <w:color w:val="1154CC"/>
          <w:u w:val="single" w:color="1154CC"/>
        </w:rPr>
        <w:t>unit/research/elections-and-referendums/improving-discou</w:t>
      </w:r>
      <w:r>
        <w:fldChar w:fldCharType="end"/>
      </w:r>
      <w:r>
        <w:fldChar w:fldCharType="begin"/>
      </w:r>
      <w:r>
        <w:instrText xml:space="preserve"> HYPERLINK "https://www.ucl.ac.uk/constitution-unit/research/elections-and-referendums/improving-discourse-during-election-and-referendum-campaigns" </w:instrText>
      </w:r>
      <w:r>
        <w:fldChar w:fldCharType="separate"/>
      </w:r>
      <w:r w:rsidRPr="005B5CB6">
        <w:rPr>
          <w:rFonts w:ascii="Verdana" w:eastAsia="Verdana" w:hAnsi="Verdana" w:cs="Verdana"/>
          <w:color w:val="1154CC"/>
        </w:rPr>
        <w:t xml:space="preserve"> </w:t>
      </w:r>
      <w:r>
        <w:fldChar w:fldCharType="end"/>
      </w:r>
      <w:r>
        <w:fldChar w:fldCharType="begin"/>
      </w:r>
      <w:r>
        <w:instrText xml:space="preserve"> HYPERLINK "https://www.ucl.ac.uk/constitution-unit/research/elections-and-referendums/improving-discourse-during-election-and-referendum-campaigns" </w:instrText>
      </w:r>
      <w:r>
        <w:fldChar w:fldCharType="separate"/>
      </w:r>
      <w:r w:rsidRPr="005B5CB6">
        <w:rPr>
          <w:rFonts w:ascii="Verdana" w:eastAsia="Verdana" w:hAnsi="Verdana" w:cs="Verdana"/>
          <w:color w:val="1154CC"/>
          <w:u w:val="single" w:color="1154CC"/>
        </w:rPr>
        <w:t>rse-during-election</w:t>
      </w:r>
      <w:r>
        <w:fldChar w:fldCharType="end"/>
      </w:r>
      <w:r>
        <w:fldChar w:fldCharType="begin"/>
      </w:r>
      <w:r>
        <w:instrText xml:space="preserve"> HYPERLINK "https://www.ucl.ac.uk/constitution-unit/research/elections-and-referendums/improving-discourse-during-election-and-referendum-campaigns" </w:instrText>
      </w:r>
      <w:r>
        <w:fldChar w:fldCharType="separate"/>
      </w:r>
      <w:r w:rsidRPr="005B5CB6">
        <w:rPr>
          <w:rFonts w:ascii="Verdana" w:eastAsia="Verdana" w:hAnsi="Verdana" w:cs="Verdana"/>
          <w:color w:val="1154CC"/>
          <w:u w:val="single" w:color="1154CC"/>
        </w:rPr>
        <w:t>and-referendum-campaign</w:t>
      </w:r>
      <w:r>
        <w:fldChar w:fldCharType="end"/>
      </w:r>
      <w:r>
        <w:fldChar w:fldCharType="begin"/>
      </w:r>
      <w:r>
        <w:instrText xml:space="preserve"> HYPERLINK "https://www.ucl.ac.uk/constitution-unit/research/elections-and-referendums/improving-discourse-during-election-and-referendum-campaigns" </w:instrText>
      </w:r>
      <w:r>
        <w:fldChar w:fldCharType="separate"/>
      </w:r>
      <w:r w:rsidRPr="005B5CB6">
        <w:rPr>
          <w:rFonts w:ascii="Verdana" w:eastAsia="Verdana" w:hAnsi="Verdana" w:cs="Verdana"/>
          <w:color w:val="1154CC"/>
          <w:u w:val="single" w:color="1154CC"/>
        </w:rPr>
        <w:t>s</w:t>
      </w:r>
      <w:r>
        <w:fldChar w:fldCharType="end"/>
      </w:r>
      <w:r>
        <w:fldChar w:fldCharType="begin"/>
      </w:r>
      <w:r>
        <w:instrText xml:space="preserve"> HYPERLINK "https://www.ucl.ac.uk/constitution-unit/research/elections-and-referendums/improving-discourse-during-election-and-referendum-campaigns" </w:instrText>
      </w:r>
      <w:r>
        <w:fldChar w:fldCharType="separate"/>
      </w:r>
      <w:r w:rsidRPr="005B5CB6">
        <w:rPr>
          <w:rFonts w:ascii="Verdana" w:eastAsia="Verdana" w:hAnsi="Verdana" w:cs="Verdana"/>
          <w:color w:val="1154CC"/>
        </w:rPr>
        <w:t xml:space="preserve"> </w:t>
      </w:r>
      <w:r>
        <w:fldChar w:fldCharType="end"/>
      </w:r>
      <w:r>
        <w:fldChar w:fldCharType="begin"/>
      </w:r>
      <w:r>
        <w:instrText xml:space="preserve"> HYPERLINK "https://www.ucl.ac.uk/constitution-unit/research/elections-and-referendums/improving-discourse-during-election-and-referendum-campaigns" </w:instrText>
      </w:r>
      <w:r>
        <w:fldChar w:fldCharType="separate"/>
      </w:r>
      <w:r w:rsidRPr="005B5CB6">
        <w:rPr>
          <w:rFonts w:ascii="Verdana" w:eastAsia="Verdana" w:hAnsi="Verdana" w:cs="Verdana"/>
        </w:rPr>
        <w:t>.</w:t>
      </w:r>
      <w:r>
        <w:fldChar w:fldCharType="end"/>
      </w:r>
      <w:r>
        <w:fldChar w:fldCharType="begin"/>
      </w:r>
      <w:r>
        <w:instrText xml:space="preserve"> HYPERLINK "https://www.ucl.ac.uk/constitution-unit/research/elections-and-referendums/improving-discourse-during-election-and-referendum-campaigns"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 </w:t>
      </w:r>
    </w:p>
    <w:p w:rsidR="00FB0B24" w:rsidRPr="005B5CB6" w:rsidP="00EA5212">
      <w:pPr>
        <w:spacing w:after="264"/>
        <w:ind w:left="16"/>
        <w:jc w:val="both"/>
        <w:rPr>
          <w:rFonts w:ascii="Verdana" w:hAnsi="Verdana"/>
        </w:rPr>
      </w:pPr>
      <w:r w:rsidRPr="005B5CB6">
        <w:rPr>
          <w:rFonts w:ascii="Verdana" w:eastAsia="Verdana" w:hAnsi="Verdana" w:cs="Verdana"/>
        </w:rPr>
        <w:t xml:space="preserve">  </w:t>
      </w:r>
    </w:p>
    <w:p w:rsidR="00FB0B24" w:rsidRPr="005B5CB6" w:rsidP="00EA5212">
      <w:pPr>
        <w:tabs>
          <w:tab w:val="center" w:pos="2898"/>
        </w:tabs>
        <w:spacing w:after="86" w:line="250" w:lineRule="auto"/>
        <w:jc w:val="both"/>
        <w:rPr>
          <w:rFonts w:ascii="Verdana" w:hAnsi="Verdana"/>
        </w:rPr>
      </w:pPr>
      <w:r w:rsidRPr="005B5CB6">
        <w:rPr>
          <w:rFonts w:ascii="Verdana" w:eastAsia="Verdana" w:hAnsi="Verdana" w:cs="Verdana"/>
        </w:rPr>
        <w:t xml:space="preserve">Dr Alan Renwick  </w:t>
      </w:r>
      <w:r w:rsidRPr="005B5CB6">
        <w:rPr>
          <w:rFonts w:ascii="Verdana" w:eastAsia="Verdana" w:hAnsi="Verdana" w:cs="Verdana"/>
        </w:rPr>
        <w:tab/>
        <w:t xml:space="preserve">  </w:t>
      </w:r>
    </w:p>
    <w:p w:rsidR="00FB0B24" w:rsidRPr="005B5CB6" w:rsidP="00EA5212">
      <w:pPr>
        <w:spacing w:after="47" w:line="250" w:lineRule="auto"/>
        <w:ind w:left="23" w:right="11" w:hanging="8"/>
        <w:jc w:val="both"/>
        <w:rPr>
          <w:rFonts w:ascii="Verdana" w:hAnsi="Verdana"/>
        </w:rPr>
      </w:pPr>
      <w:r w:rsidRPr="005B5CB6">
        <w:rPr>
          <w:rFonts w:ascii="Verdana" w:eastAsia="Verdana" w:hAnsi="Verdana" w:cs="Verdana"/>
        </w:rPr>
        <w:t xml:space="preserve">Deputy Director,    </w:t>
      </w:r>
    </w:p>
    <w:p w:rsidR="00FB0B24" w:rsidRPr="005B5CB6" w:rsidP="00EA5212">
      <w:pPr>
        <w:spacing w:after="43" w:line="250" w:lineRule="auto"/>
        <w:ind w:left="23" w:right="11" w:hanging="8"/>
        <w:jc w:val="both"/>
        <w:rPr>
          <w:rFonts w:ascii="Verdana" w:hAnsi="Verdana"/>
        </w:rPr>
      </w:pPr>
      <w:r w:rsidRPr="005B5CB6">
        <w:rPr>
          <w:rFonts w:ascii="Verdana" w:eastAsia="Verdana" w:hAnsi="Verdana" w:cs="Verdana"/>
        </w:rPr>
        <w:t xml:space="preserve">Constitution Unit  </w:t>
      </w:r>
    </w:p>
    <w:p w:rsidR="00FB0B24" w:rsidRPr="005B5CB6" w:rsidP="00EA5212">
      <w:pPr>
        <w:spacing w:after="40" w:line="250" w:lineRule="auto"/>
        <w:ind w:left="23" w:right="11" w:hanging="8"/>
        <w:jc w:val="both"/>
        <w:rPr>
          <w:rFonts w:ascii="Verdana" w:hAnsi="Verdana"/>
        </w:rPr>
      </w:pPr>
      <w:r w:rsidRPr="005B5CB6">
        <w:rPr>
          <w:rFonts w:ascii="Verdana" w:eastAsia="Verdana" w:hAnsi="Verdana" w:cs="Verdana"/>
        </w:rPr>
        <w:t xml:space="preserve">University College London  </w:t>
      </w:r>
    </w:p>
    <w:p w:rsidR="00FB0B24" w:rsidRPr="005B5CB6" w:rsidP="00EA5212">
      <w:pPr>
        <w:spacing w:after="29"/>
        <w:ind w:left="16"/>
        <w:jc w:val="both"/>
        <w:rPr>
          <w:rFonts w:ascii="Verdana" w:hAnsi="Verdana"/>
        </w:rPr>
      </w:pPr>
      <w:r w:rsidRPr="005B5CB6">
        <w:rPr>
          <w:rFonts w:ascii="Verdana" w:eastAsia="Verdana" w:hAnsi="Verdana" w:cs="Verdana"/>
        </w:rPr>
        <w:t xml:space="preserve">  </w:t>
      </w:r>
    </w:p>
    <w:p w:rsidR="00FB0B24" w:rsidRPr="005B5CB6" w:rsidP="00EA5212">
      <w:pPr>
        <w:spacing w:after="0"/>
        <w:ind w:left="16"/>
        <w:jc w:val="both"/>
        <w:rPr>
          <w:rFonts w:ascii="Verdana" w:hAnsi="Verdana"/>
        </w:rPr>
      </w:pPr>
      <w:r w:rsidRPr="005B5CB6">
        <w:rPr>
          <w:rFonts w:ascii="Verdana" w:eastAsia="Verdana" w:hAnsi="Verdana" w:cs="Verdana"/>
        </w:rPr>
        <w:t xml:space="preserve">  </w:t>
      </w:r>
    </w:p>
    <w:p w:rsidR="00FB0B24" w:rsidRPr="005B5CB6" w:rsidP="00EA5212">
      <w:pPr>
        <w:spacing w:after="27"/>
        <w:ind w:left="47"/>
        <w:jc w:val="both"/>
        <w:rPr>
          <w:rFonts w:ascii="Verdana" w:hAnsi="Verdana"/>
        </w:rPr>
      </w:pPr>
      <w:r w:rsidRPr="005B5CB6">
        <w:rPr>
          <w:rFonts w:ascii="Verdana" w:eastAsia="Verdana" w:hAnsi="Verdana" w:cs="Verdana"/>
        </w:rPr>
        <w:t xml:space="preserve">  </w:t>
      </w:r>
    </w:p>
    <w:p w:rsidR="00FB0B24" w:rsidRPr="005B5CB6" w:rsidP="00EA5212">
      <w:pPr>
        <w:spacing w:after="43" w:line="250" w:lineRule="auto"/>
        <w:ind w:left="23" w:right="11" w:hanging="8"/>
        <w:jc w:val="both"/>
        <w:rPr>
          <w:rFonts w:ascii="Verdana" w:hAnsi="Verdana"/>
        </w:rPr>
      </w:pPr>
      <w:r w:rsidRPr="005B5CB6">
        <w:rPr>
          <w:rFonts w:ascii="Verdana" w:eastAsia="Verdana" w:hAnsi="Verdana" w:cs="Verdana"/>
        </w:rPr>
        <w:t xml:space="preserve">Michela Palese  </w:t>
      </w:r>
    </w:p>
    <w:p w:rsidR="00FB0B24" w:rsidRPr="005B5CB6" w:rsidP="00EA5212">
      <w:pPr>
        <w:spacing w:after="43" w:line="250" w:lineRule="auto"/>
        <w:ind w:left="23" w:right="11" w:hanging="8"/>
        <w:jc w:val="both"/>
        <w:rPr>
          <w:rFonts w:ascii="Verdana" w:hAnsi="Verdana"/>
        </w:rPr>
      </w:pPr>
      <w:r w:rsidRPr="005B5CB6">
        <w:rPr>
          <w:rFonts w:ascii="Verdana" w:eastAsia="Verdana" w:hAnsi="Verdana" w:cs="Verdana"/>
        </w:rPr>
        <w:t xml:space="preserve">Research &amp; Policy Officer  </w:t>
      </w:r>
    </w:p>
    <w:p w:rsidR="00FB0B24" w:rsidRPr="005B5CB6" w:rsidP="00EA5212">
      <w:pPr>
        <w:spacing w:after="38" w:line="250" w:lineRule="auto"/>
        <w:ind w:left="23" w:right="11" w:hanging="8"/>
        <w:jc w:val="both"/>
        <w:rPr>
          <w:rFonts w:ascii="Verdana" w:hAnsi="Verdana"/>
        </w:rPr>
      </w:pPr>
      <w:r w:rsidRPr="005B5CB6">
        <w:rPr>
          <w:rFonts w:ascii="Verdana" w:eastAsia="Verdana" w:hAnsi="Verdana" w:cs="Verdana"/>
        </w:rPr>
        <w:t xml:space="preserve">Electoral Reform Society  </w:t>
      </w:r>
    </w:p>
    <w:p w:rsidR="00FB0B24" w:rsidRPr="005B5CB6" w:rsidP="00EA5212">
      <w:pPr>
        <w:spacing w:after="0"/>
        <w:ind w:left="16"/>
        <w:jc w:val="both"/>
        <w:rPr>
          <w:rFonts w:ascii="Verdana" w:hAnsi="Verdana"/>
        </w:rPr>
      </w:pPr>
      <w:r w:rsidRPr="005B5CB6">
        <w:rPr>
          <w:rFonts w:ascii="Verdana" w:eastAsia="Verdana" w:hAnsi="Verdana" w:cs="Verdana"/>
        </w:rPr>
        <w:t xml:space="preserve">  </w:t>
      </w:r>
    </w:p>
    <w:p w:rsidR="00FB0B24" w:rsidRPr="005B5CB6" w:rsidP="00EA5212">
      <w:pPr>
        <w:spacing w:after="168"/>
        <w:ind w:left="196"/>
        <w:jc w:val="both"/>
        <w:rPr>
          <w:rFonts w:ascii="Verdana" w:hAnsi="Verdana"/>
        </w:rPr>
      </w:pPr>
      <w:r w:rsidRPr="005B5CB6">
        <w:rPr>
          <w:rFonts w:ascii="Verdana" w:eastAsia="Verdana" w:hAnsi="Verdana" w:cs="Verdana"/>
        </w:rPr>
        <w:t xml:space="preserve"> </w:t>
      </w:r>
    </w:p>
    <w:p w:rsidR="00FB0B24" w:rsidRPr="005B5CB6" w:rsidP="00EA5212">
      <w:pPr>
        <w:spacing w:after="40" w:line="250" w:lineRule="auto"/>
        <w:ind w:left="23" w:right="11" w:hanging="8"/>
        <w:jc w:val="both"/>
        <w:rPr>
          <w:rFonts w:ascii="Verdana" w:hAnsi="Verdana"/>
        </w:rPr>
      </w:pPr>
      <w:r w:rsidRPr="005B5CB6">
        <w:rPr>
          <w:rFonts w:ascii="Verdana" w:eastAsia="Verdana" w:hAnsi="Verdana" w:cs="Verdana"/>
        </w:rPr>
        <w:t xml:space="preserve">Joe Mitchell  </w:t>
      </w:r>
    </w:p>
    <w:p w:rsidR="00FB0B24" w:rsidRPr="005B5CB6" w:rsidP="00EA5212">
      <w:pPr>
        <w:spacing w:after="43" w:line="250" w:lineRule="auto"/>
        <w:ind w:left="23" w:right="11" w:hanging="8"/>
        <w:jc w:val="both"/>
        <w:rPr>
          <w:rFonts w:ascii="Verdana" w:hAnsi="Verdana"/>
        </w:rPr>
      </w:pPr>
      <w:r w:rsidRPr="005B5CB6">
        <w:rPr>
          <w:rFonts w:ascii="Verdana" w:eastAsia="Verdana" w:hAnsi="Verdana" w:cs="Verdana"/>
        </w:rPr>
        <w:t xml:space="preserve">Director  </w:t>
      </w:r>
    </w:p>
    <w:p w:rsidR="00FB0B24" w:rsidRPr="005B5CB6" w:rsidP="00EA5212">
      <w:pPr>
        <w:spacing w:after="40" w:line="250" w:lineRule="auto"/>
        <w:ind w:left="23" w:right="11" w:hanging="8"/>
        <w:jc w:val="both"/>
        <w:rPr>
          <w:rFonts w:ascii="Verdana" w:hAnsi="Verdana"/>
        </w:rPr>
      </w:pPr>
      <w:r w:rsidRPr="005B5CB6">
        <w:rPr>
          <w:rFonts w:ascii="Verdana" w:eastAsia="Verdana" w:hAnsi="Verdana" w:cs="Verdana"/>
        </w:rPr>
        <w:t xml:space="preserve">Democracy Club CIC  </w:t>
      </w:r>
    </w:p>
    <w:p w:rsidR="00FB0B24" w:rsidRPr="005B5CB6" w:rsidP="00EA5212">
      <w:pPr>
        <w:spacing w:after="223"/>
        <w:ind w:left="16"/>
        <w:jc w:val="both"/>
        <w:rPr>
          <w:rFonts w:ascii="Verdana" w:hAnsi="Verdana"/>
        </w:rPr>
      </w:pPr>
      <w:r w:rsidRPr="005B5CB6">
        <w:rPr>
          <w:rFonts w:ascii="Verdana" w:eastAsia="Verdana" w:hAnsi="Verdana" w:cs="Verdana"/>
        </w:rPr>
        <w:t xml:space="preserve">  </w:t>
      </w:r>
    </w:p>
    <w:p w:rsidR="00FB0B24" w:rsidRPr="005B5CB6" w:rsidP="00A1624B">
      <w:pPr>
        <w:spacing w:after="223"/>
        <w:ind w:left="16"/>
        <w:jc w:val="both"/>
        <w:rPr>
          <w:rFonts w:ascii="Verdana" w:hAnsi="Verdana"/>
        </w:rPr>
      </w:pPr>
      <w:r w:rsidRPr="005B5CB6">
        <w:rPr>
          <w:rFonts w:ascii="Verdana" w:eastAsia="Verdana" w:hAnsi="Verdana" w:cs="Verdana"/>
        </w:rPr>
        <w:t xml:space="preserve"> </w:t>
      </w:r>
      <w:r w:rsidRPr="005B5CB6">
        <w:rPr>
          <w:rFonts w:ascii="Verdana" w:eastAsia="Verdana" w:hAnsi="Verdana" w:cs="Verdana"/>
          <w:b/>
        </w:rPr>
        <w:t xml:space="preserve">Annex: The Information Ladder, abridged from Renwick &amp; Palese (2019), </w:t>
      </w:r>
      <w:r w:rsidRPr="005B5CB6">
        <w:rPr>
          <w:rFonts w:ascii="Verdana" w:eastAsia="Verdana" w:hAnsi="Verdana" w:cs="Verdana"/>
          <w:b/>
          <w:i/>
        </w:rPr>
        <w:t>Doing</w:t>
      </w:r>
      <w:r w:rsidRPr="005B5CB6">
        <w:rPr>
          <w:rFonts w:ascii="Verdana" w:eastAsia="Verdana" w:hAnsi="Verdana" w:cs="Verdana"/>
          <w:b/>
        </w:rPr>
        <w:t xml:space="preserve"> </w:t>
      </w:r>
      <w:r w:rsidRPr="005B5CB6">
        <w:rPr>
          <w:rFonts w:ascii="Verdana" w:eastAsia="Verdana" w:hAnsi="Verdana" w:cs="Verdana"/>
          <w:b/>
          <w:i/>
        </w:rPr>
        <w:t xml:space="preserve">Democracy Better </w:t>
      </w: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575F14">
      <w:pPr>
        <w:numPr>
          <w:ilvl w:val="0"/>
          <w:numId w:val="297"/>
        </w:numPr>
        <w:spacing w:after="262" w:line="250" w:lineRule="auto"/>
        <w:ind w:right="12" w:hanging="360"/>
        <w:jc w:val="both"/>
        <w:rPr>
          <w:rFonts w:ascii="Verdana" w:hAnsi="Verdana"/>
        </w:rPr>
      </w:pPr>
      <w:r w:rsidRPr="005B5CB6">
        <w:rPr>
          <w:rFonts w:ascii="Verdana" w:eastAsia="Verdana" w:hAnsi="Verdana" w:cs="Verdana"/>
          <w:b/>
        </w:rPr>
        <w:t xml:space="preserve">Procedural </w:t>
      </w:r>
      <w:r w:rsidRPr="005B5CB6">
        <w:rPr>
          <w:rFonts w:ascii="Verdana" w:eastAsia="Verdana" w:hAnsi="Verdana" w:cs="Verdana"/>
        </w:rPr>
        <w:t>information</w:t>
      </w:r>
      <w:r w:rsidRPr="005B5CB6">
        <w:rPr>
          <w:rFonts w:ascii="Verdana" w:eastAsia="Verdana" w:hAnsi="Verdana" w:cs="Verdana"/>
          <w:b/>
        </w:rPr>
        <w:t xml:space="preserve">  </w:t>
      </w:r>
      <w:r w:rsidRPr="005B5CB6">
        <w:rPr>
          <w:rFonts w:ascii="Verdana" w:eastAsia="Verdana" w:hAnsi="Verdana" w:cs="Verdana"/>
        </w:rPr>
        <w:t xml:space="preserve"> on the election: when, where, and how to vote, and what to expect at the polling station.  </w:t>
      </w:r>
    </w:p>
    <w:p w:rsidR="00FB0B24" w:rsidRPr="005B5CB6" w:rsidP="00575F14">
      <w:pPr>
        <w:numPr>
          <w:ilvl w:val="0"/>
          <w:numId w:val="297"/>
        </w:numPr>
        <w:spacing w:after="269" w:line="249" w:lineRule="auto"/>
        <w:ind w:right="12" w:hanging="360"/>
        <w:jc w:val="both"/>
        <w:rPr>
          <w:rFonts w:ascii="Verdana" w:hAnsi="Verdana"/>
        </w:rPr>
      </w:pPr>
      <w:r w:rsidRPr="005B5CB6">
        <w:rPr>
          <w:rFonts w:ascii="Verdana" w:eastAsia="Verdana" w:hAnsi="Verdana" w:cs="Verdana"/>
          <w:b/>
        </w:rPr>
        <w:t xml:space="preserve">Factual </w:t>
      </w:r>
      <w:r w:rsidRPr="005B5CB6">
        <w:rPr>
          <w:rFonts w:ascii="Verdana" w:eastAsia="Verdana" w:hAnsi="Verdana" w:cs="Verdana"/>
        </w:rPr>
        <w:t>information</w:t>
      </w:r>
      <w:r w:rsidRPr="005B5CB6">
        <w:rPr>
          <w:rFonts w:ascii="Verdana" w:eastAsia="Verdana" w:hAnsi="Verdana" w:cs="Verdana"/>
          <w:b/>
        </w:rPr>
        <w:t xml:space="preserve">  </w:t>
      </w:r>
      <w:r w:rsidRPr="005B5CB6">
        <w:rPr>
          <w:rFonts w:ascii="Verdana" w:eastAsia="Verdana" w:hAnsi="Verdana" w:cs="Verdana"/>
        </w:rPr>
        <w:t xml:space="preserve"> on the election and the election candidates. Election information would cover, for example what position is being filled and what the role and powers of the office-holder will be. Candidate information could be provided by candidates themselves (a statement subject to specified constraints, or a series of answers to specific questions), or the information publisher could generate information such as biographies or summaries of past records itself.  </w:t>
      </w:r>
    </w:p>
    <w:p w:rsidR="00FB0B24" w:rsidRPr="005B5CB6" w:rsidP="00575F14">
      <w:pPr>
        <w:numPr>
          <w:ilvl w:val="0"/>
          <w:numId w:val="297"/>
        </w:numPr>
        <w:spacing w:after="266" w:line="249" w:lineRule="auto"/>
        <w:ind w:right="12" w:hanging="360"/>
        <w:jc w:val="both"/>
        <w:rPr>
          <w:rFonts w:ascii="Verdana" w:hAnsi="Verdana"/>
        </w:rPr>
      </w:pPr>
      <w:r w:rsidRPr="005B5CB6">
        <w:rPr>
          <w:rFonts w:ascii="Verdana" w:eastAsia="Verdana" w:hAnsi="Verdana" w:cs="Verdana"/>
          <w:b/>
        </w:rPr>
        <w:t xml:space="preserve">Positional </w:t>
      </w:r>
      <w:r w:rsidRPr="005B5CB6">
        <w:rPr>
          <w:rFonts w:ascii="Verdana" w:eastAsia="Verdana" w:hAnsi="Verdana" w:cs="Verdana"/>
        </w:rPr>
        <w:t>information</w:t>
      </w:r>
      <w:r w:rsidRPr="005B5CB6">
        <w:rPr>
          <w:rFonts w:ascii="Verdana" w:eastAsia="Verdana" w:hAnsi="Verdana" w:cs="Verdana"/>
          <w:b/>
        </w:rPr>
        <w:t xml:space="preserve">  </w:t>
      </w:r>
      <w:r w:rsidRPr="005B5CB6">
        <w:rPr>
          <w:rFonts w:ascii="Verdana" w:eastAsia="Verdana" w:hAnsi="Verdana" w:cs="Verdana"/>
        </w:rPr>
        <w:t xml:space="preserve"> that helps voters find and compare parties’ and/or candidates’ policies on specific issues. Such information can be provided, for example, by a manifesto tracker or a voter advice application (VAA). An advanced VAA would enable users to click through to further layers of information as they wish, leading them through eventually to manifestos, speeches, and other such materials.  </w:t>
      </w:r>
    </w:p>
    <w:p w:rsidR="00FB0B24" w:rsidRPr="005B5CB6" w:rsidP="00575F14">
      <w:pPr>
        <w:numPr>
          <w:ilvl w:val="0"/>
          <w:numId w:val="297"/>
        </w:numPr>
        <w:spacing w:after="266" w:line="249" w:lineRule="auto"/>
        <w:ind w:right="12" w:hanging="360"/>
        <w:jc w:val="both"/>
        <w:rPr>
          <w:rFonts w:ascii="Verdana" w:hAnsi="Verdana"/>
        </w:rPr>
      </w:pPr>
      <w:r w:rsidRPr="005B5CB6">
        <w:rPr>
          <w:rFonts w:ascii="Verdana" w:eastAsia="Verdana" w:hAnsi="Verdana" w:cs="Verdana"/>
          <w:b/>
        </w:rPr>
        <w:t>Comparative</w:t>
      </w:r>
      <w:r w:rsidRPr="005B5CB6">
        <w:rPr>
          <w:rFonts w:ascii="Verdana" w:eastAsia="Verdana" w:hAnsi="Verdana" w:cs="Verdana"/>
        </w:rPr>
        <w:t xml:space="preserve"> information would allow voters to see how parties, candidates, or referendum options compare with their own preferences – as provided, for example, by a VAA. Users could choose how much depth to go into and what weight they want to attach to different policy areas. It would also allow them to explore non-policy aspects of their decision, such as their perceptions of different leaders and the state of party competition in their own constituency.  </w:t>
      </w:r>
    </w:p>
    <w:p w:rsidR="00FB0B24" w:rsidRPr="005B5CB6" w:rsidP="00575F14">
      <w:pPr>
        <w:numPr>
          <w:ilvl w:val="0"/>
          <w:numId w:val="297"/>
        </w:numPr>
        <w:spacing w:after="264" w:line="249" w:lineRule="auto"/>
        <w:ind w:right="12" w:hanging="360"/>
        <w:jc w:val="both"/>
        <w:rPr>
          <w:rFonts w:ascii="Verdana" w:hAnsi="Verdana"/>
        </w:rPr>
      </w:pPr>
      <w:r w:rsidRPr="005B5CB6">
        <w:rPr>
          <w:rFonts w:ascii="Verdana" w:eastAsia="Verdana" w:hAnsi="Verdana" w:cs="Verdana"/>
          <w:b/>
        </w:rPr>
        <w:t>Analytical</w:t>
      </w:r>
      <w:r w:rsidRPr="005B5CB6">
        <w:rPr>
          <w:rFonts w:ascii="Verdana" w:eastAsia="Verdana" w:hAnsi="Verdana" w:cs="Verdana"/>
        </w:rPr>
        <w:t xml:space="preserve"> information would help voters assess  the likely impact of different options, whether these are manifesto proposals in an election or options on the ballot paper in a referendum. The manifesto analyses provided by the Institute for Fiscal Studies, for example, fall into this category, and several countries now have an official body performing this role.  </w:t>
      </w:r>
    </w:p>
    <w:p w:rsidR="00FB0B24" w:rsidRPr="005B5CB6" w:rsidP="00575F14">
      <w:pPr>
        <w:numPr>
          <w:ilvl w:val="0"/>
          <w:numId w:val="297"/>
        </w:numPr>
        <w:spacing w:after="37" w:line="249" w:lineRule="auto"/>
        <w:ind w:right="12" w:hanging="360"/>
        <w:jc w:val="both"/>
        <w:rPr>
          <w:rFonts w:ascii="Verdana" w:hAnsi="Verdana"/>
        </w:rPr>
      </w:pPr>
      <w:r w:rsidRPr="005B5CB6">
        <w:rPr>
          <w:rFonts w:ascii="Verdana" w:eastAsia="Verdana" w:hAnsi="Verdana" w:cs="Verdana"/>
          <w:b/>
        </w:rPr>
        <w:t>Evaluative</w:t>
      </w:r>
      <w:r w:rsidRPr="005B5CB6">
        <w:rPr>
          <w:rFonts w:ascii="Verdana" w:eastAsia="Verdana" w:hAnsi="Verdana" w:cs="Verdana"/>
        </w:rPr>
        <w:t xml:space="preserve"> information would help voters think through their own priorities. A wide range of criteria that voters might like to use in evaluating the options before them are included, and voters can consider which of these matter more or less to them; the analytical information at the fifth rung then allows voters to explore how the options measure up against these criteria. Information of this kind has been provided at most referendums in New Zealand over the last thirty years.  </w:t>
      </w:r>
    </w:p>
    <w:p w:rsidR="00FB0B24" w:rsidRPr="005B5CB6" w:rsidP="00EA5212">
      <w:pPr>
        <w:jc w:val="both"/>
        <w:rPr>
          <w:rFonts w:ascii="Verdana" w:hAnsi="Verdana"/>
        </w:rPr>
        <w:sectPr w:rsidSect="00F467EA">
          <w:headerReference w:type="even" r:id="rId553"/>
          <w:headerReference w:type="default" r:id="rId554"/>
          <w:footerReference w:type="even" r:id="rId555"/>
          <w:footerReference w:type="default" r:id="rId556"/>
          <w:headerReference w:type="first" r:id="rId557"/>
          <w:footerReference w:type="first" r:id="rId558"/>
          <w:pgSz w:w="11918" w:h="16858"/>
          <w:pgMar w:top="1552" w:right="1443" w:bottom="1799" w:left="1424" w:header="720" w:footer="757" w:gutter="0"/>
          <w:cols w:space="720"/>
        </w:sectPr>
      </w:pPr>
    </w:p>
    <w:p w:rsidR="00FB0B24" w:rsidRPr="005B5CB6" w:rsidP="00A1624B">
      <w:pPr>
        <w:pStyle w:val="Heading1"/>
        <w:rPr>
          <w:sz w:val="22"/>
        </w:rPr>
      </w:pPr>
      <w:bookmarkStart w:id="87" w:name="_Toc44517775"/>
      <w:r w:rsidRPr="005B5CB6">
        <w:rPr>
          <w:sz w:val="22"/>
        </w:rPr>
        <w:t>Electoral Commission – supplementary written evidence (DAD0100)</w:t>
      </w:r>
      <w:bookmarkEnd w:id="87"/>
      <w:r w:rsidRPr="005B5CB6">
        <w:rPr>
          <w:sz w:val="22"/>
        </w:rPr>
        <w:t xml:space="preserve"> </w:t>
      </w:r>
    </w:p>
    <w:p w:rsidR="00FB0B24" w:rsidRPr="005B5CB6" w:rsidP="00EA5212">
      <w:pPr>
        <w:spacing w:after="228"/>
        <w:ind w:left="542"/>
        <w:jc w:val="both"/>
        <w:rPr>
          <w:rFonts w:ascii="Verdana" w:hAnsi="Verdana"/>
        </w:rPr>
      </w:pPr>
      <w:r w:rsidRPr="005B5CB6">
        <w:rPr>
          <w:rFonts w:ascii="Verdana" w:eastAsia="Verdana" w:hAnsi="Verdana" w:cs="Verdana"/>
        </w:rPr>
        <w:t xml:space="preserve"> </w:t>
      </w:r>
    </w:p>
    <w:p w:rsidR="00FB0B24" w:rsidRPr="005B5CB6" w:rsidP="00EA5212">
      <w:pPr>
        <w:spacing w:after="236" w:line="249" w:lineRule="auto"/>
        <w:ind w:left="551" w:right="12" w:hanging="9"/>
        <w:jc w:val="both"/>
        <w:rPr>
          <w:rFonts w:ascii="Verdana" w:hAnsi="Verdana"/>
        </w:rPr>
      </w:pPr>
      <w:r w:rsidRPr="005B5CB6">
        <w:rPr>
          <w:rFonts w:ascii="Verdana" w:eastAsia="Verdana" w:hAnsi="Verdana" w:cs="Verdana"/>
        </w:rPr>
        <w:t>At our oral evidence session on 3 March we agreed to follow up with further information regarding the candidate and political party spending rules.</w:t>
      </w:r>
      <w:r w:rsidRPr="005B5CB6">
        <w:rPr>
          <w:rFonts w:ascii="Verdana" w:eastAsia="Verdana" w:hAnsi="Verdana" w:cs="Verdana"/>
          <w:b/>
        </w:rPr>
        <w:t xml:space="preserve"> </w:t>
      </w:r>
      <w:r w:rsidRPr="005B5CB6">
        <w:rPr>
          <w:rFonts w:ascii="Verdana" w:eastAsia="Verdana" w:hAnsi="Verdana" w:cs="Verdana"/>
        </w:rPr>
        <w:t>You were particularly interested in the Commission’s view on whether there is a deficiency in one or other of the two operating Acts that set out the legal framework for candidates and parties.</w:t>
      </w: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EA5212">
      <w:pPr>
        <w:spacing w:after="5" w:line="249" w:lineRule="auto"/>
        <w:ind w:left="551" w:right="12" w:hanging="9"/>
        <w:jc w:val="both"/>
        <w:rPr>
          <w:rFonts w:ascii="Verdana" w:hAnsi="Verdana"/>
        </w:rPr>
      </w:pPr>
      <w:r w:rsidRPr="005B5CB6">
        <w:rPr>
          <w:rFonts w:ascii="Verdana" w:eastAsia="Verdana" w:hAnsi="Verdana" w:cs="Verdana"/>
        </w:rPr>
        <w:t>In relation to campaign funding and spending, we believe that the main deficiency lies in how the two operating Acts interrelate, rather than with one particular piece of legislation. The law regulating funding and spending of election campaigners was developed in two main stages: firstly in the late 19</w:t>
      </w:r>
      <w:r w:rsidRPr="005B5CB6">
        <w:rPr>
          <w:rFonts w:ascii="Verdana" w:eastAsia="Verdana" w:hAnsi="Verdana" w:cs="Verdana"/>
          <w:vertAlign w:val="superscript"/>
        </w:rPr>
        <w:t>th</w:t>
      </w:r>
      <w:r w:rsidRPr="005B5CB6">
        <w:rPr>
          <w:rFonts w:ascii="Verdana" w:eastAsia="Verdana" w:hAnsi="Verdana" w:cs="Verdana"/>
        </w:rPr>
        <w:t xml:space="preserve"> century for candidates (initially through the Corrupt and  </w:t>
      </w:r>
    </w:p>
    <w:p w:rsidR="00FB0B24" w:rsidRPr="005B5CB6" w:rsidP="00EA5212">
      <w:pPr>
        <w:spacing w:after="237" w:line="249" w:lineRule="auto"/>
        <w:ind w:left="552" w:right="12" w:hanging="9"/>
        <w:jc w:val="both"/>
        <w:rPr>
          <w:rFonts w:ascii="Verdana" w:hAnsi="Verdana"/>
        </w:rPr>
      </w:pPr>
      <w:r w:rsidRPr="005B5CB6">
        <w:rPr>
          <w:rFonts w:ascii="Verdana" w:eastAsia="Verdana" w:hAnsi="Verdana" w:cs="Verdana"/>
        </w:rPr>
        <w:t>Illegal Practices Act 1883, now incorporated in the Representation of the People Act 1983); and much later in the late 20</w:t>
      </w:r>
      <w:r w:rsidRPr="005B5CB6">
        <w:rPr>
          <w:rFonts w:ascii="Verdana" w:eastAsia="Verdana" w:hAnsi="Verdana" w:cs="Verdana"/>
          <w:vertAlign w:val="superscript"/>
        </w:rPr>
        <w:t>th</w:t>
      </w:r>
      <w:r w:rsidRPr="005B5CB6">
        <w:rPr>
          <w:rFonts w:ascii="Verdana" w:eastAsia="Verdana" w:hAnsi="Verdana" w:cs="Verdana"/>
        </w:rPr>
        <w:t xml:space="preserve"> century for parties and non-party campaigners (through the Political Parties, Elections and Referendums Act 2000).   </w:t>
      </w:r>
    </w:p>
    <w:p w:rsidR="00FB0B24" w:rsidRPr="005B5CB6" w:rsidP="00EA5212">
      <w:pPr>
        <w:spacing w:after="239" w:line="249" w:lineRule="auto"/>
        <w:ind w:left="551" w:right="12" w:hanging="9"/>
        <w:jc w:val="both"/>
        <w:rPr>
          <w:rFonts w:ascii="Verdana" w:hAnsi="Verdana"/>
        </w:rPr>
      </w:pPr>
      <w:r w:rsidRPr="005B5CB6">
        <w:rPr>
          <w:rFonts w:ascii="Verdana" w:eastAsia="Verdana" w:hAnsi="Verdana" w:cs="Verdana"/>
        </w:rPr>
        <w:t xml:space="preserve">This two-stage development means that the party and candidate regulatory frameworks are not always well-aligned. Our experience has been that this lack of alignment leads to several deficiencies in compliance with and enforcement of the regime.   </w:t>
      </w:r>
    </w:p>
    <w:p w:rsidR="00FB0B24" w:rsidRPr="005B5CB6" w:rsidP="00EA5212">
      <w:pPr>
        <w:spacing w:after="239" w:line="249" w:lineRule="auto"/>
        <w:ind w:left="552" w:right="12" w:hanging="9"/>
        <w:jc w:val="both"/>
        <w:rPr>
          <w:rFonts w:ascii="Verdana" w:hAnsi="Verdana"/>
        </w:rPr>
      </w:pPr>
      <w:r w:rsidRPr="005B5CB6">
        <w:rPr>
          <w:rFonts w:ascii="Verdana" w:eastAsia="Verdana" w:hAnsi="Verdana" w:cs="Verdana"/>
        </w:rPr>
        <w:t xml:space="preserve">We have seen on occasions a lack of understanding about the two kinds of spending that are controlled by those regimes. The law focuses on spending that promotes a candidate’s election, or spending that promotes a political party more generally. However, this is often understood differently as a distinction between spending that is targeted on a national or local/constituency basis. Campaigners report spending inconsistently which reduces transparency and makes it harder to check for compliance.   </w:t>
      </w:r>
    </w:p>
    <w:p w:rsidR="00FB0B24" w:rsidRPr="005B5CB6" w:rsidP="00EA5212">
      <w:pPr>
        <w:spacing w:after="5" w:line="250" w:lineRule="auto"/>
        <w:ind w:left="551" w:right="11" w:hanging="8"/>
        <w:jc w:val="both"/>
        <w:rPr>
          <w:rFonts w:ascii="Verdana" w:hAnsi="Verdana"/>
        </w:rPr>
      </w:pPr>
      <w:r w:rsidRPr="005B5CB6">
        <w:rPr>
          <w:rFonts w:ascii="Verdana" w:eastAsia="Verdana" w:hAnsi="Verdana" w:cs="Verdana"/>
        </w:rPr>
        <w:t xml:space="preserve">While comprehensive law reform to join up the separate frameworks would be </w:t>
      </w:r>
    </w:p>
    <w:p w:rsidR="00FB0B24" w:rsidRPr="005B5CB6" w:rsidP="00EA5212">
      <w:pPr>
        <w:spacing w:after="237" w:line="250" w:lineRule="auto"/>
        <w:ind w:left="560" w:right="11" w:hanging="8"/>
        <w:jc w:val="both"/>
        <w:rPr>
          <w:rFonts w:ascii="Verdana" w:hAnsi="Verdana"/>
        </w:rPr>
      </w:pPr>
      <w:r w:rsidRPr="005B5CB6">
        <w:rPr>
          <w:rFonts w:ascii="Verdana" w:eastAsia="Verdana" w:hAnsi="Verdana" w:cs="Verdana"/>
        </w:rPr>
        <w:t xml:space="preserve">preferable, we are also taking the steps available to us to help clarify the spending rules.   </w:t>
      </w:r>
    </w:p>
    <w:p w:rsidR="00FB0B24" w:rsidRPr="005B5CB6" w:rsidP="00EA5212">
      <w:pPr>
        <w:spacing w:after="239" w:line="249" w:lineRule="auto"/>
        <w:ind w:left="552" w:right="12" w:hanging="9"/>
        <w:jc w:val="both"/>
        <w:rPr>
          <w:rFonts w:ascii="Verdana" w:hAnsi="Verdana"/>
        </w:rPr>
      </w:pPr>
      <w:r w:rsidRPr="005B5CB6">
        <w:rPr>
          <w:rFonts w:ascii="Verdana" w:eastAsia="Verdana" w:hAnsi="Verdana" w:cs="Verdana"/>
        </w:rPr>
        <w:t xml:space="preserve">Last year we prepared statutory Codes of Practice about election spending for political parties and candidates, in close consultation with political parties. The Codes clarify what items of spending count towards each spending limit and are to be reported in party and candidates returns. We will shortly be submitting final versions to the Minister for the Constitution and Devolution, and would be pleased to send copies to your Committee when they are ready. We hope that Parliament will be invited by the Minister to approve the Codes this summer.  </w:t>
      </w:r>
    </w:p>
    <w:p w:rsidR="00FB0B24" w:rsidRPr="005B5CB6" w:rsidP="00EA5212">
      <w:pPr>
        <w:spacing w:after="239" w:line="249" w:lineRule="auto"/>
        <w:ind w:left="552" w:right="12" w:hanging="9"/>
        <w:jc w:val="both"/>
        <w:rPr>
          <w:rFonts w:ascii="Verdana" w:hAnsi="Verdana"/>
        </w:rPr>
      </w:pPr>
      <w:r w:rsidRPr="005B5CB6">
        <w:rPr>
          <w:rFonts w:ascii="Verdana" w:eastAsia="Verdana" w:hAnsi="Verdana" w:cs="Verdana"/>
        </w:rPr>
        <w:t xml:space="preserve">There is also a compliance and enforcement gap in the regulation of candidate spending and donations because there is a lack of alternatives to criminal investigation and prosecution. In contrast, we have had powers since 2010 to investigate and sanction political parties or non-party campaigners for breaches of the spending or funding rules.   </w:t>
      </w:r>
    </w:p>
    <w:p w:rsidR="00FB0B24" w:rsidRPr="005B5CB6" w:rsidP="00EA5212">
      <w:pPr>
        <w:spacing w:after="244" w:line="249" w:lineRule="auto"/>
        <w:ind w:left="552" w:right="12" w:hanging="9"/>
        <w:jc w:val="both"/>
        <w:rPr>
          <w:rFonts w:ascii="Verdana" w:hAnsi="Verdana"/>
        </w:rPr>
      </w:pPr>
      <w:r w:rsidRPr="005B5CB6">
        <w:rPr>
          <w:rFonts w:ascii="Verdana" w:eastAsia="Verdana" w:hAnsi="Verdana" w:cs="Verdana"/>
        </w:rPr>
        <w:t xml:space="preserve">We have recommended that the Commission should have powers to enforce both sets of rules. Giving us new powers to investigate and sanction candidates would enable us to ensure a better alignment between the regimes. For example, we would be able to address issues involving both a party and its candidates, including situations where one or both have failed to report spending against the correct limit.  </w:t>
      </w:r>
    </w:p>
    <w:p w:rsidR="00FB0B24" w:rsidRPr="005B5CB6" w:rsidP="00EA5212">
      <w:pPr>
        <w:spacing w:after="0"/>
        <w:ind w:left="10" w:right="-8" w:hanging="10"/>
        <w:jc w:val="both"/>
        <w:rPr>
          <w:rFonts w:ascii="Verdana" w:hAnsi="Verdana"/>
        </w:rPr>
      </w:pPr>
    </w:p>
    <w:p w:rsidR="00FB0B24" w:rsidRPr="005B5CB6" w:rsidP="00EA5212">
      <w:pPr>
        <w:spacing w:after="0"/>
        <w:ind w:left="557"/>
        <w:jc w:val="both"/>
        <w:rPr>
          <w:rFonts w:ascii="Verdana" w:hAnsi="Verdana"/>
        </w:rPr>
      </w:pPr>
      <w:r w:rsidRPr="005B5CB6">
        <w:rPr>
          <w:rFonts w:ascii="Verdana" w:eastAsia="Arial" w:hAnsi="Verdana" w:cs="Arial"/>
          <w:color w:val="003057"/>
        </w:rPr>
        <w:t xml:space="preserve"> </w:t>
      </w:r>
    </w:p>
    <w:p w:rsidR="00FB0B24" w:rsidRPr="005B5CB6" w:rsidP="00EA5212">
      <w:pPr>
        <w:spacing w:after="239" w:line="249" w:lineRule="auto"/>
        <w:ind w:left="551" w:right="12" w:hanging="9"/>
        <w:jc w:val="both"/>
        <w:rPr>
          <w:rFonts w:ascii="Verdana" w:hAnsi="Verdana"/>
        </w:rPr>
      </w:pPr>
      <w:r w:rsidRPr="005B5CB6">
        <w:rPr>
          <w:rFonts w:ascii="Verdana" w:eastAsia="Verdana" w:hAnsi="Verdana" w:cs="Verdana"/>
        </w:rPr>
        <w:t xml:space="preserve">By operating in closer alignment, these two regimes would deliver more complete transparency and a more level playing field for parties, candidates and non-party campaigners. Campaigners would benefit if the different sets of rules they follow become better aligned as part of a coherent regime. And we think that voter confidence would increase as a result of the more joined-up oversight we could provide.   </w:t>
      </w:r>
    </w:p>
    <w:p w:rsidR="00FB0B24" w:rsidRPr="005B5CB6" w:rsidP="00EA5212">
      <w:pPr>
        <w:spacing w:after="239" w:line="249" w:lineRule="auto"/>
        <w:ind w:left="551" w:right="12" w:hanging="9"/>
        <w:jc w:val="both"/>
        <w:rPr>
          <w:rFonts w:ascii="Verdana" w:hAnsi="Verdana"/>
        </w:rPr>
      </w:pPr>
      <w:r w:rsidRPr="005B5CB6">
        <w:rPr>
          <w:rFonts w:ascii="Verdana" w:eastAsia="Verdana" w:hAnsi="Verdana" w:cs="Verdana"/>
        </w:rPr>
        <w:t xml:space="preserve">If the Committee is interested to consider the background to the current candidate and party spending limits in more depth, it may wish to refer to the 1998 report into </w:t>
      </w:r>
      <w:r>
        <w:fldChar w:fldCharType="begin"/>
      </w:r>
      <w:r>
        <w:instrText xml:space="preserve"> HYPERLINK "https://assets.publishing.service.gov.uk/government/uploads/system/uploads/attachment_data/file/336870/5thInquiry_FullReport.pdf" </w:instrText>
      </w:r>
      <w:r>
        <w:fldChar w:fldCharType="separate"/>
      </w:r>
      <w:r w:rsidRPr="005B5CB6">
        <w:rPr>
          <w:rFonts w:ascii="Verdana" w:eastAsia="Verdana" w:hAnsi="Verdana" w:cs="Verdana"/>
          <w:i/>
          <w:u w:val="single" w:color="0099C3"/>
        </w:rPr>
        <w:t>Th</w:t>
      </w:r>
      <w:r>
        <w:fldChar w:fldCharType="end"/>
      </w:r>
      <w:r>
        <w:fldChar w:fldCharType="begin"/>
      </w:r>
      <w:r>
        <w:instrText xml:space="preserve"> HYPERLINK "https://assets.publishing.service.gov.uk/government/uploads/system/uploads/attachment_data/file/336870/5thInquiry_FullReport.pdf" </w:instrText>
      </w:r>
      <w:r>
        <w:fldChar w:fldCharType="separate"/>
      </w:r>
      <w:r w:rsidRPr="005B5CB6">
        <w:rPr>
          <w:rFonts w:ascii="Verdana" w:eastAsia="Verdana" w:hAnsi="Verdana" w:cs="Verdana"/>
          <w:i/>
          <w:u w:val="single" w:color="0099C3"/>
        </w:rPr>
        <w:t>e</w:t>
      </w:r>
      <w:r>
        <w:fldChar w:fldCharType="end"/>
      </w:r>
      <w:r>
        <w:fldChar w:fldCharType="begin"/>
      </w:r>
      <w:r>
        <w:instrText xml:space="preserve"> HYPERLINK "https://assets.publishing.service.gov.uk/government/uploads/system/uploads/attachment_data/file/336870/5thInquiry_FullReport.pdf" </w:instrText>
      </w:r>
      <w:r>
        <w:fldChar w:fldCharType="separate"/>
      </w:r>
      <w:r w:rsidRPr="005B5CB6">
        <w:rPr>
          <w:rFonts w:ascii="Verdana" w:eastAsia="Verdana" w:hAnsi="Verdana" w:cs="Verdana"/>
          <w:i/>
        </w:rPr>
        <w:t xml:space="preserve"> </w:t>
      </w:r>
      <w:r>
        <w:fldChar w:fldCharType="end"/>
      </w:r>
      <w:r>
        <w:fldChar w:fldCharType="begin"/>
      </w:r>
      <w:r>
        <w:instrText xml:space="preserve"> HYPERLINK "https://assets.publishing.service.gov.uk/government/uploads/system/uploads/attachment_data/file/336870/5thInquiry_FullReport.pdf" </w:instrText>
      </w:r>
      <w:r>
        <w:fldChar w:fldCharType="separate"/>
      </w:r>
      <w:r w:rsidRPr="005B5CB6">
        <w:rPr>
          <w:rFonts w:ascii="Verdana" w:eastAsia="Verdana" w:hAnsi="Verdana" w:cs="Verdana"/>
          <w:i/>
          <w:u w:val="single" w:color="0099C3"/>
        </w:rPr>
        <w:t>Funding of Political Parties in the United Kingdo</w:t>
      </w:r>
      <w:r>
        <w:fldChar w:fldCharType="end"/>
      </w:r>
      <w:r>
        <w:fldChar w:fldCharType="begin"/>
      </w:r>
      <w:r>
        <w:instrText xml:space="preserve"> HYPERLINK "https://assets.publishing.service.gov.uk/government/uploads/system/uploads/attachment_data/file/336870/5thInquiry_FullReport.pdf" </w:instrText>
      </w:r>
      <w:r>
        <w:fldChar w:fldCharType="separate"/>
      </w:r>
      <w:r w:rsidRPr="005B5CB6">
        <w:rPr>
          <w:rFonts w:ascii="Verdana" w:eastAsia="Verdana" w:hAnsi="Verdana" w:cs="Verdana"/>
          <w:i/>
          <w:u w:val="single" w:color="0099C3"/>
        </w:rPr>
        <w:t>m</w:t>
      </w:r>
      <w:r>
        <w:fldChar w:fldCharType="end"/>
      </w:r>
      <w:r>
        <w:fldChar w:fldCharType="begin"/>
      </w:r>
      <w:r>
        <w:instrText xml:space="preserve"> HYPERLINK "https://assets.publishing.service.gov.uk/government/uploads/system/uploads/attachment_data/file/336870/5thInquiry_FullReport.pdf"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"https://assets.publishing.service.gov.uk/government/uploads/system/uploads/attachment_data/file/336870/5thInquiry_FullReport.pdf" </w:instrText>
      </w:r>
      <w:r>
        <w:fldChar w:fldCharType="separate"/>
      </w:r>
      <w:r w:rsidRPr="005B5CB6">
        <w:rPr>
          <w:rFonts w:ascii="Verdana" w:eastAsia="Verdana" w:hAnsi="Verdana" w:cs="Verdana"/>
        </w:rPr>
        <w:t>b</w:t>
      </w:r>
      <w:r>
        <w:fldChar w:fldCharType="end"/>
      </w:r>
      <w:r w:rsidRPr="005B5CB6">
        <w:rPr>
          <w:rFonts w:ascii="Verdana" w:eastAsia="Verdana" w:hAnsi="Verdana" w:cs="Verdana"/>
        </w:rPr>
        <w:t xml:space="preserve">y the Committee on Standards in  Public Life. The report recommended creating party limits and its recommendations led to PPERA. The Committee considered two options for an integrated party and candidate limit, as well as the current system of separate party and candidate limits. It opted for the current system because it felt that the two integrated options would be unworkable.  </w:t>
      </w:r>
    </w:p>
    <w:p w:rsidR="00FB0B24" w:rsidRPr="005B5CB6" w:rsidP="00EA5212">
      <w:pPr>
        <w:spacing w:after="239" w:line="249" w:lineRule="auto"/>
        <w:ind w:left="551" w:right="12" w:hanging="9"/>
        <w:jc w:val="both"/>
        <w:rPr>
          <w:rFonts w:ascii="Verdana" w:hAnsi="Verdana"/>
        </w:rPr>
      </w:pPr>
      <w:r w:rsidRPr="005B5CB6">
        <w:rPr>
          <w:rFonts w:ascii="Verdana" w:eastAsia="Verdana" w:hAnsi="Verdana" w:cs="Verdana"/>
        </w:rPr>
        <w:t xml:space="preserve">It is 22 years since that report, and if Parliament wishes to look again at the current system, we would strongly advise that the party and candidate regulatory frameworks should be considered together. There are close and sometimes complex interrelationships between candidates, political parties and non-party campaigners. A piecemeal approach to electoral law reform is likely to lead to further complexity, and increases the risk of inadvertently introducing inconsistency or contradictions between different pieces of law.  </w:t>
      </w:r>
    </w:p>
    <w:p w:rsidR="00FB0B24" w:rsidRPr="005B5CB6" w:rsidP="00EA5212">
      <w:pPr>
        <w:spacing w:after="5" w:line="463" w:lineRule="auto"/>
        <w:ind w:left="551" w:right="11" w:hanging="8"/>
        <w:jc w:val="both"/>
        <w:rPr>
          <w:rFonts w:ascii="Verdana" w:hAnsi="Verdana"/>
        </w:rPr>
      </w:pPr>
      <w:r w:rsidRPr="005B5CB6">
        <w:rPr>
          <w:rFonts w:ascii="Verdana" w:eastAsia="Verdana" w:hAnsi="Verdana" w:cs="Verdana"/>
        </w:rPr>
        <w:t xml:space="preserve">We await the findings of your inquiry with interest and would be pleased to provide you  with any further information.  </w:t>
      </w:r>
    </w:p>
    <w:p w:rsidR="00FB0B24" w:rsidRPr="005B5CB6" w:rsidP="00EA5212">
      <w:pPr>
        <w:spacing w:after="232" w:line="250" w:lineRule="auto"/>
        <w:ind w:left="565" w:right="11" w:hanging="8"/>
        <w:jc w:val="both"/>
        <w:rPr>
          <w:rFonts w:ascii="Verdana" w:hAnsi="Verdana"/>
        </w:rPr>
      </w:pPr>
      <w:r w:rsidRPr="005B5CB6">
        <w:rPr>
          <w:rFonts w:ascii="Verdana" w:eastAsia="Verdana" w:hAnsi="Verdana" w:cs="Verdana"/>
        </w:rPr>
        <w:t xml:space="preserve">Yours sincerely,  </w:t>
      </w:r>
    </w:p>
    <w:p w:rsidR="00FB0B24" w:rsidRPr="005B5CB6" w:rsidP="00EA5212">
      <w:pPr>
        <w:spacing w:after="125"/>
        <w:ind w:left="557"/>
        <w:jc w:val="both"/>
        <w:rPr>
          <w:rFonts w:ascii="Verdana" w:hAnsi="Verdana"/>
        </w:rPr>
      </w:pPr>
      <w:r w:rsidRPr="005B5CB6">
        <w:rPr>
          <w:rFonts w:ascii="Verdana" w:eastAsia="Verdana" w:hAnsi="Verdana" w:cs="Verdana"/>
        </w:rPr>
        <w:t xml:space="preserve"> </w:t>
      </w:r>
    </w:p>
    <w:p w:rsidR="00FB0B24" w:rsidRPr="005B5CB6" w:rsidP="00EA5212">
      <w:pPr>
        <w:spacing w:after="143" w:line="250" w:lineRule="auto"/>
        <w:ind w:left="567" w:hanging="10"/>
        <w:jc w:val="both"/>
        <w:rPr>
          <w:rFonts w:ascii="Verdana" w:hAnsi="Verdana"/>
        </w:rPr>
      </w:pPr>
      <w:r w:rsidRPr="005B5CB6">
        <w:rPr>
          <w:rFonts w:ascii="Verdana" w:eastAsia="Verdana" w:hAnsi="Verdana" w:cs="Verdana"/>
          <w:b/>
        </w:rPr>
        <w:t xml:space="preserve">Louise Edwards  </w:t>
      </w:r>
    </w:p>
    <w:p w:rsidR="00FB0B24" w:rsidRPr="005B5CB6" w:rsidP="00EA5212">
      <w:pPr>
        <w:tabs>
          <w:tab w:val="center" w:pos="1770"/>
          <w:tab w:val="center" w:pos="4157"/>
        </w:tabs>
        <w:spacing w:after="139" w:line="250" w:lineRule="auto"/>
        <w:jc w:val="both"/>
        <w:rPr>
          <w:rFonts w:ascii="Verdana" w:hAnsi="Verdana"/>
        </w:rPr>
      </w:pPr>
      <w:r w:rsidRPr="005B5CB6">
        <w:rPr>
          <w:rFonts w:ascii="Verdana" w:hAnsi="Verdana"/>
        </w:rPr>
        <w:tab/>
      </w:r>
      <w:r w:rsidRPr="005B5CB6">
        <w:rPr>
          <w:rFonts w:ascii="Verdana" w:eastAsia="Verdana" w:hAnsi="Verdana" w:cs="Verdana"/>
        </w:rPr>
        <w:t xml:space="preserve">Director of Regulation     </w:t>
      </w:r>
      <w:r w:rsidRPr="005B5CB6">
        <w:rPr>
          <w:rFonts w:ascii="Verdana" w:eastAsia="Verdana" w:hAnsi="Verdana" w:cs="Verdana"/>
        </w:rPr>
        <w:tab/>
        <w:t xml:space="preserve">  </w:t>
      </w:r>
    </w:p>
    <w:p w:rsidR="00FB0B24" w:rsidRPr="005B5CB6" w:rsidP="00EA5212">
      <w:pPr>
        <w:spacing w:after="0"/>
        <w:ind w:left="557"/>
        <w:jc w:val="both"/>
        <w:rPr>
          <w:rFonts w:ascii="Verdana" w:hAnsi="Verdana"/>
        </w:rPr>
      </w:pPr>
      <w:r w:rsidRPr="005B5CB6">
        <w:rPr>
          <w:rFonts w:ascii="Verdana" w:eastAsia="Verdana" w:hAnsi="Verdana" w:cs="Verdana"/>
        </w:rPr>
        <w:t xml:space="preserve">  </w:t>
      </w:r>
    </w:p>
    <w:p w:rsidR="00FB0B24" w:rsidRPr="005B5CB6" w:rsidP="00EA5212">
      <w:pPr>
        <w:spacing w:after="237" w:line="250" w:lineRule="auto"/>
        <w:ind w:left="567" w:hanging="10"/>
        <w:jc w:val="both"/>
        <w:rPr>
          <w:rFonts w:ascii="Verdana" w:hAnsi="Verdana"/>
        </w:rPr>
      </w:pPr>
      <w:r w:rsidRPr="005B5CB6">
        <w:rPr>
          <w:rFonts w:ascii="Verdana" w:eastAsia="Verdana" w:hAnsi="Verdana" w:cs="Verdana"/>
          <w:b/>
        </w:rPr>
        <w:t>Craig Westwood</w:t>
      </w:r>
      <w:r w:rsidRPr="005B5CB6">
        <w:rPr>
          <w:rFonts w:ascii="Verdana" w:eastAsia="Verdana" w:hAnsi="Verdana" w:cs="Verdana"/>
        </w:rPr>
        <w:t xml:space="preserve">  </w:t>
      </w:r>
    </w:p>
    <w:p w:rsidR="00FB0B24" w:rsidRPr="005B5CB6" w:rsidP="00EA5212">
      <w:pPr>
        <w:spacing w:after="252" w:line="250" w:lineRule="auto"/>
        <w:ind w:left="565" w:right="11" w:hanging="8"/>
        <w:jc w:val="both"/>
        <w:rPr>
          <w:rFonts w:ascii="Verdana" w:hAnsi="Verdana"/>
        </w:rPr>
      </w:pPr>
      <w:r w:rsidRPr="005B5CB6">
        <w:rPr>
          <w:rFonts w:ascii="Verdana" w:eastAsia="Verdana" w:hAnsi="Verdana" w:cs="Verdana"/>
        </w:rPr>
        <w:t xml:space="preserve">Director of Communications, Policy and Research </w:t>
      </w:r>
    </w:p>
    <w:p w:rsidR="00FB0B24" w:rsidRPr="005B5CB6" w:rsidP="00EA5212">
      <w:pPr>
        <w:spacing w:after="3688"/>
        <w:ind w:left="557"/>
        <w:jc w:val="both"/>
        <w:rPr>
          <w:rFonts w:ascii="Verdana" w:hAnsi="Verdana"/>
        </w:rPr>
      </w:pPr>
      <w:r w:rsidRPr="005B5CB6">
        <w:rPr>
          <w:rFonts w:ascii="Verdana" w:eastAsia="Arial" w:hAnsi="Verdana" w:cs="Arial"/>
        </w:rPr>
        <w:t xml:space="preserve"> </w:t>
      </w:r>
      <w:r w:rsidRPr="005B5CB6">
        <w:rPr>
          <w:rFonts w:ascii="Verdana" w:eastAsia="Arial" w:hAnsi="Verdana" w:cs="Arial"/>
        </w:rPr>
        <w:tab/>
      </w:r>
      <w:r w:rsidRPr="005B5CB6">
        <w:rPr>
          <w:rFonts w:ascii="Verdana" w:eastAsia="Verdana" w:hAnsi="Verdana" w:cs="Verdana"/>
        </w:rPr>
        <w:t xml:space="preserve"> </w:t>
      </w:r>
    </w:p>
    <w:p w:rsidR="00FB0B24" w:rsidRPr="005B5CB6" w:rsidP="00EA5212">
      <w:pPr>
        <w:spacing w:after="0"/>
        <w:ind w:left="10" w:right="-8" w:hanging="10"/>
        <w:jc w:val="both"/>
        <w:rPr>
          <w:rFonts w:ascii="Verdana" w:hAnsi="Verdana"/>
        </w:rPr>
      </w:pPr>
      <w:r w:rsidRPr="005B5CB6">
        <w:rPr>
          <w:rFonts w:ascii="Verdana" w:eastAsia="Arial" w:hAnsi="Verdana" w:cs="Arial"/>
          <w:color w:val="003057"/>
        </w:rPr>
        <w:t xml:space="preserve">2 </w:t>
      </w:r>
    </w:p>
    <w:p w:rsidR="00FB0B24" w:rsidRPr="005B5CB6" w:rsidP="00EA5212">
      <w:pPr>
        <w:spacing w:after="0"/>
        <w:ind w:left="557"/>
        <w:jc w:val="both"/>
        <w:rPr>
          <w:rFonts w:ascii="Verdana" w:hAnsi="Verdana"/>
        </w:rPr>
      </w:pPr>
      <w:r w:rsidRPr="005B5CB6">
        <w:rPr>
          <w:rFonts w:ascii="Verdana" w:eastAsia="Arial" w:hAnsi="Verdana" w:cs="Arial"/>
          <w:color w:val="003057"/>
        </w:rPr>
        <w:t xml:space="preserve"> </w:t>
      </w:r>
    </w:p>
    <w:p w:rsidR="00FB0B24" w:rsidRPr="005B5CB6" w:rsidP="00EA5212">
      <w:pPr>
        <w:spacing w:after="0"/>
        <w:ind w:left="557"/>
        <w:jc w:val="both"/>
        <w:rPr>
          <w:rFonts w:ascii="Verdana" w:hAnsi="Verdana"/>
        </w:rPr>
      </w:pPr>
      <w:r w:rsidRPr="005B5CB6">
        <w:rPr>
          <w:rFonts w:ascii="Verdana" w:eastAsia="Verdana" w:hAnsi="Verdana" w:cs="Verdana"/>
          <w:b/>
          <w:u w:val="single" w:color="000000"/>
        </w:rPr>
        <w:t>Appendix</w:t>
      </w:r>
      <w:r w:rsidRPr="005B5CB6">
        <w:rPr>
          <w:rFonts w:ascii="Verdana" w:eastAsia="Verdana" w:hAnsi="Verdana" w:cs="Verdana"/>
          <w:b/>
        </w:rPr>
        <w:t xml:space="preserve"> </w:t>
      </w:r>
    </w:p>
    <w:p w:rsidR="00FB0B24" w:rsidRPr="005B5CB6" w:rsidP="00EA5212">
      <w:pPr>
        <w:spacing w:after="0"/>
        <w:jc w:val="both"/>
        <w:rPr>
          <w:rFonts w:ascii="Verdana" w:hAnsi="Verdana"/>
        </w:rPr>
      </w:pPr>
      <w:r w:rsidRPr="005B5CB6">
        <w:rPr>
          <w:rFonts w:ascii="Verdana" w:eastAsia="Verdana" w:hAnsi="Verdana" w:cs="Verdana"/>
        </w:rPr>
        <w:t xml:space="preserve"> </w:t>
      </w:r>
    </w:p>
    <w:p w:rsidR="00FB0B24" w:rsidRPr="005B5CB6" w:rsidP="00EA5212">
      <w:pPr>
        <w:spacing w:after="238" w:line="250" w:lineRule="auto"/>
        <w:ind w:left="551" w:right="11" w:hanging="8"/>
        <w:jc w:val="both"/>
        <w:rPr>
          <w:rFonts w:ascii="Verdana" w:hAnsi="Verdana"/>
        </w:rPr>
      </w:pPr>
      <w:r w:rsidRPr="005B5CB6">
        <w:rPr>
          <w:rFonts w:ascii="Verdana" w:eastAsia="Verdana" w:hAnsi="Verdana" w:cs="Verdana"/>
        </w:rPr>
        <w:t>Last year the Commission published a</w:t>
      </w:r>
      <w:r>
        <w:fldChar w:fldCharType="begin"/>
      </w:r>
      <w:r>
        <w:instrText xml:space="preserve"> HYPERLINK "https://www.electoralcommission.org.uk/sites/default/files/pdf_file/Reforming-electoral-law-PACAC-booklet.pdf"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"https://www.electoralcommission.org.uk/sites/default/files/pdf_file/Reforming-electoral-law-PACAC-booklet.pdf" </w:instrText>
      </w:r>
      <w:r>
        <w:fldChar w:fldCharType="separate"/>
      </w:r>
      <w:r w:rsidRPr="005B5CB6">
        <w:rPr>
          <w:rFonts w:ascii="Verdana" w:eastAsia="Verdana" w:hAnsi="Verdana" w:cs="Verdana"/>
          <w:u w:val="single" w:color="0099C3"/>
        </w:rPr>
        <w:t>booklet setting out why</w:t>
      </w:r>
      <w:r>
        <w:fldChar w:fldCharType="end"/>
      </w:r>
      <w:r>
        <w:fldChar w:fldCharType="begin"/>
      </w:r>
      <w:r>
        <w:instrText xml:space="preserve"> HYPERLINK "https://www.electoralcommission.org.uk/sites/default/files/pdf_file/Reforming-electoral-law-PACAC-booklet.pdf" </w:instrText>
      </w:r>
      <w:r>
        <w:fldChar w:fldCharType="separate"/>
      </w:r>
      <w:r w:rsidRPr="005B5CB6">
        <w:rPr>
          <w:rFonts w:ascii="Verdana" w:eastAsia="Verdana" w:hAnsi="Verdana" w:cs="Verdana"/>
          <w:u w:val="single" w:color="0099C3"/>
        </w:rPr>
        <w:t xml:space="preserve"> electoral reform is</w:t>
      </w:r>
      <w:r>
        <w:fldChar w:fldCharType="end"/>
      </w:r>
      <w:r>
        <w:fldChar w:fldCharType="begin"/>
      </w:r>
      <w:r>
        <w:instrText xml:space="preserve"> HYPERLINK "https://www.electoralcommission.org.uk/sites/default/files/pdf_file/Reforming-electoral-law-PACAC-booklet.pdf"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"https://www.electoralcommission.org.uk/sites/default/files/pdf_file/Reforming-electoral-law-PACAC-booklet.pdf" </w:instrText>
      </w:r>
      <w:r>
        <w:fldChar w:fldCharType="separate"/>
      </w:r>
      <w:r w:rsidRPr="005B5CB6">
        <w:rPr>
          <w:rFonts w:ascii="Verdana" w:eastAsia="Verdana" w:hAnsi="Verdana" w:cs="Verdana"/>
          <w:u w:val="single" w:color="0099C3"/>
        </w:rPr>
        <w:t>neede</w:t>
      </w:r>
      <w:r>
        <w:fldChar w:fldCharType="end"/>
      </w:r>
      <w:r>
        <w:fldChar w:fldCharType="begin"/>
      </w:r>
      <w:r>
        <w:instrText xml:space="preserve"> HYPERLINK "https://www.electoralcommission.org.uk/sites/default/files/pdf_file/Reforming-electoral-law-PACAC-booklet.pdf" </w:instrText>
      </w:r>
      <w:r>
        <w:fldChar w:fldCharType="separate"/>
      </w:r>
      <w:r w:rsidRPr="005B5CB6">
        <w:rPr>
          <w:rFonts w:ascii="Verdana" w:eastAsia="Verdana" w:hAnsi="Verdana" w:cs="Verdana"/>
          <w:u w:val="single" w:color="0099C3"/>
        </w:rPr>
        <w:t>d</w:t>
      </w:r>
      <w:r>
        <w:fldChar w:fldCharType="end"/>
      </w:r>
      <w:r>
        <w:fldChar w:fldCharType="begin"/>
      </w:r>
      <w:r>
        <w:instrText xml:space="preserve"> HYPERLINK "https://www.electoralcommission.org.uk/sites/default/files/pdf_file/Reforming-electoral-law-PACAC-booklet.pdf"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"https://www.electoralcommission.org.uk/sites/default/files/pdf_file/Reforming-electoral-law-PACAC-booklet.pdf" </w:instrText>
      </w:r>
      <w:r>
        <w:fldChar w:fldCharType="separate"/>
      </w:r>
      <w:r w:rsidRPr="005B5CB6">
        <w:rPr>
          <w:rFonts w:ascii="Verdana" w:eastAsia="Verdana" w:hAnsi="Verdana" w:cs="Verdana"/>
        </w:rPr>
        <w:t>a</w:t>
      </w:r>
      <w:r>
        <w:fldChar w:fldCharType="end"/>
      </w:r>
      <w:r w:rsidRPr="005B5CB6">
        <w:rPr>
          <w:rFonts w:ascii="Verdana" w:eastAsia="Verdana" w:hAnsi="Verdana" w:cs="Verdana"/>
        </w:rPr>
        <w:t xml:space="preserve">nd what needs to change.   </w:t>
      </w:r>
    </w:p>
    <w:p w:rsidR="00FB0B24" w:rsidRPr="005B5CB6" w:rsidP="00EA5212">
      <w:pPr>
        <w:spacing w:after="239" w:line="249" w:lineRule="auto"/>
        <w:ind w:left="551" w:right="333" w:hanging="9"/>
        <w:jc w:val="both"/>
        <w:rPr>
          <w:rFonts w:ascii="Verdana" w:hAnsi="Verdana"/>
        </w:rPr>
      </w:pPr>
      <w:r w:rsidRPr="005B5CB6">
        <w:rPr>
          <w:rFonts w:ascii="Verdana" w:eastAsia="Verdana" w:hAnsi="Verdana" w:cs="Verdana"/>
        </w:rPr>
        <w:t xml:space="preserve">We believe there is an urgent need for simplified and modernised electoral law to underpin efficiency, innovation and voter confidence in electoral administration and campaign regulation.  </w:t>
      </w:r>
    </w:p>
    <w:p w:rsidR="00FB0B24" w:rsidRPr="005B5CB6" w:rsidP="00EA5212">
      <w:pPr>
        <w:spacing w:after="5" w:line="250" w:lineRule="auto"/>
        <w:ind w:left="550" w:right="11" w:hanging="8"/>
        <w:jc w:val="both"/>
        <w:rPr>
          <w:rFonts w:ascii="Verdana" w:hAnsi="Verdana"/>
        </w:rPr>
      </w:pPr>
      <w:r w:rsidRPr="005B5CB6">
        <w:rPr>
          <w:rFonts w:ascii="Verdana" w:eastAsia="Verdana" w:hAnsi="Verdana" w:cs="Verdana"/>
        </w:rPr>
        <w:t xml:space="preserve">Sanctions   </w:t>
      </w:r>
    </w:p>
    <w:p w:rsidR="00FB0B24" w:rsidRPr="005B5CB6" w:rsidP="00575F14">
      <w:pPr>
        <w:numPr>
          <w:ilvl w:val="0"/>
          <w:numId w:val="298"/>
        </w:numPr>
        <w:spacing w:after="239" w:line="249" w:lineRule="auto"/>
        <w:ind w:right="332" w:hanging="341"/>
        <w:jc w:val="both"/>
        <w:rPr>
          <w:rFonts w:ascii="Verdana" w:hAnsi="Verdana"/>
        </w:rPr>
      </w:pPr>
      <w:r w:rsidRPr="005B5CB6">
        <w:rPr>
          <w:rFonts w:ascii="Verdana" w:eastAsia="Verdana" w:hAnsi="Verdana" w:cs="Verdana"/>
        </w:rPr>
        <w:t>When parties and campaigners break electoral law, the maximum fine we can impose is £20,000 per offence. We are concerned that this fine could be seen as the cost of doing business. We recommend that this be increased to ensure that sanctions are proportionate and provide a genuine deterrent for campaigners. This increased would bring our sanctions in line with other regulators, who levy fines in the £100,000s</w:t>
      </w: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EA5212">
      <w:pPr>
        <w:spacing w:after="5" w:line="250" w:lineRule="auto"/>
        <w:ind w:left="551" w:right="11" w:hanging="8"/>
        <w:jc w:val="both"/>
        <w:rPr>
          <w:rFonts w:ascii="Verdana" w:hAnsi="Verdana"/>
        </w:rPr>
      </w:pPr>
      <w:r w:rsidRPr="005B5CB6">
        <w:rPr>
          <w:rFonts w:ascii="Verdana" w:eastAsia="Verdana" w:hAnsi="Verdana" w:cs="Verdana"/>
        </w:rPr>
        <w:t xml:space="preserve">Candidate regulation   </w:t>
      </w:r>
    </w:p>
    <w:p w:rsidR="00FB0B24" w:rsidRPr="005B5CB6" w:rsidP="00575F14">
      <w:pPr>
        <w:numPr>
          <w:ilvl w:val="0"/>
          <w:numId w:val="298"/>
        </w:numPr>
        <w:spacing w:after="239" w:line="249" w:lineRule="auto"/>
        <w:ind w:right="332" w:hanging="341"/>
        <w:jc w:val="both"/>
        <w:rPr>
          <w:rFonts w:ascii="Verdana" w:hAnsi="Verdana"/>
        </w:rPr>
      </w:pPr>
      <w:r w:rsidRPr="005B5CB6">
        <w:rPr>
          <w:rFonts w:ascii="Verdana" w:eastAsia="Verdana" w:hAnsi="Verdana" w:cs="Verdana"/>
        </w:rPr>
        <w:t xml:space="preserve">Our remit should be extended to cover enforcement of candidate finance, in addition to party and campaigner finance, in addition to party and campaigner finance. This change would bring result in candidates offences, where appropriate, would be addressed with civil sanctions.  </w:t>
      </w: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EA5212">
      <w:pPr>
        <w:spacing w:after="5" w:line="250" w:lineRule="auto"/>
        <w:ind w:left="551" w:right="11" w:hanging="8"/>
        <w:jc w:val="both"/>
        <w:rPr>
          <w:rFonts w:ascii="Verdana" w:hAnsi="Verdana"/>
        </w:rPr>
      </w:pPr>
      <w:r w:rsidRPr="005B5CB6">
        <w:rPr>
          <w:rFonts w:ascii="Verdana" w:eastAsia="Verdana" w:hAnsi="Verdana" w:cs="Verdana"/>
        </w:rPr>
        <w:t xml:space="preserve">Modernise legal challenge process   </w:t>
      </w:r>
    </w:p>
    <w:p w:rsidR="00FB0B24" w:rsidRPr="005B5CB6" w:rsidP="00575F14">
      <w:pPr>
        <w:numPr>
          <w:ilvl w:val="0"/>
          <w:numId w:val="298"/>
        </w:numPr>
        <w:spacing w:after="239" w:line="249" w:lineRule="auto"/>
        <w:ind w:right="332" w:hanging="341"/>
        <w:jc w:val="both"/>
        <w:rPr>
          <w:rFonts w:ascii="Verdana" w:hAnsi="Verdana"/>
        </w:rPr>
      </w:pPr>
      <w:r w:rsidRPr="005B5CB6">
        <w:rPr>
          <w:rFonts w:ascii="Verdana" w:eastAsia="Verdana" w:hAnsi="Verdana" w:cs="Verdana"/>
        </w:rPr>
        <w:t xml:space="preserve">The electoral petition process is costly and can take more than a year to resolve. Currently claimants can face high costs which can be a deterrent for potential claimants. This time consuming process can lead to prolonged uncertainty as to the rightful holder of the elected position which is challenging for candidates, parties and voters. Petitions should be incorporated into the ordinary court process, so that it is easier for voters and candidates to challenge the outcome of an election if there is any evidence to suggest it has not been delivered in accordance with the law. </w:t>
      </w: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EA5212">
      <w:pPr>
        <w:spacing w:after="5" w:line="250" w:lineRule="auto"/>
        <w:ind w:left="551" w:right="11" w:hanging="8"/>
        <w:jc w:val="both"/>
        <w:rPr>
          <w:rFonts w:ascii="Verdana" w:hAnsi="Verdana"/>
        </w:rPr>
      </w:pPr>
      <w:r w:rsidRPr="005B5CB6">
        <w:rPr>
          <w:rFonts w:ascii="Verdana" w:eastAsia="Verdana" w:hAnsi="Verdana" w:cs="Verdana"/>
        </w:rPr>
        <w:t xml:space="preserve">Prevent postal voting fraud   </w:t>
      </w:r>
    </w:p>
    <w:p w:rsidR="00FB0B24" w:rsidRPr="005B5CB6" w:rsidP="00575F14">
      <w:pPr>
        <w:numPr>
          <w:ilvl w:val="0"/>
          <w:numId w:val="299"/>
        </w:numPr>
        <w:spacing w:after="250" w:line="249" w:lineRule="auto"/>
        <w:ind w:right="11" w:hanging="360"/>
        <w:jc w:val="both"/>
        <w:rPr>
          <w:rFonts w:ascii="Verdana" w:hAnsi="Verdana"/>
        </w:rPr>
      </w:pPr>
      <w:r w:rsidRPr="005B5CB6">
        <w:rPr>
          <w:rFonts w:ascii="Verdana" w:eastAsia="Verdana" w:hAnsi="Verdana" w:cs="Verdana"/>
        </w:rPr>
        <w:t>The Government have proposed to introduce restrictions on campaigners handling postal votes – this would formalise the ‘best practice’ approach in our guidance and a voluntary</w:t>
      </w:r>
      <w:r>
        <w:fldChar w:fldCharType="begin"/>
      </w:r>
      <w:r>
        <w:instrText xml:space="preserve"> HYPERLINK "https://www.electoralcommission.org.uk/sites/default/files/pdf_file/Code-of-conduct-for-campaigners-2015.pdf"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"https://www.electoralcommission.org.uk/sites/default/files/pdf_file/Code-of-conduct-for-campaigners-2015.pdf" </w:instrText>
      </w:r>
      <w:r>
        <w:fldChar w:fldCharType="separate"/>
      </w:r>
      <w:r w:rsidRPr="005B5CB6">
        <w:rPr>
          <w:rFonts w:ascii="Verdana" w:eastAsia="Verdana" w:hAnsi="Verdana" w:cs="Verdana"/>
          <w:u w:val="single" w:color="0099C3"/>
        </w:rPr>
        <w:t>code of conduct</w:t>
      </w:r>
      <w:r>
        <w:fldChar w:fldCharType="end"/>
      </w:r>
      <w:r>
        <w:fldChar w:fldCharType="begin"/>
      </w:r>
      <w:r>
        <w:instrText xml:space="preserve"> HYPERLINK "https://www.electoralcommission.org.uk/sites/default/files/pdf_file/Code-of-conduct-for-campaigners-2015.pdf" </w:instrText>
      </w:r>
      <w:r>
        <w:fldChar w:fldCharType="separate"/>
      </w:r>
      <w:r w:rsidRPr="005B5CB6">
        <w:rPr>
          <w:rFonts w:ascii="Verdana" w:eastAsia="Verdana" w:hAnsi="Verdana" w:cs="Verdana"/>
        </w:rPr>
        <w:t xml:space="preserve"> f</w:t>
      </w:r>
      <w:r>
        <w:fldChar w:fldCharType="end"/>
      </w:r>
      <w:r w:rsidRPr="005B5CB6">
        <w:rPr>
          <w:rFonts w:ascii="Verdana" w:eastAsia="Verdana" w:hAnsi="Verdana" w:cs="Verdana"/>
        </w:rPr>
        <w:t xml:space="preserve">or campaigners. This would be beneficial as we do not see universal compliance by campaigners with current non-legally binding arrangements.   </w:t>
      </w:r>
    </w:p>
    <w:p w:rsidR="00FB0B24" w:rsidRPr="005B5CB6" w:rsidP="00575F14">
      <w:pPr>
        <w:numPr>
          <w:ilvl w:val="0"/>
          <w:numId w:val="299"/>
        </w:numPr>
        <w:spacing w:after="242" w:line="249" w:lineRule="auto"/>
        <w:ind w:right="11" w:hanging="360"/>
        <w:jc w:val="both"/>
        <w:rPr>
          <w:rFonts w:ascii="Verdana" w:hAnsi="Verdana"/>
        </w:rPr>
      </w:pPr>
      <w:r w:rsidRPr="005B5CB6">
        <w:rPr>
          <w:rFonts w:ascii="Verdana" w:eastAsia="Verdana" w:hAnsi="Verdana" w:cs="Verdana"/>
        </w:rPr>
        <w:t>The Government have proposed to require people to re-apply to vote by post every three years – as we have</w:t>
      </w:r>
      <w:r>
        <w:fldChar w:fldCharType="begin"/>
      </w:r>
      <w:r>
        <w:instrText xml:space="preserve"> HYPERLINK "https://www.electoralcommission.org.uk/sites/default/files/pdf_file/Analysis-of-recommendations-from-Pickles-fraud-review.pdf" </w:instrText>
      </w:r>
      <w:r>
        <w:fldChar w:fldCharType="separate"/>
      </w:r>
      <w:r w:rsidRPr="005B5CB6">
        <w:rPr>
          <w:rFonts w:ascii="Verdana" w:eastAsia="Verdana" w:hAnsi="Verdana" w:cs="Verdana"/>
        </w:rPr>
        <w:t xml:space="preserve"> </w:t>
      </w:r>
      <w:r>
        <w:fldChar w:fldCharType="end"/>
      </w:r>
      <w:r>
        <w:fldChar w:fldCharType="begin"/>
      </w:r>
      <w:r>
        <w:instrText xml:space="preserve"> HYPERLINK "https://www.electoralcommission.org.uk/sites/default/files/pdf_file/Analysis-of-recommendations-from-Pickles-fraud-review.pdf" </w:instrText>
      </w:r>
      <w:r>
        <w:fldChar w:fldCharType="separate"/>
      </w:r>
      <w:r w:rsidRPr="005B5CB6">
        <w:rPr>
          <w:rFonts w:ascii="Verdana" w:eastAsia="Verdana" w:hAnsi="Verdana" w:cs="Verdana"/>
          <w:u w:val="single" w:color="0099C3"/>
        </w:rPr>
        <w:t>previously recommended</w:t>
      </w:r>
      <w:r>
        <w:fldChar w:fldCharType="end"/>
      </w:r>
      <w:r>
        <w:fldChar w:fldCharType="begin"/>
      </w:r>
      <w:r>
        <w:instrText xml:space="preserve"> HYPERLINK "https://www.electoralcommission.org.uk/sites/default/files/pdf_file/Analysis-of-recommendations-from-Pickles-fraud-review.pdf" </w:instrText>
      </w:r>
      <w:r>
        <w:fldChar w:fldCharType="separate"/>
      </w:r>
      <w:r w:rsidRPr="005B5CB6">
        <w:rPr>
          <w:rFonts w:ascii="Verdana" w:eastAsia="Verdana" w:hAnsi="Verdana" w:cs="Verdana"/>
        </w:rPr>
        <w:t xml:space="preserve">, </w:t>
      </w:r>
      <w:r>
        <w:fldChar w:fldCharType="end"/>
      </w:r>
      <w:r w:rsidRPr="005B5CB6">
        <w:rPr>
          <w:rFonts w:ascii="Verdana" w:eastAsia="Verdana" w:hAnsi="Verdana" w:cs="Verdana"/>
        </w:rPr>
        <w:t xml:space="preserve">this would mean that voters are encouraged to regularly review and confirm that they still want to vote by post, or choose to vote in person at a polling station instead. This would help to ensure records are up-to-date and accurate.  </w:t>
      </w:r>
    </w:p>
    <w:p w:rsidR="00FB0B24" w:rsidRPr="005B5CB6" w:rsidP="00EA5212">
      <w:pPr>
        <w:spacing w:after="279" w:line="250" w:lineRule="auto"/>
        <w:ind w:left="550" w:right="11" w:hanging="8"/>
        <w:jc w:val="both"/>
        <w:rPr>
          <w:rFonts w:ascii="Verdana" w:hAnsi="Verdana"/>
        </w:rPr>
      </w:pPr>
      <w:r w:rsidRPr="005B5CB6">
        <w:rPr>
          <w:rFonts w:ascii="Verdana" w:eastAsia="Verdana" w:hAnsi="Verdana" w:cs="Verdana"/>
        </w:rPr>
        <w:t xml:space="preserve">Digital campaigning   </w:t>
      </w:r>
    </w:p>
    <w:p w:rsidR="00FB0B24" w:rsidRPr="005B5CB6" w:rsidP="00575F14">
      <w:pPr>
        <w:numPr>
          <w:ilvl w:val="0"/>
          <w:numId w:val="299"/>
        </w:numPr>
        <w:spacing w:after="5" w:line="250" w:lineRule="auto"/>
        <w:ind w:right="11" w:hanging="360"/>
        <w:jc w:val="both"/>
        <w:rPr>
          <w:rFonts w:ascii="Verdana" w:hAnsi="Verdana"/>
        </w:rPr>
      </w:pPr>
      <w:r w:rsidRPr="005B5CB6">
        <w:rPr>
          <w:rFonts w:ascii="Verdana" w:eastAsia="Verdana" w:hAnsi="Verdana" w:cs="Verdana"/>
        </w:rPr>
        <w:t xml:space="preserve">We strongly welcome the Government’s commitment to implementing an imprint requirement for digital campaigning material; this is urgently needed </w:t>
      </w:r>
    </w:p>
    <w:p w:rsidR="00FB0B24" w:rsidRPr="005B5CB6" w:rsidP="00EA5212">
      <w:pPr>
        <w:jc w:val="both"/>
        <w:rPr>
          <w:rFonts w:ascii="Verdana" w:hAnsi="Verdana"/>
        </w:rPr>
        <w:sectPr w:rsidSect="0098734B">
          <w:headerReference w:type="even" r:id="rId559"/>
          <w:headerReference w:type="default" r:id="rId560"/>
          <w:footerReference w:type="even" r:id="rId561"/>
          <w:footerReference w:type="default" r:id="rId562"/>
          <w:headerReference w:type="first" r:id="rId563"/>
          <w:footerReference w:type="first" r:id="rId564"/>
          <w:pgSz w:w="11906" w:h="16838"/>
          <w:pgMar w:top="1451" w:right="661" w:bottom="720" w:left="1049" w:header="720" w:footer="720" w:gutter="0"/>
          <w:cols w:space="720"/>
          <w:titlePg/>
        </w:sectPr>
      </w:pPr>
    </w:p>
    <w:p w:rsidR="00FB0B24" w:rsidRPr="005B5CB6" w:rsidP="00EA5212">
      <w:pPr>
        <w:spacing w:after="137" w:line="249" w:lineRule="auto"/>
        <w:ind w:left="731" w:right="12" w:hanging="9"/>
        <w:jc w:val="both"/>
        <w:rPr>
          <w:rFonts w:ascii="Verdana" w:hAnsi="Verdana"/>
        </w:rPr>
      </w:pPr>
      <w:r w:rsidRPr="005B5CB6">
        <w:rPr>
          <w:rFonts w:ascii="Verdana" w:eastAsia="Verdana" w:hAnsi="Verdana" w:cs="Verdana"/>
        </w:rPr>
        <w:t xml:space="preserve">to ensure transparency for voters about who is spending money online to influence them. We will work to ensure these proposals can improve transparency and public confidence.   </w:t>
      </w:r>
    </w:p>
    <w:p w:rsidR="00FB0B24" w:rsidRPr="005B5CB6" w:rsidP="00575F14">
      <w:pPr>
        <w:numPr>
          <w:ilvl w:val="0"/>
          <w:numId w:val="299"/>
        </w:numPr>
        <w:spacing w:after="496" w:line="249" w:lineRule="auto"/>
        <w:ind w:right="11" w:hanging="360"/>
        <w:jc w:val="both"/>
        <w:rPr>
          <w:rFonts w:ascii="Verdana" w:hAnsi="Verdana"/>
        </w:rPr>
      </w:pPr>
      <w:r w:rsidRPr="005B5CB6">
        <w:rPr>
          <w:rFonts w:ascii="Verdana" w:eastAsia="Verdana" w:hAnsi="Verdana" w:cs="Verdana"/>
        </w:rPr>
        <w:t xml:space="preserve">Effective campaigning is an essential part of well-run elections, but we need transparency and safeguards to maintain trust and confidence. We have set out a </w:t>
      </w:r>
      <w:r>
        <w:fldChar w:fldCharType="begin"/>
      </w:r>
      <w:r>
        <w:instrText xml:space="preserve"> HYPERLINK "https://www.electoralcommission.org.uk/who-we-are-and-what-we-do/changing-electoral-law/transparent-digital-campaigning/report-digital-campaigning-increasing-transparency-voters" </w:instrText>
      </w:r>
      <w:r>
        <w:fldChar w:fldCharType="separate"/>
      </w:r>
      <w:r w:rsidRPr="005B5CB6">
        <w:rPr>
          <w:rFonts w:ascii="Verdana" w:eastAsia="Verdana" w:hAnsi="Verdana" w:cs="Verdana"/>
          <w:u w:val="single" w:color="0099C3"/>
        </w:rPr>
        <w:t>package of recommendations</w:t>
      </w:r>
      <w:r>
        <w:fldChar w:fldCharType="end"/>
      </w:r>
      <w:r>
        <w:fldChar w:fldCharType="begin"/>
      </w:r>
      <w:r>
        <w:instrText xml:space="preserve"> HYPERLINK "https://www.electoralcommission.org.uk/who-we-are-and-what-we-do/changing-electoral-law/transparent-digital-campaigning/report-digital-campaigning-increasing-transparency-voters" </w:instrText>
      </w:r>
      <w:r>
        <w:fldChar w:fldCharType="separate"/>
      </w:r>
      <w:r w:rsidRPr="005B5CB6">
        <w:rPr>
          <w:rFonts w:ascii="Verdana" w:eastAsia="Verdana" w:hAnsi="Verdana" w:cs="Verdana"/>
        </w:rPr>
        <w:t xml:space="preserve"> t</w:t>
      </w:r>
      <w:r>
        <w:fldChar w:fldCharType="end"/>
      </w:r>
      <w:r w:rsidRPr="005B5CB6">
        <w:rPr>
          <w:rFonts w:ascii="Verdana" w:eastAsia="Verdana" w:hAnsi="Verdana" w:cs="Verdana"/>
        </w:rPr>
        <w:t xml:space="preserve">o increase transparency about digital campaign spending, and to strengthen our investigation and enforcement tools.   </w:t>
      </w:r>
    </w:p>
    <w:p w:rsidR="00FB0B24" w:rsidRPr="005B5CB6" w:rsidP="00EA5212">
      <w:pPr>
        <w:spacing w:after="201" w:line="250" w:lineRule="auto"/>
        <w:ind w:left="11" w:hanging="10"/>
        <w:jc w:val="both"/>
        <w:rPr>
          <w:rFonts w:ascii="Verdana" w:hAnsi="Verdana"/>
        </w:rPr>
      </w:pPr>
      <w:r w:rsidRPr="005B5CB6">
        <w:rPr>
          <w:rFonts w:ascii="Verdana" w:eastAsia="Verdana" w:hAnsi="Verdana" w:cs="Verdana"/>
          <w:b/>
        </w:rPr>
        <w:t xml:space="preserve">Parliamentary General Election Public opinion survey   </w:t>
      </w:r>
    </w:p>
    <w:p w:rsidR="00FB0B24" w:rsidRPr="005B5CB6" w:rsidP="00EA5212">
      <w:pPr>
        <w:spacing w:after="247" w:line="250" w:lineRule="auto"/>
        <w:ind w:left="23" w:right="11" w:hanging="8"/>
        <w:jc w:val="both"/>
        <w:rPr>
          <w:rFonts w:ascii="Verdana" w:hAnsi="Verdana"/>
        </w:rPr>
      </w:pPr>
      <w:r w:rsidRPr="005B5CB6">
        <w:rPr>
          <w:rFonts w:ascii="Verdana" w:eastAsia="Verdana" w:hAnsi="Verdana" w:cs="Verdana"/>
        </w:rPr>
        <w:t xml:space="preserve">After each election we survey people’s views about the election. This year we found that:    </w:t>
      </w:r>
    </w:p>
    <w:p w:rsidR="00FB0B24" w:rsidRPr="005B5CB6" w:rsidP="00575F14">
      <w:pPr>
        <w:numPr>
          <w:ilvl w:val="0"/>
          <w:numId w:val="299"/>
        </w:numPr>
        <w:spacing w:after="206" w:line="250" w:lineRule="auto"/>
        <w:ind w:right="11" w:hanging="360"/>
        <w:jc w:val="both"/>
        <w:rPr>
          <w:rFonts w:ascii="Verdana" w:hAnsi="Verdana"/>
        </w:rPr>
      </w:pPr>
      <w:r w:rsidRPr="005B5CB6">
        <w:rPr>
          <w:rFonts w:ascii="Verdana" w:eastAsia="Verdana" w:hAnsi="Verdana" w:cs="Verdana"/>
        </w:rPr>
        <w:t xml:space="preserve">69% of respondents stated they were confident the 2019 UKPGE were well run  </w:t>
      </w:r>
    </w:p>
    <w:p w:rsidR="00FB0B24" w:rsidRPr="005B5CB6" w:rsidP="00575F14">
      <w:pPr>
        <w:numPr>
          <w:ilvl w:val="0"/>
          <w:numId w:val="299"/>
        </w:numPr>
        <w:spacing w:after="201" w:line="250" w:lineRule="auto"/>
        <w:ind w:right="11" w:hanging="360"/>
        <w:jc w:val="both"/>
        <w:rPr>
          <w:rFonts w:ascii="Verdana" w:hAnsi="Verdana"/>
        </w:rPr>
      </w:pPr>
      <w:r w:rsidRPr="005B5CB6">
        <w:rPr>
          <w:rFonts w:ascii="Verdana" w:eastAsia="Verdana" w:hAnsi="Verdana" w:cs="Verdana"/>
        </w:rPr>
        <w:t xml:space="preserve">93% of people were satisfied with the process for voting   </w:t>
      </w:r>
    </w:p>
    <w:p w:rsidR="00FB0B24" w:rsidRPr="005B5CB6" w:rsidP="00575F14">
      <w:pPr>
        <w:numPr>
          <w:ilvl w:val="0"/>
          <w:numId w:val="299"/>
        </w:numPr>
        <w:spacing w:after="206" w:line="250" w:lineRule="auto"/>
        <w:ind w:right="11" w:hanging="360"/>
        <w:jc w:val="both"/>
        <w:rPr>
          <w:rFonts w:ascii="Verdana" w:hAnsi="Verdana"/>
        </w:rPr>
      </w:pPr>
      <w:r w:rsidRPr="005B5CB6">
        <w:rPr>
          <w:rFonts w:ascii="Verdana" w:eastAsia="Verdana" w:hAnsi="Verdana" w:cs="Verdana"/>
        </w:rPr>
        <w:t xml:space="preserve">80% of respondents said they knew a little or a lot about the election.   </w:t>
      </w:r>
    </w:p>
    <w:p w:rsidR="00FB0B24" w:rsidRPr="005B5CB6" w:rsidP="00575F14">
      <w:pPr>
        <w:numPr>
          <w:ilvl w:val="0"/>
          <w:numId w:val="299"/>
        </w:numPr>
        <w:spacing w:after="241" w:line="250" w:lineRule="auto"/>
        <w:ind w:right="11" w:hanging="360"/>
        <w:jc w:val="both"/>
        <w:rPr>
          <w:rFonts w:ascii="Verdana" w:hAnsi="Verdana"/>
        </w:rPr>
      </w:pPr>
      <w:r w:rsidRPr="005B5CB6">
        <w:rPr>
          <w:rFonts w:ascii="Verdana" w:eastAsia="Verdana" w:hAnsi="Verdana" w:cs="Verdana"/>
        </w:rPr>
        <w:t xml:space="preserve">88% of people said it was easy to get information on how to both register and to cast their vote  </w:t>
      </w:r>
    </w:p>
    <w:p w:rsidR="00FB0B24" w:rsidRPr="005B5CB6" w:rsidP="00EA5212">
      <w:pPr>
        <w:spacing w:after="5" w:line="250" w:lineRule="auto"/>
        <w:ind w:left="23" w:right="11" w:hanging="8"/>
        <w:jc w:val="both"/>
        <w:rPr>
          <w:rFonts w:ascii="Verdana" w:hAnsi="Verdana"/>
        </w:rPr>
      </w:pPr>
      <w:r w:rsidRPr="005B5CB6">
        <w:rPr>
          <w:rFonts w:ascii="Verdana" w:eastAsia="Verdana" w:hAnsi="Verdana" w:cs="Verdana"/>
        </w:rPr>
        <w:t xml:space="preserve">Digital campaigning  </w:t>
      </w:r>
    </w:p>
    <w:p w:rsidR="00FB0B24" w:rsidRPr="005B5CB6" w:rsidP="00EA5212">
      <w:pPr>
        <w:spacing w:after="236" w:line="249" w:lineRule="auto"/>
        <w:ind w:left="10" w:right="12" w:hanging="9"/>
        <w:jc w:val="both"/>
        <w:rPr>
          <w:rFonts w:ascii="Verdana" w:hAnsi="Verdana"/>
        </w:rPr>
      </w:pPr>
      <w:r w:rsidRPr="005B5CB6">
        <w:rPr>
          <w:rFonts w:ascii="Verdana" w:eastAsia="Verdana" w:hAnsi="Verdana" w:cs="Verdana"/>
        </w:rPr>
        <w:t xml:space="preserve">As there’s been a growing use and focus of digital technologies in campaigning, we added questions on this topic to our public opinion survey this year to learn more about people’s perceptions of online campaigning. </w:t>
      </w: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EA5212">
      <w:pPr>
        <w:pStyle w:val="Heading2"/>
        <w:rPr>
          <w:sz w:val="22"/>
        </w:rPr>
      </w:pPr>
      <w:r w:rsidRPr="005B5CB6">
        <w:rPr>
          <w:sz w:val="22"/>
          <w:u w:color="003057"/>
        </w:rPr>
        <w:t>Reach of different campaign materials</w:t>
      </w:r>
      <w:r w:rsidRPr="005B5CB6">
        <w:rPr>
          <w:sz w:val="22"/>
        </w:rPr>
        <w:t xml:space="preserve">  </w:t>
      </w:r>
    </w:p>
    <w:p w:rsidR="00FB0B24" w:rsidRPr="005B5CB6" w:rsidP="00EA5212">
      <w:pPr>
        <w:spacing w:after="242" w:line="250" w:lineRule="auto"/>
        <w:ind w:left="23" w:right="11" w:hanging="8"/>
        <w:jc w:val="both"/>
        <w:rPr>
          <w:rFonts w:ascii="Verdana" w:hAnsi="Verdana"/>
        </w:rPr>
      </w:pPr>
      <w:r w:rsidRPr="005B5CB6">
        <w:rPr>
          <w:rFonts w:ascii="Verdana" w:eastAsia="Verdana" w:hAnsi="Verdana" w:cs="Verdana"/>
        </w:rPr>
        <w:t>People were consistently more likely to say they saw paper campaign material than online.</w:t>
      </w:r>
      <w:r w:rsidRPr="005B5CB6">
        <w:rPr>
          <w:rFonts w:ascii="Verdana" w:eastAsia="Verdana" w:hAnsi="Verdana" w:cs="Verdana"/>
          <w:b/>
        </w:rPr>
        <w:t xml:space="preserve"> </w:t>
      </w:r>
      <w:r w:rsidRPr="005B5CB6">
        <w:rPr>
          <w:rFonts w:ascii="Verdana" w:eastAsia="Verdana" w:hAnsi="Verdana" w:cs="Verdana"/>
        </w:rPr>
        <w:t xml:space="preserve"> </w:t>
      </w:r>
    </w:p>
    <w:p w:rsidR="00FB0B24" w:rsidRPr="005B5CB6" w:rsidP="00575F14">
      <w:pPr>
        <w:numPr>
          <w:ilvl w:val="0"/>
          <w:numId w:val="300"/>
        </w:numPr>
        <w:spacing w:after="261" w:line="250" w:lineRule="auto"/>
        <w:ind w:right="12" w:hanging="360"/>
        <w:jc w:val="both"/>
        <w:rPr>
          <w:rFonts w:ascii="Verdana" w:hAnsi="Verdana"/>
        </w:rPr>
      </w:pPr>
      <w:r w:rsidRPr="005B5CB6">
        <w:rPr>
          <w:rFonts w:ascii="Verdana" w:eastAsia="Verdana" w:hAnsi="Verdana" w:cs="Verdana"/>
        </w:rPr>
        <w:t xml:space="preserve">55% of respondents saw leaflets from candidates or parties  </w:t>
      </w:r>
    </w:p>
    <w:p w:rsidR="00FB0B24" w:rsidRPr="005B5CB6" w:rsidP="00575F14">
      <w:pPr>
        <w:numPr>
          <w:ilvl w:val="0"/>
          <w:numId w:val="300"/>
        </w:numPr>
        <w:spacing w:after="244" w:line="249" w:lineRule="auto"/>
        <w:ind w:right="12" w:hanging="360"/>
        <w:jc w:val="both"/>
        <w:rPr>
          <w:rFonts w:ascii="Verdana" w:hAnsi="Verdana"/>
        </w:rPr>
      </w:pPr>
      <w:r w:rsidRPr="005B5CB6">
        <w:rPr>
          <w:rFonts w:ascii="Verdana" w:eastAsia="Verdana" w:hAnsi="Verdana" w:cs="Verdana"/>
        </w:rPr>
        <w:t xml:space="preserve">Nearly a quarter (24%) of respondents saw information about parties/candidates from generic social media posts and adverts. The 1824 age group were more likely to say this than other groups (40% compared to 13% of those aged 65+).    </w:t>
      </w:r>
    </w:p>
    <w:p w:rsidR="00FB0B24" w:rsidRPr="005B5CB6" w:rsidP="00575F14">
      <w:pPr>
        <w:numPr>
          <w:ilvl w:val="0"/>
          <w:numId w:val="300"/>
        </w:numPr>
        <w:spacing w:after="236" w:line="249" w:lineRule="auto"/>
        <w:ind w:right="12" w:hanging="360"/>
        <w:jc w:val="both"/>
        <w:rPr>
          <w:rFonts w:ascii="Verdana" w:hAnsi="Verdana"/>
        </w:rPr>
      </w:pPr>
      <w:r w:rsidRPr="005B5CB6">
        <w:rPr>
          <w:rFonts w:ascii="Verdana" w:eastAsia="Verdana" w:hAnsi="Verdana" w:cs="Verdana"/>
        </w:rPr>
        <w:t xml:space="preserve">Other types of digital media were mentioned less often, for example 16% said they received an advert or post from a party/candidate on social media, 14% saw an advert or message from a different type of campaigner on social media, and 6% said they saw in-app advertising. Younger respondents were more likely to say they had seen these than older respondents.  </w:t>
      </w:r>
    </w:p>
    <w:p w:rsidR="00006AFD" w:rsidRPr="005B5CB6" w:rsidP="00656373">
      <w:pPr>
        <w:pStyle w:val="Heading2"/>
        <w:rPr>
          <w:b w:val="0"/>
          <w:sz w:val="22"/>
        </w:rPr>
      </w:pPr>
      <w:r w:rsidRPr="005B5CB6">
        <w:rPr>
          <w:sz w:val="22"/>
          <w:u w:color="003057"/>
        </w:rPr>
        <w:t>Public perceptions of political information online</w:t>
      </w:r>
      <w:r w:rsidRPr="005B5CB6">
        <w:rPr>
          <w:sz w:val="22"/>
        </w:rPr>
        <w:t xml:space="preserve">  </w:t>
      </w:r>
      <w:r w:rsidRPr="005B5CB6">
        <w:rPr>
          <w:sz w:val="22"/>
        </w:rPr>
        <w:br w:type="page"/>
      </w:r>
    </w:p>
    <w:p w:rsidR="00FB0B24" w:rsidRPr="005B5CB6" w:rsidP="00EA5212">
      <w:pPr>
        <w:pStyle w:val="Heading2"/>
        <w:rPr>
          <w:sz w:val="22"/>
        </w:rPr>
      </w:pPr>
    </w:p>
    <w:p w:rsidR="00FB0B24" w:rsidRPr="005B5CB6" w:rsidP="00575F14">
      <w:pPr>
        <w:numPr>
          <w:ilvl w:val="0"/>
          <w:numId w:val="301"/>
        </w:numPr>
        <w:spacing w:after="131" w:line="250" w:lineRule="auto"/>
        <w:ind w:right="11" w:hanging="283"/>
        <w:jc w:val="both"/>
        <w:rPr>
          <w:rFonts w:ascii="Verdana" w:hAnsi="Verdana"/>
        </w:rPr>
      </w:pPr>
      <w:r w:rsidRPr="005B5CB6">
        <w:rPr>
          <w:rFonts w:ascii="Verdana" w:eastAsia="Verdana" w:hAnsi="Verdana" w:cs="Verdana"/>
          <w:b/>
        </w:rPr>
        <w:t>Nearly half</w:t>
      </w:r>
      <w:r w:rsidRPr="005B5CB6">
        <w:rPr>
          <w:rFonts w:ascii="Verdana" w:eastAsia="Verdana" w:hAnsi="Verdana" w:cs="Verdana"/>
        </w:rPr>
        <w:t xml:space="preserve"> (46%) of respondents were concerned about why and how political ads were targeted at them.   </w:t>
      </w:r>
    </w:p>
    <w:p w:rsidR="00FB0B24" w:rsidRPr="005B5CB6" w:rsidP="00575F14">
      <w:pPr>
        <w:numPr>
          <w:ilvl w:val="0"/>
          <w:numId w:val="301"/>
        </w:numPr>
        <w:spacing w:after="167" w:line="250" w:lineRule="auto"/>
        <w:ind w:right="11" w:hanging="283"/>
        <w:jc w:val="both"/>
        <w:rPr>
          <w:rFonts w:ascii="Verdana" w:hAnsi="Verdana"/>
        </w:rPr>
      </w:pPr>
      <w:r w:rsidRPr="005B5CB6">
        <w:rPr>
          <w:rFonts w:ascii="Verdana" w:eastAsia="Verdana" w:hAnsi="Verdana" w:cs="Verdana"/>
          <w:b/>
        </w:rPr>
        <w:t>Nearly half</w:t>
      </w:r>
      <w:r w:rsidRPr="005B5CB6">
        <w:rPr>
          <w:rFonts w:ascii="Verdana" w:eastAsia="Verdana" w:hAnsi="Verdana" w:cs="Verdana"/>
        </w:rPr>
        <w:t xml:space="preserve"> (45%) disagreed that they can find out who has produced the political information they see online (e.g. who has paid for it and who it is by).   </w:t>
      </w:r>
    </w:p>
    <w:p w:rsidR="00FB0B24" w:rsidRPr="005B5CB6" w:rsidP="00575F14">
      <w:pPr>
        <w:numPr>
          <w:ilvl w:val="0"/>
          <w:numId w:val="301"/>
        </w:numPr>
        <w:spacing w:after="134" w:line="250" w:lineRule="auto"/>
        <w:ind w:right="11" w:hanging="283"/>
        <w:jc w:val="both"/>
        <w:rPr>
          <w:rFonts w:ascii="Verdana" w:hAnsi="Verdana"/>
        </w:rPr>
      </w:pPr>
      <w:r w:rsidRPr="005B5CB6">
        <w:rPr>
          <w:rFonts w:ascii="Verdana" w:eastAsia="Verdana" w:hAnsi="Verdana" w:cs="Verdana"/>
          <w:b/>
        </w:rPr>
        <w:t xml:space="preserve">More than half </w:t>
      </w:r>
      <w:r w:rsidRPr="005B5CB6">
        <w:rPr>
          <w:rFonts w:ascii="Verdana" w:eastAsia="Verdana" w:hAnsi="Verdana" w:cs="Verdana"/>
        </w:rPr>
        <w:t xml:space="preserve">(52%) felt that ‘inadequate control of political activity on social media’ is a problem.   </w:t>
      </w:r>
    </w:p>
    <w:p w:rsidR="00FB0B24" w:rsidRPr="005B5CB6" w:rsidP="00575F14">
      <w:pPr>
        <w:numPr>
          <w:ilvl w:val="0"/>
          <w:numId w:val="301"/>
        </w:numPr>
        <w:spacing w:after="134" w:line="250" w:lineRule="auto"/>
        <w:ind w:right="11" w:hanging="283"/>
        <w:jc w:val="both"/>
        <w:rPr>
          <w:rFonts w:ascii="Verdana" w:hAnsi="Verdana"/>
        </w:rPr>
      </w:pPr>
      <w:r w:rsidRPr="005B5CB6">
        <w:rPr>
          <w:rFonts w:ascii="Verdana" w:eastAsia="Verdana" w:hAnsi="Verdana" w:cs="Verdana"/>
        </w:rPr>
        <w:t xml:space="preserve">Almost </w:t>
      </w:r>
      <w:r w:rsidRPr="005B5CB6">
        <w:rPr>
          <w:rFonts w:ascii="Verdana" w:eastAsia="Verdana" w:hAnsi="Verdana" w:cs="Verdana"/>
          <w:b/>
        </w:rPr>
        <w:t xml:space="preserve">two-thirds </w:t>
      </w:r>
      <w:r w:rsidRPr="005B5CB6">
        <w:rPr>
          <w:rFonts w:ascii="Verdana" w:eastAsia="Verdana" w:hAnsi="Verdana" w:cs="Verdana"/>
        </w:rPr>
        <w:t xml:space="preserve">(60%) of people think that information available online about politics is not trustworthy.  </w:t>
      </w:r>
    </w:p>
    <w:p w:rsidR="00FB0B24" w:rsidRPr="005B5CB6" w:rsidP="00575F14">
      <w:pPr>
        <w:numPr>
          <w:ilvl w:val="0"/>
          <w:numId w:val="301"/>
        </w:numPr>
        <w:spacing w:after="188" w:line="250" w:lineRule="auto"/>
        <w:ind w:right="11" w:hanging="283"/>
        <w:jc w:val="both"/>
        <w:rPr>
          <w:rFonts w:ascii="Verdana" w:hAnsi="Verdana"/>
        </w:rPr>
      </w:pPr>
      <w:r w:rsidRPr="005B5CB6">
        <w:rPr>
          <w:rFonts w:ascii="Verdana" w:eastAsia="Verdana" w:hAnsi="Verdana" w:cs="Verdana"/>
          <w:b/>
        </w:rPr>
        <w:t>Two thirds of respondents (67%) said that bias in the media is a problem.</w:t>
      </w:r>
      <w:r w:rsidRPr="005B5CB6">
        <w:rPr>
          <w:rFonts w:ascii="Verdana" w:eastAsia="Verdana" w:hAnsi="Verdana" w:cs="Verdana"/>
        </w:rPr>
        <w:t xml:space="preserve">   </w:t>
      </w:r>
    </w:p>
    <w:p w:rsidR="00FB0B24" w:rsidRPr="005B5CB6" w:rsidP="00A72806">
      <w:pPr>
        <w:spacing w:after="3"/>
        <w:ind w:left="14"/>
        <w:jc w:val="both"/>
        <w:rPr>
          <w:rFonts w:ascii="Verdana" w:hAnsi="Verdana"/>
        </w:rPr>
      </w:pPr>
      <w:r w:rsidRPr="005B5CB6">
        <w:rPr>
          <w:rFonts w:ascii="Verdana" w:eastAsia="Verdana" w:hAnsi="Verdana" w:cs="Verdana"/>
          <w:b/>
        </w:rPr>
        <w:t xml:space="preserve"> </w:t>
      </w:r>
      <w:r w:rsidRPr="005B5CB6">
        <w:rPr>
          <w:rFonts w:ascii="Verdana" w:eastAsia="Verdana" w:hAnsi="Verdana" w:cs="Verdana"/>
        </w:rPr>
        <w:t xml:space="preserve"> </w:t>
      </w:r>
    </w:p>
    <w:p w:rsidR="00656373" w:rsidRPr="005B5CB6" w:rsidP="00A72806">
      <w:pPr>
        <w:spacing w:after="0"/>
        <w:ind w:left="14"/>
        <w:jc w:val="both"/>
        <w:rPr>
          <w:rFonts w:ascii="Verdana" w:eastAsia="Verdana" w:hAnsi="Verdana" w:cs="Verdana"/>
        </w:rPr>
      </w:pPr>
      <w:r w:rsidRPr="005B5CB6">
        <w:rPr>
          <w:rFonts w:ascii="Verdana" w:eastAsia="Verdana" w:hAnsi="Verdana" w:cs="Verdana"/>
        </w:rPr>
        <w:t xml:space="preserve"> </w:t>
      </w:r>
    </w:p>
    <w:p w:rsidR="00656373" w:rsidRPr="005B5CB6">
      <w:pPr>
        <w:rPr>
          <w:rFonts w:ascii="Verdana" w:eastAsia="Verdana" w:hAnsi="Verdana" w:cs="Verdana"/>
        </w:rPr>
      </w:pPr>
      <w:r w:rsidRPr="005B5CB6">
        <w:rPr>
          <w:rFonts w:ascii="Verdana" w:eastAsia="Verdana" w:hAnsi="Verdana" w:cs="Verdana"/>
        </w:rPr>
        <w:br w:type="page"/>
      </w:r>
    </w:p>
    <w:p w:rsidR="00930BDD" w:rsidRPr="005B5CB6" w:rsidP="00930BDD">
      <w:pPr>
        <w:pStyle w:val="Heading1"/>
        <w:rPr>
          <w:b w:val="0"/>
          <w:bCs/>
          <w:sz w:val="22"/>
        </w:rPr>
      </w:pPr>
      <w:bookmarkStart w:id="88" w:name="_Toc44517776"/>
      <w:r w:rsidRPr="005B5CB6">
        <w:rPr>
          <w:bCs/>
          <w:sz w:val="22"/>
        </w:rPr>
        <w:t>Google – supplementary written evidence (DAD0101)</w:t>
      </w:r>
      <w:bookmarkEnd w:id="88"/>
    </w:p>
    <w:p w:rsidR="00930BDD" w:rsidRPr="005B5CB6" w:rsidP="00930BDD">
      <w:pPr>
        <w:spacing w:line="240" w:lineRule="auto"/>
        <w:rPr>
          <w:rFonts w:ascii="Verdana" w:eastAsia="Roboto" w:hAnsi="Verdana" w:cs="Roboto"/>
        </w:rPr>
      </w:pPr>
    </w:p>
    <w:p w:rsidR="00930BDD" w:rsidRPr="005B5CB6" w:rsidP="00930BDD">
      <w:pPr>
        <w:spacing w:line="240" w:lineRule="auto"/>
        <w:rPr>
          <w:rFonts w:ascii="Verdana" w:eastAsia="Roboto" w:hAnsi="Verdana" w:cs="Roboto"/>
        </w:rPr>
      </w:pPr>
      <w:r w:rsidRPr="005B5CB6">
        <w:rPr>
          <w:rFonts w:ascii="Verdana" w:eastAsia="Roboto" w:hAnsi="Verdana" w:cs="Roboto"/>
        </w:rPr>
        <w:t>Thank you very much for the invitation to appear in front of the Democracy and Digital Technologies Committee. As mentioned during the session, at Google, we believe the Internet and social media has had a transformational and positive impact on democratic debate and participation, but there is always more to be done as our technologies and society evolve. We are committed to playing a key part in this important work.</w:t>
      </w:r>
    </w:p>
    <w:p w:rsidR="00930BDD" w:rsidRPr="005B5CB6" w:rsidP="00930BDD">
      <w:pPr>
        <w:spacing w:line="240" w:lineRule="auto"/>
        <w:rPr>
          <w:rFonts w:ascii="Verdana" w:eastAsia="Roboto" w:hAnsi="Verdana" w:cs="Roboto"/>
        </w:rPr>
      </w:pPr>
    </w:p>
    <w:p w:rsidR="00930BDD" w:rsidRPr="005B5CB6" w:rsidP="00930BDD">
      <w:pPr>
        <w:spacing w:line="240" w:lineRule="auto"/>
        <w:rPr>
          <w:rFonts w:ascii="Verdana" w:eastAsia="Roboto" w:hAnsi="Verdana" w:cs="Roboto"/>
        </w:rPr>
      </w:pPr>
      <w:r w:rsidRPr="005B5CB6">
        <w:rPr>
          <w:rFonts w:ascii="Verdana" w:eastAsia="Roboto" w:hAnsi="Verdana" w:cs="Roboto"/>
        </w:rPr>
        <w:t>As requested, we have provided further information on a number of different areas relating to this discussion below.</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b/>
        </w:rPr>
        <w:t>Building trust in Google and our products</w:t>
      </w:r>
    </w:p>
    <w:p w:rsidR="00930BDD" w:rsidRPr="005B5CB6" w:rsidP="00930BDD">
      <w:pPr>
        <w:spacing w:line="240" w:lineRule="auto"/>
        <w:rPr>
          <w:rFonts w:ascii="Verdana" w:eastAsia="Roboto" w:hAnsi="Verdana" w:cs="Roboto"/>
        </w:rPr>
      </w:pPr>
      <w:r w:rsidRPr="005B5CB6">
        <w:rPr>
          <w:rFonts w:ascii="Verdana" w:eastAsia="Roboto" w:hAnsi="Verdana" w:cs="Roboto"/>
        </w:rPr>
        <w:t xml:space="preserve">Our business relies on our users trusting us and the services we provide, and this is central to how we design and build our products. People continue to use platforms like Search or YouTube because they trust they will be able to find timely entertaining, informative and authoritative content. We try to build this trust through our approach to transparency, which is something we take very seriously. Google has made industry leading efforts in this area from our public How Search Works website which includes resources like our </w:t>
      </w:r>
      <w:r>
        <w:fldChar w:fldCharType="begin"/>
      </w:r>
      <w:r>
        <w:instrText xml:space="preserve"> HYPERLINK "https://static.googleusercontent.com/media/guidelines.raterhub.com/en//searchqualityevaluatorguidelines.pdf" </w:instrText>
      </w:r>
      <w:r>
        <w:fldChar w:fldCharType="separate"/>
      </w:r>
      <w:r w:rsidRPr="005B5CB6">
        <w:rPr>
          <w:rFonts w:ascii="Verdana" w:eastAsia="Roboto" w:hAnsi="Verdana" w:cs="Roboto"/>
          <w:u w:val="single"/>
        </w:rPr>
        <w:t>Search Rater Guidelines</w:t>
      </w:r>
      <w:r>
        <w:fldChar w:fldCharType="end"/>
      </w:r>
      <w:r w:rsidRPr="005B5CB6">
        <w:rPr>
          <w:rFonts w:ascii="Verdana" w:eastAsia="Roboto" w:hAnsi="Verdana" w:cs="Roboto"/>
        </w:rPr>
        <w:t xml:space="preserve"> through to our </w:t>
      </w:r>
      <w:r>
        <w:fldChar w:fldCharType="begin"/>
      </w:r>
      <w:r>
        <w:instrText xml:space="preserve"> HYPERLINK "https://transparencyreport.google.com/" </w:instrText>
      </w:r>
      <w:r>
        <w:fldChar w:fldCharType="separate"/>
      </w:r>
      <w:r w:rsidRPr="005B5CB6">
        <w:rPr>
          <w:rFonts w:ascii="Verdana" w:eastAsia="Roboto" w:hAnsi="Verdana" w:cs="Roboto"/>
          <w:u w:val="single"/>
        </w:rPr>
        <w:t>transparency reports</w:t>
      </w:r>
      <w:r>
        <w:fldChar w:fldCharType="end"/>
      </w:r>
      <w:r w:rsidRPr="005B5CB6">
        <w:rPr>
          <w:rFonts w:ascii="Verdana" w:eastAsia="Roboto" w:hAnsi="Verdana" w:cs="Roboto"/>
        </w:rPr>
        <w:t xml:space="preserve"> and our clear </w:t>
      </w:r>
      <w:r>
        <w:fldChar w:fldCharType="begin"/>
      </w:r>
      <w:r>
        <w:instrText xml:space="preserve"> HYPERLINK "https://www.youtube.com/about/policies/" \l "community-guidelines" </w:instrText>
      </w:r>
      <w:r>
        <w:fldChar w:fldCharType="separate"/>
      </w:r>
      <w:r w:rsidRPr="005B5CB6">
        <w:rPr>
          <w:rFonts w:ascii="Verdana" w:eastAsia="Roboto" w:hAnsi="Verdana" w:cs="Roboto"/>
          <w:u w:val="single"/>
        </w:rPr>
        <w:t>community guidelines</w:t>
      </w:r>
      <w:r>
        <w:fldChar w:fldCharType="end"/>
      </w:r>
      <w:r w:rsidRPr="005B5CB6">
        <w:rPr>
          <w:rFonts w:ascii="Verdana" w:eastAsia="Roboto" w:hAnsi="Verdana" w:cs="Roboto"/>
        </w:rPr>
        <w:t xml:space="preserve"> which govern what is and isn’t acceptable on YouTube.</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We are keen to also improve transparency with policy makers, by providing written and oral evidence to Select Committees, such as this one, and we are pleased to have the opportunity to provide further information to you.</w:t>
      </w:r>
    </w:p>
    <w:p w:rsidR="00930BDD" w:rsidRPr="005B5CB6" w:rsidP="00930BDD">
      <w:pPr>
        <w:spacing w:line="240" w:lineRule="auto"/>
        <w:rPr>
          <w:rFonts w:ascii="Verdana" w:eastAsia="Roboto" w:hAnsi="Verdana" w:cs="Roboto"/>
        </w:rPr>
      </w:pPr>
    </w:p>
    <w:p w:rsidR="00930BDD" w:rsidRPr="005B5CB6" w:rsidP="00930BDD">
      <w:pPr>
        <w:spacing w:line="240" w:lineRule="auto"/>
        <w:rPr>
          <w:rFonts w:ascii="Verdana" w:eastAsia="Roboto" w:hAnsi="Verdana" w:cs="Roboto"/>
          <w:b/>
        </w:rPr>
      </w:pPr>
      <w:r w:rsidRPr="005B5CB6">
        <w:rPr>
          <w:rFonts w:ascii="Verdana" w:eastAsia="Roboto" w:hAnsi="Verdana" w:cs="Roboto"/>
          <w:b/>
        </w:rPr>
        <w:t>Making our platforms and products more understandable</w:t>
      </w:r>
    </w:p>
    <w:p w:rsidR="00930BDD" w:rsidRPr="005B5CB6" w:rsidP="00930BDD">
      <w:pPr>
        <w:spacing w:line="240" w:lineRule="auto"/>
        <w:rPr>
          <w:rFonts w:ascii="Verdana" w:eastAsia="Roboto" w:hAnsi="Verdana" w:cs="Roboto"/>
          <w:b/>
        </w:rPr>
      </w:pPr>
    </w:p>
    <w:p w:rsidR="00930BDD" w:rsidRPr="005B5CB6" w:rsidP="00930BDD">
      <w:pPr>
        <w:spacing w:line="240" w:lineRule="auto"/>
        <w:rPr>
          <w:rFonts w:ascii="Verdana" w:eastAsia="Roboto" w:hAnsi="Verdana" w:cs="Roboto"/>
        </w:rPr>
      </w:pPr>
      <w:r w:rsidRPr="005B5CB6">
        <w:rPr>
          <w:rFonts w:ascii="Verdana" w:eastAsia="Roboto" w:hAnsi="Verdana" w:cs="Roboto"/>
        </w:rPr>
        <w:t>At Google, we are constantly looking for ways to make all of our platforms easier to understand for the general public. This is shown through the products we provide to users, which are built with our core values of transparency, choice and control in mind. There are a number of ways that we are currently doing this across all of our platforms:</w:t>
      </w:r>
    </w:p>
    <w:p w:rsidR="00930BDD" w:rsidRPr="005B5CB6" w:rsidP="00930BDD">
      <w:pPr>
        <w:spacing w:line="240" w:lineRule="auto"/>
        <w:rPr>
          <w:rFonts w:ascii="Verdana" w:eastAsia="Roboto" w:hAnsi="Verdana" w:cs="Roboto"/>
        </w:rPr>
      </w:pPr>
    </w:p>
    <w:p w:rsidR="00930BDD" w:rsidRPr="005B5CB6" w:rsidP="00930BDD">
      <w:pPr>
        <w:spacing w:line="240" w:lineRule="auto"/>
        <w:rPr>
          <w:rFonts w:ascii="Verdana" w:eastAsia="Roboto" w:hAnsi="Verdana" w:cs="Roboto"/>
        </w:rPr>
      </w:pPr>
    </w:p>
    <w:p w:rsidR="00930BDD" w:rsidRPr="005B5CB6" w:rsidP="00575F14">
      <w:pPr>
        <w:numPr>
          <w:ilvl w:val="0"/>
          <w:numId w:val="317"/>
        </w:numPr>
        <w:shd w:val="clear" w:color="auto" w:fill="FFFFFF"/>
        <w:spacing w:after="0" w:line="240" w:lineRule="auto"/>
        <w:rPr>
          <w:rFonts w:ascii="Verdana" w:eastAsia="Roboto" w:hAnsi="Verdana" w:cs="Roboto"/>
        </w:rPr>
      </w:pPr>
      <w:r w:rsidRPr="005B5CB6">
        <w:rPr>
          <w:rFonts w:ascii="Verdana" w:eastAsia="Roboto" w:hAnsi="Verdana" w:cs="Roboto"/>
        </w:rPr>
        <w:t xml:space="preserve">On YouTube, our </w:t>
      </w:r>
      <w:r>
        <w:fldChar w:fldCharType="begin"/>
      </w:r>
      <w:r>
        <w:instrText xml:space="preserve"> HYPERLINK "https://www.youtube.com/about/policies/" \l "community-guidelines" </w:instrText>
      </w:r>
      <w:r>
        <w:fldChar w:fldCharType="separate"/>
      </w:r>
      <w:r w:rsidRPr="005B5CB6">
        <w:rPr>
          <w:rFonts w:ascii="Verdana" w:eastAsia="Roboto" w:hAnsi="Verdana" w:cs="Roboto"/>
          <w:u w:val="single"/>
        </w:rPr>
        <w:t>community guidelines</w:t>
      </w:r>
      <w:r>
        <w:fldChar w:fldCharType="end"/>
      </w:r>
      <w:r w:rsidRPr="005B5CB6">
        <w:rPr>
          <w:rFonts w:ascii="Verdana" w:eastAsia="Roboto" w:hAnsi="Verdana" w:cs="Roboto"/>
        </w:rPr>
        <w:t xml:space="preserve"> clearly set out the rules for using the platform. This includes what content is and isn’t acceptable, and how we protect the copyrights of our users. The guidelines are explained using straightforward language and illustrated using things like animations and videos to explain what they mean and how decisions are made.  We have a dedicated </w:t>
      </w:r>
      <w:r>
        <w:fldChar w:fldCharType="begin"/>
      </w:r>
      <w:r>
        <w:instrText xml:space="preserve"> HYPERLINK "https://www.youtube.com/user/YouTubeHelp/about" </w:instrText>
      </w:r>
      <w:r>
        <w:fldChar w:fldCharType="separate"/>
      </w:r>
      <w:r w:rsidRPr="005B5CB6">
        <w:rPr>
          <w:rFonts w:ascii="Verdana" w:eastAsia="Roboto" w:hAnsi="Verdana" w:cs="Roboto"/>
          <w:u w:val="single"/>
        </w:rPr>
        <w:t>YouTube channel</w:t>
      </w:r>
      <w:r>
        <w:fldChar w:fldCharType="end"/>
      </w:r>
      <w:r w:rsidRPr="005B5CB6">
        <w:rPr>
          <w:rFonts w:ascii="Verdana" w:eastAsia="Roboto" w:hAnsi="Verdana" w:cs="Roboto"/>
        </w:rPr>
        <w:t xml:space="preserve"> called TeamYouTube, with over 7.75M </w:t>
      </w:r>
      <w:r w:rsidRPr="005B5CB6">
        <w:rPr>
          <w:rFonts w:ascii="Verdana" w:eastAsia="Roboto" w:hAnsi="Verdana" w:cs="Roboto"/>
        </w:rPr>
        <w:t xml:space="preserve">subscribers, that keeps users updated about product changes, top tips and answers top questions about the platform. Through the </w:t>
      </w:r>
      <w:r>
        <w:fldChar w:fldCharType="begin"/>
      </w:r>
      <w:r>
        <w:instrText xml:space="preserve"> HYPERLINK "https://creatoracademy.youtube.com/page/home?hl=en-GB" </w:instrText>
      </w:r>
      <w:r>
        <w:fldChar w:fldCharType="separate"/>
      </w:r>
      <w:r w:rsidRPr="005B5CB6">
        <w:rPr>
          <w:rFonts w:ascii="Verdana" w:eastAsia="Roboto" w:hAnsi="Verdana" w:cs="Roboto"/>
          <w:u w:val="single"/>
        </w:rPr>
        <w:t>Creator Academy</w:t>
      </w:r>
      <w:r>
        <w:fldChar w:fldCharType="end"/>
      </w:r>
      <w:r w:rsidRPr="005B5CB6">
        <w:rPr>
          <w:rFonts w:ascii="Verdana" w:eastAsia="Roboto" w:hAnsi="Verdana" w:cs="Roboto"/>
        </w:rPr>
        <w:t>, we offer additional support for the millions of people and businesses who use YouTube to upload videos and share them with global audiences.</w:t>
      </w:r>
    </w:p>
    <w:p w:rsidR="00930BDD" w:rsidRPr="005B5CB6" w:rsidP="00575F14">
      <w:pPr>
        <w:numPr>
          <w:ilvl w:val="0"/>
          <w:numId w:val="317"/>
        </w:numPr>
        <w:spacing w:after="0" w:line="240" w:lineRule="auto"/>
        <w:rPr>
          <w:rFonts w:ascii="Verdana" w:eastAsia="Roboto" w:hAnsi="Verdana" w:cs="Roboto"/>
        </w:rPr>
      </w:pPr>
      <w:r w:rsidRPr="005B5CB6">
        <w:rPr>
          <w:rFonts w:ascii="Verdana" w:eastAsia="Roboto" w:hAnsi="Verdana" w:cs="Roboto"/>
        </w:rPr>
        <w:t>As we mentioned during our oral evidence session,  we will continue to work on new ways to explain YouTube processes, such as content moderation in more detail, building on our efforts to explain how Search works (outlined below).</w:t>
      </w:r>
    </w:p>
    <w:p w:rsidR="00930BDD" w:rsidRPr="005B5CB6" w:rsidP="00575F14">
      <w:pPr>
        <w:numPr>
          <w:ilvl w:val="0"/>
          <w:numId w:val="317"/>
        </w:numPr>
        <w:spacing w:after="0" w:line="240" w:lineRule="auto"/>
        <w:rPr>
          <w:rFonts w:ascii="Verdana" w:eastAsia="Roboto" w:hAnsi="Verdana" w:cs="Roboto"/>
        </w:rPr>
      </w:pPr>
      <w:r w:rsidRPr="005B5CB6">
        <w:rPr>
          <w:rFonts w:ascii="Verdana" w:eastAsia="Roboto" w:hAnsi="Verdana" w:cs="Roboto"/>
        </w:rPr>
        <w:t xml:space="preserve"> </w:t>
      </w:r>
      <w:r w:rsidRPr="005B5CB6">
        <w:rPr>
          <w:rFonts w:ascii="Verdana" w:eastAsia="Google Sans" w:hAnsi="Verdana" w:cs="Google Sans"/>
          <w:highlight w:val="white"/>
        </w:rPr>
        <w:t xml:space="preserve">We provide detailed information about our algorithms and ranking processes on our </w:t>
      </w:r>
      <w:r>
        <w:fldChar w:fldCharType="begin"/>
      </w:r>
      <w:r>
        <w:instrText xml:space="preserve"> HYPERLINK "https://www.google.com/search/howsearchworks/" </w:instrText>
      </w:r>
      <w:r>
        <w:fldChar w:fldCharType="separate"/>
      </w:r>
      <w:r w:rsidRPr="005B5CB6">
        <w:rPr>
          <w:rFonts w:ascii="Verdana" w:eastAsia="Google Sans" w:hAnsi="Verdana" w:cs="Google Sans"/>
          <w:highlight w:val="white"/>
          <w:u w:val="single"/>
        </w:rPr>
        <w:t>How Search Works</w:t>
      </w:r>
      <w:r>
        <w:fldChar w:fldCharType="end"/>
      </w:r>
      <w:r w:rsidRPr="005B5CB6">
        <w:rPr>
          <w:rFonts w:ascii="Verdana" w:eastAsia="Google Sans" w:hAnsi="Verdana" w:cs="Google Sans"/>
          <w:highlight w:val="white"/>
        </w:rPr>
        <w:t xml:space="preserve"> site.</w:t>
      </w:r>
      <w:r w:rsidRPr="005B5CB6">
        <w:rPr>
          <w:rFonts w:ascii="Verdana" w:eastAsia="Google Sans" w:hAnsi="Verdana" w:cs="Google Sans"/>
        </w:rPr>
        <w:t xml:space="preserve"> </w:t>
      </w:r>
      <w:r w:rsidRPr="005B5CB6">
        <w:rPr>
          <w:rFonts w:ascii="Verdana" w:eastAsia="Roboto" w:hAnsi="Verdana" w:cs="Roboto"/>
        </w:rPr>
        <w:t xml:space="preserve"> The site includes information on our approach to algorithmic </w:t>
      </w:r>
      <w:r>
        <w:fldChar w:fldCharType="begin"/>
      </w:r>
      <w:r>
        <w:instrText xml:space="preserve"> HYPERLINK "https://www.google.com/search/howsearchworks/algorithms/" </w:instrText>
      </w:r>
      <w:r>
        <w:fldChar w:fldCharType="separate"/>
      </w:r>
      <w:r w:rsidRPr="005B5CB6">
        <w:rPr>
          <w:rFonts w:ascii="Verdana" w:eastAsia="Roboto" w:hAnsi="Verdana" w:cs="Roboto"/>
          <w:u w:val="single"/>
        </w:rPr>
        <w:t>ranking</w:t>
      </w:r>
      <w:r>
        <w:fldChar w:fldCharType="end"/>
      </w:r>
      <w:r w:rsidRPr="005B5CB6">
        <w:rPr>
          <w:rFonts w:ascii="Verdana" w:eastAsia="Roboto" w:hAnsi="Verdana" w:cs="Roboto"/>
        </w:rPr>
        <w:t xml:space="preserve">, including publication of our Search Rater Guidelines. We also offer extensive </w:t>
      </w:r>
      <w:r>
        <w:fldChar w:fldCharType="begin"/>
      </w:r>
      <w:r>
        <w:instrText xml:space="preserve"> HYPERLINK "https://www.google.com/webmasters/" \l "?modal_active=none" </w:instrText>
      </w:r>
      <w:r>
        <w:fldChar w:fldCharType="separate"/>
      </w:r>
      <w:r w:rsidRPr="005B5CB6">
        <w:rPr>
          <w:rFonts w:ascii="Verdana" w:eastAsia="Roboto" w:hAnsi="Verdana" w:cs="Roboto"/>
          <w:u w:val="single"/>
        </w:rPr>
        <w:t>resources to all webmasters</w:t>
      </w:r>
      <w:r>
        <w:fldChar w:fldCharType="end"/>
      </w:r>
      <w:r w:rsidRPr="005B5CB6">
        <w:rPr>
          <w:rFonts w:ascii="Verdana" w:eastAsia="Roboto" w:hAnsi="Verdana" w:cs="Roboto"/>
        </w:rPr>
        <w:t xml:space="preserve"> to help them succeed in having their content discovered online. </w:t>
      </w:r>
      <w:r w:rsidRPr="005B5CB6">
        <w:rPr>
          <w:rFonts w:ascii="Verdana" w:eastAsia="Google Sans" w:hAnsi="Verdana" w:cs="Google Sans"/>
        </w:rPr>
        <w:t xml:space="preserve"> We work hard to inform website owners in advance of significant, actionable changes to our Search algorithms and provide extensive tools and tips to empower webmasters to manage their Search presence - including interactive websites, videos, starter guides, frequent blog posts, users forums and live expert support.</w:t>
      </w:r>
    </w:p>
    <w:p w:rsidR="00930BDD" w:rsidRPr="005B5CB6" w:rsidP="00575F14">
      <w:pPr>
        <w:numPr>
          <w:ilvl w:val="0"/>
          <w:numId w:val="317"/>
        </w:numPr>
        <w:spacing w:after="0" w:line="240" w:lineRule="auto"/>
        <w:rPr>
          <w:rFonts w:ascii="Verdana" w:eastAsia="Roboto" w:hAnsi="Verdana" w:cs="Roboto"/>
        </w:rPr>
      </w:pPr>
      <w:r w:rsidRPr="005B5CB6">
        <w:rPr>
          <w:rFonts w:ascii="Verdana" w:eastAsia="Roboto" w:hAnsi="Verdana" w:cs="Roboto"/>
        </w:rPr>
        <w:t xml:space="preserve">We keep users informed about our </w:t>
      </w:r>
      <w:r>
        <w:fldChar w:fldCharType="begin"/>
      </w:r>
      <w:r>
        <w:instrText xml:space="preserve"> HYPERLINK "https://policies.google.com/privacy?hl=en-US" </w:instrText>
      </w:r>
      <w:r>
        <w:fldChar w:fldCharType="separate"/>
      </w:r>
      <w:r w:rsidRPr="005B5CB6">
        <w:rPr>
          <w:rFonts w:ascii="Verdana" w:eastAsia="Roboto" w:hAnsi="Verdana" w:cs="Roboto"/>
          <w:u w:val="single"/>
        </w:rPr>
        <w:t>privacy policies</w:t>
      </w:r>
      <w:r>
        <w:fldChar w:fldCharType="end"/>
      </w:r>
      <w:r w:rsidRPr="005B5CB6">
        <w:rPr>
          <w:rFonts w:ascii="Verdana" w:eastAsia="Roboto" w:hAnsi="Verdana" w:cs="Roboto"/>
        </w:rPr>
        <w:t xml:space="preserve">, using videos and illustrations to help our users understand them. We also embed the option for users to change their privacy settings directly through our privacy policies page, alongside these clear explanations. We regularly remind users to review their privacy settings and take their Privacy Checkup, which allows them to review their key settings in a few minutes, in an easy to understand format. </w:t>
      </w:r>
    </w:p>
    <w:p w:rsidR="00930BDD" w:rsidRPr="005B5CB6" w:rsidP="00575F14">
      <w:pPr>
        <w:numPr>
          <w:ilvl w:val="0"/>
          <w:numId w:val="317"/>
        </w:numPr>
        <w:spacing w:after="0" w:line="240" w:lineRule="auto"/>
        <w:rPr>
          <w:rFonts w:ascii="Verdana" w:eastAsia="Roboto" w:hAnsi="Verdana" w:cs="Roboto"/>
        </w:rPr>
      </w:pPr>
      <w:r w:rsidRPr="005B5CB6">
        <w:rPr>
          <w:rFonts w:ascii="Verdana" w:eastAsia="Roboto" w:hAnsi="Verdana" w:cs="Roboto"/>
        </w:rPr>
        <w:t xml:space="preserve">We use easy to follow videos and illustrations to inform users about our privacy policies, so that they can better understand them. We have also embedded the option to allow users to change their privacy settings directly through our privacy policies page alongside these clear explanations. We regularly remind users to review their privacy settings and offer Privacy Checkups, which allows them to review their key settings in a few minutes, in an easy to understand format. </w:t>
      </w:r>
    </w:p>
    <w:p w:rsidR="00930BDD" w:rsidRPr="005B5CB6" w:rsidP="00575F14">
      <w:pPr>
        <w:numPr>
          <w:ilvl w:val="0"/>
          <w:numId w:val="317"/>
        </w:numPr>
        <w:spacing w:after="240" w:line="240" w:lineRule="auto"/>
        <w:rPr>
          <w:rFonts w:ascii="Verdana" w:eastAsia="Roboto" w:hAnsi="Verdana" w:cs="Roboto"/>
        </w:rPr>
      </w:pPr>
      <w:r w:rsidRPr="005B5CB6">
        <w:rPr>
          <w:rFonts w:ascii="Verdana" w:eastAsia="Roboto" w:hAnsi="Verdana" w:cs="Roboto"/>
        </w:rPr>
        <w:t>We also look for ways to build transparency into our products directly, so that users can understand the privacy implications of their choices in situ. For example, if you add a Google Drive file to a shared folder, we’ll check to make sure you intend to share that file with everyone who has access to that folder via an onscreen prompt.</w:t>
      </w:r>
    </w:p>
    <w:p w:rsidR="00930BDD" w:rsidRPr="005B5CB6" w:rsidP="00930BDD">
      <w:pPr>
        <w:spacing w:line="240" w:lineRule="auto"/>
        <w:rPr>
          <w:rFonts w:ascii="Verdana" w:eastAsia="Roboto" w:hAnsi="Verdana" w:cs="Roboto"/>
        </w:rPr>
      </w:pPr>
      <w:r w:rsidRPr="005B5CB6">
        <w:rPr>
          <w:rFonts w:ascii="Verdana" w:eastAsia="Roboto" w:hAnsi="Verdana" w:cs="Roboto"/>
        </w:rPr>
        <w:t>This transparency is particularly important when it comes to the democratic process, and we demonstrate this via our work during election times in a number of ways:</w:t>
      </w:r>
    </w:p>
    <w:p w:rsidR="00930BDD" w:rsidRPr="005B5CB6" w:rsidP="00930BDD">
      <w:pPr>
        <w:spacing w:line="240" w:lineRule="auto"/>
        <w:rPr>
          <w:rFonts w:ascii="Verdana" w:eastAsia="Roboto" w:hAnsi="Verdana" w:cs="Roboto"/>
        </w:rPr>
      </w:pPr>
    </w:p>
    <w:p w:rsidR="00930BDD" w:rsidRPr="005B5CB6" w:rsidP="00575F14">
      <w:pPr>
        <w:numPr>
          <w:ilvl w:val="0"/>
          <w:numId w:val="319"/>
        </w:numPr>
        <w:shd w:val="clear" w:color="auto" w:fill="FFFFFF"/>
        <w:spacing w:after="0" w:line="240" w:lineRule="auto"/>
        <w:rPr>
          <w:rFonts w:ascii="Verdana" w:eastAsia="Roboto" w:hAnsi="Verdana" w:cs="Roboto"/>
        </w:rPr>
      </w:pPr>
      <w:r w:rsidRPr="005B5CB6">
        <w:rPr>
          <w:rFonts w:ascii="Verdana" w:eastAsia="Roboto" w:hAnsi="Verdana" w:cs="Roboto"/>
        </w:rPr>
        <w:t>In 2019 we implemented a</w:t>
      </w:r>
      <w:r>
        <w:fldChar w:fldCharType="begin"/>
      </w:r>
      <w:r>
        <w:instrText xml:space="preserve"> HYPERLINK "https://www.blog.google/around-the-globe/google-europe/update-our-work-prevent-abuse-ahead-eu-elections/" </w:instrText>
      </w:r>
      <w:r>
        <w:fldChar w:fldCharType="separate"/>
      </w:r>
      <w:r w:rsidRPr="005B5CB6">
        <w:rPr>
          <w:rFonts w:ascii="Verdana" w:eastAsia="Roboto" w:hAnsi="Verdana" w:cs="Roboto"/>
        </w:rPr>
        <w:t xml:space="preserve"> </w:t>
      </w:r>
      <w:r>
        <w:fldChar w:fldCharType="end"/>
      </w:r>
      <w:r>
        <w:fldChar w:fldCharType="begin"/>
      </w:r>
      <w:r>
        <w:instrText xml:space="preserve"> HYPERLINK "https://www.blog.google/around-the-globe/google-europe/update-our-work-prevent-abuse-ahead-eu-elections/" </w:instrText>
      </w:r>
      <w:r>
        <w:fldChar w:fldCharType="separate"/>
      </w:r>
      <w:r w:rsidRPr="005B5CB6">
        <w:rPr>
          <w:rFonts w:ascii="Verdana" w:eastAsia="Roboto" w:hAnsi="Verdana" w:cs="Roboto"/>
          <w:b/>
          <w:u w:val="single"/>
        </w:rPr>
        <w:t>new process</w:t>
      </w:r>
      <w:r>
        <w:fldChar w:fldCharType="end"/>
      </w:r>
      <w:r w:rsidRPr="005B5CB6">
        <w:rPr>
          <w:rFonts w:ascii="Verdana" w:eastAsia="Roboto" w:hAnsi="Verdana" w:cs="Roboto"/>
          <w:b/>
        </w:rPr>
        <w:t xml:space="preserve"> to verify advertisers for national elections and referenda in the UK. </w:t>
      </w:r>
      <w:r w:rsidRPr="005B5CB6">
        <w:rPr>
          <w:rFonts w:ascii="Verdana" w:eastAsia="Roboto" w:hAnsi="Verdana" w:cs="Roboto"/>
        </w:rPr>
        <w:t xml:space="preserve">We also require that these verified election ads incorporate a clear </w:t>
      </w:r>
      <w:r w:rsidRPr="005B5CB6">
        <w:rPr>
          <w:rFonts w:ascii="Verdana" w:eastAsia="Roboto" w:hAnsi="Verdana" w:cs="Roboto"/>
          <w:b/>
        </w:rPr>
        <w:t>“paid for by” disclosure</w:t>
      </w:r>
      <w:r w:rsidRPr="005B5CB6">
        <w:rPr>
          <w:rFonts w:ascii="Verdana" w:eastAsia="Roboto" w:hAnsi="Verdana" w:cs="Roboto"/>
        </w:rPr>
        <w:t xml:space="preserve"> and that all political ads are properly labelled.</w:t>
      </w:r>
    </w:p>
    <w:p w:rsidR="00930BDD" w:rsidRPr="005B5CB6" w:rsidP="00575F14">
      <w:pPr>
        <w:numPr>
          <w:ilvl w:val="0"/>
          <w:numId w:val="319"/>
        </w:numPr>
        <w:shd w:val="clear" w:color="auto" w:fill="FFFFFF"/>
        <w:spacing w:after="0" w:line="240" w:lineRule="auto"/>
        <w:rPr>
          <w:rFonts w:ascii="Verdana" w:eastAsia="Roboto" w:hAnsi="Verdana" w:cs="Roboto"/>
        </w:rPr>
      </w:pPr>
      <w:r w:rsidRPr="005B5CB6">
        <w:rPr>
          <w:rFonts w:ascii="Verdana" w:eastAsia="Roboto" w:hAnsi="Verdana" w:cs="Roboto"/>
        </w:rPr>
        <w:t xml:space="preserve">In May 2019, we expanded our portfolio of </w:t>
      </w:r>
      <w:r>
        <w:fldChar w:fldCharType="begin"/>
      </w:r>
      <w:r>
        <w:instrText xml:space="preserve"> HYPERLINK "https://transparencyreport.google.com/political-ads/home" </w:instrText>
      </w:r>
      <w:r>
        <w:fldChar w:fldCharType="separate"/>
      </w:r>
      <w:r w:rsidRPr="005B5CB6">
        <w:rPr>
          <w:rFonts w:ascii="Verdana" w:eastAsia="Roboto" w:hAnsi="Verdana" w:cs="Roboto"/>
          <w:b/>
          <w:u w:val="single"/>
        </w:rPr>
        <w:t>transparency reports</w:t>
      </w:r>
      <w:r>
        <w:fldChar w:fldCharType="end"/>
      </w:r>
      <w:r w:rsidRPr="005B5CB6">
        <w:rPr>
          <w:rFonts w:ascii="Verdana" w:eastAsia="Roboto" w:hAnsi="Verdana" w:cs="Roboto"/>
        </w:rPr>
        <w:t xml:space="preserve"> to include a section on political advertising in Europe. This continues to provide voters </w:t>
      </w:r>
      <w:r w:rsidRPr="005B5CB6">
        <w:rPr>
          <w:rFonts w:ascii="Verdana" w:eastAsia="Roboto" w:hAnsi="Verdana" w:cs="Roboto"/>
        </w:rPr>
        <w:t xml:space="preserve">with information about who purchases election ads on Google in Europe, and how much money is spent. </w:t>
      </w:r>
    </w:p>
    <w:p w:rsidR="00930BDD" w:rsidRPr="005B5CB6" w:rsidP="00930BDD">
      <w:pPr>
        <w:shd w:val="clear" w:color="auto" w:fill="FFFFFF"/>
        <w:spacing w:line="240" w:lineRule="auto"/>
        <w:ind w:left="1440"/>
        <w:rPr>
          <w:rFonts w:ascii="Verdana" w:eastAsia="Roboto" w:hAnsi="Verdana" w:cs="Roboto"/>
        </w:rPr>
      </w:pPr>
    </w:p>
    <w:p w:rsidR="00930BDD" w:rsidRPr="005B5CB6" w:rsidP="00930BDD">
      <w:pPr>
        <w:shd w:val="clear" w:color="auto" w:fill="FFFFFF"/>
        <w:spacing w:line="240" w:lineRule="auto"/>
        <w:jc w:val="both"/>
        <w:rPr>
          <w:rFonts w:ascii="Verdana" w:eastAsia="Roboto" w:hAnsi="Verdana" w:cs="Roboto"/>
          <w:b/>
        </w:rPr>
      </w:pPr>
      <w:r w:rsidRPr="005B5CB6">
        <w:rPr>
          <w:rFonts w:ascii="Verdana" w:eastAsia="Roboto" w:hAnsi="Verdana" w:cs="Roboto"/>
          <w:b/>
        </w:rPr>
        <w:t xml:space="preserve">Digital literacy and education </w:t>
      </w:r>
    </w:p>
    <w:p w:rsidR="00930BDD" w:rsidRPr="005B5CB6" w:rsidP="00930BDD">
      <w:pPr>
        <w:shd w:val="clear" w:color="auto" w:fill="FFFFFF"/>
        <w:spacing w:line="240" w:lineRule="auto"/>
        <w:jc w:val="both"/>
        <w:rPr>
          <w:rFonts w:ascii="Verdana" w:eastAsia="Roboto" w:hAnsi="Verdana" w:cs="Roboto"/>
        </w:rPr>
      </w:pPr>
    </w:p>
    <w:p w:rsidR="00930BDD" w:rsidRPr="005B5CB6" w:rsidP="00930BDD">
      <w:pPr>
        <w:shd w:val="clear" w:color="auto" w:fill="FFFFFF"/>
        <w:spacing w:line="240" w:lineRule="auto"/>
        <w:rPr>
          <w:rFonts w:ascii="Verdana" w:eastAsia="Roboto" w:hAnsi="Verdana" w:cs="Roboto"/>
        </w:rPr>
      </w:pPr>
      <w:r w:rsidRPr="005B5CB6">
        <w:rPr>
          <w:rFonts w:ascii="Verdana" w:eastAsia="Roboto" w:hAnsi="Verdana" w:cs="Roboto"/>
        </w:rPr>
        <w:t xml:space="preserve">We recognise there is always more to be done to ensure our users can understand how the online world works. The key to ensuring that users have a strong understanding of the platforms they use is by improving and expanding digital literacy and critical thinking, so that people have the skills to use and navigate new technologies safely. We believe digital literacy is an essential skill, and in 2019, we hosted the </w:t>
      </w:r>
      <w:r>
        <w:fldChar w:fldCharType="begin"/>
      </w:r>
      <w:r>
        <w:instrText xml:space="preserve"> HYPERLINK "https://www.youtube.com/playlist?list=PLXYuDvosdAxyQ9UOyl4FLibMjDwvZXDZp" </w:instrText>
      </w:r>
      <w:r>
        <w:fldChar w:fldCharType="separate"/>
      </w:r>
      <w:r w:rsidRPr="005B5CB6">
        <w:rPr>
          <w:rFonts w:ascii="Verdana" w:eastAsia="Roboto" w:hAnsi="Verdana" w:cs="Roboto"/>
          <w:u w:val="single"/>
        </w:rPr>
        <w:t>Google Global Media Literacy Summit</w:t>
      </w:r>
      <w:r>
        <w:fldChar w:fldCharType="end"/>
      </w:r>
      <w:r w:rsidRPr="005B5CB6">
        <w:rPr>
          <w:rFonts w:ascii="Verdana" w:eastAsia="Roboto" w:hAnsi="Verdana" w:cs="Roboto"/>
        </w:rPr>
        <w:t xml:space="preserve"> in London to explore these important questions in more detail. We also sit on the advisory panel of Ofcom’s </w:t>
      </w:r>
      <w:r w:rsidRPr="005B5CB6">
        <w:rPr>
          <w:rFonts w:ascii="Verdana" w:eastAsia="Roboto" w:hAnsi="Verdana" w:cs="Roboto"/>
          <w:i/>
        </w:rPr>
        <w:t>Making Sense of the Media</w:t>
      </w:r>
      <w:r w:rsidRPr="005B5CB6">
        <w:rPr>
          <w:rFonts w:ascii="Verdana" w:eastAsia="Roboto" w:hAnsi="Verdana" w:cs="Roboto"/>
        </w:rPr>
        <w:t xml:space="preserve"> programme, which aims to improve online skills, knowledge and understanding of UK adults and children, and we look forward to engaging the Government on its upcoming Digital Literacy Strategy.</w:t>
      </w:r>
    </w:p>
    <w:p w:rsidR="00930BDD" w:rsidRPr="005B5CB6" w:rsidP="00930BDD">
      <w:pPr>
        <w:shd w:val="clear" w:color="auto" w:fill="FFFFFF"/>
        <w:spacing w:line="240" w:lineRule="auto"/>
        <w:jc w:val="both"/>
        <w:rPr>
          <w:rFonts w:ascii="Verdana" w:eastAsia="Roboto" w:hAnsi="Verdana" w:cs="Roboto"/>
        </w:rPr>
      </w:pPr>
    </w:p>
    <w:p w:rsidR="00930BDD" w:rsidRPr="005B5CB6" w:rsidP="00930BDD">
      <w:pPr>
        <w:shd w:val="clear" w:color="auto" w:fill="FFFFFF"/>
        <w:spacing w:line="240" w:lineRule="auto"/>
        <w:rPr>
          <w:rFonts w:ascii="Verdana" w:eastAsia="Roboto" w:hAnsi="Verdana" w:cs="Roboto"/>
        </w:rPr>
      </w:pPr>
      <w:r w:rsidRPr="005B5CB6">
        <w:rPr>
          <w:rFonts w:ascii="Verdana" w:eastAsia="Roboto" w:hAnsi="Verdana" w:cs="Roboto"/>
        </w:rPr>
        <w:t xml:space="preserve">We provide resources to a wide array of external digital literacy programmes in the UK, including programmes which specifically encourage news literacy, such as, </w:t>
      </w:r>
      <w:r>
        <w:fldChar w:fldCharType="begin"/>
      </w:r>
      <w:r>
        <w:instrText xml:space="preserve"> HYPERLINK "https://literacytrust.org.uk/programmes/news-wise/" </w:instrText>
      </w:r>
      <w:r>
        <w:fldChar w:fldCharType="separate"/>
      </w:r>
      <w:r w:rsidRPr="005B5CB6">
        <w:rPr>
          <w:rFonts w:ascii="Verdana" w:eastAsia="Roboto" w:hAnsi="Verdana" w:cs="Roboto"/>
          <w:u w:val="single"/>
        </w:rPr>
        <w:t>NewsWise</w:t>
      </w:r>
      <w:r>
        <w:fldChar w:fldCharType="end"/>
      </w:r>
      <w:r w:rsidRPr="005B5CB6">
        <w:rPr>
          <w:rFonts w:ascii="Verdana" w:eastAsia="Roboto" w:hAnsi="Verdana" w:cs="Roboto"/>
        </w:rPr>
        <w:t xml:space="preserve">, </w:t>
      </w:r>
      <w:r>
        <w:fldChar w:fldCharType="begin"/>
      </w:r>
      <w:r>
        <w:instrText xml:space="preserve"> HYPERLINK "https://www.thestudentview.org/what-we-do/" </w:instrText>
      </w:r>
      <w:r>
        <w:fldChar w:fldCharType="separate"/>
      </w:r>
      <w:r w:rsidRPr="005B5CB6">
        <w:rPr>
          <w:rFonts w:ascii="Verdana" w:eastAsia="Roboto" w:hAnsi="Verdana" w:cs="Roboto"/>
          <w:u w:val="single"/>
        </w:rPr>
        <w:t>Student View</w:t>
      </w:r>
      <w:r>
        <w:fldChar w:fldCharType="end"/>
      </w:r>
      <w:r w:rsidRPr="005B5CB6">
        <w:rPr>
          <w:rFonts w:ascii="Verdana" w:eastAsia="Roboto" w:hAnsi="Verdana" w:cs="Roboto"/>
        </w:rPr>
        <w:t xml:space="preserve">, in addition to our own youth education programmes </w:t>
      </w:r>
      <w:r>
        <w:fldChar w:fldCharType="begin"/>
      </w:r>
      <w:r>
        <w:instrText xml:space="preserve"> HYPERLINK "https://internetcitizens.withyoutube.com/" </w:instrText>
      </w:r>
      <w:r>
        <w:fldChar w:fldCharType="separate"/>
      </w:r>
      <w:r w:rsidRPr="005B5CB6">
        <w:rPr>
          <w:rFonts w:ascii="Verdana" w:eastAsia="Roboto" w:hAnsi="Verdana" w:cs="Roboto"/>
          <w:u w:val="single"/>
        </w:rPr>
        <w:t>Be Internet Citizens</w:t>
      </w:r>
      <w:r>
        <w:fldChar w:fldCharType="end"/>
      </w:r>
      <w:r w:rsidRPr="005B5CB6">
        <w:rPr>
          <w:rFonts w:ascii="Verdana" w:eastAsia="Roboto" w:hAnsi="Verdana" w:cs="Roboto"/>
        </w:rPr>
        <w:t xml:space="preserve"> and </w:t>
      </w:r>
      <w:r>
        <w:fldChar w:fldCharType="begin"/>
      </w:r>
      <w:r>
        <w:instrText xml:space="preserve"> HYPERLINK "https://beinternetlegends.withgoogle.com/en_uk" </w:instrText>
      </w:r>
      <w:r>
        <w:fldChar w:fldCharType="separate"/>
      </w:r>
      <w:r w:rsidRPr="005B5CB6">
        <w:rPr>
          <w:rFonts w:ascii="Verdana" w:eastAsia="Roboto" w:hAnsi="Verdana" w:cs="Roboto"/>
          <w:u w:val="single"/>
        </w:rPr>
        <w:t>Be Internet Legends</w:t>
      </w:r>
      <w:r>
        <w:fldChar w:fldCharType="end"/>
      </w:r>
      <w:r w:rsidRPr="005B5CB6">
        <w:rPr>
          <w:rFonts w:ascii="Verdana" w:eastAsia="Roboto" w:hAnsi="Verdana" w:cs="Roboto"/>
        </w:rPr>
        <w:t>.</w:t>
      </w:r>
    </w:p>
    <w:p w:rsidR="00930BDD" w:rsidRPr="005B5CB6" w:rsidP="00930BDD">
      <w:pPr>
        <w:spacing w:line="240" w:lineRule="auto"/>
        <w:rPr>
          <w:rFonts w:ascii="Verdana" w:eastAsia="Roboto" w:hAnsi="Verdana" w:cs="Roboto"/>
        </w:rPr>
      </w:pPr>
    </w:p>
    <w:p w:rsidR="00930BDD" w:rsidRPr="005B5CB6" w:rsidP="00930BDD">
      <w:pPr>
        <w:spacing w:line="240" w:lineRule="auto"/>
        <w:rPr>
          <w:rFonts w:ascii="Verdana" w:eastAsia="Roboto" w:hAnsi="Verdana" w:cs="Roboto"/>
        </w:rPr>
      </w:pPr>
      <w:r w:rsidRPr="005B5CB6">
        <w:rPr>
          <w:rFonts w:ascii="Verdana" w:eastAsia="Roboto" w:hAnsi="Verdana" w:cs="Roboto"/>
          <w:b/>
        </w:rPr>
        <w:t>Be Internet Legends</w:t>
      </w:r>
      <w:r w:rsidRPr="005B5CB6">
        <w:rPr>
          <w:rFonts w:ascii="Verdana" w:eastAsia="Roboto" w:hAnsi="Verdana" w:cs="Roboto"/>
        </w:rPr>
        <w:t xml:space="preserve"> teaches 8-11 year olds how to use the Internet safely and responsibly. Since launching in March 2018, the programme has already reached over 60% of UK primary schools, training more than 1.5m children via assemblies and/or teachers. </w:t>
      </w:r>
      <w:r w:rsidRPr="005B5CB6">
        <w:rPr>
          <w:rFonts w:ascii="Verdana" w:eastAsia="Roboto" w:hAnsi="Verdana" w:cs="Roboto"/>
          <w:b/>
        </w:rPr>
        <w:t>Be Internet Citizens</w:t>
      </w:r>
      <w:r w:rsidRPr="005B5CB6">
        <w:rPr>
          <w:rFonts w:ascii="Verdana" w:eastAsia="Roboto" w:hAnsi="Verdana" w:cs="Roboto"/>
        </w:rPr>
        <w:t xml:space="preserve"> is aimed at teenagers and designed to teach critical thinking and digital citizenship;. It helps teenagers spot fake news, recognise divisive ‘us vs them’ narratives, and respond effectively to online hate speech. So far, the programme has reached over 55,000 young people across the UK.</w:t>
      </w:r>
    </w:p>
    <w:p w:rsidR="00930BDD" w:rsidRPr="005B5CB6" w:rsidP="00930BDD">
      <w:pPr>
        <w:spacing w:line="240" w:lineRule="auto"/>
        <w:rPr>
          <w:rFonts w:ascii="Verdana" w:eastAsia="Roboto" w:hAnsi="Verdana" w:cs="Roboto"/>
        </w:rPr>
      </w:pPr>
    </w:p>
    <w:p w:rsidR="00930BDD" w:rsidRPr="005B5CB6" w:rsidP="00930BDD">
      <w:pPr>
        <w:spacing w:line="240" w:lineRule="auto"/>
        <w:rPr>
          <w:rFonts w:ascii="Verdana" w:eastAsia="Roboto" w:hAnsi="Verdana" w:cs="Roboto"/>
          <w:b/>
        </w:rPr>
      </w:pPr>
    </w:p>
    <w:p w:rsidR="00930BDD" w:rsidRPr="005B5CB6" w:rsidP="00930BDD">
      <w:pPr>
        <w:spacing w:line="240" w:lineRule="auto"/>
        <w:rPr>
          <w:rFonts w:ascii="Verdana" w:eastAsia="Roboto" w:hAnsi="Verdana" w:cs="Roboto"/>
          <w:b/>
        </w:rPr>
      </w:pPr>
      <w:r w:rsidRPr="005B5CB6">
        <w:rPr>
          <w:rFonts w:ascii="Verdana" w:eastAsia="Roboto" w:hAnsi="Verdana" w:cs="Roboto"/>
          <w:b/>
        </w:rPr>
        <w:t>“How Search Works” initiative</w:t>
      </w:r>
    </w:p>
    <w:p w:rsidR="00930BDD" w:rsidRPr="005B5CB6" w:rsidP="00930BDD">
      <w:pPr>
        <w:shd w:val="clear" w:color="auto" w:fill="FFFFFF"/>
        <w:spacing w:before="240" w:after="200" w:line="240" w:lineRule="auto"/>
        <w:rPr>
          <w:rFonts w:ascii="Verdana" w:eastAsia="Roboto" w:hAnsi="Verdana" w:cs="Roboto"/>
        </w:rPr>
      </w:pPr>
      <w:r w:rsidRPr="005B5CB6">
        <w:rPr>
          <w:rFonts w:ascii="Verdana" w:eastAsia="Roboto" w:hAnsi="Verdana" w:cs="Roboto"/>
        </w:rPr>
        <w:t>Google handles trillions of searches each year and, every day, 15% of the queries we process are ones that we’ve never seen before. Building Search algorithms that can serve the most useful results for all these queries is a complex challenge that requires ongoing quality testing and investment. These ranking systems are made up of not one, but a whole series of algorithms. It is important to distinguish search engines, which index and rank webpages available on the Internet (reflecting the whole of the open Web), from video or social media platforms that actually host the content uploaded by the users.</w:t>
      </w:r>
    </w:p>
    <w:p w:rsidR="00930BDD" w:rsidRPr="005B5CB6" w:rsidP="00930BDD">
      <w:pPr>
        <w:shd w:val="clear" w:color="auto" w:fill="FFFFFF"/>
        <w:spacing w:before="240" w:after="200" w:line="240" w:lineRule="auto"/>
        <w:rPr>
          <w:rFonts w:ascii="Verdana" w:eastAsia="Roboto" w:hAnsi="Verdana" w:cs="Roboto"/>
        </w:rPr>
      </w:pPr>
      <w:r w:rsidRPr="005B5CB6">
        <w:rPr>
          <w:rFonts w:ascii="Verdana" w:eastAsia="Roboto" w:hAnsi="Verdana" w:cs="Roboto"/>
        </w:rPr>
        <w:t xml:space="preserve">To give users the most useful information, Search algorithms look at many factors, including the words of the query, relevance and usability of webpages, the </w:t>
      </w:r>
      <w:r w:rsidRPr="005B5CB6">
        <w:rPr>
          <w:rFonts w:ascii="Verdana" w:eastAsia="Roboto" w:hAnsi="Verdana" w:cs="Roboto"/>
        </w:rPr>
        <w:t xml:space="preserve">expertise of sources and the user’s location and settings. </w:t>
      </w:r>
      <w:r w:rsidRPr="005B5CB6">
        <w:rPr>
          <w:rFonts w:ascii="Verdana" w:eastAsia="Roboto" w:hAnsi="Verdana" w:cs="Roboto"/>
          <w:highlight w:val="white"/>
        </w:rPr>
        <w:t xml:space="preserve">We have found that the query itself is by far the most powerful signal for which results are most relevant and useful. </w:t>
      </w:r>
      <w:r w:rsidRPr="005B5CB6">
        <w:rPr>
          <w:rFonts w:ascii="Verdana" w:eastAsia="Roboto" w:hAnsi="Verdana" w:cs="Roboto"/>
        </w:rPr>
        <w:t xml:space="preserve">The weight applied to each factor varies depending on the nature of the query – for example, how new the content plays a bigger role in answering queries about current news topics vs. dictionary definitions. We explain how different signals are used on our </w:t>
      </w:r>
      <w:r>
        <w:fldChar w:fldCharType="begin"/>
      </w:r>
      <w:r>
        <w:instrText xml:space="preserve"> HYPERLINK "https://www.google.com/search/howsearchworks/" </w:instrText>
      </w:r>
      <w:r>
        <w:fldChar w:fldCharType="separate"/>
      </w:r>
      <w:r w:rsidRPr="005B5CB6">
        <w:rPr>
          <w:rFonts w:ascii="Verdana" w:eastAsia="Roboto" w:hAnsi="Verdana" w:cs="Roboto"/>
          <w:u w:val="single"/>
        </w:rPr>
        <w:t>How Search Works</w:t>
      </w:r>
      <w:r>
        <w:fldChar w:fldCharType="end"/>
      </w:r>
      <w:r w:rsidRPr="005B5CB6">
        <w:rPr>
          <w:rFonts w:ascii="Verdana" w:eastAsia="Roboto" w:hAnsi="Verdana" w:cs="Roboto"/>
        </w:rPr>
        <w:t xml:space="preserve"> webpage.</w:t>
      </w:r>
    </w:p>
    <w:p w:rsidR="00930BDD" w:rsidRPr="005B5CB6" w:rsidP="00930BDD">
      <w:pPr>
        <w:shd w:val="clear" w:color="auto" w:fill="FFFFFF"/>
        <w:spacing w:before="240" w:after="200" w:line="240" w:lineRule="auto"/>
        <w:rPr>
          <w:rFonts w:ascii="Verdana" w:eastAsia="Roboto" w:hAnsi="Verdana" w:cs="Roboto"/>
        </w:rPr>
      </w:pPr>
      <w:r w:rsidRPr="005B5CB6">
        <w:rPr>
          <w:rFonts w:ascii="Verdana" w:eastAsia="Roboto" w:hAnsi="Verdana" w:cs="Roboto"/>
          <w:highlight w:val="white"/>
        </w:rPr>
        <w:t xml:space="preserve">To help ensure Search algorithms meet high standards of relevance and quality, we have a </w:t>
      </w:r>
      <w:r>
        <w:fldChar w:fldCharType="begin"/>
      </w:r>
      <w:r>
        <w:instrText xml:space="preserve"> HYPERLINK "https://www.google.com/search/howsearchworks/mission/users/" </w:instrText>
      </w:r>
      <w:r>
        <w:fldChar w:fldCharType="separate"/>
      </w:r>
      <w:r w:rsidRPr="005B5CB6">
        <w:rPr>
          <w:rFonts w:ascii="Verdana" w:eastAsia="Roboto" w:hAnsi="Verdana" w:cs="Roboto"/>
          <w:highlight w:val="white"/>
        </w:rPr>
        <w:t>rigorous process</w:t>
      </w:r>
      <w:r>
        <w:fldChar w:fldCharType="end"/>
      </w:r>
      <w:r w:rsidRPr="005B5CB6">
        <w:rPr>
          <w:rFonts w:ascii="Verdana" w:eastAsia="Roboto" w:hAnsi="Verdana" w:cs="Roboto"/>
          <w:highlight w:val="white"/>
        </w:rPr>
        <w:t xml:space="preserve"> that involves both live tests and thousands of trained external Search Quality Raters from around the world. These Quality Raters follow strict </w:t>
      </w:r>
      <w:r>
        <w:fldChar w:fldCharType="begin"/>
      </w:r>
      <w:r>
        <w:instrText xml:space="preserve"> HYPERLINK "https://guidelines.raterhub.com/searchqualityevaluatorguidelines.pdf" </w:instrText>
      </w:r>
      <w:r>
        <w:fldChar w:fldCharType="separate"/>
      </w:r>
      <w:r w:rsidRPr="005B5CB6">
        <w:rPr>
          <w:rFonts w:ascii="Verdana" w:eastAsia="Roboto" w:hAnsi="Verdana" w:cs="Roboto"/>
          <w:highlight w:val="white"/>
        </w:rPr>
        <w:t>guidelines</w:t>
      </w:r>
      <w:r>
        <w:fldChar w:fldCharType="end"/>
      </w:r>
      <w:r w:rsidRPr="005B5CB6">
        <w:rPr>
          <w:rFonts w:ascii="Verdana" w:eastAsia="Roboto" w:hAnsi="Verdana" w:cs="Roboto"/>
          <w:highlight w:val="white"/>
        </w:rPr>
        <w:t xml:space="preserve"> that define our goals for Search algorithms and are publicly available for anyone to see.</w:t>
      </w:r>
    </w:p>
    <w:p w:rsidR="00930BDD" w:rsidRPr="005B5CB6" w:rsidP="00930BDD">
      <w:pPr>
        <w:spacing w:line="240" w:lineRule="auto"/>
        <w:rPr>
          <w:rFonts w:ascii="Verdana" w:eastAsia="Roboto" w:hAnsi="Verdana" w:cs="Roboto"/>
          <w:b/>
        </w:rPr>
      </w:pPr>
      <w:r w:rsidRPr="005B5CB6">
        <w:rPr>
          <w:rFonts w:ascii="Verdana" w:eastAsia="Roboto" w:hAnsi="Verdana" w:cs="Roboto"/>
          <w:b/>
        </w:rPr>
        <w:t>How News on Google works - providing authoritative content</w:t>
      </w:r>
    </w:p>
    <w:p w:rsidR="00930BDD" w:rsidRPr="005B5CB6" w:rsidP="00930BDD">
      <w:pPr>
        <w:spacing w:line="240" w:lineRule="auto"/>
        <w:rPr>
          <w:rFonts w:ascii="Verdana" w:eastAsia="Roboto" w:hAnsi="Verdana" w:cs="Roboto"/>
          <w:b/>
        </w:rPr>
      </w:pPr>
    </w:p>
    <w:p w:rsidR="00930BDD" w:rsidRPr="005B5CB6" w:rsidP="00930BDD">
      <w:pPr>
        <w:spacing w:line="240" w:lineRule="auto"/>
        <w:rPr>
          <w:rFonts w:ascii="Verdana" w:eastAsia="Roboto" w:hAnsi="Verdana" w:cs="Roboto"/>
        </w:rPr>
      </w:pPr>
      <w:r w:rsidRPr="005B5CB6">
        <w:rPr>
          <w:rFonts w:ascii="Verdana" w:eastAsia="Roboto" w:hAnsi="Verdana" w:cs="Roboto"/>
          <w:i/>
        </w:rPr>
        <w:t>The ranking and weighting of high quality content on Google Search and Google News</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Trustworthy and timely information empowers people to better understand the world around them and helps them make educated decisions. Quality journalism provides that information when it matters the most, shaping our understanding of important issues and pushing us to learn more and seek the truth.</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Google aims to make it easier to stay informed by using technology to organise what journalists are reporting about current issues and events. We don’t have an editorial point of view. Instead, Google products are designed to connect users with a broad array of information and perspectives to help them develop their own points of view and make informed decisions. We’re committed to fostering a healthy and diverse news ecosystem because we know journalism is vital to strong, well-functioning societies.</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Across all our platforms we are committed to giving our users the best possible experience and this means serving authoritative, quality news and information, minimising exposure to poor quality content like misinformation, all the while ensuring a positive and safe experience. We also take additional steps to improve the trustworthiness of our results for contexts and topics that our users expect us to handle with particular care.</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 xml:space="preserve">Google News’ focus (coverage of current events) is narrower than that of Google Search. However, their goals are closely related. Both products present users with results that meet their information needs about the issues they care about. For that reason, both products have a lot in common when it comes to the way they operate. For instance, ranking in Google News is built on the same basis as that of Google Search ranking and they share the same defences against attempts at gaming our ranking systems.  Similarly, both Google Search and Google News use algorithms to determine the ranking of the content they show to users. </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 xml:space="preserve">Our algorithms are geared toward ensuring the usefulness of our services, as measured by user testing, not the ideological viewpoints of the individuals who </w:t>
      </w:r>
      <w:r w:rsidRPr="005B5CB6">
        <w:rPr>
          <w:rFonts w:ascii="Verdana" w:eastAsia="Roboto" w:hAnsi="Verdana" w:cs="Roboto"/>
        </w:rPr>
        <w:t xml:space="preserve">build or audit them. The systems do not make subjective determinations about the truthfulness of webpages, but rather focus on measurable signals (such as expertise, trustworthiness, or authoritativeness) that correlate with how users and other websites value the reliability of a webpage on the topics it covers. </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 xml:space="preserve">To better inform users on how we use technology to organise millions of pages of news content, in dozens of languages and make it discoverable to anyone, we have launched a new website which explains </w:t>
      </w:r>
      <w:r>
        <w:fldChar w:fldCharType="begin"/>
      </w:r>
      <w:r>
        <w:instrText xml:space="preserve"> HYPERLINK "https://newsinitiative.withgoogle.com/hownewsworks/mission/help-you-make-sense-of-the-news/" </w:instrText>
      </w:r>
      <w:r>
        <w:fldChar w:fldCharType="separate"/>
      </w:r>
      <w:r w:rsidRPr="005B5CB6">
        <w:rPr>
          <w:rFonts w:ascii="Verdana" w:eastAsia="Roboto" w:hAnsi="Verdana" w:cs="Roboto"/>
          <w:u w:val="single"/>
        </w:rPr>
        <w:t>How News Works on Google</w:t>
      </w:r>
      <w:r>
        <w:fldChar w:fldCharType="end"/>
      </w:r>
      <w:r w:rsidRPr="005B5CB6">
        <w:rPr>
          <w:rFonts w:ascii="Verdana" w:eastAsia="Roboto" w:hAnsi="Verdana" w:cs="Roboto"/>
        </w:rPr>
        <w:t>. This provides an easy to understand guide for anyone interested in our mission, technology, content policies, and our efforts to support a healthy news ecosystem.</w:t>
      </w:r>
    </w:p>
    <w:p w:rsidR="00930BDD" w:rsidRPr="005B5CB6" w:rsidP="00930BDD">
      <w:pPr>
        <w:spacing w:line="240" w:lineRule="auto"/>
        <w:rPr>
          <w:rFonts w:ascii="Verdana" w:eastAsia="Roboto" w:hAnsi="Verdana" w:cs="Roboto"/>
          <w:b/>
        </w:rPr>
      </w:pPr>
    </w:p>
    <w:p w:rsidR="00930BDD" w:rsidRPr="005B5CB6" w:rsidP="00930BDD">
      <w:pPr>
        <w:spacing w:line="240" w:lineRule="auto"/>
        <w:rPr>
          <w:rFonts w:ascii="Verdana" w:eastAsia="Roboto" w:hAnsi="Verdana" w:cs="Roboto"/>
          <w:b/>
        </w:rPr>
      </w:pPr>
      <w:r w:rsidRPr="005B5CB6">
        <w:rPr>
          <w:rFonts w:ascii="Verdana" w:eastAsia="Roboto" w:hAnsi="Verdana" w:cs="Roboto"/>
          <w:b/>
        </w:rPr>
        <w:t>Partnership and information sharing with the research community</w:t>
      </w:r>
    </w:p>
    <w:p w:rsidR="00930BDD" w:rsidRPr="005B5CB6" w:rsidP="00930BDD">
      <w:pPr>
        <w:spacing w:line="240" w:lineRule="auto"/>
        <w:rPr>
          <w:rFonts w:ascii="Verdana" w:eastAsia="Roboto" w:hAnsi="Verdana" w:cs="Roboto"/>
          <w:b/>
        </w:rPr>
      </w:pPr>
    </w:p>
    <w:p w:rsidR="00930BDD" w:rsidRPr="005B5CB6" w:rsidP="00930BDD">
      <w:pPr>
        <w:spacing w:line="240" w:lineRule="auto"/>
        <w:rPr>
          <w:rFonts w:ascii="Verdana" w:eastAsia="Roboto" w:hAnsi="Verdana" w:cs="Roboto"/>
        </w:rPr>
      </w:pPr>
      <w:r w:rsidRPr="005B5CB6">
        <w:rPr>
          <w:rFonts w:ascii="Verdana" w:eastAsia="Roboto" w:hAnsi="Verdana" w:cs="Roboto"/>
        </w:rPr>
        <w:t xml:space="preserve">As we discussed during our appearance in front of the Committee, we are keen to understand the consequences of the use of our platforms, and encourage independent research into this topic. </w:t>
      </w:r>
    </w:p>
    <w:p w:rsidR="00930BDD" w:rsidRPr="005B5CB6" w:rsidP="00930BDD">
      <w:pPr>
        <w:spacing w:line="240" w:lineRule="auto"/>
        <w:rPr>
          <w:rFonts w:ascii="Verdana" w:eastAsia="Roboto" w:hAnsi="Verdana" w:cs="Roboto"/>
        </w:rPr>
      </w:pPr>
    </w:p>
    <w:p w:rsidR="00930BDD" w:rsidRPr="005B5CB6" w:rsidP="00930BDD">
      <w:pPr>
        <w:spacing w:line="240" w:lineRule="auto"/>
        <w:rPr>
          <w:rFonts w:ascii="Verdana" w:eastAsia="Roboto" w:hAnsi="Verdana" w:cs="Roboto"/>
          <w:b/>
        </w:rPr>
      </w:pPr>
      <w:r w:rsidRPr="005B5CB6">
        <w:rPr>
          <w:rFonts w:ascii="Verdana" w:eastAsia="Roboto" w:hAnsi="Verdana" w:cs="Roboto"/>
        </w:rPr>
        <w:t>Google shares data with academics and other platforms when it can be assured that the data is totally anonymous and cannot be re-identified. We consider ourselves to be best in class in releasing data and tools that help others. For example, we bring the benefits of AI to everyone by releasing over 5200 publications on computer science. Before opening up our datasets, we spend hundreds of hours standardising data and validating quality. We also ensure that datasets are shared in a machine-readable format that’s easy for others to use, such as JSON rather than PDF.  As data seekers might struggle to locate data scattered across repositories, we have also created a dataset search tool that helps people find data sources wherever they’re hosted</w:t>
      </w:r>
      <w:r w:rsidRPr="005B5CB6">
        <w:rPr>
          <w:rFonts w:ascii="Verdana" w:eastAsia="Roboto" w:hAnsi="Verdana" w:cs="Roboto"/>
          <w:b/>
        </w:rPr>
        <w:t xml:space="preserve">. </w:t>
      </w:r>
    </w:p>
    <w:p w:rsidR="00930BDD" w:rsidRPr="005B5CB6" w:rsidP="00930BDD">
      <w:pPr>
        <w:spacing w:line="240" w:lineRule="auto"/>
        <w:rPr>
          <w:rFonts w:ascii="Verdana" w:eastAsia="Roboto" w:hAnsi="Verdana" w:cs="Roboto"/>
          <w:b/>
        </w:rPr>
      </w:pPr>
    </w:p>
    <w:p w:rsidR="00930BDD" w:rsidRPr="005B5CB6" w:rsidP="00930BDD">
      <w:pPr>
        <w:spacing w:line="240" w:lineRule="auto"/>
        <w:rPr>
          <w:rFonts w:ascii="Verdana" w:eastAsia="Roboto" w:hAnsi="Verdana" w:cs="Roboto"/>
        </w:rPr>
      </w:pPr>
      <w:r w:rsidRPr="005B5CB6">
        <w:rPr>
          <w:rFonts w:ascii="Verdana" w:eastAsia="Roboto" w:hAnsi="Verdana" w:cs="Roboto"/>
        </w:rPr>
        <w:t>Some particular examples of how we share data with independent researchers include:</w:t>
      </w:r>
    </w:p>
    <w:p w:rsidR="00930BDD" w:rsidRPr="005B5CB6" w:rsidP="00930BDD">
      <w:pPr>
        <w:spacing w:line="240" w:lineRule="auto"/>
        <w:rPr>
          <w:rFonts w:ascii="Verdana" w:eastAsia="Roboto" w:hAnsi="Verdana" w:cs="Roboto"/>
        </w:rPr>
      </w:pPr>
    </w:p>
    <w:p w:rsidR="00930BDD" w:rsidRPr="005B5CB6" w:rsidP="00575F14">
      <w:pPr>
        <w:numPr>
          <w:ilvl w:val="0"/>
          <w:numId w:val="318"/>
        </w:numPr>
        <w:spacing w:after="0" w:line="240" w:lineRule="auto"/>
        <w:rPr>
          <w:rFonts w:ascii="Verdana" w:eastAsia="Roboto" w:hAnsi="Verdana" w:cs="Roboto"/>
        </w:rPr>
      </w:pPr>
      <w:r w:rsidRPr="005B5CB6">
        <w:rPr>
          <w:rFonts w:ascii="Verdana" w:eastAsia="Roboto" w:hAnsi="Verdana" w:cs="Roboto"/>
        </w:rPr>
        <w:t>We have also made more than 8 million YouTube datasets available publicly.</w:t>
      </w:r>
      <w:r>
        <w:fldChar w:fldCharType="begin"/>
      </w:r>
      <w:r>
        <w:instrText xml:space="preserve"> HYPERLINK "https://research.google.com/youtube8m/" </w:instrText>
      </w:r>
      <w:r>
        <w:fldChar w:fldCharType="separate"/>
      </w:r>
      <w:r w:rsidRPr="005B5CB6">
        <w:rPr>
          <w:rFonts w:ascii="Verdana" w:eastAsia="Roboto" w:hAnsi="Verdana" w:cs="Roboto"/>
          <w:u w:val="single"/>
        </w:rPr>
        <w:t xml:space="preserve"> </w:t>
      </w:r>
      <w:r>
        <w:fldChar w:fldCharType="end"/>
      </w:r>
      <w:r>
        <w:fldChar w:fldCharType="begin"/>
      </w:r>
      <w:r>
        <w:instrText xml:space="preserve"> HYPERLINK "https://research.google.com/youtube8m/" </w:instrText>
      </w:r>
      <w:r>
        <w:fldChar w:fldCharType="separate"/>
      </w:r>
      <w:r w:rsidRPr="005B5CB6">
        <w:rPr>
          <w:rFonts w:ascii="Verdana" w:eastAsia="Roboto" w:hAnsi="Verdana" w:cs="Roboto"/>
          <w:u w:val="single"/>
        </w:rPr>
        <w:t xml:space="preserve">YouTube-8M </w:t>
      </w:r>
      <w:r>
        <w:fldChar w:fldCharType="end"/>
      </w:r>
      <w:r w:rsidRPr="005B5CB6">
        <w:rPr>
          <w:rFonts w:ascii="Verdana" w:eastAsia="Roboto" w:hAnsi="Verdana" w:cs="Roboto"/>
        </w:rPr>
        <w:t>is a large-scale labeled video dataset that consists of millions of YouTube video IDs, with high-quality machine-generated annotations from a diverse vocabulary of 3,800+ visual entities. Our goal is to help accelerate research on large-scale video understanding, representation learning, noisy data modeling, transfer learning, and domain adaptation approaches for video.</w:t>
      </w:r>
    </w:p>
    <w:p w:rsidR="00930BDD" w:rsidRPr="005B5CB6" w:rsidP="00575F14">
      <w:pPr>
        <w:numPr>
          <w:ilvl w:val="0"/>
          <w:numId w:val="318"/>
        </w:numPr>
        <w:spacing w:after="0" w:line="240" w:lineRule="auto"/>
        <w:rPr>
          <w:rFonts w:ascii="Verdana" w:eastAsia="Roboto" w:hAnsi="Verdana" w:cs="Roboto"/>
        </w:rPr>
      </w:pPr>
      <w:r>
        <w:fldChar w:fldCharType="begin"/>
      </w:r>
      <w:r>
        <w:instrText xml:space="preserve"> HYPERLINK "https://protectingchildren.google/" </w:instrText>
      </w:r>
      <w:r>
        <w:fldChar w:fldCharType="separate"/>
      </w:r>
      <w:r w:rsidRPr="005B5CB6">
        <w:rPr>
          <w:rFonts w:ascii="Verdana" w:eastAsia="Roboto" w:hAnsi="Verdana" w:cs="Roboto"/>
          <w:highlight w:val="white"/>
          <w:u w:val="single"/>
        </w:rPr>
        <w:t>CSAI Match</w:t>
      </w:r>
      <w:r>
        <w:fldChar w:fldCharType="end"/>
      </w:r>
      <w:r w:rsidRPr="005B5CB6">
        <w:rPr>
          <w:rFonts w:ascii="Verdana" w:eastAsia="Roboto" w:hAnsi="Verdana" w:cs="Roboto"/>
          <w:highlight w:val="white"/>
        </w:rPr>
        <w:t xml:space="preserve"> is our proprietary technology, developed by the YouTube team, for combating child sexual abuse imagery (CSAI) in video content online. It was the first technology to use hash-matching to identify known violative videos and allows us to identify this type of violative content amid a high volume of non-violative video content. When a match of violative content is </w:t>
      </w:r>
      <w:r w:rsidRPr="005B5CB6">
        <w:rPr>
          <w:rFonts w:ascii="Verdana" w:eastAsia="Roboto" w:hAnsi="Verdana" w:cs="Roboto"/>
          <w:highlight w:val="white"/>
        </w:rPr>
        <w:t>found, it is then flagged to partners to responsibly report in accordance to local laws and regulations. Through YouTube, we make CSAI Match available for free to NGOs and industry partners like Adobe, Reddit, and Tumblr, who use it to counter the spread of online child exploitation videos on their platforms as well.</w:t>
      </w:r>
    </w:p>
    <w:p w:rsidR="00930BDD" w:rsidRPr="005B5CB6" w:rsidP="00575F14">
      <w:pPr>
        <w:numPr>
          <w:ilvl w:val="0"/>
          <w:numId w:val="318"/>
        </w:numPr>
        <w:spacing w:after="0" w:line="240" w:lineRule="auto"/>
        <w:rPr>
          <w:rFonts w:ascii="Verdana" w:eastAsia="Roboto" w:hAnsi="Verdana" w:cs="Roboto"/>
        </w:rPr>
      </w:pPr>
      <w:r w:rsidRPr="005B5CB6">
        <w:rPr>
          <w:rFonts w:ascii="Verdana" w:eastAsia="Roboto" w:hAnsi="Verdana" w:cs="Roboto"/>
        </w:rPr>
        <w:t xml:space="preserve">The </w:t>
      </w:r>
      <w:r>
        <w:fldChar w:fldCharType="begin"/>
      </w:r>
      <w:r>
        <w:instrText xml:space="preserve"> HYPERLINK "https://pair-code.github.io/what-if-tool/" </w:instrText>
      </w:r>
      <w:r>
        <w:fldChar w:fldCharType="separate"/>
      </w:r>
      <w:r w:rsidRPr="005B5CB6">
        <w:rPr>
          <w:rFonts w:ascii="Verdana" w:eastAsia="Roboto" w:hAnsi="Verdana" w:cs="Roboto"/>
          <w:u w:val="single"/>
        </w:rPr>
        <w:t>What-If Tool</w:t>
      </w:r>
      <w:r>
        <w:fldChar w:fldCharType="end"/>
      </w:r>
      <w:r w:rsidRPr="005B5CB6">
        <w:rPr>
          <w:rFonts w:ascii="Verdana" w:eastAsia="Roboto" w:hAnsi="Verdana" w:cs="Roboto"/>
        </w:rPr>
        <w:t xml:space="preserve"> - a key feature of Google Cloud AI Explanations - makes research much easier for researchers. This tool allows users to visualise datasets, manually edit examples from a dataset and see the effect of those changes, and allows for automatic generation of partial dependence plots, which show how the model’s predictions change when any single feature is changed. This allows developers to better understand their own models, and to answer questions such as: How would changes to a datapoint affect my model’s prediction? Does it perform differently for various groups – for example, historically marginalised people? How diverse is the dataset I am testing my model on?</w:t>
      </w:r>
    </w:p>
    <w:p w:rsidR="00930BDD" w:rsidRPr="005B5CB6" w:rsidP="00575F14">
      <w:pPr>
        <w:numPr>
          <w:ilvl w:val="0"/>
          <w:numId w:val="318"/>
        </w:numPr>
        <w:spacing w:after="0" w:line="240" w:lineRule="auto"/>
        <w:rPr>
          <w:rFonts w:ascii="Verdana" w:eastAsia="Roboto" w:hAnsi="Verdana" w:cs="Roboto"/>
        </w:rPr>
      </w:pPr>
      <w:r w:rsidRPr="005B5CB6">
        <w:rPr>
          <w:rFonts w:ascii="Verdana" w:eastAsia="Roboto" w:hAnsi="Verdana" w:cs="Roboto"/>
        </w:rPr>
        <w:t xml:space="preserve">We also share significant amounts of information through our </w:t>
      </w:r>
      <w:r>
        <w:fldChar w:fldCharType="begin"/>
      </w:r>
      <w:r>
        <w:instrText xml:space="preserve"> HYPERLINK "https://transparencyreport.google.com/" </w:instrText>
      </w:r>
      <w:r>
        <w:fldChar w:fldCharType="separate"/>
      </w:r>
      <w:r w:rsidRPr="005B5CB6">
        <w:rPr>
          <w:rFonts w:ascii="Verdana" w:eastAsia="Roboto" w:hAnsi="Verdana" w:cs="Roboto"/>
          <w:u w:val="single"/>
        </w:rPr>
        <w:t>Transparency Report</w:t>
      </w:r>
      <w:r>
        <w:fldChar w:fldCharType="end"/>
      </w:r>
      <w:r w:rsidRPr="005B5CB6">
        <w:rPr>
          <w:rFonts w:ascii="Verdana" w:eastAsia="Roboto" w:hAnsi="Verdana" w:cs="Roboto"/>
        </w:rPr>
        <w:t xml:space="preserve">. This includes regularly updated content about the information and data requests we receive from governments and, as of May 2019, a searchable and downloadable election ad library for EU election ads, including useful data such as which ads had the highest number of  impressions, images of the latest election ads running on the Google platform, and information about how the ads are targeted in terms of age, gender, and location. </w:t>
      </w:r>
    </w:p>
    <w:p w:rsidR="00930BDD" w:rsidRPr="005B5CB6" w:rsidP="00930BDD">
      <w:pPr>
        <w:spacing w:line="240" w:lineRule="auto"/>
        <w:rPr>
          <w:rFonts w:ascii="Verdana" w:eastAsia="Roboto" w:hAnsi="Verdana" w:cs="Roboto"/>
          <w:b/>
        </w:rPr>
      </w:pPr>
    </w:p>
    <w:p w:rsidR="00930BDD" w:rsidRPr="005B5CB6" w:rsidP="00930BDD">
      <w:pPr>
        <w:spacing w:line="240" w:lineRule="auto"/>
        <w:rPr>
          <w:rFonts w:ascii="Verdana" w:eastAsia="Roboto" w:hAnsi="Verdana" w:cs="Roboto"/>
        </w:rPr>
      </w:pPr>
      <w:r w:rsidRPr="005B5CB6">
        <w:rPr>
          <w:rFonts w:ascii="Verdana" w:eastAsia="Roboto" w:hAnsi="Verdana" w:cs="Roboto"/>
          <w:b/>
        </w:rPr>
        <w:t>The 2019 UK General Election</w:t>
      </w:r>
    </w:p>
    <w:p w:rsidR="00930BDD" w:rsidRPr="005B5CB6" w:rsidP="00930BDD">
      <w:pPr>
        <w:spacing w:line="240" w:lineRule="auto"/>
        <w:rPr>
          <w:rFonts w:ascii="Verdana" w:eastAsia="Roboto" w:hAnsi="Verdana" w:cs="Roboto"/>
        </w:rPr>
      </w:pPr>
    </w:p>
    <w:p w:rsidR="00930BDD" w:rsidRPr="005B5CB6" w:rsidP="00930BDD">
      <w:pPr>
        <w:spacing w:line="240" w:lineRule="auto"/>
        <w:rPr>
          <w:rFonts w:ascii="Verdana" w:eastAsia="Roboto" w:hAnsi="Verdana" w:cs="Roboto"/>
          <w:b/>
          <w:i/>
        </w:rPr>
      </w:pPr>
      <w:r w:rsidRPr="005B5CB6">
        <w:rPr>
          <w:rFonts w:ascii="Verdana" w:eastAsia="Roboto" w:hAnsi="Verdana" w:cs="Roboto"/>
          <w:b/>
          <w:i/>
        </w:rPr>
        <w:t>How we helped to provide clear information during the 2019 general election</w:t>
      </w:r>
    </w:p>
    <w:p w:rsidR="00930BDD" w:rsidRPr="005B5CB6" w:rsidP="00930BDD">
      <w:pPr>
        <w:spacing w:line="240" w:lineRule="auto"/>
        <w:rPr>
          <w:rFonts w:ascii="Verdana" w:eastAsia="Roboto" w:hAnsi="Verdana" w:cs="Roboto"/>
          <w:i/>
        </w:rPr>
      </w:pPr>
    </w:p>
    <w:p w:rsidR="00930BDD" w:rsidRPr="005B5CB6" w:rsidP="00930BDD">
      <w:pPr>
        <w:spacing w:line="240" w:lineRule="auto"/>
        <w:rPr>
          <w:rFonts w:ascii="Verdana" w:eastAsia="Roboto" w:hAnsi="Verdana" w:cs="Roboto"/>
        </w:rPr>
      </w:pPr>
      <w:r w:rsidRPr="005B5CB6">
        <w:rPr>
          <w:rFonts w:ascii="Verdana" w:eastAsia="Roboto" w:hAnsi="Verdana" w:cs="Roboto"/>
        </w:rPr>
        <w:t>Google aims to make civic information more easily accessible and useful to people globally as they engage in the political process. We have been building products for over a decade that provide timely and authoritative information about elections around the world and help voters make informed decisions.</w:t>
      </w:r>
    </w:p>
    <w:p w:rsidR="00930BDD" w:rsidRPr="005B5CB6" w:rsidP="00930BDD">
      <w:pPr>
        <w:spacing w:line="240" w:lineRule="auto"/>
        <w:rPr>
          <w:rFonts w:ascii="Verdana" w:eastAsia="Roboto" w:hAnsi="Verdana" w:cs="Roboto"/>
        </w:rPr>
      </w:pPr>
    </w:p>
    <w:p w:rsidR="00930BDD" w:rsidRPr="005B5CB6" w:rsidP="00930BDD">
      <w:pPr>
        <w:spacing w:line="240" w:lineRule="auto"/>
        <w:rPr>
          <w:rFonts w:ascii="Verdana" w:eastAsia="Roboto" w:hAnsi="Verdana" w:cs="Roboto"/>
        </w:rPr>
      </w:pPr>
      <w:r w:rsidRPr="005B5CB6">
        <w:rPr>
          <w:rFonts w:ascii="Verdana" w:eastAsia="Roboto" w:hAnsi="Verdana" w:cs="Roboto"/>
        </w:rPr>
        <w:t xml:space="preserve">During the 2019 general election, we worked with the Government Digital Service to ensure that Search provided people with the information they needed when searching about the election. When users searched for instructions on how to register or how to vote, they could see those details directly on the results page. </w:t>
      </w:r>
    </w:p>
    <w:p w:rsidR="00930BDD" w:rsidRPr="005B5CB6" w:rsidP="00930BDD">
      <w:pPr>
        <w:spacing w:line="240" w:lineRule="auto"/>
        <w:rPr>
          <w:rFonts w:ascii="Verdana" w:eastAsia="Roboto" w:hAnsi="Verdana" w:cs="Roboto"/>
        </w:rPr>
      </w:pPr>
    </w:p>
    <w:p w:rsidR="00930BDD" w:rsidRPr="005B5CB6" w:rsidP="00930BDD">
      <w:pPr>
        <w:spacing w:line="240" w:lineRule="auto"/>
        <w:rPr>
          <w:rFonts w:ascii="Verdana" w:eastAsia="Roboto" w:hAnsi="Verdana" w:cs="Roboto"/>
          <w:b/>
          <w:i/>
        </w:rPr>
      </w:pPr>
      <w:r w:rsidRPr="005B5CB6">
        <w:rPr>
          <w:rFonts w:ascii="Verdana" w:eastAsia="Roboto" w:hAnsi="Verdana" w:cs="Roboto"/>
          <w:b/>
          <w:i/>
        </w:rPr>
        <w:t>Working to overcome challenges during elections</w:t>
      </w:r>
    </w:p>
    <w:p w:rsidR="00930BDD" w:rsidRPr="005B5CB6" w:rsidP="00930BDD">
      <w:pPr>
        <w:spacing w:line="240" w:lineRule="auto"/>
        <w:rPr>
          <w:rFonts w:ascii="Verdana" w:eastAsia="Roboto" w:hAnsi="Verdana" w:cs="Roboto"/>
          <w:i/>
        </w:rPr>
      </w:pPr>
    </w:p>
    <w:p w:rsidR="00930BDD" w:rsidRPr="005B5CB6" w:rsidP="00930BDD">
      <w:pPr>
        <w:spacing w:line="240" w:lineRule="auto"/>
        <w:rPr>
          <w:rFonts w:ascii="Verdana" w:eastAsia="Roboto" w:hAnsi="Verdana" w:cs="Roboto"/>
        </w:rPr>
      </w:pPr>
      <w:r w:rsidRPr="005B5CB6">
        <w:rPr>
          <w:rFonts w:ascii="Verdana" w:eastAsia="Roboto" w:hAnsi="Verdana" w:cs="Roboto"/>
        </w:rPr>
        <w:t xml:space="preserve">However, we also know that elections pose particular challenges that require all of our teams across Google and YouTube to work together. We have established </w:t>
      </w:r>
      <w:r w:rsidRPr="005B5CB6">
        <w:rPr>
          <w:rFonts w:ascii="Verdana" w:eastAsia="Roboto" w:hAnsi="Verdana" w:cs="Roboto"/>
        </w:rPr>
        <w:t xml:space="preserve">dedicated teams across Europe who specialize in preventing abuse of our systems during elections, ranging from phishing schemes to attempts to hack Google products.These teams are trained to get ahead of abuse, clamp down on malicious activity, and react rapidly to breaking threats. Our teams work in partnership with other companies and law enforcement officials to identify malicious actors, disable their accounts, warn our users about them, and share intelligence. </w:t>
      </w:r>
    </w:p>
    <w:p w:rsidR="00930BDD" w:rsidRPr="005B5CB6" w:rsidP="00930BDD">
      <w:pPr>
        <w:spacing w:line="240" w:lineRule="auto"/>
        <w:rPr>
          <w:rFonts w:ascii="Verdana" w:eastAsia="Roboto" w:hAnsi="Verdana" w:cs="Roboto"/>
        </w:rPr>
      </w:pPr>
    </w:p>
    <w:p w:rsidR="00930BDD" w:rsidRPr="005B5CB6" w:rsidP="00930BDD">
      <w:pPr>
        <w:spacing w:line="240" w:lineRule="auto"/>
        <w:rPr>
          <w:rFonts w:ascii="Verdana" w:eastAsia="Roboto" w:hAnsi="Verdana" w:cs="Roboto"/>
        </w:rPr>
      </w:pPr>
      <w:r w:rsidRPr="005B5CB6">
        <w:rPr>
          <w:rFonts w:ascii="Verdana" w:eastAsia="Roboto" w:hAnsi="Verdana" w:cs="Roboto"/>
        </w:rPr>
        <w:t xml:space="preserve">We have also put in place additional requirements for political advertisers, meaning advertisers who wish to run ads that reference a political party, current elected officeholder or candidate for the UK Parliament have to be verified. This verification process allows us to incorporate a clear </w:t>
      </w:r>
      <w:r w:rsidRPr="005B5CB6">
        <w:rPr>
          <w:rFonts w:ascii="Verdana" w:eastAsia="Roboto" w:hAnsi="Verdana" w:cs="Roboto"/>
          <w:b/>
        </w:rPr>
        <w:t>“paid for by”</w:t>
      </w:r>
      <w:r w:rsidRPr="005B5CB6">
        <w:rPr>
          <w:rFonts w:ascii="Verdana" w:eastAsia="Roboto" w:hAnsi="Verdana" w:cs="Roboto"/>
        </w:rPr>
        <w:t xml:space="preserve"> disclosure - a requirement which goes further than current UK law. We include these ads in our political ads Transparency Report and Ad Library, which we update regularly.</w:t>
      </w:r>
    </w:p>
    <w:p w:rsidR="00930BDD" w:rsidRPr="005B5CB6" w:rsidP="00930BDD">
      <w:pPr>
        <w:spacing w:line="240" w:lineRule="auto"/>
        <w:rPr>
          <w:rFonts w:ascii="Verdana" w:eastAsia="Roboto" w:hAnsi="Verdana" w:cs="Roboto"/>
        </w:rPr>
      </w:pPr>
    </w:p>
    <w:p w:rsidR="00930BDD" w:rsidRPr="005B5CB6" w:rsidP="00930BDD">
      <w:pPr>
        <w:spacing w:line="240" w:lineRule="auto"/>
        <w:rPr>
          <w:rFonts w:ascii="Verdana" w:eastAsia="Roboto" w:hAnsi="Verdana" w:cs="Roboto"/>
        </w:rPr>
      </w:pPr>
      <w:r w:rsidRPr="005B5CB6">
        <w:rPr>
          <w:rFonts w:ascii="Verdana" w:eastAsia="Roboto" w:hAnsi="Verdana" w:cs="Roboto"/>
        </w:rPr>
        <w:t>During the 2019 General Election, we identified that a human error caused 24 political adverts, out of a total of around 1,500 in our Ad Library, to temporarily not appear in our Transparency Report. Once this issue was identified, we worked to update the ads in the report as quickly as possible, and they featured on the report approximately 48 hours later. We undertook this effort because we strongly support greater transparency in political advertising, and work hard to correct inaccuracies when we find them. We are constantly working to improve our reporting, and we appreciate feedback on how we can make it even better.</w:t>
      </w:r>
    </w:p>
    <w:p w:rsidR="00930BDD" w:rsidRPr="005B5CB6" w:rsidP="00930BDD">
      <w:pPr>
        <w:spacing w:line="240" w:lineRule="auto"/>
        <w:rPr>
          <w:rFonts w:ascii="Verdana" w:eastAsia="Roboto" w:hAnsi="Verdana" w:cs="Roboto"/>
        </w:rPr>
      </w:pPr>
    </w:p>
    <w:p w:rsidR="00930BDD" w:rsidRPr="005B5CB6" w:rsidP="00930BDD">
      <w:pPr>
        <w:spacing w:line="240" w:lineRule="auto"/>
        <w:rPr>
          <w:rFonts w:ascii="Verdana" w:eastAsia="Roboto" w:hAnsi="Verdana" w:cs="Roboto"/>
        </w:rPr>
      </w:pPr>
      <w:r w:rsidRPr="005B5CB6">
        <w:rPr>
          <w:rFonts w:ascii="Verdana" w:eastAsia="Roboto" w:hAnsi="Verdana" w:cs="Roboto"/>
          <w:b/>
        </w:rPr>
        <w:t xml:space="preserve">YouTube Content moderation </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b/>
          <w:i/>
        </w:rPr>
        <w:t>Community Guidelines on YouTube</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 xml:space="preserve">Concern for the safety of our users is at the heart of everything we do. We have robust and effective policies and Community Guidelines that send a clear signal to users about what content is and is not acceptable on our platforms. For example, we have effective policies and strong enforcement against hate speech. We proactively remove hateful content from our platform and our policies extend beyond what is considered illegal hate speech. We also remove content promoting hate or violence against protected groups under the Equality Act, including attributes like age, disability, ethnicity, gender, race, religion, sex, and more. </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 xml:space="preserve">We innovate to ensure that these policies are being effectively enforced. We use machine learning to find violative content at scale, and employ specialist teams to review the content flagged by those machines to make decisions based on context and to anticipate and understand the trends and themes that might produce harmful or violative content in the future. </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 xml:space="preserve">Powerful machine learning is bolstered by people we’ve invested in, and we now have over 10,000 people working to address content that might violate our policies. Reviewers work around the world, 24/7, who speak many different languages and are highly skilled. We have three tiers of reviewers. Longer tenure, higher quality </w:t>
      </w:r>
      <w:r w:rsidRPr="005B5CB6">
        <w:rPr>
          <w:rFonts w:ascii="Verdana" w:eastAsia="Roboto" w:hAnsi="Verdana" w:cs="Roboto"/>
        </w:rPr>
        <w:t xml:space="preserve">and deeper expertise is required to move through the tiers. From time to time, there are incidences where a further escalation is required - for example when a policy needs to be reviewed or where a very concerning case materialises. In these instances, a cross-company team is involved, often enlisting the help of outside academics and other independent experts to provide an external perspective. </w:t>
      </w:r>
    </w:p>
    <w:p w:rsidR="00930BDD" w:rsidRPr="005B5CB6" w:rsidP="00930BDD">
      <w:pPr>
        <w:widowControl w:val="0"/>
        <w:spacing w:line="240" w:lineRule="auto"/>
        <w:rPr>
          <w:rFonts w:ascii="Verdana" w:eastAsia="Roboto" w:hAnsi="Verdana" w:cs="Roboto"/>
        </w:rPr>
      </w:pPr>
      <w:r w:rsidRPr="005B5CB6">
        <w:rPr>
          <w:rFonts w:ascii="Verdana" w:eastAsia="Roboto" w:hAnsi="Verdana" w:cs="Roboto"/>
        </w:rPr>
        <w:t>We take our responsibility to keep hateful content off our platform seriously but we know we cannot do everything ourselves. That’s why we partner with experts across the world, including government agencies, academics and NGOs through our Trusted Flagger programme, which allows us to understand issues with local nuances. In the UK, our partners include CTIRU, Henry Jackson Society, Parliament’s Security Department, ICSR at King’s College and many others.</w:t>
      </w:r>
    </w:p>
    <w:p w:rsidR="00930BDD" w:rsidRPr="005B5CB6" w:rsidP="00930BDD">
      <w:pPr>
        <w:spacing w:before="240" w:after="240" w:line="240" w:lineRule="auto"/>
        <w:rPr>
          <w:rFonts w:ascii="Verdana" w:eastAsia="Roboto" w:hAnsi="Verdana" w:cs="Roboto"/>
          <w:b/>
          <w:i/>
        </w:rPr>
      </w:pPr>
      <w:r w:rsidRPr="005B5CB6">
        <w:rPr>
          <w:rFonts w:ascii="Verdana" w:eastAsia="Roboto" w:hAnsi="Verdana" w:cs="Roboto"/>
          <w:b/>
          <w:i/>
        </w:rPr>
        <w:t>Promoting Authoritative Content on YouTube</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In 2017, we started to prioritise authoritative voices, including news sources like The Guardian, CNN, Jovem Pan and India Today, for news related queries both in Google News, our search results and “watch next” panels. For example, if a user is looking to learn more about a newsworthy event - for example, searching for “Brexit”. While there will be slight variations, on average, 93% of the videos in global top 10 results come from high-authority channels. Authoritativeness is also important for evergreen topics prone to misinformation, such as videos about vaccines. In these cases, we aim to surface videos from experts, like public health institutions, in search results. Millions of search queries are getting this treatment today and we’re continually expanding to more topics and countries.</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We know that reliable information becomes especially critical as news is breaking. But as events are unfolding, it can take time to produce high-quality videos containing verified facts. So we've started providing short previews of text-based news articles in search results on YouTube, along with a reminder that breaking and developing news can rapidly change. We’ve also introduced Top News and Breaking News sections to highlight quality journalism. In fact, this year alone, we’ve seen that consumption on authoritative news partners’ channels has grown by 60 percent. When an important event occurs, the Breaking News shelf is triggered automatically and populates content from partners such as those mentioned above.</w:t>
      </w:r>
    </w:p>
    <w:p w:rsidR="00930BDD" w:rsidRPr="005B5CB6" w:rsidP="00930BDD">
      <w:pPr>
        <w:widowControl w:val="0"/>
        <w:shd w:val="clear" w:color="auto" w:fill="FFFFFF"/>
        <w:rPr>
          <w:rFonts w:ascii="Verdana" w:hAnsi="Verdana"/>
        </w:rPr>
      </w:pPr>
      <w:r w:rsidRPr="005B5CB6">
        <w:rPr>
          <w:rFonts w:ascii="Verdana" w:hAnsi="Verdana"/>
        </w:rPr>
        <w:t xml:space="preserve">For example, as we respond to the covid-19 crisis, we aim to surface videos from experts or media outlets, like public health institutions or news organisations, in search results and via information panels. </w:t>
      </w:r>
    </w:p>
    <w:p w:rsidR="00930BDD" w:rsidRPr="005B5CB6" w:rsidP="00575F14">
      <w:pPr>
        <w:widowControl w:val="0"/>
        <w:numPr>
          <w:ilvl w:val="0"/>
          <w:numId w:val="315"/>
        </w:numPr>
        <w:shd w:val="clear" w:color="auto" w:fill="FFFFFF"/>
        <w:spacing w:after="0" w:line="276" w:lineRule="auto"/>
        <w:rPr>
          <w:rFonts w:ascii="Verdana" w:hAnsi="Verdana"/>
        </w:rPr>
      </w:pPr>
      <w:r w:rsidRPr="005B5CB6">
        <w:rPr>
          <w:rFonts w:ascii="Verdana" w:hAnsi="Verdana"/>
        </w:rPr>
        <w:t xml:space="preserve">We launched an information panel pointing users to an </w:t>
      </w:r>
      <w:r>
        <w:fldChar w:fldCharType="begin"/>
      </w:r>
      <w:r>
        <w:instrText xml:space="preserve"> HYPERLINK "https://www.who.int/emergencies/diseases/novel-coronavirus-2019" </w:instrText>
      </w:r>
      <w:r>
        <w:fldChar w:fldCharType="separate"/>
      </w:r>
      <w:r w:rsidRPr="005B5CB6">
        <w:rPr>
          <w:rFonts w:ascii="Verdana" w:hAnsi="Verdana"/>
          <w:u w:val="single"/>
        </w:rPr>
        <w:t>article</w:t>
      </w:r>
      <w:r>
        <w:fldChar w:fldCharType="end"/>
      </w:r>
      <w:r w:rsidRPr="005B5CB6">
        <w:rPr>
          <w:rFonts w:ascii="Verdana" w:hAnsi="Verdana"/>
        </w:rPr>
        <w:t xml:space="preserve"> from the World Health Organization about the Coronavirus, available in English, Arabic, French and Spanish.</w:t>
      </w:r>
    </w:p>
    <w:p w:rsidR="00930BDD" w:rsidRPr="005B5CB6" w:rsidP="00575F14">
      <w:pPr>
        <w:widowControl w:val="0"/>
        <w:numPr>
          <w:ilvl w:val="0"/>
          <w:numId w:val="315"/>
        </w:numPr>
        <w:shd w:val="clear" w:color="auto" w:fill="FFFFFF"/>
        <w:spacing w:after="0" w:line="276" w:lineRule="auto"/>
        <w:rPr>
          <w:rFonts w:ascii="Verdana" w:hAnsi="Verdana"/>
        </w:rPr>
      </w:pPr>
      <w:r w:rsidRPr="005B5CB6">
        <w:rPr>
          <w:rFonts w:ascii="Verdana" w:hAnsi="Verdana"/>
        </w:rPr>
        <w:t xml:space="preserve">In order to reach more users with authoritative and up-to-date information about the Coronavirus, we have added localised information panels in 34 additional countries—including Korea, Japan, Italy—that link to local resources, such as Ministries of Health and Centers for Disease Prevention, and are translated into local languages. </w:t>
      </w:r>
    </w:p>
    <w:p w:rsidR="00930BDD" w:rsidRPr="005B5CB6" w:rsidP="00575F14">
      <w:pPr>
        <w:widowControl w:val="0"/>
        <w:numPr>
          <w:ilvl w:val="0"/>
          <w:numId w:val="315"/>
        </w:numPr>
        <w:shd w:val="clear" w:color="auto" w:fill="FFFFFF"/>
        <w:spacing w:after="0" w:line="276" w:lineRule="auto"/>
        <w:rPr>
          <w:rFonts w:ascii="Verdana" w:hAnsi="Verdana"/>
        </w:rPr>
      </w:pPr>
      <w:r w:rsidRPr="005B5CB6">
        <w:rPr>
          <w:rFonts w:ascii="Verdana" w:hAnsi="Verdana"/>
        </w:rPr>
        <w:t xml:space="preserve">In addition, we are </w:t>
      </w:r>
      <w:r w:rsidRPr="005B5CB6">
        <w:rPr>
          <w:rFonts w:ascii="Verdana" w:hAnsi="Verdana"/>
          <w:highlight w:val="white"/>
        </w:rPr>
        <w:t xml:space="preserve">displaying a Top News Shelf on YouTube search results pages for certain Coronavirus queries, and a Breaking News Shelf may also appear on the home page for users who are regular consumers of news content on YouTube (see </w:t>
      </w:r>
      <w:r>
        <w:fldChar w:fldCharType="begin"/>
      </w:r>
      <w:r>
        <w:instrText xml:space="preserve"> HYPERLINK "https://support.google.com/youtube/answer/9057101" </w:instrText>
      </w:r>
      <w:r>
        <w:fldChar w:fldCharType="separate"/>
      </w:r>
      <w:r w:rsidRPr="005B5CB6">
        <w:rPr>
          <w:rFonts w:ascii="Verdana" w:hAnsi="Verdana"/>
          <w:highlight w:val="white"/>
          <w:u w:val="single"/>
        </w:rPr>
        <w:t>Help Center article</w:t>
      </w:r>
      <w:r>
        <w:fldChar w:fldCharType="end"/>
      </w:r>
      <w:r w:rsidRPr="005B5CB6">
        <w:rPr>
          <w:rFonts w:ascii="Verdana" w:hAnsi="Verdana"/>
          <w:highlight w:val="white"/>
        </w:rPr>
        <w:t xml:space="preserve">). We are also displaying a COVID-19 news shelf across 20 countries, including the UK, Brazil and Indonesia. </w:t>
      </w:r>
    </w:p>
    <w:p w:rsidR="00930BDD" w:rsidRPr="005B5CB6" w:rsidP="00930BDD">
      <w:pPr>
        <w:spacing w:before="240" w:after="240" w:line="240" w:lineRule="auto"/>
        <w:rPr>
          <w:rFonts w:ascii="Verdana" w:eastAsia="Roboto" w:hAnsi="Verdana" w:cs="Roboto"/>
          <w:b/>
          <w:i/>
        </w:rPr>
      </w:pPr>
      <w:r w:rsidRPr="005B5CB6">
        <w:rPr>
          <w:rFonts w:ascii="Verdana" w:eastAsia="Roboto" w:hAnsi="Verdana" w:cs="Roboto"/>
          <w:b/>
          <w:i/>
        </w:rPr>
        <w:t>Dealing with borderline content</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The Committee also asked a number of questions about borderline content and how our guidelines manage this. Borderline content is content that could misinform users in harmful ways and content that comes close to but doesn’t quite cross the line of violating our Community Guidelines.</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 xml:space="preserve">Our </w:t>
      </w:r>
      <w:r>
        <w:fldChar w:fldCharType="begin"/>
      </w:r>
      <w:r>
        <w:instrText xml:space="preserve"> HYPERLINK "https://www.youtube.com/about/policies/" \l "community-guidelines" </w:instrText>
      </w:r>
      <w:r>
        <w:fldChar w:fldCharType="separate"/>
      </w:r>
      <w:r w:rsidRPr="005B5CB6">
        <w:rPr>
          <w:rFonts w:ascii="Verdana" w:eastAsia="Roboto" w:hAnsi="Verdana" w:cs="Roboto"/>
          <w:u w:val="single"/>
        </w:rPr>
        <w:t xml:space="preserve">Community Guidelines </w:t>
      </w:r>
      <w:r>
        <w:fldChar w:fldCharType="end"/>
      </w:r>
      <w:r w:rsidRPr="005B5CB6">
        <w:rPr>
          <w:rFonts w:ascii="Verdana" w:eastAsia="Roboto" w:hAnsi="Verdana" w:cs="Roboto"/>
        </w:rPr>
        <w:t xml:space="preserve">set the rules for YouTube, and a combination of people and machines help us </w:t>
      </w:r>
      <w:r>
        <w:fldChar w:fldCharType="begin"/>
      </w:r>
      <w:r>
        <w:instrText xml:space="preserve"> HYPERLINK "https://youtube.googleblog.com/2019/09/the-four-rs-of-responsibility-remove.html" </w:instrText>
      </w:r>
      <w:r>
        <w:fldChar w:fldCharType="separate"/>
      </w:r>
      <w:r w:rsidRPr="005B5CB6">
        <w:rPr>
          <w:rFonts w:ascii="Verdana" w:eastAsia="Roboto" w:hAnsi="Verdana" w:cs="Roboto"/>
          <w:u w:val="single"/>
        </w:rPr>
        <w:t>remove more violative content than ever before</w:t>
      </w:r>
      <w:r>
        <w:fldChar w:fldCharType="end"/>
      </w:r>
      <w:r w:rsidRPr="005B5CB6">
        <w:rPr>
          <w:rFonts w:ascii="Verdana" w:eastAsia="Roboto" w:hAnsi="Verdana" w:cs="Roboto"/>
        </w:rPr>
        <w:t>. That said, there will always be content on YouTube that brushes up against our policies, but doesn’t quite cross the line. So over the past couple of years, we've been working to raise authoritative voices on YouTube and reduce the spread of borderline content and harmful misinformation. This includes videos such as those promoting a phony miracle cure for a serious illness, claiming the earth is flat, or making blatantly false claims about historic events like 9/11.</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 xml:space="preserve">Determining what is harmful misinformation or borderline, is tricky, especially given the wide variety of videos that are on YouTube. We rely on external evaluators located around the world to provide critical input on the quality of a video. And these evaluators use </w:t>
      </w:r>
      <w:r>
        <w:fldChar w:fldCharType="begin"/>
      </w:r>
      <w:r>
        <w:instrText xml:space="preserve"> HYPERLINK "https://support.google.com/youtube/answer/9230586" </w:instrText>
      </w:r>
      <w:r>
        <w:fldChar w:fldCharType="separate"/>
      </w:r>
      <w:r w:rsidRPr="005B5CB6">
        <w:rPr>
          <w:rFonts w:ascii="Verdana" w:eastAsia="Roboto" w:hAnsi="Verdana" w:cs="Roboto"/>
          <w:u w:val="single"/>
        </w:rPr>
        <w:t>public guidelines</w:t>
      </w:r>
      <w:r>
        <w:fldChar w:fldCharType="end"/>
      </w:r>
      <w:r w:rsidRPr="005B5CB6">
        <w:rPr>
          <w:rFonts w:ascii="Verdana" w:eastAsia="Roboto" w:hAnsi="Verdana" w:cs="Roboto"/>
        </w:rPr>
        <w:t xml:space="preserve"> to inform their work. Each evaluated video receives up to 9 different opinions and some critical areas require certified experts. For example, medical doctors provide guidance on the validity of videos about specific medical treatments to limit the spread of medical misinformation. Based on the consensus input from the evaluators, we use well-tested machine learning systems to build models. These models help review hundreds of thousands of hours of videos every day in order to find and limit the spread of borderline content. And over time, the accuracy of these systems will continue to improve.</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 xml:space="preserve">Since January 2019, we’ve </w:t>
      </w:r>
      <w:r>
        <w:fldChar w:fldCharType="begin"/>
      </w:r>
      <w:r>
        <w:instrText xml:space="preserve"> HYPERLINK "https://youtube.googleblog.com/2019/01/continuing-our-work-to-improve.html" </w:instrText>
      </w:r>
      <w:r>
        <w:fldChar w:fldCharType="separate"/>
      </w:r>
      <w:r w:rsidRPr="005B5CB6">
        <w:rPr>
          <w:rFonts w:ascii="Verdana" w:eastAsia="Roboto" w:hAnsi="Verdana" w:cs="Roboto"/>
          <w:u w:val="single"/>
        </w:rPr>
        <w:t>launched</w:t>
      </w:r>
      <w:r>
        <w:fldChar w:fldCharType="end"/>
      </w:r>
      <w:r w:rsidRPr="005B5CB6">
        <w:rPr>
          <w:rFonts w:ascii="Verdana" w:eastAsia="Roboto" w:hAnsi="Verdana" w:cs="Roboto"/>
        </w:rPr>
        <w:t xml:space="preserve"> over 30 different changes to reduce recommendations of borderline content and harmful misinformation. In the US, the result is a 70% average drop in watch time of this content coming from  recommendations of channels users are not subscribed too.</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Our work continues. We are exploring options to bring in external researchers to study our systems and we will continue to invest in more teams and new features. Nothing is more important to us than ensuring we are living up to our responsibility. We remain focused on maintaining that delicate balance which allows diverse voices to flourish on YouTube, including those that others will disagree with, while also protecting viewers, creators and the wider ecosystem from harmful content.</w:t>
      </w:r>
    </w:p>
    <w:p w:rsidR="00930BDD" w:rsidRPr="005B5CB6" w:rsidP="00930BDD">
      <w:pPr>
        <w:spacing w:before="240" w:after="240" w:line="240" w:lineRule="auto"/>
        <w:rPr>
          <w:rFonts w:ascii="Verdana" w:eastAsia="Roboto" w:hAnsi="Verdana" w:cs="Roboto"/>
          <w:b/>
          <w:i/>
        </w:rPr>
      </w:pPr>
      <w:r w:rsidRPr="005B5CB6">
        <w:rPr>
          <w:rFonts w:ascii="Verdana" w:eastAsia="Roboto" w:hAnsi="Verdana" w:cs="Roboto"/>
          <w:b/>
          <w:i/>
        </w:rPr>
        <w:t>Informing users when we remove content</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 xml:space="preserve">The Committee asked about how we engage with users when content has been removed. We are open with users and content creators about decisions to remove content, or decisions to keep content on our platform when it has been flagged as potentially being violative. YouTube notifies all users who flag a video for violation of community guidelines on its eventual decision to remove or retain that video. In 2018, we also launched a </w:t>
      </w:r>
      <w:r>
        <w:fldChar w:fldCharType="begin"/>
      </w:r>
      <w:r>
        <w:instrText xml:space="preserve"> HYPERLINK "https://support.google.com/youtube/answer/7687979?hl=en-GB" </w:instrText>
      </w:r>
      <w:r>
        <w:fldChar w:fldCharType="separate"/>
      </w:r>
      <w:r w:rsidRPr="005B5CB6">
        <w:rPr>
          <w:rFonts w:ascii="Verdana" w:eastAsia="Roboto" w:hAnsi="Verdana" w:cs="Roboto"/>
          <w:u w:val="single"/>
        </w:rPr>
        <w:t>reporting history dashboard</w:t>
      </w:r>
      <w:r>
        <w:fldChar w:fldCharType="end"/>
      </w:r>
      <w:r w:rsidRPr="005B5CB6">
        <w:rPr>
          <w:rFonts w:ascii="Verdana" w:eastAsia="Roboto" w:hAnsi="Verdana" w:cs="Roboto"/>
        </w:rPr>
        <w:t xml:space="preserve"> which each YouTube user can individually access to see the status of videos they’ve flagged to us for review. </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In order to make this process more understandable, we have also produced a video called “</w:t>
      </w:r>
      <w:r>
        <w:fldChar w:fldCharType="begin"/>
      </w:r>
      <w:r>
        <w:instrText xml:space="preserve"> HYPERLINK "https://www.youtube.com/watch?v=WK8qRNSmhEU" </w:instrText>
      </w:r>
      <w:r>
        <w:fldChar w:fldCharType="separate"/>
      </w:r>
      <w:r w:rsidRPr="005B5CB6">
        <w:rPr>
          <w:rFonts w:ascii="Verdana" w:eastAsia="Roboto" w:hAnsi="Verdana" w:cs="Roboto"/>
          <w:u w:val="single"/>
        </w:rPr>
        <w:t>The Life of a Flag</w:t>
      </w:r>
      <w:r>
        <w:fldChar w:fldCharType="end"/>
      </w:r>
      <w:r w:rsidRPr="005B5CB6">
        <w:rPr>
          <w:rFonts w:ascii="Verdana" w:eastAsia="Roboto" w:hAnsi="Verdana" w:cs="Roboto"/>
        </w:rPr>
        <w:t>” which is designed to help build awareness of our flagging system. We always clearly communicate changes to our community guidelines on YouTube so that our users are made aware of what is and what isn’t allowed on the platform.</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highlight w:val="white"/>
        </w:rPr>
        <w:t xml:space="preserve">At YouTube, we work hard to maintain a safe and vibrant community. We have community guidelines that set the rules of the road for what we don’t allow on YouTube. We give YouTube creators the option to appeal video removals or restrictions in case they think we made a mistake. If a creator chooses to submit an appeal, it goes to human review, and the decision is either upheld or reversed. The appeal request is reviewed by a senior reviewer who did not make the original decision to remove the video. The creator receives a follow-up email with the result. Our YouTube Community Guidelines enforcement report now has a dedicated page on </w:t>
      </w:r>
      <w:r>
        <w:fldChar w:fldCharType="begin"/>
      </w:r>
      <w:r>
        <w:instrText xml:space="preserve"> HYPERLINK "https://transparencyreport.google.com/youtube-policy/appeals?hl=en_GB" </w:instrText>
      </w:r>
      <w:r>
        <w:fldChar w:fldCharType="separate"/>
      </w:r>
      <w:r w:rsidRPr="005B5CB6">
        <w:rPr>
          <w:rFonts w:ascii="Verdana" w:eastAsia="Roboto" w:hAnsi="Verdana" w:cs="Roboto"/>
          <w:highlight w:val="white"/>
          <w:u w:val="single"/>
        </w:rPr>
        <w:t>transparency about Appeals.</w:t>
      </w:r>
      <w:r>
        <w:fldChar w:fldCharType="end"/>
      </w:r>
    </w:p>
    <w:p w:rsidR="00930BDD" w:rsidRPr="005B5CB6" w:rsidP="00930BDD">
      <w:pPr>
        <w:spacing w:before="240" w:after="240" w:line="240" w:lineRule="auto"/>
        <w:rPr>
          <w:rFonts w:ascii="Verdana" w:eastAsia="Roboto" w:hAnsi="Verdana" w:cs="Roboto"/>
          <w:b/>
          <w:i/>
        </w:rPr>
      </w:pPr>
      <w:r w:rsidRPr="005B5CB6">
        <w:rPr>
          <w:rFonts w:ascii="Verdana" w:eastAsia="Roboto" w:hAnsi="Verdana" w:cs="Roboto"/>
          <w:b/>
          <w:i/>
        </w:rPr>
        <w:t>Statistics on videos removed from YouTube</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 xml:space="preserve">Our </w:t>
      </w:r>
      <w:r>
        <w:fldChar w:fldCharType="begin"/>
      </w:r>
      <w:r>
        <w:instrText xml:space="preserve"> HYPERLINK "https://transparencyreport.google.com/youtube-policy/removals?hl=en&amp;total_removed_videos=period:Y2019Q4;exclude_automated:all&amp;lu=total_removed_videos" </w:instrText>
      </w:r>
      <w:r>
        <w:fldChar w:fldCharType="separate"/>
      </w:r>
      <w:r w:rsidRPr="005B5CB6">
        <w:rPr>
          <w:rFonts w:ascii="Verdana" w:eastAsia="Roboto" w:hAnsi="Verdana" w:cs="Roboto"/>
          <w:u w:val="single"/>
        </w:rPr>
        <w:t>Transparency Report</w:t>
      </w:r>
      <w:r>
        <w:fldChar w:fldCharType="end"/>
      </w:r>
      <w:r w:rsidRPr="005B5CB6">
        <w:rPr>
          <w:rFonts w:ascii="Verdana" w:eastAsia="Roboto" w:hAnsi="Verdana" w:cs="Roboto"/>
        </w:rPr>
        <w:t xml:space="preserve"> outlines in detail the number of videos removed</w:t>
      </w:r>
      <w:r w:rsidRPr="005B5CB6">
        <w:rPr>
          <w:rFonts w:ascii="Verdana" w:eastAsia="Roboto" w:hAnsi="Verdana" w:cs="Roboto"/>
          <w:b/>
        </w:rPr>
        <w:t xml:space="preserve"> </w:t>
      </w:r>
      <w:r w:rsidRPr="005B5CB6">
        <w:rPr>
          <w:rFonts w:ascii="Verdana" w:eastAsia="Roboto" w:hAnsi="Verdana" w:cs="Roboto"/>
        </w:rPr>
        <w:t>for violation of our community guidelines, and what proportion of it was originally flagged by algorithms compared to human detection. It does not record content which is flagged and then not removed. We have broken down the most recent information (October-December 2019) below:</w:t>
      </w:r>
    </w:p>
    <w:p w:rsidR="00930BDD" w:rsidRPr="005B5CB6" w:rsidP="00575F14">
      <w:pPr>
        <w:numPr>
          <w:ilvl w:val="0"/>
          <w:numId w:val="314"/>
        </w:numPr>
        <w:spacing w:before="240" w:after="0" w:line="240" w:lineRule="auto"/>
        <w:rPr>
          <w:rFonts w:ascii="Verdana" w:eastAsia="Roboto" w:hAnsi="Verdana" w:cs="Roboto"/>
        </w:rPr>
      </w:pPr>
      <w:r w:rsidRPr="005B5CB6">
        <w:rPr>
          <w:rFonts w:ascii="Verdana" w:eastAsia="Roboto" w:hAnsi="Verdana" w:cs="Roboto"/>
        </w:rPr>
        <w:t xml:space="preserve">From October-December 2019, we removed a total of 5,887,021 videos for violating our community guidelines </w:t>
      </w:r>
    </w:p>
    <w:p w:rsidR="00930BDD" w:rsidRPr="005B5CB6" w:rsidP="00575F14">
      <w:pPr>
        <w:numPr>
          <w:ilvl w:val="0"/>
          <w:numId w:val="316"/>
        </w:numPr>
        <w:spacing w:after="0" w:line="240" w:lineRule="auto"/>
        <w:rPr>
          <w:rFonts w:ascii="Verdana" w:eastAsia="Roboto" w:hAnsi="Verdana" w:cs="Roboto"/>
        </w:rPr>
      </w:pPr>
      <w:r w:rsidRPr="005B5CB6">
        <w:rPr>
          <w:rFonts w:ascii="Verdana" w:eastAsia="Roboto" w:hAnsi="Verdana" w:cs="Roboto"/>
        </w:rPr>
        <w:t>Of the videos removed, 90.7% were first flagged by machines rather than by humans, and of those, 64.7% were removed before any views.</w:t>
      </w:r>
    </w:p>
    <w:p w:rsidR="00930BDD" w:rsidRPr="005B5CB6" w:rsidP="00575F14">
      <w:pPr>
        <w:numPr>
          <w:ilvl w:val="0"/>
          <w:numId w:val="316"/>
        </w:numPr>
        <w:spacing w:after="0" w:line="240" w:lineRule="auto"/>
        <w:rPr>
          <w:rFonts w:ascii="Verdana" w:eastAsia="Roboto" w:hAnsi="Verdana" w:cs="Roboto"/>
        </w:rPr>
      </w:pPr>
      <w:r w:rsidRPr="005B5CB6">
        <w:rPr>
          <w:rFonts w:ascii="Verdana" w:eastAsia="Roboto" w:hAnsi="Verdana" w:cs="Roboto"/>
        </w:rPr>
        <w:t>9.3% of videos taken down during this period were first flagged by humans</w:t>
      </w:r>
    </w:p>
    <w:p w:rsidR="00930BDD" w:rsidRPr="005B5CB6" w:rsidP="00575F14">
      <w:pPr>
        <w:numPr>
          <w:ilvl w:val="1"/>
          <w:numId w:val="316"/>
        </w:numPr>
        <w:spacing w:after="240" w:line="240" w:lineRule="auto"/>
        <w:rPr>
          <w:rFonts w:ascii="Verdana" w:eastAsia="Roboto" w:hAnsi="Verdana" w:cs="Roboto"/>
        </w:rPr>
      </w:pPr>
      <w:r w:rsidRPr="005B5CB6">
        <w:rPr>
          <w:rFonts w:ascii="Verdana" w:eastAsia="Roboto" w:hAnsi="Verdana" w:cs="Roboto"/>
        </w:rPr>
        <w:t>Of this, around 5.5% were flagged by users, and the remaining 3.8% by our Trusted Flaggers, NGOs and Government agencies.</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A further breakdown of information, including the number of removed channels and comments as well as historical information, is available in our</w:t>
      </w:r>
      <w:r>
        <w:fldChar w:fldCharType="begin"/>
      </w:r>
      <w:r>
        <w:instrText xml:space="preserve"> HYPERLINK "https://transparencyreport.google.com/youtube-policy/removals?hl=en&amp;total_removed_videos=period:Y2019Q4;exclude_automated:all&amp;lu=total_removed_videos" </w:instrText>
      </w:r>
      <w:r>
        <w:fldChar w:fldCharType="separate"/>
      </w:r>
      <w:r w:rsidRPr="005B5CB6">
        <w:rPr>
          <w:rFonts w:ascii="Verdana" w:eastAsia="Roboto" w:hAnsi="Verdana" w:cs="Roboto"/>
          <w:u w:val="single"/>
        </w:rPr>
        <w:t xml:space="preserve"> Transparency Report</w:t>
      </w:r>
      <w:r>
        <w:fldChar w:fldCharType="end"/>
      </w:r>
      <w:r w:rsidRPr="005B5CB6">
        <w:rPr>
          <w:rFonts w:ascii="Verdana" w:eastAsia="Roboto" w:hAnsi="Verdana" w:cs="Roboto"/>
        </w:rPr>
        <w:t>. Similar reports are also available for many of our other platforms as well as for political advertising, as we outlined above.</w:t>
      </w:r>
    </w:p>
    <w:p w:rsidR="00930BDD" w:rsidRPr="005B5CB6" w:rsidP="00930BDD">
      <w:pPr>
        <w:spacing w:before="240" w:after="240" w:line="240" w:lineRule="auto"/>
        <w:rPr>
          <w:rFonts w:ascii="Verdana" w:eastAsia="Roboto" w:hAnsi="Verdana" w:cs="Roboto"/>
          <w:b/>
        </w:rPr>
      </w:pPr>
      <w:r w:rsidRPr="005B5CB6">
        <w:rPr>
          <w:rFonts w:ascii="Verdana" w:eastAsia="Roboto" w:hAnsi="Verdana" w:cs="Roboto"/>
          <w:b/>
        </w:rPr>
        <w:t>Competition in digital markets</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 xml:space="preserve">Digital markets are highly competitive, with relatively low barriers to entry, short innovation cycles, and a high degree consumer mobility. Across a wide range of digital services, there are typically multiple strong competitors. For example, there are multiple different cloud storage services ( e.g. Microsoft OneDrive, Google Drive, Dropbox), music services ( e.g. Spotify, Apple Music, YouTube Music, Deezer), and search engines (e.g. Google, Bing, Duckduckgo). It’s also worth noting that online competitors aren’t always symmetrical. Google and Bing provide a broader “general purpose” search service, but there are also specialist search services, including Amazon and EBay for retail, Expedia and Orbitz for travel, and many more across a range of categories. These specialist services, individually and in aggregate, compete fiercely with Google and Bing. A </w:t>
      </w:r>
      <w:r>
        <w:fldChar w:fldCharType="begin"/>
      </w:r>
      <w:r>
        <w:instrText xml:space="preserve"> HYPERLINK "https://www.businessinsider.com/online-shoppers-rely-heavily-on-amazon-2019-3?r=US&amp;IR=T" </w:instrText>
      </w:r>
      <w:r>
        <w:fldChar w:fldCharType="separate"/>
      </w:r>
      <w:r w:rsidRPr="005B5CB6">
        <w:rPr>
          <w:rFonts w:ascii="Verdana" w:eastAsia="Roboto" w:hAnsi="Verdana" w:cs="Roboto"/>
          <w:u w:val="single"/>
        </w:rPr>
        <w:t>recent study</w:t>
      </w:r>
      <w:r>
        <w:fldChar w:fldCharType="end"/>
      </w:r>
      <w:r w:rsidRPr="005B5CB6">
        <w:rPr>
          <w:rFonts w:ascii="Verdana" w:eastAsia="Roboto" w:hAnsi="Verdana" w:cs="Roboto"/>
        </w:rPr>
        <w:t xml:space="preserve"> showed that 66% of consumers start their product searches on Amazon. </w:t>
      </w:r>
    </w:p>
    <w:p w:rsidR="00930BDD" w:rsidRPr="005B5CB6" w:rsidP="00930BDD">
      <w:pPr>
        <w:spacing w:before="240" w:after="240" w:line="240" w:lineRule="auto"/>
        <w:rPr>
          <w:rFonts w:ascii="Verdana" w:eastAsia="Roboto" w:hAnsi="Verdana" w:cs="Roboto"/>
        </w:rPr>
      </w:pPr>
      <w:r w:rsidRPr="005B5CB6">
        <w:rPr>
          <w:rFonts w:ascii="Verdana" w:eastAsia="Roboto" w:hAnsi="Verdana" w:cs="Roboto"/>
        </w:rPr>
        <w:t xml:space="preserve">Competition in these sectors is enhanced by the ease with which users can switch between services. Switching involves merely typing a new web address, opening a new app, or clicking on a browser bookmark. Users are willing and able to switch between services to find those that best meet their needs. In the case of search engines, a 2016 </w:t>
      </w:r>
      <w:r>
        <w:fldChar w:fldCharType="begin"/>
      </w:r>
      <w:r>
        <w:instrText xml:space="preserve"> HYPERLINK "https://ec.europa.eu/information_society/newsroom/image/document/2016-24/ebs_447_en_16136.pdf" </w:instrText>
      </w:r>
      <w:r>
        <w:fldChar w:fldCharType="separate"/>
      </w:r>
      <w:r w:rsidRPr="005B5CB6">
        <w:rPr>
          <w:rFonts w:ascii="Verdana" w:eastAsia="Roboto" w:hAnsi="Verdana" w:cs="Roboto"/>
          <w:u w:val="single"/>
        </w:rPr>
        <w:t xml:space="preserve">survey by the European Commission </w:t>
      </w:r>
      <w:r>
        <w:fldChar w:fldCharType="end"/>
      </w:r>
      <w:r w:rsidRPr="005B5CB6">
        <w:rPr>
          <w:rFonts w:ascii="Verdana" w:eastAsia="Roboto" w:hAnsi="Verdana" w:cs="Roboto"/>
        </w:rPr>
        <w:t>found that “nearly eight in ten Internet users would probably change search engines if the search results provided were not useful (78%, vs. 17% who disagree). Four in ten totally agree that they would do so (40%), while almost as many tend to agree (38%)”.</w:t>
      </w:r>
    </w:p>
    <w:p w:rsidR="003B5D49" w:rsidRPr="005B5CB6" w:rsidP="00930BDD">
      <w:pPr>
        <w:spacing w:before="240" w:after="240" w:line="240" w:lineRule="auto"/>
        <w:rPr>
          <w:rFonts w:ascii="Verdana" w:eastAsia="Roboto" w:hAnsi="Verdana" w:cs="Roboto"/>
        </w:rPr>
      </w:pPr>
      <w:r w:rsidRPr="005B5CB6">
        <w:rPr>
          <w:rFonts w:ascii="Verdana" w:eastAsia="Roboto" w:hAnsi="Verdana" w:cs="Roboto"/>
        </w:rPr>
        <w:t xml:space="preserve">The ease of switching services, combined with the fact that most digital services are provided to consumers free of charge, means competition for user attention takes place along parameters other than price, in particular, via innovation and improved quality. The frequency of product innovations are a useful way of understanding how competitive these sectors are. Large technology companies continue to spend more on R&amp;D than companies in any other sector, driven by competitive pressures. As an example, Google spent $26 billion on research and development in 2019. If Google didn’t continuously invest in the quality of its services, it wouldn’t be as useful to consumers. This imperative to improve and continue to attract users is a sure sign of healthy, competitive dynamics. </w:t>
      </w:r>
    </w:p>
    <w:p w:rsidR="003B5D49" w:rsidRPr="005B5CB6">
      <w:pPr>
        <w:rPr>
          <w:rFonts w:ascii="Verdana" w:eastAsia="Roboto" w:hAnsi="Verdana" w:cs="Roboto"/>
        </w:rPr>
      </w:pPr>
      <w:r w:rsidRPr="005B5CB6">
        <w:rPr>
          <w:rFonts w:ascii="Verdana" w:eastAsia="Roboto" w:hAnsi="Verdana" w:cs="Roboto"/>
        </w:rPr>
        <w:br w:type="page"/>
      </w:r>
    </w:p>
    <w:p w:rsidR="00930BDD" w:rsidRPr="005B5CB6" w:rsidP="00930BDD">
      <w:pPr>
        <w:spacing w:after="0"/>
        <w:ind w:left="14"/>
        <w:jc w:val="both"/>
        <w:rPr>
          <w:rFonts w:ascii="Verdana" w:hAnsi="Verdana"/>
        </w:rPr>
      </w:pPr>
    </w:p>
    <w:p w:rsidR="00930BDD" w:rsidRPr="005B5CB6" w:rsidP="00930BDD">
      <w:pPr>
        <w:pStyle w:val="Heading1"/>
        <w:rPr>
          <w:b w:val="0"/>
          <w:bCs/>
          <w:sz w:val="22"/>
        </w:rPr>
      </w:pPr>
      <w:bookmarkStart w:id="89" w:name="_Toc44517777"/>
      <w:r w:rsidRPr="005B5CB6">
        <w:rPr>
          <w:bCs/>
          <w:sz w:val="22"/>
        </w:rPr>
        <w:t>HM Government – supplementary written evidence (DAD0102)</w:t>
      </w:r>
      <w:bookmarkEnd w:id="89"/>
    </w:p>
    <w:p w:rsidR="00930BDD" w:rsidRPr="005B5CB6" w:rsidP="00930BDD">
      <w:pPr>
        <w:spacing w:line="240" w:lineRule="auto"/>
        <w:jc w:val="both"/>
        <w:rPr>
          <w:rFonts w:ascii="Verdana" w:hAnsi="Verdana" w:cstheme="majorHAnsi"/>
        </w:rPr>
      </w:pPr>
    </w:p>
    <w:p w:rsidR="00930BDD" w:rsidRPr="005B5CB6" w:rsidP="00930BDD">
      <w:pPr>
        <w:shd w:val="clear" w:color="auto" w:fill="FFFFFF"/>
        <w:spacing w:line="240" w:lineRule="auto"/>
        <w:jc w:val="both"/>
        <w:rPr>
          <w:rFonts w:ascii="Verdana" w:hAnsi="Verdana" w:cstheme="majorHAnsi"/>
          <w:b/>
          <w:color w:val="222222"/>
        </w:rPr>
      </w:pPr>
      <w:r w:rsidRPr="005B5CB6">
        <w:rPr>
          <w:rFonts w:ascii="Verdana" w:hAnsi="Verdana" w:cstheme="majorHAnsi"/>
          <w:b/>
          <w:color w:val="222222"/>
        </w:rPr>
        <w:t>Online Harms</w:t>
      </w:r>
    </w:p>
    <w:p w:rsidR="00930BDD" w:rsidRPr="005B5CB6" w:rsidP="00930BDD">
      <w:pPr>
        <w:shd w:val="clear" w:color="auto" w:fill="FFFFFF"/>
        <w:spacing w:line="240" w:lineRule="auto"/>
        <w:jc w:val="both"/>
        <w:rPr>
          <w:rFonts w:ascii="Verdana" w:hAnsi="Verdana" w:cstheme="majorHAnsi"/>
          <w:b/>
          <w:color w:val="222222"/>
        </w:rPr>
      </w:pPr>
    </w:p>
    <w:p w:rsidR="00930BDD" w:rsidRPr="005B5CB6" w:rsidP="00575F14">
      <w:pPr>
        <w:numPr>
          <w:ilvl w:val="0"/>
          <w:numId w:val="313"/>
        </w:numPr>
        <w:shd w:val="clear" w:color="auto" w:fill="FFFFFF"/>
        <w:spacing w:after="0" w:line="240" w:lineRule="auto"/>
        <w:ind w:left="0" w:firstLine="0"/>
        <w:jc w:val="both"/>
        <w:rPr>
          <w:rFonts w:ascii="Verdana" w:hAnsi="Verdana" w:cstheme="majorHAnsi"/>
          <w:b/>
        </w:rPr>
      </w:pPr>
      <w:r w:rsidRPr="005B5CB6">
        <w:rPr>
          <w:rFonts w:ascii="Verdana" w:hAnsi="Verdana" w:cstheme="majorHAnsi"/>
          <w:b/>
          <w:color w:val="222222"/>
        </w:rPr>
        <w:t>How significant do you view the task facing Ofcom as Online Harms regulator? Do you intend for it to create radical change or simply small improvements? (DCMS)</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The Online Harms White Paper set out ambitious, world leading proposals to create a new system of accountability and oversight for tech companies. This is a complex and novel area for public policy. We have consulted a wide-range of stakeholders to design the new regulatory framework, and we will continue to engage ahead of setting out final policy positions and introducing legislation.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The Government announced in February that we are minded to appoint Ofcom as the new online harms regulator. Ofcom is a highly respected organisation, possessing the expertise, experience, independence and leadership to make it well placed to take on this challenge. </w:t>
      </w: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We are now working with Ofcom on how to deliver the regulatory framework most effectively, and ensuring that it would have  the capabilities to regulate online harms, if it is confirmed as the regulator.</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13"/>
        </w:numPr>
        <w:shd w:val="clear" w:color="auto" w:fill="FFFFFF"/>
        <w:spacing w:after="0" w:line="240" w:lineRule="auto"/>
        <w:ind w:left="0" w:firstLine="0"/>
        <w:jc w:val="both"/>
        <w:rPr>
          <w:rFonts w:ascii="Verdana" w:hAnsi="Verdana" w:cstheme="majorHAnsi"/>
          <w:b/>
        </w:rPr>
      </w:pPr>
      <w:r w:rsidRPr="005B5CB6">
        <w:rPr>
          <w:rFonts w:ascii="Verdana" w:hAnsi="Verdana" w:cstheme="majorHAnsi"/>
          <w:b/>
          <w:color w:val="222222"/>
        </w:rPr>
        <w:t>Do you envisage the “substantial fines” the regulator will be able enforce being of similar magnitude to tough penalties under GDPR e.g. up to 4% of Global turnover? (DCMS)</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In order to be effective the regulator must have enforcement powers that incentivise companies to fulfil their obligations quickly and effectively. The White Paper set out that the regulator will have the power to issue warnings, notices and fines. Further details will be confirmed as part of our full response to the White Paper consultation.</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13"/>
        </w:numPr>
        <w:shd w:val="clear" w:color="auto" w:fill="FFFFFF"/>
        <w:spacing w:after="0" w:line="240" w:lineRule="auto"/>
        <w:ind w:left="0" w:firstLine="0"/>
        <w:jc w:val="both"/>
        <w:rPr>
          <w:rFonts w:ascii="Verdana" w:hAnsi="Verdana" w:cstheme="majorHAnsi"/>
          <w:b/>
        </w:rPr>
      </w:pPr>
      <w:r w:rsidRPr="005B5CB6">
        <w:rPr>
          <w:rFonts w:ascii="Verdana" w:hAnsi="Verdana" w:cstheme="majorHAnsi"/>
          <w:b/>
          <w:color w:val="222222"/>
        </w:rPr>
        <w:t>Do you see additional transparency in platforms’ algorithmic design, including access to training data and audits of their outputs, as essential to Ofcom achieving effective oversight of technology platforms? (DCMS)</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We recognise the important role that transparency will play in ensuring effective oversight of companies. As well as the power to require annual transparency reports from companies, the regulator will have the power to require additional information from them to inform its oversight and enforcement activity. Further details will be set out as part of the full response to the White Paper consultation.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13"/>
        </w:numPr>
        <w:shd w:val="clear" w:color="auto" w:fill="FFFFFF"/>
        <w:spacing w:after="0" w:line="240" w:lineRule="auto"/>
        <w:ind w:left="0" w:firstLine="0"/>
        <w:jc w:val="both"/>
        <w:rPr>
          <w:rFonts w:ascii="Verdana" w:hAnsi="Verdana" w:cstheme="majorHAnsi"/>
          <w:b/>
        </w:rPr>
      </w:pPr>
      <w:r w:rsidRPr="005B5CB6">
        <w:rPr>
          <w:rFonts w:ascii="Verdana" w:hAnsi="Verdana" w:cstheme="majorHAnsi"/>
          <w:b/>
          <w:color w:val="222222"/>
        </w:rPr>
        <w:t>In the case of legal but potentially harmful content, should Ofcom focus on regulating what content platforms actively recommend to users rather than what content is hosted on their sites? (DCMS)</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The Government announced in the initial response to the Online Harms Consultation that regulation will establish differentiated expectations on companies for illegal content and activity, versus conduct that is not illegal but has the potential to cause harm.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Companies in scope of regulation will need to ensure that illegal content is removed expeditiously and that the risk of it appearing is minimised by effective systems. In contrast, regulation will not force companies to remove specific pieces of legal content. The new regulatory framework will instead require companies, where relevant, to explicitly state what content and behaviour they deem to be acceptable on their sites and enforce this consistently and transparently. All companies in scope will need to ensure a higher level of protection for children, and take reasonable steps to protect them from inappropriate or harmful content.</w:t>
      </w: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Further detail on the approach to legal but harmful content will be set out in the full response to the consultation.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13"/>
        </w:numPr>
        <w:shd w:val="clear" w:color="auto" w:fill="FFFFFF"/>
        <w:spacing w:after="0" w:line="240" w:lineRule="auto"/>
        <w:ind w:left="0" w:firstLine="0"/>
        <w:jc w:val="both"/>
        <w:rPr>
          <w:rFonts w:ascii="Verdana" w:hAnsi="Verdana" w:cstheme="majorHAnsi"/>
          <w:b/>
        </w:rPr>
      </w:pPr>
      <w:r w:rsidRPr="005B5CB6">
        <w:rPr>
          <w:rFonts w:ascii="Verdana" w:hAnsi="Verdana" w:cstheme="majorHAnsi"/>
          <w:b/>
          <w:color w:val="222222"/>
        </w:rPr>
        <w:t>What additional resource will be provided to Ofcom as the new Online Harms regulator? Is the Government working with Ofcom to ensure that it will have sufficient skills and personnel to regulate this area? (DCMS)</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The Online Harms White Paper outlined that the regulator would be funded by industry in the medium term. As online harms regulation is an additional responsibility for Ofcom, the Government is considering proportionate fees, charges or a levy on companies whose services are in scope. This new stream of industry funding is intended to cover the full range of the regulator’s activities in relation to online harms.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The Government is working very closely with Ofcom to determine what resources would be required to effectively carry out its responsibilities should it be appointed as the Online Harms regulator.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13"/>
        </w:numPr>
        <w:shd w:val="clear" w:color="auto" w:fill="FFFFFF"/>
        <w:spacing w:after="0" w:line="240" w:lineRule="auto"/>
        <w:ind w:left="0" w:firstLine="0"/>
        <w:jc w:val="both"/>
        <w:rPr>
          <w:rFonts w:ascii="Verdana" w:hAnsi="Verdana" w:cstheme="majorHAnsi"/>
          <w:b/>
        </w:rPr>
      </w:pPr>
      <w:r w:rsidRPr="005B5CB6">
        <w:rPr>
          <w:rFonts w:ascii="Verdana" w:hAnsi="Verdana" w:cstheme="majorHAnsi"/>
          <w:b/>
          <w:color w:val="222222"/>
        </w:rPr>
        <w:t>Does the Government intend Ofcom to issue sanctions if platforms do not comply with Codes of Practice or submit preferable alternate arrangements, or will Ofcom only issue sanctions if there is specific evidence of harm? (DCMS)</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The online harms legislation will establish in law a ‘duty of care’ that companies in scope will have to protect their users. This will require companies to have appropriate systems and processes in place to deal with harmful content on their services, in order to keep their users safe. The regulator will provide codes of practice and further guidance so companies understand what will be expected of them.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Any companies that fail to fulfil their duty of care could face sanctions. This includes warnings and notices for improvement, and civil fines. The Online Harms White Paper also consulted on further sanctions, including the regulator having the power to take business disruption measures (like removing non-compliant companies from search results, or removing payment facilities) and block ISPs. Further details of the regulator’s enforcement powers will be set out in due course.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13"/>
        </w:numPr>
        <w:shd w:val="clear" w:color="auto" w:fill="FFFFFF"/>
        <w:spacing w:after="0" w:line="240" w:lineRule="auto"/>
        <w:ind w:left="0" w:firstLine="0"/>
        <w:jc w:val="both"/>
        <w:rPr>
          <w:rFonts w:ascii="Verdana" w:hAnsi="Verdana" w:cstheme="majorHAnsi"/>
          <w:b/>
        </w:rPr>
      </w:pPr>
      <w:r w:rsidRPr="005B5CB6">
        <w:rPr>
          <w:rFonts w:ascii="Verdana" w:hAnsi="Verdana" w:cstheme="majorHAnsi"/>
          <w:b/>
          <w:color w:val="222222"/>
        </w:rPr>
        <w:t>Will the Government commit to not signing a trade deal that includes rules that limit non-intellectual property civil liability of online platforms for third-party content? (DCMS)</w:t>
      </w:r>
    </w:p>
    <w:p w:rsidR="00930BDD" w:rsidRPr="005B5CB6" w:rsidP="00930BDD">
      <w:pPr>
        <w:shd w:val="clear" w:color="auto" w:fill="FFFFFF"/>
        <w:spacing w:line="240" w:lineRule="auto"/>
        <w:jc w:val="both"/>
        <w:rPr>
          <w:rFonts w:ascii="Verdana" w:hAnsi="Verdana" w:cstheme="majorHAnsi"/>
          <w:b/>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This Government is committed to making the UK the safest place in the world to be online and the best place to start and grow a digital business. Our challenge as a society is to help shape an internet that is open and vibrant but protects users from harm.</w:t>
      </w: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 </w:t>
      </w:r>
    </w:p>
    <w:p w:rsidR="00930BDD" w:rsidRPr="005B5CB6" w:rsidP="00930BDD">
      <w:pPr>
        <w:shd w:val="clear" w:color="auto" w:fill="FFFFFF"/>
        <w:spacing w:line="240" w:lineRule="auto"/>
        <w:jc w:val="both"/>
        <w:rPr>
          <w:rFonts w:ascii="Verdana" w:hAnsi="Verdana" w:cstheme="majorHAnsi"/>
        </w:rPr>
      </w:pPr>
      <w:r w:rsidRPr="005B5CB6">
        <w:rPr>
          <w:rFonts w:ascii="Verdana" w:hAnsi="Verdana" w:cstheme="majorHAnsi"/>
          <w:color w:val="222222"/>
        </w:rPr>
        <w:t>By striking free trade agreements with partners across the globe, the UK has the opportunity to increase prosperity in all parts of our country. The Government will seek cutting-edge provisions which maximise opportunities for digital trade across all sectors of the economy, but any agreement must respect the autonomy and sovereignty of both parties. We will carefully consider any interaction between trade policy and online harms policy in future trade agreements.  We stand by our online harms commitment and nothing agreed in trade deals will affect that.</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b/>
          <w:color w:val="222222"/>
        </w:rPr>
      </w:pPr>
      <w:r w:rsidRPr="005B5CB6">
        <w:rPr>
          <w:rFonts w:ascii="Verdana" w:hAnsi="Verdana" w:cstheme="majorHAnsi"/>
          <w:b/>
          <w:color w:val="222222"/>
        </w:rPr>
        <w:t>Digital Media Literacy</w:t>
      </w:r>
    </w:p>
    <w:p w:rsidR="00930BDD" w:rsidRPr="005B5CB6" w:rsidP="00930BDD">
      <w:pPr>
        <w:shd w:val="clear" w:color="auto" w:fill="FFFFFF"/>
        <w:spacing w:line="240" w:lineRule="auto"/>
        <w:jc w:val="both"/>
        <w:rPr>
          <w:rFonts w:ascii="Verdana" w:hAnsi="Verdana" w:cstheme="majorHAnsi"/>
          <w:b/>
          <w:color w:val="222222"/>
        </w:rPr>
      </w:pPr>
    </w:p>
    <w:p w:rsidR="00930BDD" w:rsidRPr="005B5CB6" w:rsidP="00575F14">
      <w:pPr>
        <w:numPr>
          <w:ilvl w:val="0"/>
          <w:numId w:val="311"/>
        </w:numPr>
        <w:shd w:val="clear" w:color="auto" w:fill="FFFFFF"/>
        <w:spacing w:after="0" w:line="240" w:lineRule="auto"/>
        <w:jc w:val="both"/>
        <w:rPr>
          <w:rFonts w:ascii="Verdana" w:hAnsi="Verdana" w:cstheme="majorHAnsi"/>
          <w:b/>
        </w:rPr>
      </w:pPr>
      <w:r w:rsidRPr="005B5CB6">
        <w:rPr>
          <w:rFonts w:ascii="Verdana" w:hAnsi="Verdana" w:cstheme="majorHAnsi"/>
          <w:b/>
          <w:color w:val="222222"/>
        </w:rPr>
        <w:t>Does the Government think that there is sufficient evidence on the quality of digital media literacy initiatives? If not, what is it doing to gather more evidence of ‘what works’ and bring together examples of best practice? (DCMS)</w:t>
      </w:r>
    </w:p>
    <w:p w:rsidR="00930BDD" w:rsidRPr="005B5CB6" w:rsidP="00930BDD">
      <w:pPr>
        <w:shd w:val="clear" w:color="auto" w:fill="FFFFFF"/>
        <w:spacing w:line="240" w:lineRule="auto"/>
        <w:jc w:val="both"/>
        <w:rPr>
          <w:rFonts w:ascii="Verdana" w:hAnsi="Verdana" w:cstheme="majorHAnsi"/>
          <w:b/>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We recognise that companies fund a range of valuable education and awareness activities. </w:t>
      </w: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We believe there needs to be greater transparency about the level of investment and that activity needs to be better evaluated to ensure resources are directed at the </w:t>
      </w:r>
      <w:r w:rsidRPr="005B5CB6">
        <w:rPr>
          <w:rFonts w:ascii="Verdana" w:hAnsi="Verdana" w:cstheme="majorHAnsi"/>
          <w:color w:val="222222"/>
        </w:rPr>
        <w:t xml:space="preserve">most impactful initiatives. There should also be greater coordination across industry to avoid duplication. </w:t>
      </w: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In the Online Harms White Paper we committed to undertake a comprehensive mapping exercise to identify what actions are already underway and to help inform the Government's media literacy strategy. This mapping is now underway as part of a wider piece of analysis considering existing research on levels of media literacy among users, and evaluating the evidence base for media literacy interventions.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We will provide more information about identifying what works and sharing best practice as part of the forthcoming online media literacy strategy later this year.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11"/>
        </w:numPr>
        <w:shd w:val="clear" w:color="auto" w:fill="FFFFFF"/>
        <w:spacing w:after="0" w:line="240" w:lineRule="auto"/>
        <w:jc w:val="both"/>
        <w:rPr>
          <w:rFonts w:ascii="Verdana" w:hAnsi="Verdana" w:cstheme="majorHAnsi"/>
          <w:b/>
        </w:rPr>
      </w:pPr>
      <w:r w:rsidRPr="005B5CB6">
        <w:rPr>
          <w:rFonts w:ascii="Verdana" w:hAnsi="Verdana" w:cstheme="majorHAnsi"/>
          <w:b/>
          <w:color w:val="222222"/>
        </w:rPr>
        <w:t>Do you believe that elements of digital media literacy can be incorporated into subjects across the curriculum? If so, what is the Department for Education doing to ensure teachers have sufficient training to teach this effectively? (DfE)</w:t>
      </w:r>
    </w:p>
    <w:p w:rsidR="00930BDD" w:rsidRPr="005B5CB6" w:rsidP="00930BDD">
      <w:pPr>
        <w:shd w:val="clear" w:color="auto" w:fill="FFFFFF"/>
        <w:spacing w:line="240" w:lineRule="auto"/>
        <w:jc w:val="both"/>
        <w:rPr>
          <w:rFonts w:ascii="Verdana" w:hAnsi="Verdana" w:cstheme="majorHAnsi"/>
          <w:b/>
          <w:color w:val="222222"/>
        </w:rPr>
      </w:pPr>
    </w:p>
    <w:p w:rsidR="00930BDD" w:rsidRPr="005B5CB6" w:rsidP="00930BDD">
      <w:pPr>
        <w:widowControl w:val="0"/>
        <w:spacing w:line="240" w:lineRule="auto"/>
        <w:jc w:val="both"/>
        <w:rPr>
          <w:rFonts w:ascii="Verdana" w:hAnsi="Verdana" w:cstheme="majorHAnsi"/>
        </w:rPr>
      </w:pPr>
      <w:r w:rsidRPr="005B5CB6">
        <w:rPr>
          <w:rFonts w:ascii="Verdana" w:hAnsi="Verdana" w:cstheme="majorHAnsi"/>
        </w:rPr>
        <w:t xml:space="preserve">The computing curriculum was reformed in 2014, to focus on a knowledge-rich programme of study, which will equip pupils with the digital literacy and the expertise they need to use information and communication technology creatively and purposefully. The computer science curriculum includes the fundamental knowledge that empowers pupils to make well-informed choices. It also covers the principles of e-safety, with progression in the content to reflect the different and escalating risks that young people face. </w:t>
      </w:r>
    </w:p>
    <w:p w:rsidR="00930BDD" w:rsidRPr="005B5CB6" w:rsidP="00930BDD">
      <w:pPr>
        <w:widowControl w:val="0"/>
        <w:spacing w:line="240" w:lineRule="auto"/>
        <w:jc w:val="both"/>
        <w:rPr>
          <w:rFonts w:ascii="Verdana" w:hAnsi="Verdana" w:cstheme="majorHAnsi"/>
        </w:rPr>
      </w:pPr>
    </w:p>
    <w:p w:rsidR="00930BDD" w:rsidRPr="005B5CB6" w:rsidP="00930BDD">
      <w:pPr>
        <w:spacing w:line="240" w:lineRule="auto"/>
        <w:jc w:val="both"/>
        <w:rPr>
          <w:rFonts w:ascii="Verdana" w:hAnsi="Verdana" w:cstheme="majorHAnsi"/>
        </w:rPr>
      </w:pPr>
      <w:r w:rsidRPr="005B5CB6">
        <w:rPr>
          <w:rFonts w:ascii="Verdana" w:hAnsi="Verdana" w:cstheme="majorHAnsi"/>
        </w:rPr>
        <w:t>In terms of teaching pupils ‘digital media literacy’ in addition to the computing curriculum, there are additional opportunities across the curriculum to learn about these issues, in subjects such as English, History and Citizenship.</w:t>
      </w:r>
    </w:p>
    <w:p w:rsidR="00930BDD" w:rsidRPr="005B5CB6" w:rsidP="00930BDD">
      <w:pPr>
        <w:spacing w:line="240" w:lineRule="auto"/>
        <w:jc w:val="both"/>
        <w:rPr>
          <w:rFonts w:ascii="Verdana" w:hAnsi="Verdana" w:cstheme="majorHAnsi"/>
        </w:rPr>
      </w:pPr>
    </w:p>
    <w:p w:rsidR="00930BDD" w:rsidRPr="005B5CB6" w:rsidP="00930BDD">
      <w:pPr>
        <w:spacing w:line="240" w:lineRule="auto"/>
        <w:jc w:val="both"/>
        <w:rPr>
          <w:rFonts w:ascii="Verdana" w:hAnsi="Verdana" w:cstheme="majorHAnsi"/>
        </w:rPr>
      </w:pPr>
      <w:r w:rsidRPr="005B5CB6">
        <w:rPr>
          <w:rFonts w:ascii="Verdana" w:hAnsi="Verdana" w:cstheme="majorHAnsi"/>
        </w:rPr>
        <w:t>We are also introducing the new mandatory subjects of Relationships Education (for all primary pupils), Relationships and Sex Education (RSE, for all secondary pupils) and Health Education (for all pupils in primary and secondary state-funded schools). Pupils will be taught about online relationships, the implications of sharing private or personal data (including images) online, harmful content and contact, cyberbullying and where to get help and support for issues that occur online. The new subject includes extensive internet safety and harms content, including managing time spent online, how to be a knowledgeable and careful consumer of online information, age restrictions, trolling, bullying and how online information is targeted.</w:t>
      </w:r>
    </w:p>
    <w:p w:rsidR="00930BDD" w:rsidRPr="005B5CB6" w:rsidP="00930BDD">
      <w:pPr>
        <w:spacing w:line="240" w:lineRule="auto"/>
        <w:jc w:val="both"/>
        <w:rPr>
          <w:rFonts w:ascii="Verdana" w:hAnsi="Verdana" w:cstheme="majorHAnsi"/>
          <w:b/>
          <w:color w:val="222222"/>
        </w:rPr>
      </w:pPr>
      <w:r w:rsidRPr="005B5CB6">
        <w:rPr>
          <w:rFonts w:ascii="Verdana" w:hAnsi="Verdana" w:cstheme="majorHAnsi"/>
        </w:rPr>
        <w:t xml:space="preserve">In June 2019, DfE published “Teaching online safety in schools” - new non-statutory guidance which aims to support schools in teaching pupils how to stay safe online within new and existing school subjects, such as Relationships Education, Relationships and Sex Education, Health Education, Citizenship and Computing. This new guidance outlines the importance of teaching pupils the underpinning knowledge and behaviours that can help them navigate the online world safely and confidently </w:t>
      </w:r>
      <w:r w:rsidRPr="005B5CB6">
        <w:rPr>
          <w:rFonts w:ascii="Verdana" w:hAnsi="Verdana" w:cstheme="majorHAnsi"/>
        </w:rPr>
        <w:t>regardless of the device, platform or app. This includes how to evaluate what they see online.</w:t>
      </w:r>
      <w:r w:rsidRPr="005B5CB6">
        <w:rPr>
          <w:rFonts w:ascii="Verdana" w:hAnsi="Verdana" w:cstheme="majorHAnsi"/>
          <w:b/>
        </w:rPr>
        <w:t xml:space="preserve">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11"/>
        </w:numPr>
        <w:shd w:val="clear" w:color="auto" w:fill="FFFFFF"/>
        <w:spacing w:after="0" w:line="240" w:lineRule="auto"/>
        <w:jc w:val="both"/>
        <w:rPr>
          <w:rFonts w:ascii="Verdana" w:hAnsi="Verdana" w:cstheme="majorHAnsi"/>
          <w:b/>
        </w:rPr>
      </w:pPr>
      <w:r w:rsidRPr="005B5CB6">
        <w:rPr>
          <w:rFonts w:ascii="Verdana" w:hAnsi="Verdana" w:cstheme="majorHAnsi"/>
          <w:b/>
          <w:color w:val="222222"/>
        </w:rPr>
        <w:t>What is the Government’s strategy for improving digital media literacy for those who are above school age? Which department is leading on this and what does it view as Ofcom’s role in achieving a satisfactory outcome? (DCMS)</w:t>
      </w:r>
    </w:p>
    <w:p w:rsidR="00930BDD" w:rsidRPr="005B5CB6" w:rsidP="00930BDD">
      <w:pPr>
        <w:shd w:val="clear" w:color="auto" w:fill="FFFFFF"/>
        <w:spacing w:line="240" w:lineRule="auto"/>
        <w:jc w:val="both"/>
        <w:rPr>
          <w:rFonts w:ascii="Verdana" w:hAnsi="Verdana" w:cstheme="majorHAnsi"/>
          <w:b/>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In developing the media literacy strategy, we are undertaking a comprehensive mapping exercise to identify what actions are already underway. Our analysis indicates that a large proportion of initiatives are focused on children and their parents, with significantly fewer media literacy initiatives targeted at adults. The media literacy strategy will ensure a coordinated and strategic approach to online media literacy education and awareness for children, young people and adults.</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The strategy is a DCMS lead with close collaboration with colleagues across Government, including both DfE and Cabinet Office, and Ofcom. </w:t>
      </w: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Industry and Government have a shared responsibility to empower all users to manage their online safety.  Ofcom already has an existing duty to promote media literacy under the Communications Act 2003.</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 In the Online Harms White Paper we proposed:</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09"/>
        </w:numPr>
        <w:shd w:val="clear" w:color="auto" w:fill="FFFFFF"/>
        <w:spacing w:after="0" w:line="240" w:lineRule="auto"/>
        <w:jc w:val="both"/>
        <w:rPr>
          <w:rFonts w:ascii="Verdana" w:hAnsi="Verdana" w:cstheme="majorHAnsi"/>
          <w:color w:val="222222"/>
        </w:rPr>
      </w:pPr>
      <w:r w:rsidRPr="005B5CB6">
        <w:rPr>
          <w:rFonts w:ascii="Verdana" w:hAnsi="Verdana" w:cstheme="majorHAnsi"/>
          <w:color w:val="222222"/>
        </w:rPr>
        <w:t>that the new regulator will have a responsibility to promote online media literacy;</w:t>
      </w:r>
    </w:p>
    <w:p w:rsidR="00930BDD" w:rsidRPr="005B5CB6" w:rsidP="00575F14">
      <w:pPr>
        <w:numPr>
          <w:ilvl w:val="0"/>
          <w:numId w:val="309"/>
        </w:numPr>
        <w:shd w:val="clear" w:color="auto" w:fill="FFFFFF"/>
        <w:spacing w:after="0" w:line="240" w:lineRule="auto"/>
        <w:jc w:val="both"/>
        <w:rPr>
          <w:rFonts w:ascii="Verdana" w:hAnsi="Verdana" w:cstheme="majorHAnsi"/>
          <w:color w:val="222222"/>
        </w:rPr>
      </w:pPr>
      <w:r w:rsidRPr="005B5CB6">
        <w:rPr>
          <w:rFonts w:ascii="Verdana" w:hAnsi="Verdana" w:cstheme="majorHAnsi"/>
          <w:color w:val="222222"/>
        </w:rPr>
        <w:t xml:space="preserve">the regulator would have oversight of industry activity and spend; </w:t>
      </w:r>
    </w:p>
    <w:p w:rsidR="00930BDD" w:rsidRPr="005B5CB6" w:rsidP="00575F14">
      <w:pPr>
        <w:numPr>
          <w:ilvl w:val="0"/>
          <w:numId w:val="309"/>
        </w:numPr>
        <w:shd w:val="clear" w:color="auto" w:fill="FFFFFF"/>
        <w:spacing w:after="0" w:line="240" w:lineRule="auto"/>
        <w:jc w:val="both"/>
        <w:rPr>
          <w:rFonts w:ascii="Verdana" w:hAnsi="Verdana" w:cstheme="majorHAnsi"/>
          <w:color w:val="222222"/>
        </w:rPr>
      </w:pPr>
      <w:r w:rsidRPr="005B5CB6">
        <w:rPr>
          <w:rFonts w:ascii="Verdana" w:hAnsi="Verdana" w:cstheme="majorHAnsi"/>
          <w:color w:val="222222"/>
        </w:rPr>
        <w:t>the new regulator would have the power to require companies to report on their education and awareness raising activity.</w:t>
      </w:r>
    </w:p>
    <w:p w:rsidR="00930BDD" w:rsidRPr="005B5CB6" w:rsidP="00930BDD">
      <w:pPr>
        <w:spacing w:line="240" w:lineRule="auto"/>
        <w:jc w:val="both"/>
        <w:rPr>
          <w:rFonts w:ascii="Verdana" w:hAnsi="Verdana" w:cstheme="majorHAnsi"/>
        </w:rPr>
      </w:pPr>
    </w:p>
    <w:p w:rsidR="00930BDD" w:rsidRPr="005B5CB6" w:rsidP="00930BDD">
      <w:pPr>
        <w:spacing w:line="240" w:lineRule="auto"/>
        <w:jc w:val="both"/>
        <w:rPr>
          <w:rFonts w:ascii="Verdana" w:hAnsi="Verdana" w:cstheme="majorHAnsi"/>
        </w:rPr>
      </w:pPr>
      <w:r w:rsidRPr="005B5CB6">
        <w:rPr>
          <w:rFonts w:ascii="Verdana" w:hAnsi="Verdana" w:cstheme="majorHAnsi"/>
        </w:rPr>
        <w:t xml:space="preserve">We are working with Ofcom on how they would  deliver the new regulatory framework most effectively if the Government confirms its decision to appoint it as the online harms regulator. We will provide further details about the online harms regulator’s future role in the full response to the White Paper consultation. </w:t>
      </w:r>
      <w:r w:rsidRPr="005B5CB6">
        <w:rPr>
          <w:rFonts w:ascii="Verdana" w:hAnsi="Verdana" w:cstheme="majorHAnsi"/>
          <w:color w:val="222222"/>
        </w:rPr>
        <w:t xml:space="preserve">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b/>
          <w:color w:val="222222"/>
        </w:rPr>
      </w:pPr>
      <w:r w:rsidRPr="005B5CB6">
        <w:rPr>
          <w:rFonts w:ascii="Verdana" w:hAnsi="Verdana" w:cstheme="majorHAnsi"/>
          <w:b/>
          <w:color w:val="222222"/>
        </w:rPr>
        <w:t>Elections</w:t>
      </w:r>
    </w:p>
    <w:p w:rsidR="00930BDD" w:rsidRPr="005B5CB6" w:rsidP="00930BDD">
      <w:pPr>
        <w:shd w:val="clear" w:color="auto" w:fill="FFFFFF"/>
        <w:spacing w:line="240" w:lineRule="auto"/>
        <w:jc w:val="both"/>
        <w:rPr>
          <w:rFonts w:ascii="Verdana" w:hAnsi="Verdana" w:cstheme="majorHAnsi"/>
          <w:b/>
          <w:color w:val="222222"/>
        </w:rPr>
      </w:pPr>
    </w:p>
    <w:p w:rsidR="00930BDD" w:rsidRPr="005B5CB6" w:rsidP="00575F14">
      <w:pPr>
        <w:numPr>
          <w:ilvl w:val="0"/>
          <w:numId w:val="307"/>
        </w:numPr>
        <w:shd w:val="clear" w:color="auto" w:fill="FFFFFF"/>
        <w:spacing w:after="0" w:line="240" w:lineRule="auto"/>
        <w:ind w:left="0" w:firstLine="0"/>
        <w:jc w:val="both"/>
        <w:rPr>
          <w:rFonts w:ascii="Verdana" w:hAnsi="Verdana" w:cstheme="majorHAnsi"/>
          <w:b/>
        </w:rPr>
      </w:pPr>
      <w:r w:rsidRPr="005B5CB6">
        <w:rPr>
          <w:rFonts w:ascii="Verdana" w:hAnsi="Verdana" w:cstheme="majorHAnsi"/>
          <w:b/>
          <w:color w:val="222222"/>
        </w:rPr>
        <w:t>Why is the Government not undertaking a programme of holistic electoral reform to update electoral law for the digital age? Has it considered giving the Electoral Commission oversight of local candidate spending and reassessing how spending is split between national and local spending limits? (CO)</w:t>
      </w:r>
    </w:p>
    <w:p w:rsidR="00930BDD" w:rsidRPr="005B5CB6" w:rsidP="00930BDD">
      <w:pPr>
        <w:shd w:val="clear" w:color="auto" w:fill="FFFFFF"/>
        <w:spacing w:line="240" w:lineRule="auto"/>
        <w:jc w:val="both"/>
        <w:rPr>
          <w:rFonts w:ascii="Verdana" w:hAnsi="Verdana" w:cstheme="majorHAnsi"/>
        </w:rPr>
      </w:pPr>
    </w:p>
    <w:p w:rsidR="00930BDD" w:rsidRPr="005B5CB6" w:rsidP="00930BDD">
      <w:pPr>
        <w:shd w:val="clear" w:color="auto" w:fill="FFFFFF"/>
        <w:spacing w:line="240" w:lineRule="auto"/>
        <w:jc w:val="both"/>
        <w:rPr>
          <w:rFonts w:ascii="Verdana" w:hAnsi="Verdana" w:cstheme="majorHAnsi"/>
        </w:rPr>
      </w:pPr>
      <w:r w:rsidRPr="005B5CB6">
        <w:rPr>
          <w:rFonts w:ascii="Verdana" w:hAnsi="Verdana" w:cstheme="majorHAnsi"/>
        </w:rPr>
        <w:t>The Government recognises the increasing presence of digital campaigning and the need for electoral law to be fit for the digital age.</w:t>
      </w:r>
    </w:p>
    <w:p w:rsidR="00930BDD" w:rsidRPr="005B5CB6" w:rsidP="00930BDD">
      <w:pPr>
        <w:spacing w:line="240" w:lineRule="auto"/>
        <w:jc w:val="both"/>
        <w:rPr>
          <w:rFonts w:ascii="Verdana" w:hAnsi="Verdana" w:cstheme="majorHAnsi"/>
        </w:rPr>
      </w:pPr>
    </w:p>
    <w:p w:rsidR="00930BDD" w:rsidRPr="005B5CB6" w:rsidP="00930BDD">
      <w:pPr>
        <w:spacing w:line="240" w:lineRule="auto"/>
        <w:jc w:val="both"/>
        <w:rPr>
          <w:rFonts w:ascii="Verdana" w:hAnsi="Verdana" w:cstheme="majorHAnsi"/>
        </w:rPr>
      </w:pPr>
      <w:r w:rsidRPr="005B5CB6">
        <w:rPr>
          <w:rFonts w:ascii="Verdana" w:hAnsi="Verdana" w:cstheme="majorHAnsi"/>
        </w:rPr>
        <w:t xml:space="preserve">The Government is pledging to do our part to regulate digital campaigning by making elections more transparent. As part of that, the Government has committed to implementing an imprints regime for digital election material. Our aim is to increase transparency and allow voters to see more information about who has produced election material. </w:t>
      </w:r>
    </w:p>
    <w:p w:rsidR="00930BDD" w:rsidRPr="005B5CB6" w:rsidP="00930BDD">
      <w:pPr>
        <w:shd w:val="clear" w:color="auto" w:fill="FFFFFF"/>
        <w:spacing w:line="240" w:lineRule="auto"/>
        <w:jc w:val="both"/>
        <w:rPr>
          <w:rFonts w:ascii="Verdana" w:hAnsi="Verdana" w:cstheme="majorHAnsi"/>
        </w:rPr>
      </w:pPr>
    </w:p>
    <w:p w:rsidR="00930BDD" w:rsidRPr="005B5CB6" w:rsidP="00930BDD">
      <w:pPr>
        <w:shd w:val="clear" w:color="auto" w:fill="FFFFFF"/>
        <w:spacing w:line="240" w:lineRule="auto"/>
        <w:jc w:val="both"/>
        <w:rPr>
          <w:rFonts w:ascii="Verdana" w:hAnsi="Verdana" w:cstheme="majorHAnsi"/>
        </w:rPr>
      </w:pPr>
      <w:r w:rsidRPr="005B5CB6">
        <w:rPr>
          <w:rFonts w:ascii="Verdana" w:hAnsi="Verdana" w:cstheme="majorHAnsi"/>
        </w:rPr>
        <w:t>The Government is aware of the recommendations that have been put forward on electoral spending. Electoral spending rules are important; they ensure transparency for the public and provide a level playing field for candidates, campaigners and parties campaigning both offline and online.</w:t>
      </w:r>
    </w:p>
    <w:p w:rsidR="00930BDD" w:rsidRPr="005B5CB6" w:rsidP="00930BDD">
      <w:pPr>
        <w:spacing w:line="240" w:lineRule="auto"/>
        <w:jc w:val="both"/>
        <w:rPr>
          <w:rFonts w:ascii="Verdana" w:hAnsi="Verdana" w:cstheme="majorHAnsi"/>
        </w:rPr>
      </w:pPr>
    </w:p>
    <w:p w:rsidR="00930BDD" w:rsidRPr="005B5CB6" w:rsidP="00930BDD">
      <w:pPr>
        <w:spacing w:line="240" w:lineRule="auto"/>
        <w:jc w:val="both"/>
        <w:rPr>
          <w:rFonts w:ascii="Verdana" w:hAnsi="Verdana" w:cstheme="majorHAnsi"/>
        </w:rPr>
      </w:pPr>
      <w:r w:rsidRPr="005B5CB6">
        <w:rPr>
          <w:rFonts w:ascii="Verdana" w:hAnsi="Verdana" w:cstheme="majorHAnsi"/>
        </w:rPr>
        <w:t>In relation to candidate spending returns, under the current framework, candidate spending returns are overseen by Returning Officers and local authorities. The Government has no plan to change this arrangement. To ensure clarity on the electoral spending framework, the Government has worked closely with the Electoral Commission on the Codes of Practice on electoral spending. The statutory Codes provide clarity on what constitutes election expenses under the legal framework for political parties and candidates, and provides examples of how the law applies to different kinds of electoral spending. They are due to come into force for elections scheduled in 2021.</w:t>
      </w:r>
    </w:p>
    <w:p w:rsidR="00930BDD" w:rsidRPr="005B5CB6" w:rsidP="00930BDD">
      <w:pPr>
        <w:spacing w:line="240" w:lineRule="auto"/>
        <w:jc w:val="both"/>
        <w:rPr>
          <w:rFonts w:ascii="Verdana" w:hAnsi="Verdana" w:cstheme="majorHAnsi"/>
        </w:rPr>
      </w:pPr>
    </w:p>
    <w:p w:rsidR="00930BDD" w:rsidRPr="005B5CB6" w:rsidP="00930BDD">
      <w:pPr>
        <w:shd w:val="clear" w:color="auto" w:fill="FFFFFF"/>
        <w:spacing w:line="240" w:lineRule="auto"/>
        <w:jc w:val="both"/>
        <w:rPr>
          <w:rFonts w:ascii="Verdana" w:hAnsi="Verdana" w:cstheme="majorHAnsi"/>
        </w:rPr>
      </w:pPr>
      <w:r w:rsidRPr="005B5CB6">
        <w:rPr>
          <w:rFonts w:ascii="Verdana" w:hAnsi="Verdana" w:cstheme="majorHAnsi"/>
        </w:rPr>
        <w:t>This Government will continue to strive to uphold a modern and transparent electoral framework</w:t>
      </w:r>
      <w:r w:rsidRPr="005B5CB6">
        <w:rPr>
          <w:rFonts w:ascii="Verdana" w:hAnsi="Verdana" w:cstheme="majorHAnsi"/>
          <w:color w:val="FF0000"/>
        </w:rPr>
        <w:t>.</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07"/>
        </w:numPr>
        <w:shd w:val="clear" w:color="auto" w:fill="FFFFFF"/>
        <w:spacing w:after="0" w:line="240" w:lineRule="auto"/>
        <w:ind w:left="0" w:firstLine="0"/>
        <w:jc w:val="both"/>
        <w:rPr>
          <w:rFonts w:ascii="Verdana" w:hAnsi="Verdana" w:cstheme="majorHAnsi"/>
          <w:b/>
        </w:rPr>
      </w:pPr>
      <w:r w:rsidRPr="005B5CB6">
        <w:rPr>
          <w:rFonts w:ascii="Verdana" w:hAnsi="Verdana" w:cstheme="majorHAnsi"/>
          <w:b/>
          <w:color w:val="222222"/>
        </w:rPr>
        <w:t>Has the Government considered the Electoral Commission’s request for additional powers to request information outside of a formal investigation and for parties to be required to submit more detailed returns for their online spending? What progress has it made on implementing these requests? (CO)</w:t>
      </w:r>
    </w:p>
    <w:p w:rsidR="00930BDD" w:rsidRPr="005B5CB6" w:rsidP="00930BDD">
      <w:pPr>
        <w:spacing w:line="240" w:lineRule="auto"/>
        <w:rPr>
          <w:rFonts w:ascii="Verdana" w:hAnsi="Verdana" w:cstheme="majorHAnsi"/>
        </w:rPr>
      </w:pPr>
    </w:p>
    <w:p w:rsidR="00930BDD" w:rsidRPr="005B5CB6" w:rsidP="00930BDD">
      <w:pPr>
        <w:spacing w:line="240" w:lineRule="auto"/>
        <w:jc w:val="both"/>
        <w:rPr>
          <w:rFonts w:ascii="Verdana" w:hAnsi="Verdana" w:cstheme="majorHAnsi"/>
        </w:rPr>
      </w:pPr>
      <w:r w:rsidRPr="005B5CB6">
        <w:rPr>
          <w:rFonts w:ascii="Verdana" w:hAnsi="Verdana" w:cstheme="majorHAnsi"/>
        </w:rPr>
        <w:t xml:space="preserve">The Government will continue to consider the recommendations from the Electoral Commission to enhance their powers. The Commission has civil sanctioning powers that apply to referendums and elections. More serious criminal matters can and are referred to the police, and then considered by a court of law. The courts have the power to levy unlimited fines. </w:t>
      </w:r>
    </w:p>
    <w:p w:rsidR="00930BDD" w:rsidRPr="005B5CB6" w:rsidP="00930BDD">
      <w:pPr>
        <w:spacing w:line="240" w:lineRule="auto"/>
        <w:jc w:val="both"/>
        <w:rPr>
          <w:rFonts w:ascii="Verdana" w:hAnsi="Verdana" w:cstheme="majorHAnsi"/>
        </w:rPr>
      </w:pPr>
    </w:p>
    <w:p w:rsidR="00930BDD" w:rsidRPr="005B5CB6" w:rsidP="00930BDD">
      <w:pPr>
        <w:spacing w:line="240" w:lineRule="auto"/>
        <w:jc w:val="both"/>
        <w:rPr>
          <w:rFonts w:ascii="Verdana" w:hAnsi="Verdana" w:cstheme="majorHAnsi"/>
        </w:rPr>
      </w:pPr>
      <w:r w:rsidRPr="005B5CB6">
        <w:rPr>
          <w:rFonts w:ascii="Verdana" w:hAnsi="Verdana" w:cstheme="majorHAnsi"/>
        </w:rPr>
        <w:t xml:space="preserve">Political parties </w:t>
      </w:r>
      <w:r w:rsidRPr="005B5CB6">
        <w:rPr>
          <w:rFonts w:ascii="Verdana" w:hAnsi="Verdana" w:cstheme="majorHAnsi"/>
          <w:color w:val="222222"/>
          <w:highlight w:val="white"/>
        </w:rPr>
        <w:t>vary in size and in large part depend on volunteers not professionals</w:t>
      </w:r>
      <w:r w:rsidRPr="005B5CB6">
        <w:rPr>
          <w:rFonts w:ascii="Verdana" w:hAnsi="Verdana" w:cstheme="majorHAnsi"/>
        </w:rPr>
        <w:t>. It is important to ensure that regulation of them is fair and proportionate so as not to undermine local democracy or discourage engagement.</w:t>
      </w:r>
    </w:p>
    <w:p w:rsidR="00930BDD" w:rsidRPr="005B5CB6" w:rsidP="00930BDD">
      <w:pPr>
        <w:spacing w:line="240" w:lineRule="auto"/>
        <w:jc w:val="both"/>
        <w:rPr>
          <w:rFonts w:ascii="Verdana" w:hAnsi="Verdana" w:cstheme="majorHAnsi"/>
        </w:rPr>
      </w:pPr>
    </w:p>
    <w:p w:rsidR="00930BDD" w:rsidRPr="005B5CB6" w:rsidP="00930BDD">
      <w:pPr>
        <w:spacing w:line="240" w:lineRule="auto"/>
        <w:jc w:val="both"/>
        <w:rPr>
          <w:rFonts w:ascii="Verdana" w:hAnsi="Verdana" w:cstheme="majorHAnsi"/>
        </w:rPr>
      </w:pPr>
      <w:r w:rsidRPr="005B5CB6">
        <w:rPr>
          <w:rFonts w:ascii="Verdana" w:hAnsi="Verdana" w:cstheme="majorHAnsi"/>
        </w:rPr>
        <w:t xml:space="preserve">The rules that govern the spending by campaigners at elections are vitally important in ensuring a level playing field for campaigners and that the public have sufficient access to information about campaigners’ activities. The Government keeps the regulatory framework for elections under review, including the transparency of electoral spending. We will continue to give this matter close consideration.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07"/>
        </w:numPr>
        <w:shd w:val="clear" w:color="auto" w:fill="FFFFFF"/>
        <w:spacing w:after="0" w:line="240" w:lineRule="auto"/>
        <w:ind w:left="0" w:firstLine="0"/>
        <w:jc w:val="both"/>
        <w:rPr>
          <w:rFonts w:ascii="Verdana" w:hAnsi="Verdana" w:cstheme="majorHAnsi"/>
          <w:b/>
        </w:rPr>
      </w:pPr>
      <w:r w:rsidRPr="005B5CB6">
        <w:rPr>
          <w:rFonts w:ascii="Verdana" w:hAnsi="Verdana" w:cstheme="majorHAnsi"/>
          <w:b/>
          <w:color w:val="222222"/>
        </w:rPr>
        <w:t>What is the Government’s timetable for bringing forward proposals to implement imprints on digital election material? Why has this taken so long? (CO)</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widowControl w:val="0"/>
        <w:spacing w:line="240" w:lineRule="auto"/>
        <w:jc w:val="both"/>
        <w:rPr>
          <w:rFonts w:ascii="Verdana" w:hAnsi="Verdana" w:cstheme="majorHAnsi"/>
        </w:rPr>
      </w:pPr>
      <w:r w:rsidRPr="005B5CB6">
        <w:rPr>
          <w:rFonts w:ascii="Verdana" w:hAnsi="Verdana" w:cstheme="majorHAnsi"/>
        </w:rPr>
        <w:t xml:space="preserve">The Government is pledging to do our part to regulate digital campaigning by making elections more transparent. As part of that, the Government has committed to implementing an imprints regime for digital election material. Our aim is to increase transparency and allow voters to see more information about who has produced election material. </w:t>
      </w:r>
    </w:p>
    <w:p w:rsidR="00930BDD" w:rsidRPr="005B5CB6" w:rsidP="00930BDD">
      <w:pPr>
        <w:widowControl w:val="0"/>
        <w:spacing w:line="240" w:lineRule="auto"/>
        <w:jc w:val="both"/>
        <w:rPr>
          <w:rFonts w:ascii="Verdana" w:hAnsi="Verdana" w:cstheme="majorHAnsi"/>
        </w:rPr>
      </w:pPr>
    </w:p>
    <w:p w:rsidR="00930BDD" w:rsidRPr="005B5CB6" w:rsidP="00930BDD">
      <w:pPr>
        <w:widowControl w:val="0"/>
        <w:spacing w:line="240" w:lineRule="auto"/>
        <w:jc w:val="both"/>
        <w:rPr>
          <w:rFonts w:ascii="Verdana" w:hAnsi="Verdana" w:cstheme="majorHAnsi"/>
          <w:highlight w:val="white"/>
        </w:rPr>
      </w:pPr>
      <w:r w:rsidRPr="005B5CB6">
        <w:rPr>
          <w:rFonts w:ascii="Verdana" w:hAnsi="Verdana" w:cstheme="majorHAnsi"/>
        </w:rPr>
        <w:t xml:space="preserve">The Cabinet Office is working closely with the Department for Digital, Culture, Media and Sport and other stakeholders to confirm how such regulations will be put into place. </w:t>
      </w:r>
      <w:r w:rsidRPr="005B5CB6">
        <w:rPr>
          <w:rFonts w:ascii="Verdana" w:hAnsi="Verdana" w:cstheme="majorHAnsi"/>
          <w:highlight w:val="white"/>
        </w:rPr>
        <w:t>The Government is planning to bring forward the technical proposal on the regime and further details will be announced in due course.</w:t>
      </w:r>
    </w:p>
    <w:p w:rsidR="00930BDD" w:rsidRPr="005B5CB6" w:rsidP="00930BDD">
      <w:pPr>
        <w:widowControl w:val="0"/>
        <w:spacing w:line="240" w:lineRule="auto"/>
        <w:jc w:val="both"/>
        <w:rPr>
          <w:rFonts w:ascii="Verdana" w:hAnsi="Verdana" w:cstheme="majorHAnsi"/>
          <w:highlight w:val="white"/>
        </w:rPr>
      </w:pPr>
    </w:p>
    <w:p w:rsidR="00930BDD" w:rsidRPr="005B5CB6" w:rsidP="00930BDD">
      <w:pPr>
        <w:widowControl w:val="0"/>
        <w:spacing w:line="240" w:lineRule="auto"/>
        <w:jc w:val="both"/>
        <w:rPr>
          <w:rFonts w:ascii="Verdana" w:hAnsi="Verdana" w:cstheme="majorHAnsi"/>
          <w:highlight w:val="white"/>
        </w:rPr>
      </w:pPr>
      <w:r w:rsidRPr="005B5CB6">
        <w:rPr>
          <w:rFonts w:ascii="Verdana" w:hAnsi="Verdana" w:cstheme="majorHAnsi"/>
          <w:highlight w:val="white"/>
        </w:rPr>
        <w:t>We take our electoral law and the campaign framework seriously; it’s important to get this right and consult relevant parties.</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07"/>
        </w:numPr>
        <w:shd w:val="clear" w:color="auto" w:fill="FFFFFF"/>
        <w:spacing w:after="0" w:line="240" w:lineRule="auto"/>
        <w:ind w:left="0" w:firstLine="0"/>
        <w:jc w:val="both"/>
        <w:rPr>
          <w:rFonts w:ascii="Verdana" w:hAnsi="Verdana" w:cstheme="majorHAnsi"/>
          <w:b/>
        </w:rPr>
      </w:pPr>
      <w:r w:rsidRPr="005B5CB6">
        <w:rPr>
          <w:rFonts w:ascii="Verdana" w:hAnsi="Verdana" w:cstheme="majorHAnsi"/>
          <w:b/>
          <w:color w:val="222222"/>
        </w:rPr>
        <w:t>Given the problems that occurred during the General Election with platforms’ voluntary transparency on political advertising, has the Government considered regulating for databases of online political material? Does it favour an Electoral Commission led approach where the obligation would be on campaigners to report material or an Ofcom led approach with obligations placed on the technology platforms? (CO)</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pacing w:line="240" w:lineRule="auto"/>
        <w:jc w:val="both"/>
        <w:rPr>
          <w:rFonts w:ascii="Verdana" w:hAnsi="Verdana" w:cstheme="majorHAnsi"/>
        </w:rPr>
      </w:pPr>
      <w:r w:rsidRPr="005B5CB6">
        <w:rPr>
          <w:rFonts w:ascii="Verdana" w:hAnsi="Verdana" w:cstheme="majorHAnsi"/>
        </w:rPr>
        <w:t>Several social media companies have implemented measures to improve the transparency of, or restrict, political advertisements on their platforms. These efforts are welcome and represent an improvement in companies’ efforts, but have often been inconsistent and we are aware of concerns.</w:t>
      </w:r>
    </w:p>
    <w:p w:rsidR="00930BDD" w:rsidRPr="005B5CB6" w:rsidP="00930BDD">
      <w:pPr>
        <w:spacing w:line="240" w:lineRule="auto"/>
        <w:jc w:val="both"/>
        <w:rPr>
          <w:rFonts w:ascii="Verdana" w:hAnsi="Verdana" w:cstheme="majorHAnsi"/>
        </w:rPr>
      </w:pPr>
    </w:p>
    <w:p w:rsidR="00930BDD" w:rsidRPr="005B5CB6" w:rsidP="00930BDD">
      <w:pPr>
        <w:spacing w:line="240" w:lineRule="auto"/>
        <w:jc w:val="both"/>
        <w:rPr>
          <w:rFonts w:ascii="Verdana" w:hAnsi="Verdana" w:cstheme="majorHAnsi"/>
        </w:rPr>
      </w:pPr>
      <w:r w:rsidRPr="005B5CB6">
        <w:rPr>
          <w:rFonts w:ascii="Verdana" w:hAnsi="Verdana" w:cstheme="majorHAnsi"/>
        </w:rPr>
        <w:t xml:space="preserve">We are working across Government to address this issue. The Department for Digital, Culture, Media and Sport continues to engage with the major social media platforms as well as other stakeholders to discuss the most effective and proportionate responses. </w:t>
      </w:r>
    </w:p>
    <w:p w:rsidR="00930BDD" w:rsidRPr="005B5CB6" w:rsidP="00930BDD">
      <w:pPr>
        <w:spacing w:line="240" w:lineRule="auto"/>
        <w:jc w:val="both"/>
        <w:rPr>
          <w:rFonts w:ascii="Verdana" w:hAnsi="Verdana" w:cstheme="majorHAnsi"/>
        </w:rPr>
      </w:pPr>
    </w:p>
    <w:p w:rsidR="00930BDD" w:rsidRPr="005B5CB6" w:rsidP="00930BDD">
      <w:pPr>
        <w:spacing w:line="240" w:lineRule="auto"/>
        <w:jc w:val="both"/>
        <w:rPr>
          <w:rFonts w:ascii="Verdana" w:hAnsi="Verdana" w:cstheme="majorHAnsi"/>
        </w:rPr>
      </w:pPr>
      <w:r w:rsidRPr="005B5CB6">
        <w:rPr>
          <w:rFonts w:ascii="Verdana" w:hAnsi="Verdana" w:cstheme="majorHAnsi"/>
        </w:rPr>
        <w:t>The Government keeps the broader regulatory picture under review and we remain committed to ensuring elections are secure and fit for the modern age. Following the election, we are considering how best to take forward our work in this area and further details will be announced in due course. Both the Electoral Commission and Ofcom are key stakeholders in this area of work and we will continue to work closely with them.</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b/>
          <w:color w:val="222222"/>
        </w:rPr>
      </w:pPr>
      <w:r w:rsidRPr="005B5CB6">
        <w:rPr>
          <w:rFonts w:ascii="Verdana" w:hAnsi="Verdana" w:cstheme="majorHAnsi"/>
          <w:b/>
          <w:color w:val="222222"/>
        </w:rPr>
        <w:t>Technology to improve democracy</w:t>
      </w:r>
    </w:p>
    <w:p w:rsidR="00930BDD" w:rsidRPr="005B5CB6" w:rsidP="00930BDD">
      <w:pPr>
        <w:shd w:val="clear" w:color="auto" w:fill="FFFFFF"/>
        <w:spacing w:line="240" w:lineRule="auto"/>
        <w:jc w:val="both"/>
        <w:rPr>
          <w:rFonts w:ascii="Verdana" w:hAnsi="Verdana" w:cstheme="majorHAnsi"/>
          <w:b/>
          <w:color w:val="222222"/>
        </w:rPr>
      </w:pPr>
    </w:p>
    <w:p w:rsidR="00930BDD" w:rsidRPr="005B5CB6" w:rsidP="00575F14">
      <w:pPr>
        <w:numPr>
          <w:ilvl w:val="0"/>
          <w:numId w:val="308"/>
        </w:numPr>
        <w:shd w:val="clear" w:color="auto" w:fill="FFFFFF"/>
        <w:spacing w:after="0" w:line="240" w:lineRule="auto"/>
        <w:ind w:left="0" w:firstLine="0"/>
        <w:jc w:val="both"/>
        <w:rPr>
          <w:rFonts w:ascii="Verdana" w:hAnsi="Verdana" w:cstheme="majorHAnsi"/>
          <w:b/>
        </w:rPr>
      </w:pPr>
      <w:r w:rsidRPr="005B5CB6">
        <w:rPr>
          <w:rFonts w:ascii="Verdana" w:hAnsi="Verdana" w:cstheme="majorHAnsi"/>
          <w:b/>
          <w:color w:val="222222"/>
        </w:rPr>
        <w:t>What progress has Government made in ensuring that all data needed to facilitate democratic engagement, from polling station locations to candidate information, is published in open and machine-readable formats? (CO)</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Data on polling stations and candidate information is not produced or collected centrally by the Government. Individual Returning Officers (ROs) (and others charged with running polls) are responsible for the conduct of a poll and providing this data. Legislation requires them to provide different data relating to a poll in different forms - for example, information about an elector’s polling station must be sent via a poll card to the elector’s registered address whilst candidate information has to be publicly displayed. Many ROs also make this information available online and provide information electronically to electors who request it.</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Separately, the Government is committed to ensuring the widest possible participation in our democracy and has taken steps to ensure that information which will facilitate democratic engagement is available online. For example, the Government has worked extensively with organisations to develop a range of democratic engagement resources to promote democratic engagement and voter registration, all available on GOV.UK. These are aimed at electoral registration officers, civil society groups and teachers. Anyone can use the materials; the sessions are straightforward to prepare and run and can be tailored to suit different groups and settings. There are some easy-read versions available. These are freely available to download from GOV.UK and include the following:</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12"/>
        </w:numPr>
        <w:shd w:val="clear" w:color="auto" w:fill="FFFFFF"/>
        <w:spacing w:after="0" w:line="240" w:lineRule="auto"/>
        <w:jc w:val="both"/>
        <w:rPr>
          <w:rFonts w:ascii="Verdana" w:hAnsi="Verdana" w:cstheme="majorHAnsi"/>
          <w:color w:val="222222"/>
        </w:rPr>
      </w:pPr>
      <w:r w:rsidRPr="005B5CB6">
        <w:rPr>
          <w:rFonts w:ascii="Verdana" w:hAnsi="Verdana" w:cstheme="majorHAnsi"/>
          <w:color w:val="222222"/>
        </w:rPr>
        <w:t>Rock Enrol!®: engaging young people in democracy. This is a high quality, interactive resource pack to encourage young people to register to vote.</w:t>
      </w:r>
    </w:p>
    <w:p w:rsidR="00930BDD" w:rsidRPr="005B5CB6" w:rsidP="00575F14">
      <w:pPr>
        <w:numPr>
          <w:ilvl w:val="0"/>
          <w:numId w:val="312"/>
        </w:numPr>
        <w:shd w:val="clear" w:color="auto" w:fill="FFFFFF"/>
        <w:spacing w:after="0" w:line="240" w:lineRule="auto"/>
        <w:jc w:val="both"/>
        <w:rPr>
          <w:rFonts w:ascii="Verdana" w:hAnsi="Verdana" w:cstheme="majorHAnsi"/>
          <w:color w:val="222222"/>
        </w:rPr>
      </w:pPr>
      <w:r w:rsidRPr="005B5CB6">
        <w:rPr>
          <w:rFonts w:ascii="Verdana" w:hAnsi="Verdana" w:cstheme="majorHAnsi"/>
          <w:color w:val="222222"/>
        </w:rPr>
        <w:t>A Youth Engagement Toolkit for Elected and Non-Elected Officials, with resources to use when visiting schools, youth clubs and engaging with young people on social media.</w:t>
      </w:r>
    </w:p>
    <w:p w:rsidR="00930BDD" w:rsidRPr="005B5CB6" w:rsidP="00575F14">
      <w:pPr>
        <w:numPr>
          <w:ilvl w:val="0"/>
          <w:numId w:val="312"/>
        </w:numPr>
        <w:shd w:val="clear" w:color="auto" w:fill="FFFFFF"/>
        <w:spacing w:after="0" w:line="240" w:lineRule="auto"/>
        <w:jc w:val="both"/>
        <w:rPr>
          <w:rFonts w:ascii="Verdana" w:hAnsi="Verdana" w:cstheme="majorHAnsi"/>
          <w:color w:val="222222"/>
        </w:rPr>
      </w:pPr>
      <w:r w:rsidRPr="005B5CB6">
        <w:rPr>
          <w:rFonts w:ascii="Verdana" w:hAnsi="Verdana" w:cstheme="majorHAnsi"/>
          <w:color w:val="222222"/>
        </w:rPr>
        <w:t>Youth Count! Democracy Challenge, which is designed to help young people develop an understanding of democracy and voting.</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Furthermore, the IER Digital Service (IER DS), which was introduced in 2014, has had a transformative effect in facilitating voter registration. It verifies both online and paper applications and has processed over 47 million applications to register to vote since June 2014 - with over 75% of applications being made online. For the 2019 General Election  91.7% of the 3.85 million applications submitted between the day the poll was announced and the registration deadline were made online.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b/>
          <w:color w:val="222222"/>
        </w:rPr>
      </w:pPr>
      <w:r w:rsidRPr="005B5CB6">
        <w:rPr>
          <w:rFonts w:ascii="Verdana" w:hAnsi="Verdana" w:cstheme="majorHAnsi"/>
          <w:color w:val="222222"/>
        </w:rPr>
        <w:t>It is the role of the Electoral Commission to promote awareness of elections, for which it has a statutory responsibility, including public awareness campaigns on voter registration, and it is for candidates and political parties to encourage people to vote in elections.</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575F14">
      <w:pPr>
        <w:numPr>
          <w:ilvl w:val="0"/>
          <w:numId w:val="308"/>
        </w:numPr>
        <w:shd w:val="clear" w:color="auto" w:fill="FFFFFF"/>
        <w:spacing w:after="0" w:line="240" w:lineRule="auto"/>
        <w:ind w:left="0" w:firstLine="0"/>
        <w:jc w:val="both"/>
        <w:rPr>
          <w:rFonts w:ascii="Verdana" w:hAnsi="Verdana" w:cstheme="majorHAnsi"/>
          <w:b/>
        </w:rPr>
      </w:pPr>
      <w:r w:rsidRPr="005B5CB6">
        <w:rPr>
          <w:rFonts w:ascii="Verdana" w:hAnsi="Verdana" w:cstheme="majorHAnsi"/>
          <w:b/>
          <w:color w:val="222222"/>
        </w:rPr>
        <w:t>How does the Government plan to learn from the upcoming evaluation of the Innovation in Democracy Programme? If the evaluation is positive, what are the Government's next steps? (DCMS)</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widowControl w:val="0"/>
        <w:spacing w:line="240" w:lineRule="auto"/>
        <w:jc w:val="both"/>
        <w:rPr>
          <w:rFonts w:ascii="Verdana" w:hAnsi="Verdana" w:cstheme="majorHAnsi"/>
          <w:color w:val="222222"/>
        </w:rPr>
      </w:pPr>
      <w:r w:rsidRPr="005B5CB6">
        <w:rPr>
          <w:rFonts w:ascii="Verdana" w:hAnsi="Verdana" w:cstheme="majorHAnsi"/>
          <w:color w:val="222222"/>
        </w:rPr>
        <w:t xml:space="preserve">The Innovation in Democracy Programme trialled innovative models of deliberative democracy to involve citizens in local decision-making, leading to people having a real impact on local policy development and delivery. </w:t>
      </w:r>
    </w:p>
    <w:p w:rsidR="00930BDD" w:rsidRPr="005B5CB6" w:rsidP="00930BDD">
      <w:pPr>
        <w:widowControl w:val="0"/>
        <w:spacing w:line="240" w:lineRule="auto"/>
        <w:jc w:val="both"/>
        <w:rPr>
          <w:rFonts w:ascii="Verdana" w:hAnsi="Verdana" w:cstheme="majorHAnsi"/>
          <w:color w:val="222222"/>
        </w:rPr>
      </w:pPr>
    </w:p>
    <w:p w:rsidR="00930BDD" w:rsidRPr="005B5CB6" w:rsidP="00930BDD">
      <w:pPr>
        <w:widowControl w:val="0"/>
        <w:spacing w:line="240" w:lineRule="auto"/>
        <w:jc w:val="both"/>
        <w:rPr>
          <w:rFonts w:ascii="Verdana" w:hAnsi="Verdana" w:cstheme="majorHAnsi"/>
          <w:color w:val="222222"/>
        </w:rPr>
      </w:pPr>
      <w:r w:rsidRPr="005B5CB6">
        <w:rPr>
          <w:rFonts w:ascii="Verdana" w:hAnsi="Verdana" w:cstheme="majorHAnsi"/>
          <w:color w:val="222222"/>
        </w:rPr>
        <w:t>Three local authorities received grant funding and expert support to run citizens’ assemblies, allowing LAs to convene a randomly selected but representative sample of residents to deliberate, reach consensus, and make recommendations on a difficult issue that the LA has to make. Digital platforms were used to improve the reach, accountability and transparency of the process in each area.</w:t>
      </w:r>
    </w:p>
    <w:p w:rsidR="00930BDD" w:rsidRPr="005B5CB6" w:rsidP="00930BDD">
      <w:pPr>
        <w:widowControl w:val="0"/>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We are expecting the independent evaluation of the Innovation in Democracy Programme in May, which will set out the key learning from the programme and its impact on citizens' assembly participants, the participating councils and the actions that the councils will be taking as a result. </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highlight w:val="white"/>
        </w:rPr>
      </w:pPr>
      <w:r w:rsidRPr="005B5CB6">
        <w:rPr>
          <w:rFonts w:ascii="Verdana" w:hAnsi="Verdana" w:cstheme="majorHAnsi"/>
          <w:color w:val="222222"/>
          <w:highlight w:val="white"/>
        </w:rPr>
        <w:t>In terms of next steps, future work is still in the planning stages but we will be looking at how we can build on the learning from this programme to inform our future work in the Office for Civil Society on civic empowerment and citizen voice.</w:t>
      </w:r>
    </w:p>
    <w:p w:rsidR="00930BDD" w:rsidRPr="005B5CB6" w:rsidP="00930BDD">
      <w:pPr>
        <w:shd w:val="clear" w:color="auto" w:fill="FFFFFF"/>
        <w:spacing w:line="240" w:lineRule="auto"/>
        <w:jc w:val="both"/>
        <w:rPr>
          <w:rFonts w:ascii="Verdana" w:hAnsi="Verdana" w:cstheme="majorHAnsi"/>
          <w:color w:val="222222"/>
          <w:highlight w:val="white"/>
        </w:rPr>
      </w:pPr>
    </w:p>
    <w:p w:rsidR="00930BDD" w:rsidRPr="005B5CB6" w:rsidP="00930BDD">
      <w:pPr>
        <w:shd w:val="clear" w:color="auto" w:fill="FFFFFF"/>
        <w:spacing w:line="240" w:lineRule="auto"/>
        <w:jc w:val="both"/>
        <w:rPr>
          <w:rFonts w:ascii="Verdana" w:hAnsi="Verdana" w:cstheme="majorHAnsi"/>
          <w:b/>
          <w:color w:val="222222"/>
        </w:rPr>
      </w:pPr>
      <w:r w:rsidRPr="005B5CB6">
        <w:rPr>
          <w:rFonts w:ascii="Verdana" w:hAnsi="Verdana" w:cstheme="majorHAnsi"/>
          <w:b/>
          <w:color w:val="222222"/>
        </w:rPr>
        <w:t xml:space="preserve">Miscellaneous </w:t>
      </w:r>
    </w:p>
    <w:p w:rsidR="00930BDD" w:rsidRPr="005B5CB6" w:rsidP="00930BDD">
      <w:pPr>
        <w:shd w:val="clear" w:color="auto" w:fill="FFFFFF"/>
        <w:spacing w:line="240" w:lineRule="auto"/>
        <w:jc w:val="both"/>
        <w:rPr>
          <w:rFonts w:ascii="Verdana" w:hAnsi="Verdana" w:cstheme="majorHAnsi"/>
          <w:b/>
          <w:color w:val="222222"/>
        </w:rPr>
      </w:pPr>
    </w:p>
    <w:p w:rsidR="00930BDD" w:rsidRPr="005B5CB6" w:rsidP="00575F14">
      <w:pPr>
        <w:numPr>
          <w:ilvl w:val="0"/>
          <w:numId w:val="310"/>
        </w:numPr>
        <w:shd w:val="clear" w:color="auto" w:fill="FFFFFF"/>
        <w:spacing w:after="0" w:line="240" w:lineRule="auto"/>
        <w:ind w:left="0" w:firstLine="0"/>
        <w:jc w:val="both"/>
        <w:rPr>
          <w:rFonts w:ascii="Verdana" w:hAnsi="Verdana" w:cstheme="majorHAnsi"/>
        </w:rPr>
      </w:pPr>
      <w:r w:rsidRPr="005B5CB6">
        <w:rPr>
          <w:rFonts w:ascii="Verdana" w:hAnsi="Verdana" w:cstheme="majorHAnsi"/>
          <w:b/>
          <w:color w:val="222222"/>
        </w:rPr>
        <w:t>What is the Government doing to encourage co-operation between regulators and to improve their digital capacity? Are the Government concerned about the number of regulators that are active in this space and that there may be regulatory overlap or exploitable gaps between regulators? (DCMS)</w:t>
      </w:r>
    </w:p>
    <w:p w:rsidR="00930BDD" w:rsidRPr="005B5CB6" w:rsidP="00930BDD">
      <w:pPr>
        <w:shd w:val="clear" w:color="auto" w:fill="FFFFFF"/>
        <w:spacing w:line="240" w:lineRule="auto"/>
        <w:jc w:val="both"/>
        <w:rPr>
          <w:rFonts w:ascii="Verdana" w:hAnsi="Verdana" w:cstheme="majorHAnsi"/>
          <w:color w:val="222222"/>
        </w:rPr>
      </w:pPr>
    </w:p>
    <w:p w:rsidR="00930BDD"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 xml:space="preserve">Government is committed to a coherent approach to governing digital technologies which promotes innovation. </w:t>
      </w:r>
    </w:p>
    <w:p w:rsidR="00930BDD" w:rsidRPr="005B5CB6" w:rsidP="00930BDD">
      <w:pPr>
        <w:shd w:val="clear" w:color="auto" w:fill="FFFFFF"/>
        <w:spacing w:line="240" w:lineRule="auto"/>
        <w:jc w:val="both"/>
        <w:rPr>
          <w:rFonts w:ascii="Verdana" w:hAnsi="Verdana" w:cstheme="majorHAnsi"/>
          <w:color w:val="222222"/>
        </w:rPr>
      </w:pPr>
    </w:p>
    <w:p w:rsidR="003B7445" w:rsidRPr="005B5CB6" w:rsidP="00930BDD">
      <w:pPr>
        <w:shd w:val="clear" w:color="auto" w:fill="FFFFFF"/>
        <w:spacing w:line="240" w:lineRule="auto"/>
        <w:jc w:val="both"/>
        <w:rPr>
          <w:rFonts w:ascii="Verdana" w:hAnsi="Verdana" w:cstheme="majorHAnsi"/>
          <w:color w:val="222222"/>
        </w:rPr>
      </w:pPr>
      <w:r w:rsidRPr="005B5CB6">
        <w:rPr>
          <w:rFonts w:ascii="Verdana" w:hAnsi="Verdana" w:cstheme="majorHAnsi"/>
          <w:color w:val="222222"/>
        </w:rPr>
        <w:t>As part of this, the Government is carefully considering how our existing regulatory structures can be strengthened and adapted to meet the challenges of the digital age. We will be working closely with existing regulators to understand whether there are opportunities to strengthen strategic and operational coordination between them, and the most effective mechanisms through which this can be achieved. We will also be considering the potential benefits of a broader reform of the regulatory landscape to support an effective overall approach to the regulation of digital.</w:t>
      </w:r>
    </w:p>
    <w:p w:rsidR="003B7445" w:rsidRPr="005B5CB6">
      <w:pPr>
        <w:rPr>
          <w:rFonts w:ascii="Verdana" w:hAnsi="Verdana" w:cstheme="majorHAnsi"/>
          <w:color w:val="222222"/>
        </w:rPr>
      </w:pPr>
      <w:r w:rsidRPr="005B5CB6">
        <w:rPr>
          <w:rFonts w:ascii="Verdana" w:hAnsi="Verdana" w:cstheme="majorHAnsi"/>
          <w:color w:val="222222"/>
        </w:rPr>
        <w:br w:type="page"/>
      </w:r>
    </w:p>
    <w:p w:rsidR="003B7445" w:rsidRPr="005B5CB6" w:rsidP="003B7445">
      <w:pPr>
        <w:pStyle w:val="Heading1"/>
        <w:rPr>
          <w:sz w:val="22"/>
        </w:rPr>
      </w:pPr>
      <w:bookmarkStart w:id="90" w:name="_Toc44517778"/>
      <w:r w:rsidRPr="005B5CB6">
        <w:rPr>
          <w:sz w:val="22"/>
        </w:rPr>
        <w:t>Twitter – supplementary written evidence (DAD0103)</w:t>
      </w:r>
      <w:bookmarkEnd w:id="90"/>
    </w:p>
    <w:p w:rsidR="003B7445" w:rsidRPr="005B5CB6" w:rsidP="003B7445">
      <w:pPr>
        <w:rPr>
          <w:rFonts w:ascii="Verdana" w:hAnsi="Verdana"/>
        </w:rPr>
      </w:pPr>
    </w:p>
    <w:p w:rsidR="003B7445" w:rsidRPr="005B5CB6" w:rsidP="003B7445">
      <w:pPr>
        <w:spacing w:before="84"/>
        <w:ind w:left="100"/>
        <w:rPr>
          <w:rFonts w:ascii="Verdana" w:hAnsi="Verdana"/>
        </w:rPr>
      </w:pPr>
      <w:r w:rsidRPr="005B5CB6">
        <w:rPr>
          <w:rFonts w:ascii="Verdana" w:hAnsi="Verdana"/>
        </w:rPr>
        <w:t>Dear Lord Puttnam,</w:t>
      </w:r>
    </w:p>
    <w:p w:rsidR="003B7445" w:rsidRPr="005B5CB6" w:rsidP="003B7445">
      <w:pPr>
        <w:pStyle w:val="BodyText"/>
        <w:spacing w:before="2"/>
        <w:rPr>
          <w:rFonts w:ascii="Verdana" w:hAnsi="Verdana"/>
          <w:b w:val="0"/>
          <w:sz w:val="22"/>
          <w:szCs w:val="22"/>
        </w:rPr>
      </w:pPr>
    </w:p>
    <w:p w:rsidR="003B7445" w:rsidRPr="005B5CB6" w:rsidP="003B7445">
      <w:pPr>
        <w:ind w:left="100"/>
        <w:rPr>
          <w:rFonts w:ascii="Verdana" w:hAnsi="Verdana"/>
          <w:b/>
        </w:rPr>
      </w:pPr>
      <w:r w:rsidRPr="005B5CB6">
        <w:rPr>
          <w:rFonts w:ascii="Verdana" w:hAnsi="Verdana"/>
          <w:b/>
        </w:rPr>
        <w:t>Follow up from Twitter: Hearing on 17 March 2020</w:t>
      </w:r>
    </w:p>
    <w:p w:rsidR="003B7445" w:rsidRPr="005B5CB6" w:rsidP="003B7445">
      <w:pPr>
        <w:pStyle w:val="BodyText"/>
        <w:spacing w:before="2"/>
        <w:rPr>
          <w:rFonts w:ascii="Verdana" w:hAnsi="Verdana"/>
          <w:sz w:val="22"/>
          <w:szCs w:val="22"/>
        </w:rPr>
      </w:pPr>
    </w:p>
    <w:p w:rsidR="003B7445" w:rsidRPr="005B5CB6" w:rsidP="003B7445">
      <w:pPr>
        <w:spacing w:line="285" w:lineRule="auto"/>
        <w:ind w:left="100"/>
        <w:rPr>
          <w:rFonts w:ascii="Verdana" w:hAnsi="Verdana"/>
        </w:rPr>
      </w:pPr>
      <w:r w:rsidRPr="005B5CB6">
        <w:rPr>
          <w:rFonts w:ascii="Verdana" w:hAnsi="Verdana"/>
        </w:rPr>
        <w:t>Thank you again for inviting Twitter to provide evidence to the Select Committee on Democracy and Digital Technologies. We appreciated the opportunity to participate. During the hearing, I noted that I would follow up with the Committee on several areas.</w:t>
      </w:r>
    </w:p>
    <w:p w:rsidR="003B7445" w:rsidRPr="005B5CB6" w:rsidP="003B7445">
      <w:pPr>
        <w:pStyle w:val="BodyText"/>
        <w:spacing w:before="9"/>
        <w:rPr>
          <w:rFonts w:ascii="Verdana" w:hAnsi="Verdana"/>
          <w:b w:val="0"/>
          <w:sz w:val="22"/>
          <w:szCs w:val="22"/>
        </w:rPr>
      </w:pPr>
    </w:p>
    <w:p w:rsidR="003B7445" w:rsidRPr="005B5CB6" w:rsidP="003B7445">
      <w:pPr>
        <w:spacing w:line="285" w:lineRule="auto"/>
        <w:ind w:left="100" w:right="94"/>
        <w:rPr>
          <w:rFonts w:ascii="Verdana" w:hAnsi="Verdana"/>
        </w:rPr>
      </w:pPr>
      <w:r w:rsidRPr="005B5CB6">
        <w:rPr>
          <w:rFonts w:ascii="Verdana" w:hAnsi="Verdana"/>
        </w:rPr>
        <w:t>First, we were asked about providing examples of Tweets that break our rules. For content moderators, our training material includes examples that illustrate policy violations, most of which are either hypothetical or reframed to remove private information. On our website, we provide a number of examples of Tweets that would violate our rules (for instance, information about our</w:t>
      </w:r>
      <w:r>
        <w:fldChar w:fldCharType="begin"/>
      </w:r>
      <w:r>
        <w:instrText xml:space="preserve"> HYPERLINK "https://help.twitter.com/en/rules-and-policies/hateful-conduct-policy" </w:instrText>
      </w:r>
      <w:r>
        <w:fldChar w:fldCharType="separate"/>
      </w:r>
      <w:r w:rsidRPr="005B5CB6">
        <w:rPr>
          <w:rFonts w:ascii="Verdana" w:hAnsi="Verdana"/>
          <w:color w:val="1154CC"/>
          <w:u w:val="single" w:color="1154CC"/>
        </w:rPr>
        <w:t xml:space="preserve"> Hateful Conduct</w:t>
      </w:r>
      <w:r w:rsidRPr="005B5CB6">
        <w:rPr>
          <w:rFonts w:ascii="Verdana" w:hAnsi="Verdana"/>
          <w:color w:val="1154CC"/>
        </w:rPr>
        <w:t xml:space="preserve"> </w:t>
      </w:r>
      <w:r>
        <w:fldChar w:fldCharType="end"/>
      </w:r>
      <w:r w:rsidRPr="005B5CB6">
        <w:rPr>
          <w:rFonts w:ascii="Verdana" w:hAnsi="Verdana"/>
        </w:rPr>
        <w:t xml:space="preserve">and </w:t>
      </w:r>
      <w:r>
        <w:fldChar w:fldCharType="begin"/>
      </w:r>
      <w:r>
        <w:instrText xml:space="preserve"> HYPERLINK "https://help.twitter.com/en/rules-and-policies/abusive-behavior" </w:instrText>
      </w:r>
      <w:r>
        <w:fldChar w:fldCharType="separate"/>
      </w:r>
      <w:r w:rsidRPr="005B5CB6">
        <w:rPr>
          <w:rFonts w:ascii="Verdana" w:hAnsi="Verdana"/>
          <w:color w:val="1154CC"/>
          <w:u w:val="single" w:color="1154CC"/>
        </w:rPr>
        <w:t>Abuse</w:t>
      </w:r>
      <w:r w:rsidRPr="005B5CB6">
        <w:rPr>
          <w:rFonts w:ascii="Verdana" w:hAnsi="Verdana"/>
          <w:color w:val="1154CC"/>
        </w:rPr>
        <w:t xml:space="preserve"> </w:t>
      </w:r>
      <w:r>
        <w:fldChar w:fldCharType="end"/>
      </w:r>
      <w:r w:rsidRPr="005B5CB6">
        <w:rPr>
          <w:rFonts w:ascii="Verdana" w:hAnsi="Verdana"/>
        </w:rPr>
        <w:t>policies). We also include such examples when we launch new policies or update existing ones - most recently, for instance, our</w:t>
      </w:r>
      <w:r>
        <w:fldChar w:fldCharType="begin"/>
      </w:r>
      <w:r>
        <w:instrText xml:space="preserve"> HYPERLINK "https://blog.twitter.com/en_us/topics/company/2019/hatefulconductupdate.html" </w:instrText>
      </w:r>
      <w:r>
        <w:fldChar w:fldCharType="separate"/>
      </w:r>
      <w:r w:rsidRPr="005B5CB6">
        <w:rPr>
          <w:rFonts w:ascii="Verdana" w:hAnsi="Verdana"/>
          <w:color w:val="1154CC"/>
          <w:u w:val="single" w:color="1154CC"/>
        </w:rPr>
        <w:t xml:space="preserve"> blog post</w:t>
      </w:r>
      <w:r w:rsidRPr="005B5CB6">
        <w:rPr>
          <w:rFonts w:ascii="Verdana" w:hAnsi="Verdana"/>
          <w:color w:val="1154CC"/>
        </w:rPr>
        <w:t xml:space="preserve"> </w:t>
      </w:r>
      <w:r>
        <w:fldChar w:fldCharType="end"/>
      </w:r>
      <w:r w:rsidRPr="005B5CB6">
        <w:rPr>
          <w:rFonts w:ascii="Verdana" w:hAnsi="Verdana"/>
        </w:rPr>
        <w:t>and proactive communications on our updated Dehumanization policy included a series of example Tweets.</w:t>
      </w:r>
    </w:p>
    <w:p w:rsidR="003B7445" w:rsidRPr="005B5CB6" w:rsidP="003B7445">
      <w:pPr>
        <w:pStyle w:val="BodyText"/>
        <w:spacing w:before="4"/>
        <w:rPr>
          <w:rFonts w:ascii="Verdana" w:hAnsi="Verdana"/>
          <w:b w:val="0"/>
          <w:sz w:val="22"/>
          <w:szCs w:val="22"/>
        </w:rPr>
      </w:pPr>
    </w:p>
    <w:p w:rsidR="003B7445" w:rsidRPr="005B5CB6" w:rsidP="003B7445">
      <w:pPr>
        <w:spacing w:line="285" w:lineRule="auto"/>
        <w:ind w:left="100" w:right="94"/>
        <w:rPr>
          <w:rFonts w:ascii="Verdana" w:hAnsi="Verdana"/>
        </w:rPr>
      </w:pPr>
      <w:r w:rsidRPr="005B5CB6">
        <w:rPr>
          <w:rFonts w:ascii="Verdana" w:hAnsi="Verdana"/>
        </w:rPr>
        <w:t>Second, we were asked to provide further information regarding our content moderator training programme. Throughout the training phase, there are several certification exams that our content moderators must pass with a strict grading system. Part of this examination process checks for quality and accuracy in moderation, and helps us to identify any risk for bias and/or false positives. There is also regular on-job training provided and spot-checks to ensure a high standard of moderation at all times. The wellbeing of those who review content is a primary concern for our teams and our highest priority is to ensure our staff and partners are treated with compassion, care, and respect.</w:t>
      </w:r>
    </w:p>
    <w:p w:rsidR="003B7445" w:rsidRPr="005B5CB6" w:rsidP="003B7445">
      <w:pPr>
        <w:pStyle w:val="BodyText"/>
        <w:spacing w:before="4"/>
        <w:rPr>
          <w:rFonts w:ascii="Verdana" w:hAnsi="Verdana"/>
          <w:b w:val="0"/>
          <w:sz w:val="22"/>
          <w:szCs w:val="22"/>
        </w:rPr>
      </w:pPr>
    </w:p>
    <w:p w:rsidR="003B7445" w:rsidRPr="005B5CB6" w:rsidP="003B7445">
      <w:pPr>
        <w:spacing w:before="1" w:line="285" w:lineRule="auto"/>
        <w:ind w:left="100"/>
        <w:rPr>
          <w:rFonts w:ascii="Verdana" w:hAnsi="Verdana"/>
        </w:rPr>
      </w:pPr>
      <w:r w:rsidRPr="005B5CB6">
        <w:rPr>
          <w:rFonts w:ascii="Verdana" w:hAnsi="Verdana"/>
        </w:rPr>
        <w:t xml:space="preserve">Third, you asked how many users had experimented with hidden replies. While we have not currently provided the overall percentage of all users in Japan or Canada who used the feature during the trial, we have provided the findings of the trial on our website </w:t>
      </w:r>
      <w:r>
        <w:fldChar w:fldCharType="begin"/>
      </w:r>
      <w:r>
        <w:instrText xml:space="preserve"> HYPERLINK "https://blog.twitter.com/en_us/topics/product/2019/more-control-over-your-conversations-globally.html" </w:instrText>
      </w:r>
      <w:r>
        <w:fldChar w:fldCharType="separate"/>
      </w:r>
      <w:r w:rsidRPr="005B5CB6">
        <w:rPr>
          <w:rFonts w:ascii="Verdana" w:hAnsi="Verdana"/>
          <w:color w:val="1154CC"/>
          <w:u w:val="single" w:color="1154CC"/>
        </w:rPr>
        <w:t>here</w:t>
      </w:r>
      <w:r>
        <w:fldChar w:fldCharType="end"/>
      </w:r>
      <w:r w:rsidRPr="005B5CB6">
        <w:rPr>
          <w:rFonts w:ascii="Verdana" w:hAnsi="Verdana"/>
        </w:rPr>
        <w:t>. We have also announced that we will be soon be launching a new hide replies endpoint in our API - this will enable external developers to build additional conversation management tools. We welcome opportunities to collaborate to promote this feature, and continue to promote it ourselves on an ongoing basis - see</w:t>
      </w:r>
      <w:r>
        <w:fldChar w:fldCharType="begin"/>
      </w:r>
      <w:r>
        <w:instrText xml:space="preserve"> HYPERLINK "https://twitter.com/TwitterSupport/status/1250473488500097026" </w:instrText>
      </w:r>
      <w:r>
        <w:fldChar w:fldCharType="separate"/>
      </w:r>
      <w:r w:rsidRPr="005B5CB6">
        <w:rPr>
          <w:rFonts w:ascii="Verdana" w:hAnsi="Verdana"/>
          <w:color w:val="1154CC"/>
          <w:u w:val="single" w:color="1154CC"/>
        </w:rPr>
        <w:t xml:space="preserve"> here</w:t>
      </w:r>
      <w:r w:rsidRPr="005B5CB6">
        <w:rPr>
          <w:rFonts w:ascii="Verdana" w:hAnsi="Verdana"/>
          <w:color w:val="1154CC"/>
        </w:rPr>
        <w:t xml:space="preserve"> </w:t>
      </w:r>
      <w:r>
        <w:fldChar w:fldCharType="end"/>
      </w:r>
      <w:r w:rsidRPr="005B5CB6">
        <w:rPr>
          <w:rFonts w:ascii="Verdana" w:hAnsi="Verdana"/>
        </w:rPr>
        <w:t>for an example from this week.</w:t>
      </w:r>
    </w:p>
    <w:p w:rsidR="003B7445" w:rsidRPr="005B5CB6" w:rsidP="003B7445">
      <w:pPr>
        <w:spacing w:line="285" w:lineRule="auto"/>
        <w:rPr>
          <w:rFonts w:ascii="Verdana" w:hAnsi="Verdana"/>
        </w:rPr>
        <w:sectPr w:rsidSect="00E8507C">
          <w:pgSz w:w="11906" w:h="16838"/>
          <w:pgMar w:top="1492" w:right="992" w:bottom="1982" w:left="1591" w:header="720" w:footer="720" w:gutter="0"/>
          <w:cols w:space="720"/>
        </w:sectPr>
      </w:pPr>
    </w:p>
    <w:p w:rsidR="003B7445" w:rsidRPr="005B5CB6" w:rsidP="003B7445">
      <w:pPr>
        <w:spacing w:before="63" w:line="285" w:lineRule="auto"/>
        <w:ind w:left="100"/>
        <w:rPr>
          <w:rFonts w:ascii="Verdana" w:hAnsi="Verdana"/>
        </w:rPr>
      </w:pPr>
      <w:r w:rsidRPr="005B5CB6">
        <w:rPr>
          <w:rFonts w:ascii="Verdana" w:hAnsi="Verdana"/>
        </w:rPr>
        <w:t>Fourth, during the Committee hearing, I was asked if a specific Tweet would violate our rules. I have been unable to locate the Tweet referenced, but if you wish to send through a link to the Tweet we would be very happy to review if there have been any violations of our rules.</w:t>
      </w:r>
    </w:p>
    <w:p w:rsidR="003B7445" w:rsidRPr="005B5CB6" w:rsidP="003B7445">
      <w:pPr>
        <w:pStyle w:val="BodyText"/>
        <w:spacing w:before="10"/>
        <w:rPr>
          <w:rFonts w:ascii="Verdana" w:hAnsi="Verdana"/>
          <w:b w:val="0"/>
          <w:sz w:val="22"/>
          <w:szCs w:val="22"/>
        </w:rPr>
      </w:pPr>
    </w:p>
    <w:p w:rsidR="003B7445" w:rsidRPr="005B5CB6" w:rsidP="003B7445">
      <w:pPr>
        <w:spacing w:line="285" w:lineRule="auto"/>
        <w:ind w:left="100"/>
        <w:rPr>
          <w:rFonts w:ascii="Verdana" w:hAnsi="Verdana"/>
        </w:rPr>
      </w:pPr>
      <w:r w:rsidRPr="005B5CB6">
        <w:rPr>
          <w:rFonts w:ascii="Verdana" w:hAnsi="Verdana"/>
        </w:rPr>
        <w:t>Finally, I said I would provide a timeline of the safety changes we have made at Twitter. Please see that document attached.</w:t>
      </w:r>
    </w:p>
    <w:p w:rsidR="003B7445" w:rsidRPr="005B5CB6" w:rsidP="003B7445">
      <w:pPr>
        <w:pStyle w:val="BodyText"/>
        <w:spacing w:before="10"/>
        <w:rPr>
          <w:rFonts w:ascii="Verdana" w:hAnsi="Verdana"/>
          <w:b w:val="0"/>
          <w:sz w:val="22"/>
          <w:szCs w:val="22"/>
        </w:rPr>
      </w:pPr>
    </w:p>
    <w:p w:rsidR="003B7445" w:rsidRPr="005B5CB6" w:rsidP="003B7445">
      <w:pPr>
        <w:spacing w:line="285" w:lineRule="auto"/>
        <w:ind w:left="100"/>
        <w:rPr>
          <w:rFonts w:ascii="Verdana" w:hAnsi="Verdana"/>
        </w:rPr>
      </w:pPr>
      <w:r w:rsidRPr="005B5CB6">
        <w:rPr>
          <w:rFonts w:ascii="Verdana" w:hAnsi="Verdana"/>
        </w:rPr>
        <w:t>Thank you again for inviting Twitter to participate. Do get in touch if there are any further questions that we can assist with.</w:t>
      </w:r>
    </w:p>
    <w:p w:rsidR="003B7445" w:rsidRPr="005B5CB6" w:rsidP="003B7445">
      <w:pPr>
        <w:pStyle w:val="BodyText"/>
        <w:spacing w:before="10"/>
        <w:rPr>
          <w:rFonts w:ascii="Verdana" w:hAnsi="Verdana"/>
          <w:b w:val="0"/>
          <w:sz w:val="22"/>
          <w:szCs w:val="22"/>
        </w:rPr>
      </w:pPr>
    </w:p>
    <w:p w:rsidR="003B7445" w:rsidRPr="005B5CB6" w:rsidP="003B7445">
      <w:pPr>
        <w:spacing w:before="1" w:line="568" w:lineRule="auto"/>
        <w:ind w:left="100" w:right="7794"/>
        <w:rPr>
          <w:rFonts w:ascii="Verdana" w:hAnsi="Verdana"/>
        </w:rPr>
      </w:pPr>
      <w:r w:rsidRPr="005B5CB6">
        <w:rPr>
          <w:rFonts w:ascii="Verdana" w:hAnsi="Verdana"/>
        </w:rPr>
        <w:t>Yours sincerely, Katy Minshall</w:t>
      </w:r>
    </w:p>
    <w:p w:rsidR="003B7445" w:rsidRPr="005B5CB6" w:rsidP="003B7445">
      <w:pPr>
        <w:spacing w:line="568" w:lineRule="auto"/>
        <w:rPr>
          <w:rFonts w:ascii="Verdana" w:hAnsi="Verdana"/>
        </w:rPr>
        <w:sectPr>
          <w:pgSz w:w="12240" w:h="15840"/>
          <w:pgMar w:top="1380" w:right="1420" w:bottom="280" w:left="1340" w:header="720" w:footer="720" w:gutter="0"/>
          <w:cols w:space="720"/>
        </w:sectPr>
      </w:pPr>
    </w:p>
    <w:p w:rsidR="003B7445" w:rsidRPr="005B5CB6" w:rsidP="003B7445">
      <w:pPr>
        <w:pStyle w:val="BodyText"/>
        <w:ind w:left="13511"/>
        <w:rPr>
          <w:rFonts w:ascii="Verdana" w:hAnsi="Verdana"/>
          <w:b w:val="0"/>
          <w:sz w:val="22"/>
          <w:szCs w:val="22"/>
        </w:rPr>
      </w:pPr>
      <w:r w:rsidRPr="005B5CB6">
        <w:rPr>
          <w:rFonts w:ascii="Verdana" w:hAnsi="Verdana"/>
          <w:b w:val="0"/>
          <w:noProof/>
          <w:sz w:val="22"/>
          <w:szCs w:val="22"/>
        </w:rPr>
        <mc:AlternateContent>
          <mc:Choice Requires="wpg">
            <w:drawing>
              <wp:inline distT="0" distB="0" distL="0" distR="0">
                <wp:extent cx="286385" cy="232410"/>
                <wp:effectExtent l="6985" t="6350" r="1905" b="8890"/>
                <wp:docPr id="609150" name="Group 609150"/>
                <wp:cNvGraphicFramePr/>
                <a:graphic xmlns:a="http://schemas.openxmlformats.org/drawingml/2006/main">
                  <a:graphicData uri="http://schemas.microsoft.com/office/word/2010/wordprocessingGroup">
                    <wpg:wgp xmlns:wpg="http://schemas.microsoft.com/office/word/2010/wordprocessingGroup">
                      <wpg:cNvGrpSpPr>
                        <a:grpSpLocks/>
                      </wpg:cNvGrpSpPr>
                      <wpg:grpSpPr bwMode="auto">
                        <a:xfrm>
                          <a:off x="0" y="0"/>
                          <a:ext cx="286385" cy="232410"/>
                          <a:chOff x="0" y="0"/>
                          <a:chExt cx="451" cy="366"/>
                        </a:xfrm>
                      </wpg:grpSpPr>
                      <wps:wsp xmlns:wps="http://schemas.microsoft.com/office/word/2010/wordprocessingShape">
                        <wps:cNvPr id="609151" name="AutoShape 210"/>
                        <wps:cNvSpPr>
                          <a:spLocks/>
                        </wps:cNvSpPr>
                        <wps:spPr bwMode="auto">
                          <a:xfrm>
                            <a:off x="0" y="0"/>
                            <a:ext cx="451" cy="366"/>
                          </a:xfrm>
                          <a:custGeom>
                            <a:avLst/>
                            <a:gdLst>
                              <a:gd name="T0" fmla="*/ 222 w 451"/>
                              <a:gd name="T1" fmla="*/ 113 h 366"/>
                              <a:gd name="T2" fmla="*/ 219 w 451"/>
                              <a:gd name="T3" fmla="*/ 100 h 366"/>
                              <a:gd name="T4" fmla="*/ 227 w 451"/>
                              <a:gd name="T5" fmla="*/ 56 h 366"/>
                              <a:gd name="T6" fmla="*/ 276 w 451"/>
                              <a:gd name="T7" fmla="*/ 7 h 366"/>
                              <a:gd name="T8" fmla="*/ 331 w 451"/>
                              <a:gd name="T9" fmla="*/ 2 h 366"/>
                              <a:gd name="T10" fmla="*/ 365 w 451"/>
                              <a:gd name="T11" fmla="*/ 17 h 366"/>
                              <a:gd name="T12" fmla="*/ 427 w 451"/>
                              <a:gd name="T13" fmla="*/ 29 h 366"/>
                              <a:gd name="T14" fmla="*/ 411 w 451"/>
                              <a:gd name="T15" fmla="*/ 48 h 366"/>
                              <a:gd name="T16" fmla="*/ 439 w 451"/>
                              <a:gd name="T17" fmla="*/ 58 h 366"/>
                              <a:gd name="T18" fmla="*/ 417 w 451"/>
                              <a:gd name="T19" fmla="*/ 81 h 366"/>
                              <a:gd name="T20" fmla="*/ 404 w 451"/>
                              <a:gd name="T21" fmla="*/ 95 h 366"/>
                              <a:gd name="T22" fmla="*/ 403 w 451"/>
                              <a:gd name="T23" fmla="*/ 113 h 366"/>
                              <a:gd name="T24" fmla="*/ 379 w 451"/>
                              <a:gd name="T25" fmla="*/ 29 h 366"/>
                              <a:gd name="T26" fmla="*/ 410 w 451"/>
                              <a:gd name="T27" fmla="*/ 20 h 366"/>
                              <a:gd name="T28" fmla="*/ 438 w 451"/>
                              <a:gd name="T29" fmla="*/ 7 h 366"/>
                              <a:gd name="T30" fmla="*/ 427 w 451"/>
                              <a:gd name="T31" fmla="*/ 29 h 366"/>
                              <a:gd name="T32" fmla="*/ 60 w 451"/>
                              <a:gd name="T33" fmla="*/ 140 h 366"/>
                              <a:gd name="T34" fmla="*/ 30 w 451"/>
                              <a:gd name="T35" fmla="*/ 108 h 366"/>
                              <a:gd name="T36" fmla="*/ 19 w 451"/>
                              <a:gd name="T37" fmla="*/ 63 h 366"/>
                              <a:gd name="T38" fmla="*/ 22 w 451"/>
                              <a:gd name="T39" fmla="*/ 39 h 366"/>
                              <a:gd name="T40" fmla="*/ 31 w 451"/>
                              <a:gd name="T41" fmla="*/ 17 h 366"/>
                              <a:gd name="T42" fmla="*/ 115 w 451"/>
                              <a:gd name="T43" fmla="*/ 85 h 366"/>
                              <a:gd name="T44" fmla="*/ 222 w 451"/>
                              <a:gd name="T45" fmla="*/ 113 h 366"/>
                              <a:gd name="T46" fmla="*/ 400 w 451"/>
                              <a:gd name="T47" fmla="*/ 140 h 366"/>
                              <a:gd name="T48" fmla="*/ 397 w 451"/>
                              <a:gd name="T49" fmla="*/ 58 h 366"/>
                              <a:gd name="T50" fmla="*/ 425 w 451"/>
                              <a:gd name="T51" fmla="*/ 52 h 366"/>
                              <a:gd name="T52" fmla="*/ 450 w 451"/>
                              <a:gd name="T53" fmla="*/ 43 h 366"/>
                              <a:gd name="T54" fmla="*/ 439 w 451"/>
                              <a:gd name="T55" fmla="*/ 58 h 366"/>
                              <a:gd name="T56" fmla="*/ 76 w 451"/>
                              <a:gd name="T57" fmla="*/ 223 h 366"/>
                              <a:gd name="T58" fmla="*/ 92 w 451"/>
                              <a:gd name="T59" fmla="*/ 220 h 366"/>
                              <a:gd name="T60" fmla="*/ 39 w 451"/>
                              <a:gd name="T61" fmla="*/ 189 h 366"/>
                              <a:gd name="T62" fmla="*/ 18 w 451"/>
                              <a:gd name="T63" fmla="*/ 130 h 366"/>
                              <a:gd name="T64" fmla="*/ 28 w 451"/>
                              <a:gd name="T65" fmla="*/ 133 h 366"/>
                              <a:gd name="T66" fmla="*/ 49 w 451"/>
                              <a:gd name="T67" fmla="*/ 139 h 366"/>
                              <a:gd name="T68" fmla="*/ 400 w 451"/>
                              <a:gd name="T69" fmla="*/ 140 h 366"/>
                              <a:gd name="T70" fmla="*/ 375 w 451"/>
                              <a:gd name="T71" fmla="*/ 223 h 366"/>
                              <a:gd name="T72" fmla="*/ 22 w 451"/>
                              <a:gd name="T73" fmla="*/ 325 h 366"/>
                              <a:gd name="T74" fmla="*/ 84 w 451"/>
                              <a:gd name="T75" fmla="*/ 315 h 366"/>
                              <a:gd name="T76" fmla="*/ 137 w 451"/>
                              <a:gd name="T77" fmla="*/ 286 h 366"/>
                              <a:gd name="T78" fmla="*/ 83 w 451"/>
                              <a:gd name="T79" fmla="*/ 267 h 366"/>
                              <a:gd name="T80" fmla="*/ 50 w 451"/>
                              <a:gd name="T81" fmla="*/ 222 h 366"/>
                              <a:gd name="T82" fmla="*/ 62 w 451"/>
                              <a:gd name="T83" fmla="*/ 223 h 366"/>
                              <a:gd name="T84" fmla="*/ 374 w 451"/>
                              <a:gd name="T85" fmla="*/ 225 h 366"/>
                              <a:gd name="T86" fmla="*/ 285 w 451"/>
                              <a:gd name="T87" fmla="*/ 325 h 366"/>
                              <a:gd name="T88" fmla="*/ 142 w 451"/>
                              <a:gd name="T89" fmla="*/ 366 h 366"/>
                              <a:gd name="T90" fmla="*/ 67 w 451"/>
                              <a:gd name="T91" fmla="*/ 355 h 366"/>
                              <a:gd name="T92" fmla="*/ 0 w 451"/>
                              <a:gd name="T93" fmla="*/ 324 h 366"/>
                              <a:gd name="T94" fmla="*/ 15 w 451"/>
                              <a:gd name="T95" fmla="*/ 325 h 366"/>
                              <a:gd name="T96" fmla="*/ 220 w 451"/>
                              <a:gd name="T97" fmla="*/ 355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51" h="366">
                                <a:moveTo>
                                  <a:pt x="403" y="113"/>
                                </a:moveTo>
                                <a:lnTo>
                                  <a:pt x="222" y="113"/>
                                </a:lnTo>
                                <a:lnTo>
                                  <a:pt x="220" y="107"/>
                                </a:lnTo>
                                <a:lnTo>
                                  <a:pt x="219" y="100"/>
                                </a:lnTo>
                                <a:lnTo>
                                  <a:pt x="219" y="92"/>
                                </a:lnTo>
                                <a:lnTo>
                                  <a:pt x="227" y="56"/>
                                </a:lnTo>
                                <a:lnTo>
                                  <a:pt x="246" y="27"/>
                                </a:lnTo>
                                <a:lnTo>
                                  <a:pt x="276" y="7"/>
                                </a:lnTo>
                                <a:lnTo>
                                  <a:pt x="312" y="0"/>
                                </a:lnTo>
                                <a:lnTo>
                                  <a:pt x="331" y="2"/>
                                </a:lnTo>
                                <a:lnTo>
                                  <a:pt x="349" y="8"/>
                                </a:lnTo>
                                <a:lnTo>
                                  <a:pt x="365" y="17"/>
                                </a:lnTo>
                                <a:lnTo>
                                  <a:pt x="379" y="29"/>
                                </a:lnTo>
                                <a:lnTo>
                                  <a:pt x="427" y="29"/>
                                </a:lnTo>
                                <a:lnTo>
                                  <a:pt x="422" y="36"/>
                                </a:lnTo>
                                <a:lnTo>
                                  <a:pt x="411" y="48"/>
                                </a:lnTo>
                                <a:lnTo>
                                  <a:pt x="397" y="58"/>
                                </a:lnTo>
                                <a:lnTo>
                                  <a:pt x="439" y="58"/>
                                </a:lnTo>
                                <a:lnTo>
                                  <a:pt x="429" y="69"/>
                                </a:lnTo>
                                <a:lnTo>
                                  <a:pt x="417" y="81"/>
                                </a:lnTo>
                                <a:lnTo>
                                  <a:pt x="404" y="91"/>
                                </a:lnTo>
                                <a:lnTo>
                                  <a:pt x="404" y="95"/>
                                </a:lnTo>
                                <a:lnTo>
                                  <a:pt x="404" y="104"/>
                                </a:lnTo>
                                <a:lnTo>
                                  <a:pt x="403" y="113"/>
                                </a:lnTo>
                                <a:close/>
                                <a:moveTo>
                                  <a:pt x="427" y="29"/>
                                </a:moveTo>
                                <a:lnTo>
                                  <a:pt x="379" y="29"/>
                                </a:lnTo>
                                <a:lnTo>
                                  <a:pt x="395" y="25"/>
                                </a:lnTo>
                                <a:lnTo>
                                  <a:pt x="410" y="20"/>
                                </a:lnTo>
                                <a:lnTo>
                                  <a:pt x="424" y="14"/>
                                </a:lnTo>
                                <a:lnTo>
                                  <a:pt x="438" y="7"/>
                                </a:lnTo>
                                <a:lnTo>
                                  <a:pt x="431" y="22"/>
                                </a:lnTo>
                                <a:lnTo>
                                  <a:pt x="427" y="29"/>
                                </a:lnTo>
                                <a:close/>
                                <a:moveTo>
                                  <a:pt x="400" y="140"/>
                                </a:moveTo>
                                <a:lnTo>
                                  <a:pt x="60" y="140"/>
                                </a:lnTo>
                                <a:lnTo>
                                  <a:pt x="43" y="126"/>
                                </a:lnTo>
                                <a:lnTo>
                                  <a:pt x="30" y="108"/>
                                </a:lnTo>
                                <a:lnTo>
                                  <a:pt x="22" y="86"/>
                                </a:lnTo>
                                <a:lnTo>
                                  <a:pt x="19" y="63"/>
                                </a:lnTo>
                                <a:lnTo>
                                  <a:pt x="20" y="51"/>
                                </a:lnTo>
                                <a:lnTo>
                                  <a:pt x="22" y="39"/>
                                </a:lnTo>
                                <a:lnTo>
                                  <a:pt x="26" y="28"/>
                                </a:lnTo>
                                <a:lnTo>
                                  <a:pt x="31" y="17"/>
                                </a:lnTo>
                                <a:lnTo>
                                  <a:pt x="70" y="55"/>
                                </a:lnTo>
                                <a:lnTo>
                                  <a:pt x="115" y="85"/>
                                </a:lnTo>
                                <a:lnTo>
                                  <a:pt x="166" y="104"/>
                                </a:lnTo>
                                <a:lnTo>
                                  <a:pt x="222" y="113"/>
                                </a:lnTo>
                                <a:lnTo>
                                  <a:pt x="403" y="113"/>
                                </a:lnTo>
                                <a:lnTo>
                                  <a:pt x="400" y="140"/>
                                </a:lnTo>
                                <a:close/>
                                <a:moveTo>
                                  <a:pt x="439" y="58"/>
                                </a:moveTo>
                                <a:lnTo>
                                  <a:pt x="397" y="58"/>
                                </a:lnTo>
                                <a:lnTo>
                                  <a:pt x="411" y="56"/>
                                </a:lnTo>
                                <a:lnTo>
                                  <a:pt x="425" y="52"/>
                                </a:lnTo>
                                <a:lnTo>
                                  <a:pt x="438" y="48"/>
                                </a:lnTo>
                                <a:lnTo>
                                  <a:pt x="450" y="43"/>
                                </a:lnTo>
                                <a:lnTo>
                                  <a:pt x="440" y="57"/>
                                </a:lnTo>
                                <a:lnTo>
                                  <a:pt x="439" y="58"/>
                                </a:lnTo>
                                <a:close/>
                                <a:moveTo>
                                  <a:pt x="375" y="223"/>
                                </a:moveTo>
                                <a:lnTo>
                                  <a:pt x="76" y="223"/>
                                </a:lnTo>
                                <a:lnTo>
                                  <a:pt x="84" y="222"/>
                                </a:lnTo>
                                <a:lnTo>
                                  <a:pt x="92" y="220"/>
                                </a:lnTo>
                                <a:lnTo>
                                  <a:pt x="63" y="209"/>
                                </a:lnTo>
                                <a:lnTo>
                                  <a:pt x="39" y="189"/>
                                </a:lnTo>
                                <a:lnTo>
                                  <a:pt x="24" y="162"/>
                                </a:lnTo>
                                <a:lnTo>
                                  <a:pt x="18" y="130"/>
                                </a:lnTo>
                                <a:lnTo>
                                  <a:pt x="18" y="129"/>
                                </a:lnTo>
                                <a:lnTo>
                                  <a:pt x="28" y="133"/>
                                </a:lnTo>
                                <a:lnTo>
                                  <a:pt x="38" y="137"/>
                                </a:lnTo>
                                <a:lnTo>
                                  <a:pt x="49" y="139"/>
                                </a:lnTo>
                                <a:lnTo>
                                  <a:pt x="60" y="140"/>
                                </a:lnTo>
                                <a:lnTo>
                                  <a:pt x="400" y="140"/>
                                </a:lnTo>
                                <a:lnTo>
                                  <a:pt x="397" y="165"/>
                                </a:lnTo>
                                <a:lnTo>
                                  <a:pt x="375" y="223"/>
                                </a:lnTo>
                                <a:close/>
                                <a:moveTo>
                                  <a:pt x="284" y="325"/>
                                </a:moveTo>
                                <a:lnTo>
                                  <a:pt x="22" y="325"/>
                                </a:lnTo>
                                <a:lnTo>
                                  <a:pt x="54" y="323"/>
                                </a:lnTo>
                                <a:lnTo>
                                  <a:pt x="84" y="315"/>
                                </a:lnTo>
                                <a:lnTo>
                                  <a:pt x="112" y="303"/>
                                </a:lnTo>
                                <a:lnTo>
                                  <a:pt x="137" y="286"/>
                                </a:lnTo>
                                <a:lnTo>
                                  <a:pt x="108" y="281"/>
                                </a:lnTo>
                                <a:lnTo>
                                  <a:pt x="83" y="267"/>
                                </a:lnTo>
                                <a:lnTo>
                                  <a:pt x="63" y="247"/>
                                </a:lnTo>
                                <a:lnTo>
                                  <a:pt x="50" y="222"/>
                                </a:lnTo>
                                <a:lnTo>
                                  <a:pt x="56" y="223"/>
                                </a:lnTo>
                                <a:lnTo>
                                  <a:pt x="62" y="223"/>
                                </a:lnTo>
                                <a:lnTo>
                                  <a:pt x="375" y="223"/>
                                </a:lnTo>
                                <a:lnTo>
                                  <a:pt x="374" y="225"/>
                                </a:lnTo>
                                <a:lnTo>
                                  <a:pt x="337" y="280"/>
                                </a:lnTo>
                                <a:lnTo>
                                  <a:pt x="285" y="325"/>
                                </a:lnTo>
                                <a:lnTo>
                                  <a:pt x="284" y="325"/>
                                </a:lnTo>
                                <a:close/>
                                <a:moveTo>
                                  <a:pt x="142" y="366"/>
                                </a:moveTo>
                                <a:lnTo>
                                  <a:pt x="103" y="363"/>
                                </a:lnTo>
                                <a:lnTo>
                                  <a:pt x="67" y="355"/>
                                </a:lnTo>
                                <a:lnTo>
                                  <a:pt x="32" y="342"/>
                                </a:lnTo>
                                <a:lnTo>
                                  <a:pt x="0" y="324"/>
                                </a:lnTo>
                                <a:lnTo>
                                  <a:pt x="7" y="325"/>
                                </a:lnTo>
                                <a:lnTo>
                                  <a:pt x="15" y="325"/>
                                </a:lnTo>
                                <a:lnTo>
                                  <a:pt x="284" y="325"/>
                                </a:lnTo>
                                <a:lnTo>
                                  <a:pt x="220" y="355"/>
                                </a:lnTo>
                                <a:lnTo>
                                  <a:pt x="142" y="3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xmlns:wps="http://schemas.microsoft.com/office/word/2010/wordprocessingShape">
                        <wps:cNvPr id="589504" name="AutoShape 211"/>
                        <wps:cNvSpPr>
                          <a:spLocks/>
                        </wps:cNvSpPr>
                        <wps:spPr bwMode="auto">
                          <a:xfrm>
                            <a:off x="0" y="0"/>
                            <a:ext cx="451" cy="366"/>
                          </a:xfrm>
                          <a:custGeom>
                            <a:avLst/>
                            <a:gdLst>
                              <a:gd name="T0" fmla="*/ 222 w 451"/>
                              <a:gd name="T1" fmla="*/ 113 h 366"/>
                              <a:gd name="T2" fmla="*/ 219 w 451"/>
                              <a:gd name="T3" fmla="*/ 100 h 366"/>
                              <a:gd name="T4" fmla="*/ 227 w 451"/>
                              <a:gd name="T5" fmla="*/ 56 h 366"/>
                              <a:gd name="T6" fmla="*/ 276 w 451"/>
                              <a:gd name="T7" fmla="*/ 7 h 366"/>
                              <a:gd name="T8" fmla="*/ 331 w 451"/>
                              <a:gd name="T9" fmla="*/ 2 h 366"/>
                              <a:gd name="T10" fmla="*/ 365 w 451"/>
                              <a:gd name="T11" fmla="*/ 17 h 366"/>
                              <a:gd name="T12" fmla="*/ 427 w 451"/>
                              <a:gd name="T13" fmla="*/ 29 h 366"/>
                              <a:gd name="T14" fmla="*/ 411 w 451"/>
                              <a:gd name="T15" fmla="*/ 48 h 366"/>
                              <a:gd name="T16" fmla="*/ 439 w 451"/>
                              <a:gd name="T17" fmla="*/ 58 h 366"/>
                              <a:gd name="T18" fmla="*/ 417 w 451"/>
                              <a:gd name="T19" fmla="*/ 81 h 366"/>
                              <a:gd name="T20" fmla="*/ 404 w 451"/>
                              <a:gd name="T21" fmla="*/ 95 h 366"/>
                              <a:gd name="T22" fmla="*/ 403 w 451"/>
                              <a:gd name="T23" fmla="*/ 113 h 366"/>
                              <a:gd name="T24" fmla="*/ 379 w 451"/>
                              <a:gd name="T25" fmla="*/ 29 h 366"/>
                              <a:gd name="T26" fmla="*/ 410 w 451"/>
                              <a:gd name="T27" fmla="*/ 20 h 366"/>
                              <a:gd name="T28" fmla="*/ 438 w 451"/>
                              <a:gd name="T29" fmla="*/ 7 h 366"/>
                              <a:gd name="T30" fmla="*/ 427 w 451"/>
                              <a:gd name="T31" fmla="*/ 29 h 366"/>
                              <a:gd name="T32" fmla="*/ 60 w 451"/>
                              <a:gd name="T33" fmla="*/ 140 h 366"/>
                              <a:gd name="T34" fmla="*/ 30 w 451"/>
                              <a:gd name="T35" fmla="*/ 108 h 366"/>
                              <a:gd name="T36" fmla="*/ 19 w 451"/>
                              <a:gd name="T37" fmla="*/ 63 h 366"/>
                              <a:gd name="T38" fmla="*/ 22 w 451"/>
                              <a:gd name="T39" fmla="*/ 39 h 366"/>
                              <a:gd name="T40" fmla="*/ 31 w 451"/>
                              <a:gd name="T41" fmla="*/ 17 h 366"/>
                              <a:gd name="T42" fmla="*/ 115 w 451"/>
                              <a:gd name="T43" fmla="*/ 85 h 366"/>
                              <a:gd name="T44" fmla="*/ 222 w 451"/>
                              <a:gd name="T45" fmla="*/ 113 h 366"/>
                              <a:gd name="T46" fmla="*/ 400 w 451"/>
                              <a:gd name="T47" fmla="*/ 140 h 366"/>
                              <a:gd name="T48" fmla="*/ 397 w 451"/>
                              <a:gd name="T49" fmla="*/ 58 h 366"/>
                              <a:gd name="T50" fmla="*/ 425 w 451"/>
                              <a:gd name="T51" fmla="*/ 52 h 366"/>
                              <a:gd name="T52" fmla="*/ 450 w 451"/>
                              <a:gd name="T53" fmla="*/ 43 h 366"/>
                              <a:gd name="T54" fmla="*/ 439 w 451"/>
                              <a:gd name="T55" fmla="*/ 58 h 366"/>
                              <a:gd name="T56" fmla="*/ 76 w 451"/>
                              <a:gd name="T57" fmla="*/ 223 h 366"/>
                              <a:gd name="T58" fmla="*/ 92 w 451"/>
                              <a:gd name="T59" fmla="*/ 220 h 366"/>
                              <a:gd name="T60" fmla="*/ 39 w 451"/>
                              <a:gd name="T61" fmla="*/ 189 h 366"/>
                              <a:gd name="T62" fmla="*/ 18 w 451"/>
                              <a:gd name="T63" fmla="*/ 130 h 366"/>
                              <a:gd name="T64" fmla="*/ 28 w 451"/>
                              <a:gd name="T65" fmla="*/ 133 h 366"/>
                              <a:gd name="T66" fmla="*/ 49 w 451"/>
                              <a:gd name="T67" fmla="*/ 139 h 366"/>
                              <a:gd name="T68" fmla="*/ 400 w 451"/>
                              <a:gd name="T69" fmla="*/ 140 h 366"/>
                              <a:gd name="T70" fmla="*/ 375 w 451"/>
                              <a:gd name="T71" fmla="*/ 223 h 366"/>
                              <a:gd name="T72" fmla="*/ 22 w 451"/>
                              <a:gd name="T73" fmla="*/ 325 h 366"/>
                              <a:gd name="T74" fmla="*/ 84 w 451"/>
                              <a:gd name="T75" fmla="*/ 315 h 366"/>
                              <a:gd name="T76" fmla="*/ 137 w 451"/>
                              <a:gd name="T77" fmla="*/ 286 h 366"/>
                              <a:gd name="T78" fmla="*/ 83 w 451"/>
                              <a:gd name="T79" fmla="*/ 267 h 366"/>
                              <a:gd name="T80" fmla="*/ 50 w 451"/>
                              <a:gd name="T81" fmla="*/ 222 h 366"/>
                              <a:gd name="T82" fmla="*/ 62 w 451"/>
                              <a:gd name="T83" fmla="*/ 223 h 366"/>
                              <a:gd name="T84" fmla="*/ 374 w 451"/>
                              <a:gd name="T85" fmla="*/ 225 h 366"/>
                              <a:gd name="T86" fmla="*/ 285 w 451"/>
                              <a:gd name="T87" fmla="*/ 325 h 366"/>
                              <a:gd name="T88" fmla="*/ 142 w 451"/>
                              <a:gd name="T89" fmla="*/ 366 h 366"/>
                              <a:gd name="T90" fmla="*/ 67 w 451"/>
                              <a:gd name="T91" fmla="*/ 355 h 366"/>
                              <a:gd name="T92" fmla="*/ 0 w 451"/>
                              <a:gd name="T93" fmla="*/ 324 h 366"/>
                              <a:gd name="T94" fmla="*/ 15 w 451"/>
                              <a:gd name="T95" fmla="*/ 325 h 366"/>
                              <a:gd name="T96" fmla="*/ 220 w 451"/>
                              <a:gd name="T97" fmla="*/ 355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51" h="366">
                                <a:moveTo>
                                  <a:pt x="403" y="113"/>
                                </a:moveTo>
                                <a:lnTo>
                                  <a:pt x="222" y="113"/>
                                </a:lnTo>
                                <a:lnTo>
                                  <a:pt x="220" y="107"/>
                                </a:lnTo>
                                <a:lnTo>
                                  <a:pt x="219" y="100"/>
                                </a:lnTo>
                                <a:lnTo>
                                  <a:pt x="219" y="92"/>
                                </a:lnTo>
                                <a:lnTo>
                                  <a:pt x="227" y="56"/>
                                </a:lnTo>
                                <a:lnTo>
                                  <a:pt x="246" y="27"/>
                                </a:lnTo>
                                <a:lnTo>
                                  <a:pt x="276" y="7"/>
                                </a:lnTo>
                                <a:lnTo>
                                  <a:pt x="312" y="0"/>
                                </a:lnTo>
                                <a:lnTo>
                                  <a:pt x="331" y="2"/>
                                </a:lnTo>
                                <a:lnTo>
                                  <a:pt x="349" y="8"/>
                                </a:lnTo>
                                <a:lnTo>
                                  <a:pt x="365" y="17"/>
                                </a:lnTo>
                                <a:lnTo>
                                  <a:pt x="379" y="29"/>
                                </a:lnTo>
                                <a:lnTo>
                                  <a:pt x="427" y="29"/>
                                </a:lnTo>
                                <a:lnTo>
                                  <a:pt x="422" y="36"/>
                                </a:lnTo>
                                <a:lnTo>
                                  <a:pt x="411" y="48"/>
                                </a:lnTo>
                                <a:lnTo>
                                  <a:pt x="397" y="58"/>
                                </a:lnTo>
                                <a:lnTo>
                                  <a:pt x="439" y="58"/>
                                </a:lnTo>
                                <a:lnTo>
                                  <a:pt x="429" y="69"/>
                                </a:lnTo>
                                <a:lnTo>
                                  <a:pt x="417" y="81"/>
                                </a:lnTo>
                                <a:lnTo>
                                  <a:pt x="404" y="91"/>
                                </a:lnTo>
                                <a:lnTo>
                                  <a:pt x="404" y="95"/>
                                </a:lnTo>
                                <a:lnTo>
                                  <a:pt x="404" y="104"/>
                                </a:lnTo>
                                <a:lnTo>
                                  <a:pt x="403" y="113"/>
                                </a:lnTo>
                                <a:close/>
                                <a:moveTo>
                                  <a:pt x="427" y="29"/>
                                </a:moveTo>
                                <a:lnTo>
                                  <a:pt x="379" y="29"/>
                                </a:lnTo>
                                <a:lnTo>
                                  <a:pt x="395" y="25"/>
                                </a:lnTo>
                                <a:lnTo>
                                  <a:pt x="410" y="20"/>
                                </a:lnTo>
                                <a:lnTo>
                                  <a:pt x="424" y="14"/>
                                </a:lnTo>
                                <a:lnTo>
                                  <a:pt x="438" y="7"/>
                                </a:lnTo>
                                <a:lnTo>
                                  <a:pt x="431" y="22"/>
                                </a:lnTo>
                                <a:lnTo>
                                  <a:pt x="427" y="29"/>
                                </a:lnTo>
                                <a:close/>
                                <a:moveTo>
                                  <a:pt x="400" y="140"/>
                                </a:moveTo>
                                <a:lnTo>
                                  <a:pt x="60" y="140"/>
                                </a:lnTo>
                                <a:lnTo>
                                  <a:pt x="43" y="126"/>
                                </a:lnTo>
                                <a:lnTo>
                                  <a:pt x="30" y="108"/>
                                </a:lnTo>
                                <a:lnTo>
                                  <a:pt x="22" y="86"/>
                                </a:lnTo>
                                <a:lnTo>
                                  <a:pt x="19" y="63"/>
                                </a:lnTo>
                                <a:lnTo>
                                  <a:pt x="20" y="51"/>
                                </a:lnTo>
                                <a:lnTo>
                                  <a:pt x="22" y="39"/>
                                </a:lnTo>
                                <a:lnTo>
                                  <a:pt x="26" y="28"/>
                                </a:lnTo>
                                <a:lnTo>
                                  <a:pt x="31" y="17"/>
                                </a:lnTo>
                                <a:lnTo>
                                  <a:pt x="70" y="55"/>
                                </a:lnTo>
                                <a:lnTo>
                                  <a:pt x="115" y="85"/>
                                </a:lnTo>
                                <a:lnTo>
                                  <a:pt x="166" y="104"/>
                                </a:lnTo>
                                <a:lnTo>
                                  <a:pt x="222" y="113"/>
                                </a:lnTo>
                                <a:lnTo>
                                  <a:pt x="403" y="113"/>
                                </a:lnTo>
                                <a:lnTo>
                                  <a:pt x="400" y="140"/>
                                </a:lnTo>
                                <a:close/>
                                <a:moveTo>
                                  <a:pt x="439" y="58"/>
                                </a:moveTo>
                                <a:lnTo>
                                  <a:pt x="397" y="58"/>
                                </a:lnTo>
                                <a:lnTo>
                                  <a:pt x="411" y="56"/>
                                </a:lnTo>
                                <a:lnTo>
                                  <a:pt x="425" y="52"/>
                                </a:lnTo>
                                <a:lnTo>
                                  <a:pt x="438" y="48"/>
                                </a:lnTo>
                                <a:lnTo>
                                  <a:pt x="450" y="43"/>
                                </a:lnTo>
                                <a:lnTo>
                                  <a:pt x="440" y="57"/>
                                </a:lnTo>
                                <a:lnTo>
                                  <a:pt x="439" y="58"/>
                                </a:lnTo>
                                <a:close/>
                                <a:moveTo>
                                  <a:pt x="375" y="223"/>
                                </a:moveTo>
                                <a:lnTo>
                                  <a:pt x="76" y="223"/>
                                </a:lnTo>
                                <a:lnTo>
                                  <a:pt x="84" y="222"/>
                                </a:lnTo>
                                <a:lnTo>
                                  <a:pt x="92" y="220"/>
                                </a:lnTo>
                                <a:lnTo>
                                  <a:pt x="63" y="209"/>
                                </a:lnTo>
                                <a:lnTo>
                                  <a:pt x="39" y="189"/>
                                </a:lnTo>
                                <a:lnTo>
                                  <a:pt x="24" y="162"/>
                                </a:lnTo>
                                <a:lnTo>
                                  <a:pt x="18" y="130"/>
                                </a:lnTo>
                                <a:lnTo>
                                  <a:pt x="18" y="129"/>
                                </a:lnTo>
                                <a:lnTo>
                                  <a:pt x="28" y="133"/>
                                </a:lnTo>
                                <a:lnTo>
                                  <a:pt x="38" y="137"/>
                                </a:lnTo>
                                <a:lnTo>
                                  <a:pt x="49" y="139"/>
                                </a:lnTo>
                                <a:lnTo>
                                  <a:pt x="60" y="140"/>
                                </a:lnTo>
                                <a:lnTo>
                                  <a:pt x="400" y="140"/>
                                </a:lnTo>
                                <a:lnTo>
                                  <a:pt x="397" y="165"/>
                                </a:lnTo>
                                <a:lnTo>
                                  <a:pt x="375" y="223"/>
                                </a:lnTo>
                                <a:close/>
                                <a:moveTo>
                                  <a:pt x="284" y="325"/>
                                </a:moveTo>
                                <a:lnTo>
                                  <a:pt x="22" y="325"/>
                                </a:lnTo>
                                <a:lnTo>
                                  <a:pt x="54" y="323"/>
                                </a:lnTo>
                                <a:lnTo>
                                  <a:pt x="84" y="315"/>
                                </a:lnTo>
                                <a:lnTo>
                                  <a:pt x="112" y="303"/>
                                </a:lnTo>
                                <a:lnTo>
                                  <a:pt x="137" y="286"/>
                                </a:lnTo>
                                <a:lnTo>
                                  <a:pt x="108" y="281"/>
                                </a:lnTo>
                                <a:lnTo>
                                  <a:pt x="83" y="267"/>
                                </a:lnTo>
                                <a:lnTo>
                                  <a:pt x="63" y="247"/>
                                </a:lnTo>
                                <a:lnTo>
                                  <a:pt x="50" y="222"/>
                                </a:lnTo>
                                <a:lnTo>
                                  <a:pt x="56" y="223"/>
                                </a:lnTo>
                                <a:lnTo>
                                  <a:pt x="62" y="223"/>
                                </a:lnTo>
                                <a:lnTo>
                                  <a:pt x="375" y="223"/>
                                </a:lnTo>
                                <a:lnTo>
                                  <a:pt x="374" y="225"/>
                                </a:lnTo>
                                <a:lnTo>
                                  <a:pt x="337" y="280"/>
                                </a:lnTo>
                                <a:lnTo>
                                  <a:pt x="285" y="325"/>
                                </a:lnTo>
                                <a:lnTo>
                                  <a:pt x="284" y="325"/>
                                </a:lnTo>
                                <a:close/>
                                <a:moveTo>
                                  <a:pt x="142" y="366"/>
                                </a:moveTo>
                                <a:lnTo>
                                  <a:pt x="103" y="363"/>
                                </a:lnTo>
                                <a:lnTo>
                                  <a:pt x="67" y="355"/>
                                </a:lnTo>
                                <a:lnTo>
                                  <a:pt x="32" y="342"/>
                                </a:lnTo>
                                <a:lnTo>
                                  <a:pt x="0" y="324"/>
                                </a:lnTo>
                                <a:lnTo>
                                  <a:pt x="7" y="325"/>
                                </a:lnTo>
                                <a:lnTo>
                                  <a:pt x="15" y="325"/>
                                </a:lnTo>
                                <a:lnTo>
                                  <a:pt x="284" y="325"/>
                                </a:lnTo>
                                <a:lnTo>
                                  <a:pt x="220" y="355"/>
                                </a:lnTo>
                                <a:lnTo>
                                  <a:pt x="142" y="3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id="Group 609150" o:spid="_x0000_i1493" style="height:18.3pt;mso-position-horizontal-relative:char;mso-position-vertical-relative:line;width:22.55pt" coordsize="451,366">
                <v:shape id="AutoShape 210" o:spid="_x0000_s1494" style="height:366;mso-wrap-style:square;position:absolute;v-text-anchor:top;visibility:visible;width:451" coordsize="451,366" path="m403,113l222,113l220,107l219,100l219,92l227,56l246,27,276,7,312,l331,2l349,8l365,17l379,29l427,29l422,36,411,48,397,58l439,58l429,69,417,81,404,91l404,95l404,104l403,113xm427,29l379,29l395,25l410,20l424,14,438,7l431,22l427,29xm400,140l60,140l43,126,30,108,22,86,19,63,20,51,22,39,26,28,31,17,70,55l115,85l166,104l222,113l403,113l400,140xm439,58l397,58l411,56l425,52l438,48l450,43l440,57l439,58xm375,223l76,223l84,222l92,220l63,209,39,189,24,162,18,130l18,129l28,133l38,137l49,139l60,140l400,140l397,165l375,223xm284,325l22,325l54,323l84,315l112,303l137,286l108,281,83,267,63,247,50,222l56,223l62,223l375,223l374,225l337,280l285,325l284,325xm142,366l103,363l67,355,32,342,,324l7,325l15,325l284,325l220,355l142,366xe" stroked="f">
                  <v:path arrowok="t" o:connecttype="custom" o:connectlocs="222,113;219,100;227,56;276,7;331,2;365,17;427,29;411,48;439,58;417,81;404,95;403,113;379,29;410,20;438,7;427,29;60,140;30,108;19,63;22,39;31,17;115,85;222,113;400,140;397,58;425,52;450,43;439,58;76,223;92,220;39,189;18,130;28,133;49,139;400,140;375,223;22,325;84,315;137,286;83,267;50,222;62,223;374,225;285,325;142,366;67,355;0,324;15,325;220,355" o:connectangles="0,0,0,0,0,0,0,0,0,0,0,0,0,0,0,0,0,0,0,0,0,0,0,0,0,0,0,0,0,0,0,0,0,0,0,0,0,0,0,0,0,0,0,0,0,0,0,0,0"/>
                </v:shape>
                <v:shape id="AutoShape 211" o:spid="_x0000_s1495" style="height:366;mso-wrap-style:square;position:absolute;v-text-anchor:top;visibility:visible;width:451" coordsize="451,366" path="m403,113l222,113l220,107l219,100l219,92l227,56l246,27,276,7,312,l331,2l349,8l365,17l379,29l427,29l422,36,411,48,397,58l439,58l429,69,417,81,404,91l404,95l404,104l403,113xm427,29l379,29l395,25l410,20l424,14,438,7l431,22l427,29xm400,140l60,140l43,126,30,108,22,86,19,63,20,51,22,39,26,28,31,17,70,55l115,85l166,104l222,113l403,113l400,140xm439,58l397,58l411,56l425,52l438,48l450,43l440,57l439,58xm375,223l76,223l84,222l92,220l63,209,39,189,24,162,18,130l18,129l28,133l38,137l49,139l60,140l400,140l397,165l375,223xm284,325l22,325l54,323l84,315l112,303l137,286l108,281,83,267,63,247,50,222l56,223l62,223l375,223l374,225l337,280l285,325l284,325xm142,366l103,363l67,355,32,342,,324l7,325l15,325l284,325l220,355l142,366xe" stroked="f">
                  <v:path arrowok="t" o:connecttype="custom" o:connectlocs="222,113;219,100;227,56;276,7;331,2;365,17;427,29;411,48;439,58;417,81;404,95;403,113;379,29;410,20;438,7;427,29;60,140;30,108;19,63;22,39;31,17;115,85;222,113;400,140;397,58;425,52;450,43;439,58;76,223;92,220;39,189;18,130;28,133;49,139;400,140;375,223;22,325;84,315;137,286;83,267;50,222;62,223;374,225;285,325;142,366;67,355;0,324;15,325;220,355" o:connectangles="0,0,0,0,0,0,0,0,0,0,0,0,0,0,0,0,0,0,0,0,0,0,0,0,0,0,0,0,0,0,0,0,0,0,0,0,0,0,0,0,0,0,0,0,0,0,0,0,0"/>
                </v:shape>
                <w10:wrap type="none"/>
                <w10:anchorlock/>
              </v:group>
            </w:pict>
          </mc:Fallback>
        </mc:AlternateContent>
      </w:r>
    </w:p>
    <w:p w:rsidR="003B7445" w:rsidRPr="005B5CB6" w:rsidP="003B7445">
      <w:pPr>
        <w:pStyle w:val="BodyText"/>
        <w:rPr>
          <w:rFonts w:ascii="Verdana" w:hAnsi="Verdana"/>
          <w:b w:val="0"/>
          <w:sz w:val="22"/>
          <w:szCs w:val="22"/>
        </w:rPr>
      </w:pPr>
    </w:p>
    <w:p w:rsidR="00C752DD" w:rsidRPr="005B5CB6" w:rsidP="00C752DD">
      <w:pPr>
        <w:pStyle w:val="Heading1"/>
        <w:jc w:val="both"/>
        <w:rPr>
          <w:b w:val="0"/>
          <w:bCs/>
          <w:color w:val="auto"/>
          <w:sz w:val="22"/>
        </w:rPr>
      </w:pPr>
      <w:bookmarkStart w:id="91" w:name="_Toc44517779"/>
      <w:r w:rsidRPr="005B5CB6">
        <w:rPr>
          <w:bCs/>
          <w:color w:val="auto"/>
          <w:sz w:val="22"/>
        </w:rPr>
        <w:t>Dr. Rebekah Tromble – written evidence (DAD0104)</w:t>
      </w:r>
      <w:bookmarkEnd w:id="91"/>
    </w:p>
    <w:p w:rsidR="00C752DD" w:rsidRPr="005B5CB6" w:rsidP="00C752DD">
      <w:pPr>
        <w:shd w:val="clear" w:color="auto" w:fill="FFFFFF"/>
        <w:jc w:val="both"/>
        <w:rPr>
          <w:rFonts w:ascii="Verdana" w:hAnsi="Verdana"/>
          <w:b/>
          <w:bCs/>
          <w:color w:val="000000" w:themeColor="text1"/>
        </w:rPr>
      </w:pPr>
    </w:p>
    <w:p w:rsidR="00C752DD" w:rsidRPr="005B5CB6" w:rsidP="00C752DD">
      <w:pPr>
        <w:jc w:val="both"/>
        <w:rPr>
          <w:rFonts w:ascii="Verdana" w:hAnsi="Verdana"/>
          <w:color w:val="000000" w:themeColor="text1"/>
        </w:rPr>
      </w:pPr>
    </w:p>
    <w:p w:rsidR="00C752DD" w:rsidRPr="005B5CB6" w:rsidP="00C752DD">
      <w:pPr>
        <w:jc w:val="both"/>
        <w:rPr>
          <w:rFonts w:ascii="Verdana" w:hAnsi="Verdana"/>
          <w:i/>
          <w:iCs/>
          <w:color w:val="000000" w:themeColor="text1"/>
        </w:rPr>
      </w:pPr>
      <w:r w:rsidRPr="005B5CB6">
        <w:rPr>
          <w:rFonts w:ascii="Verdana" w:hAnsi="Verdana"/>
          <w:i/>
          <w:iCs/>
          <w:color w:val="000000" w:themeColor="text1"/>
        </w:rPr>
        <w:t>Associate Professor, School of Media &amp; Public Affairs, George Washington University</w:t>
      </w:r>
    </w:p>
    <w:p w:rsidR="00C752DD" w:rsidRPr="005B5CB6" w:rsidP="00C752DD">
      <w:pPr>
        <w:jc w:val="both"/>
        <w:rPr>
          <w:rFonts w:ascii="Verdana" w:hAnsi="Verdana"/>
          <w:i/>
          <w:iCs/>
          <w:color w:val="000000" w:themeColor="text1"/>
        </w:rPr>
      </w:pPr>
      <w:r w:rsidRPr="005B5CB6">
        <w:rPr>
          <w:rFonts w:ascii="Verdana" w:hAnsi="Verdana"/>
          <w:i/>
          <w:iCs/>
          <w:color w:val="000000" w:themeColor="text1"/>
        </w:rPr>
        <w:t>Associate Director, Institute for Data, Democracy, and Politics (IDDP), George Washington University</w:t>
      </w:r>
    </w:p>
    <w:p w:rsidR="00C752DD" w:rsidRPr="005B5CB6" w:rsidP="00C752DD">
      <w:pPr>
        <w:jc w:val="both"/>
        <w:rPr>
          <w:rFonts w:ascii="Verdana" w:hAnsi="Verdana"/>
          <w:i/>
          <w:iCs/>
          <w:color w:val="000000" w:themeColor="text1"/>
        </w:rPr>
      </w:pPr>
      <w:r w:rsidRPr="005B5CB6">
        <w:rPr>
          <w:rFonts w:ascii="Verdana" w:hAnsi="Verdana"/>
          <w:i/>
          <w:iCs/>
          <w:color w:val="000000" w:themeColor="text1"/>
        </w:rPr>
        <w:t>Visiting Researcher, The Alan Turing Institute (London)</w:t>
      </w:r>
    </w:p>
    <w:p w:rsidR="00C752DD" w:rsidRPr="005B5CB6" w:rsidP="00C752DD">
      <w:pPr>
        <w:jc w:val="both"/>
        <w:rPr>
          <w:rFonts w:ascii="Verdana" w:hAnsi="Verdana"/>
          <w:color w:val="000000" w:themeColor="text1"/>
        </w:rPr>
      </w:pPr>
    </w:p>
    <w:p w:rsidR="00C752DD" w:rsidRPr="005B5CB6" w:rsidP="00575F14">
      <w:pPr>
        <w:pStyle w:val="ListParagraph"/>
        <w:numPr>
          <w:ilvl w:val="0"/>
          <w:numId w:val="306"/>
        </w:numPr>
        <w:ind w:left="450"/>
        <w:jc w:val="both"/>
        <w:rPr>
          <w:rFonts w:ascii="Verdana" w:hAnsi="Verdana"/>
          <w:color w:val="000000" w:themeColor="text1"/>
          <w:sz w:val="22"/>
          <w:szCs w:val="22"/>
          <w:shd w:val="clear" w:color="auto" w:fill="FFFFFF"/>
        </w:rPr>
      </w:pPr>
      <w:r w:rsidRPr="005B5CB6">
        <w:rPr>
          <w:rFonts w:ascii="Verdana" w:hAnsi="Verdana"/>
          <w:color w:val="000000" w:themeColor="text1"/>
          <w:sz w:val="22"/>
          <w:szCs w:val="22"/>
          <w:shd w:val="clear" w:color="auto" w:fill="FFFFFF"/>
        </w:rPr>
        <w:t>What are the privacy concerns that may prevent data sharing? And what should the Committee be asking Facebook/ Google and Twitter representatives when they appear before the Committee about how to overcome these concerns?</w:t>
      </w:r>
    </w:p>
    <w:p w:rsidR="00C752DD" w:rsidRPr="005B5CB6" w:rsidP="00C752DD">
      <w:pPr>
        <w:pStyle w:val="ListParagraph"/>
        <w:ind w:left="450"/>
        <w:jc w:val="both"/>
        <w:rPr>
          <w:rFonts w:ascii="Verdana" w:hAnsi="Verdana"/>
          <w:color w:val="000000" w:themeColor="text1"/>
          <w:sz w:val="22"/>
          <w:szCs w:val="22"/>
          <w:shd w:val="clear" w:color="auto" w:fill="FFFFFF"/>
        </w:rPr>
      </w:pPr>
    </w:p>
    <w:p w:rsidR="00C752DD" w:rsidRPr="005B5CB6" w:rsidP="00C752DD">
      <w:pPr>
        <w:pStyle w:val="ListParagraph"/>
        <w:ind w:left="450"/>
        <w:jc w:val="both"/>
        <w:rPr>
          <w:rFonts w:ascii="Verdana" w:hAnsi="Verdana"/>
          <w:color w:val="000000" w:themeColor="text1"/>
          <w:sz w:val="22"/>
          <w:szCs w:val="22"/>
        </w:rPr>
      </w:pPr>
      <w:r w:rsidRPr="005B5CB6">
        <w:rPr>
          <w:rFonts w:ascii="Verdana" w:hAnsi="Verdana"/>
          <w:color w:val="000000" w:themeColor="text1"/>
          <w:sz w:val="22"/>
          <w:szCs w:val="22"/>
        </w:rPr>
        <w:t>From the tech companies’ perspective, the overarching concern with data sharing is that personally identifiable information will be transferred to academic researchers in a way that one or more Member States deems to be in violation of GDPR. These companies have particular questions and concerns about what is permissible under GDPR.</w:t>
      </w:r>
    </w:p>
    <w:p w:rsidR="00C752DD" w:rsidRPr="005B5CB6" w:rsidP="00C752DD">
      <w:pPr>
        <w:pStyle w:val="ListParagraph"/>
        <w:ind w:left="450" w:firstLine="270"/>
        <w:jc w:val="both"/>
        <w:rPr>
          <w:rFonts w:ascii="Verdana" w:hAnsi="Verdana"/>
          <w:color w:val="000000" w:themeColor="text1"/>
          <w:sz w:val="22"/>
          <w:szCs w:val="22"/>
        </w:rPr>
      </w:pPr>
      <w:r w:rsidRPr="005B5CB6">
        <w:rPr>
          <w:rFonts w:ascii="Verdana" w:hAnsi="Verdana"/>
          <w:color w:val="000000" w:themeColor="text1"/>
          <w:sz w:val="22"/>
          <w:szCs w:val="22"/>
        </w:rPr>
        <w:t>GDPR explicitly seeks to facilitate scientific research and therefore exempts researchers from many of the restrictions on collecting and processing personal data. However, the companies argue that the definition of “research” under GDPR remains unclear.</w:t>
      </w:r>
    </w:p>
    <w:p w:rsidR="00C752DD" w:rsidRPr="005B5CB6" w:rsidP="00C752DD">
      <w:pPr>
        <w:pStyle w:val="ListParagraph"/>
        <w:ind w:left="450" w:firstLine="270"/>
        <w:jc w:val="both"/>
        <w:rPr>
          <w:rFonts w:ascii="Verdana" w:hAnsi="Verdana"/>
          <w:color w:val="000000" w:themeColor="text1"/>
          <w:sz w:val="22"/>
          <w:szCs w:val="22"/>
        </w:rPr>
      </w:pPr>
      <w:r w:rsidRPr="005B5CB6">
        <w:rPr>
          <w:rFonts w:ascii="Verdana" w:hAnsi="Verdana"/>
          <w:color w:val="000000" w:themeColor="text1"/>
          <w:sz w:val="22"/>
          <w:szCs w:val="22"/>
        </w:rPr>
        <w:t>These companies also suggest that (a) the safeguards that they must take in providing data to researchers and (b) the safeguards that the researchers themselves must take in receiving and processing such commercial data are unclear. For example, they contend that what constitutes user "consent" remains unclear. Or, in the absence of such consent, they question what measures must be taken to remove PII from data transferred to and/or analyzed by external researchers.</w:t>
      </w:r>
    </w:p>
    <w:p w:rsidR="00C752DD" w:rsidRPr="005B5CB6" w:rsidP="00C752DD">
      <w:pPr>
        <w:pStyle w:val="ListParagraph"/>
        <w:ind w:left="450" w:firstLine="270"/>
        <w:jc w:val="both"/>
        <w:rPr>
          <w:rFonts w:ascii="Verdana" w:hAnsi="Verdana"/>
          <w:color w:val="000000" w:themeColor="text1"/>
          <w:sz w:val="22"/>
          <w:szCs w:val="22"/>
          <w:shd w:val="clear" w:color="auto" w:fill="FFFFFF"/>
        </w:rPr>
      </w:pPr>
      <w:r w:rsidRPr="005B5CB6">
        <w:rPr>
          <w:rFonts w:ascii="Verdana" w:hAnsi="Verdana"/>
          <w:color w:val="000000" w:themeColor="text1"/>
          <w:sz w:val="22"/>
          <w:szCs w:val="22"/>
        </w:rPr>
        <w:t xml:space="preserve"> </w:t>
      </w:r>
    </w:p>
    <w:p w:rsidR="00C752DD" w:rsidRPr="005B5CB6" w:rsidP="00575F14">
      <w:pPr>
        <w:pStyle w:val="ListParagraph"/>
        <w:numPr>
          <w:ilvl w:val="0"/>
          <w:numId w:val="306"/>
        </w:numPr>
        <w:shd w:val="clear" w:color="auto" w:fill="FFFFFF"/>
        <w:jc w:val="both"/>
        <w:rPr>
          <w:rFonts w:ascii="Verdana" w:hAnsi="Verdana"/>
          <w:color w:val="000000" w:themeColor="text1"/>
          <w:sz w:val="22"/>
          <w:szCs w:val="22"/>
        </w:rPr>
      </w:pPr>
      <w:r w:rsidRPr="005B5CB6">
        <w:rPr>
          <w:rFonts w:ascii="Verdana" w:hAnsi="Verdana"/>
          <w:color w:val="000000" w:themeColor="text1"/>
          <w:sz w:val="22"/>
          <w:szCs w:val="22"/>
        </w:rPr>
        <w:t>What is the ideal for data sharing best practice?</w:t>
      </w:r>
    </w:p>
    <w:p w:rsidR="00C752DD" w:rsidRPr="005B5CB6" w:rsidP="00C752DD">
      <w:pPr>
        <w:pStyle w:val="ListParagraph"/>
        <w:shd w:val="clear" w:color="auto" w:fill="FFFFFF"/>
        <w:jc w:val="both"/>
        <w:rPr>
          <w:rFonts w:ascii="Verdana" w:hAnsi="Verdana"/>
          <w:color w:val="000000" w:themeColor="text1"/>
          <w:sz w:val="22"/>
          <w:szCs w:val="22"/>
        </w:rPr>
      </w:pPr>
    </w:p>
    <w:p w:rsidR="00C752DD" w:rsidRPr="005B5CB6" w:rsidP="00C752DD">
      <w:pPr>
        <w:pStyle w:val="ListParagraph"/>
        <w:shd w:val="clear" w:color="auto" w:fill="FFFFFF"/>
        <w:jc w:val="both"/>
        <w:rPr>
          <w:rFonts w:ascii="Verdana" w:hAnsi="Verdana"/>
          <w:color w:val="000000" w:themeColor="text1"/>
          <w:sz w:val="22"/>
          <w:szCs w:val="22"/>
        </w:rPr>
      </w:pPr>
      <w:r w:rsidRPr="005B5CB6">
        <w:rPr>
          <w:rFonts w:ascii="Verdana" w:hAnsi="Verdana"/>
          <w:color w:val="000000" w:themeColor="text1"/>
          <w:sz w:val="22"/>
          <w:szCs w:val="22"/>
        </w:rPr>
        <w:t>Data sharing best practices vary by the level of data sensitivity and privacy protections needed:</w:t>
      </w:r>
    </w:p>
    <w:p w:rsidR="00C752DD" w:rsidRPr="005B5CB6" w:rsidP="00575F14">
      <w:pPr>
        <w:pStyle w:val="ListParagraph"/>
        <w:numPr>
          <w:ilvl w:val="1"/>
          <w:numId w:val="305"/>
        </w:numPr>
        <w:shd w:val="clear" w:color="auto" w:fill="FFFFFF"/>
        <w:jc w:val="both"/>
        <w:rPr>
          <w:rFonts w:ascii="Verdana" w:hAnsi="Verdana"/>
          <w:color w:val="000000" w:themeColor="text1"/>
          <w:sz w:val="22"/>
          <w:szCs w:val="22"/>
        </w:rPr>
      </w:pPr>
      <w:r w:rsidRPr="005B5CB6">
        <w:rPr>
          <w:rFonts w:ascii="Verdana" w:hAnsi="Verdana"/>
          <w:color w:val="000000" w:themeColor="text1"/>
          <w:sz w:val="22"/>
          <w:szCs w:val="22"/>
        </w:rPr>
        <w:t>For public data, academic researchers should undergo the no more scrutiny, and in turn receive no less data access, than third-party corporate entities. Currently, the platforms give privileged access to other companies. Facebook, for example, has set up review procedures for third-party companies to gain access to the Facebook and Instagram Graph APIs, but the rules for review make it effectively impossible for academics to gain the same access.</w:t>
      </w:r>
    </w:p>
    <w:p w:rsidR="00C752DD" w:rsidRPr="005B5CB6" w:rsidP="00575F14">
      <w:pPr>
        <w:pStyle w:val="ListParagraph"/>
        <w:numPr>
          <w:ilvl w:val="1"/>
          <w:numId w:val="305"/>
        </w:numPr>
        <w:shd w:val="clear" w:color="auto" w:fill="FFFFFF"/>
        <w:jc w:val="both"/>
        <w:rPr>
          <w:rFonts w:ascii="Verdana" w:hAnsi="Verdana"/>
          <w:color w:val="000000" w:themeColor="text1"/>
          <w:sz w:val="22"/>
          <w:szCs w:val="22"/>
        </w:rPr>
      </w:pPr>
      <w:r w:rsidRPr="005B5CB6">
        <w:rPr>
          <w:rFonts w:ascii="Verdana" w:hAnsi="Verdana"/>
          <w:color w:val="000000" w:themeColor="text1"/>
          <w:sz w:val="22"/>
          <w:szCs w:val="22"/>
        </w:rPr>
        <w:t>The platforms should directly partner with researchers to undertake user surveys and experiments (i.e., research that permits individual-level, causal analyses) </w:t>
      </w:r>
      <w:r w:rsidRPr="005B5CB6">
        <w:rPr>
          <w:rFonts w:ascii="Verdana" w:hAnsi="Verdana"/>
          <w:i/>
          <w:iCs/>
          <w:color w:val="000000" w:themeColor="text1"/>
          <w:sz w:val="22"/>
          <w:szCs w:val="22"/>
        </w:rPr>
        <w:t>with user informed consent</w:t>
      </w:r>
      <w:r w:rsidRPr="005B5CB6">
        <w:rPr>
          <w:rFonts w:ascii="Verdana" w:hAnsi="Verdana"/>
          <w:color w:val="000000" w:themeColor="text1"/>
          <w:sz w:val="22"/>
          <w:szCs w:val="22"/>
        </w:rPr>
        <w:t xml:space="preserve"> and </w:t>
      </w:r>
      <w:r w:rsidRPr="005B5CB6">
        <w:rPr>
          <w:rFonts w:ascii="Verdana" w:hAnsi="Verdana"/>
          <w:i/>
          <w:color w:val="000000" w:themeColor="text1"/>
          <w:sz w:val="22"/>
          <w:szCs w:val="22"/>
        </w:rPr>
        <w:t xml:space="preserve">full ethical </w:t>
      </w:r>
      <w:r w:rsidRPr="005B5CB6">
        <w:rPr>
          <w:rFonts w:ascii="Verdana" w:hAnsi="Verdana"/>
          <w:i/>
          <w:color w:val="000000" w:themeColor="text1"/>
          <w:sz w:val="22"/>
          <w:szCs w:val="22"/>
        </w:rPr>
        <w:t>review by accredited review bodies</w:t>
      </w:r>
      <w:r w:rsidRPr="005B5CB6">
        <w:rPr>
          <w:rFonts w:ascii="Verdana" w:hAnsi="Verdana"/>
          <w:color w:val="000000" w:themeColor="text1"/>
          <w:sz w:val="22"/>
          <w:szCs w:val="22"/>
        </w:rPr>
        <w:t>.</w:t>
      </w:r>
      <w:r w:rsidRPr="005B5CB6">
        <w:rPr>
          <w:rFonts w:ascii="Verdana" w:hAnsi="Verdana"/>
          <w:i/>
          <w:color w:val="000000" w:themeColor="text1"/>
          <w:sz w:val="22"/>
          <w:szCs w:val="22"/>
        </w:rPr>
        <w:t xml:space="preserve"> </w:t>
      </w:r>
      <w:r w:rsidRPr="005B5CB6">
        <w:rPr>
          <w:rFonts w:ascii="Verdana" w:hAnsi="Verdana"/>
          <w:color w:val="000000" w:themeColor="text1"/>
          <w:sz w:val="22"/>
          <w:szCs w:val="22"/>
        </w:rPr>
        <w:t>Researchers should be permitted to publish their findings without restrictions.</w:t>
      </w:r>
    </w:p>
    <w:p w:rsidR="00C752DD" w:rsidRPr="005B5CB6" w:rsidP="00575F14">
      <w:pPr>
        <w:pStyle w:val="ListParagraph"/>
        <w:numPr>
          <w:ilvl w:val="1"/>
          <w:numId w:val="305"/>
        </w:numPr>
        <w:shd w:val="clear" w:color="auto" w:fill="FFFFFF"/>
        <w:jc w:val="both"/>
        <w:rPr>
          <w:rFonts w:ascii="Verdana" w:hAnsi="Verdana"/>
          <w:color w:val="000000" w:themeColor="text1"/>
          <w:sz w:val="22"/>
          <w:szCs w:val="22"/>
        </w:rPr>
      </w:pPr>
      <w:r w:rsidRPr="005B5CB6">
        <w:rPr>
          <w:rFonts w:ascii="Verdana" w:hAnsi="Verdana"/>
          <w:color w:val="000000" w:themeColor="text1"/>
          <w:sz w:val="22"/>
          <w:szCs w:val="22"/>
        </w:rPr>
        <w:t>For sensitive PII for which direct user consent has not been or cannot be obtained, the platforms should develop so-called "clean rooms" (physical or virtual), wherein researchers can analyze data without needing to transfer said data. Such practices are common in public health and government data research, which should serve as the model. Researchers should be permitted to publish their findings without restrictions.</w:t>
      </w:r>
    </w:p>
    <w:p w:rsidR="004C0BEA" w:rsidRPr="005B5CB6" w:rsidP="00C752DD">
      <w:pPr>
        <w:shd w:val="clear" w:color="auto" w:fill="FFFFFF"/>
        <w:spacing w:before="100" w:beforeAutospacing="1" w:after="100" w:afterAutospacing="1"/>
        <w:ind w:left="720"/>
        <w:jc w:val="both"/>
        <w:rPr>
          <w:rFonts w:ascii="Verdana" w:hAnsi="Verdana"/>
          <w:color w:val="000000" w:themeColor="text1"/>
        </w:rPr>
      </w:pPr>
      <w:r w:rsidRPr="005B5CB6">
        <w:rPr>
          <w:rFonts w:ascii="Verdana" w:hAnsi="Verdana"/>
          <w:color w:val="000000" w:themeColor="text1"/>
        </w:rPr>
        <w:t>Note, however, that in each instance independent review is necessary to ensure that the data provided by companies are full and accurate. Such review is essential for maintaining the integrity of research results.</w:t>
      </w:r>
    </w:p>
    <w:p w:rsidR="004C0BEA" w:rsidRPr="005B5CB6">
      <w:pPr>
        <w:rPr>
          <w:rFonts w:ascii="Verdana" w:hAnsi="Verdana"/>
          <w:color w:val="000000" w:themeColor="text1"/>
        </w:rPr>
      </w:pPr>
      <w:r w:rsidRPr="005B5CB6">
        <w:rPr>
          <w:rFonts w:ascii="Verdana" w:hAnsi="Verdana"/>
          <w:color w:val="000000" w:themeColor="text1"/>
        </w:rPr>
        <w:br w:type="page"/>
      </w:r>
    </w:p>
    <w:p w:rsidR="00C752DD" w:rsidRPr="005B5CB6" w:rsidP="00C752DD">
      <w:pPr>
        <w:pStyle w:val="Heading1"/>
        <w:rPr>
          <w:i/>
          <w:iCs/>
          <w:sz w:val="22"/>
        </w:rPr>
      </w:pPr>
      <w:bookmarkStart w:id="92" w:name="_Toc44517780"/>
      <w:r w:rsidRPr="005B5CB6">
        <w:rPr>
          <w:rFonts w:eastAsia="Calibri"/>
          <w:iCs/>
          <w:sz w:val="22"/>
        </w:rPr>
        <w:t>Conservative Party  - written evidence (DAD106)</w:t>
      </w:r>
      <w:bookmarkEnd w:id="92"/>
    </w:p>
    <w:p w:rsidR="00C752DD" w:rsidRPr="005B5CB6" w:rsidP="00C752DD">
      <w:pPr>
        <w:spacing w:after="0"/>
        <w:rPr>
          <w:rFonts w:ascii="Verdana" w:hAnsi="Verdana"/>
        </w:rPr>
      </w:pPr>
      <w:r w:rsidRPr="005B5CB6">
        <w:rPr>
          <w:rFonts w:ascii="Verdana" w:hAnsi="Verdana"/>
          <w:b/>
        </w:rPr>
        <w:t xml:space="preserve"> </w:t>
      </w:r>
    </w:p>
    <w:p w:rsidR="00C752DD" w:rsidRPr="005B5CB6" w:rsidP="00C752DD">
      <w:pPr>
        <w:spacing w:after="0"/>
        <w:rPr>
          <w:rFonts w:ascii="Verdana" w:hAnsi="Verdana"/>
        </w:rPr>
      </w:pPr>
    </w:p>
    <w:p w:rsidR="00C752DD" w:rsidRPr="005B5CB6" w:rsidP="00C752DD">
      <w:pPr>
        <w:spacing w:after="0"/>
        <w:rPr>
          <w:rFonts w:ascii="Verdana" w:hAnsi="Verdana"/>
        </w:rPr>
      </w:pPr>
    </w:p>
    <w:p w:rsidR="00C752DD" w:rsidRPr="005B5CB6" w:rsidP="00C752DD">
      <w:pPr>
        <w:rPr>
          <w:rFonts w:ascii="Verdana" w:hAnsi="Verdana"/>
          <w:b/>
          <w:bCs/>
        </w:rPr>
      </w:pPr>
      <w:r w:rsidRPr="005B5CB6">
        <w:rPr>
          <w:rFonts w:ascii="Verdana" w:hAnsi="Verdana"/>
          <w:b/>
          <w:bCs/>
        </w:rPr>
        <w:t xml:space="preserve">Use of data services and analytics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All political parties, and indeed all organisations, are making increasing use of digital communications. But our use complements existing means of communication including grassroots campaigning. Political parties remain voluntary sector organisations.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It may be helpful to explain that the Information Commissioner has carried out a statutory audit  of all major political parties, including the Conservative Party.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We have committed to working through the ICO’s constructive recommendations and will be welcoming back the ICO at a later date to review our improvement. The audit covered our use of data brokers; they have identified areas where our use could be improved, this includes due diligence, audits and the how we check incoming data.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spacing w:after="0" w:line="238" w:lineRule="auto"/>
        <w:ind w:right="62"/>
        <w:rPr>
          <w:rFonts w:ascii="Verdana" w:hAnsi="Verdana"/>
        </w:rPr>
      </w:pPr>
      <w:r w:rsidRPr="005B5CB6">
        <w:rPr>
          <w:rFonts w:ascii="Verdana" w:hAnsi="Verdana"/>
        </w:rPr>
        <w:t xml:space="preserve">We do purchase commercially available data (including Experian) and this is stated in our privacy policy, and how we use data is also described in there. </w:t>
      </w:r>
      <w:r>
        <w:fldChar w:fldCharType="begin"/>
      </w:r>
      <w:r>
        <w:instrText xml:space="preserve"> HYPERLINK "http://www.conservatives.com/privacy" </w:instrText>
      </w:r>
      <w:r>
        <w:fldChar w:fldCharType="separate"/>
      </w:r>
      <w:r w:rsidRPr="005B5CB6">
        <w:rPr>
          <w:rFonts w:ascii="Verdana" w:hAnsi="Verdana"/>
          <w:color w:val="0563C1"/>
          <w:u w:val="single" w:color="0563C1"/>
        </w:rPr>
        <w:t>www.conservatives.com/privacy</w:t>
      </w:r>
      <w:r>
        <w:fldChar w:fldCharType="end"/>
      </w:r>
      <w:r>
        <w:fldChar w:fldCharType="begin"/>
      </w:r>
      <w:r>
        <w:instrText xml:space="preserve"> HYPERLINK "http://www.conservatives.com/privacy" </w:instrText>
      </w:r>
      <w:r>
        <w:fldChar w:fldCharType="separate"/>
      </w:r>
      <w:r w:rsidRPr="005B5CB6">
        <w:rPr>
          <w:rFonts w:ascii="Verdana" w:hAnsi="Verdana"/>
          <w:color w:val="0563C1"/>
        </w:rPr>
        <w:t xml:space="preserve"> </w:t>
      </w:r>
      <w:r>
        <w:fldChar w:fldCharType="end"/>
      </w:r>
      <w:r w:rsidRPr="005B5CB6">
        <w:rPr>
          <w:rFonts w:ascii="Verdana" w:hAnsi="Verdana"/>
          <w:color w:val="0563C1"/>
          <w:u w:val="single" w:color="0563C1"/>
        </w:rPr>
        <w:t>It should be noted that the use of data in no way adversely affects anyone’s entitlement to vote.</w:t>
      </w:r>
      <w:r w:rsidRPr="005B5CB6">
        <w:rPr>
          <w:rFonts w:ascii="Verdana" w:hAnsi="Verdana"/>
          <w:color w:val="0563C1"/>
        </w:rPr>
        <w:t xml:space="preserve"> </w:t>
      </w:r>
      <w:r w:rsidRPr="005B5CB6">
        <w:rPr>
          <w:rFonts w:ascii="Verdana" w:hAnsi="Verdana"/>
          <w:color w:val="0563C1"/>
          <w:u w:val="single" w:color="0563C1"/>
        </w:rPr>
        <w:t>Rather, political parties use data to help communicate with electors, and (at election time),</w:t>
      </w:r>
      <w:r w:rsidRPr="005B5CB6">
        <w:rPr>
          <w:rFonts w:ascii="Verdana" w:hAnsi="Verdana"/>
          <w:color w:val="0563C1"/>
        </w:rPr>
        <w:t xml:space="preserve"> </w:t>
      </w:r>
      <w:r w:rsidRPr="005B5CB6">
        <w:rPr>
          <w:rFonts w:ascii="Verdana" w:hAnsi="Verdana"/>
          <w:color w:val="0563C1"/>
          <w:u w:val="single" w:color="0563C1"/>
        </w:rPr>
        <w:t>encourage people to vote.</w:t>
      </w:r>
      <w:r w:rsidRPr="005B5CB6">
        <w:rPr>
          <w:rFonts w:ascii="Verdana" w:hAnsi="Verdana"/>
          <w:color w:val="0563C1"/>
        </w:rPr>
        <w:t xml:space="preserve"> </w:t>
      </w:r>
      <w:r w:rsidRPr="005B5CB6">
        <w:rPr>
          <w:rFonts w:ascii="Verdana" w:hAnsi="Verdana"/>
        </w:rPr>
        <w:t xml:space="preserve">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Our data protection processes, policies and procedures continue to evolve, in part due to our work with the ICO, but also as the Data Protection Act 2018 and GDPR bed in and legal cases establish a deeper understanding.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rPr>
          <w:rFonts w:ascii="Verdana" w:hAnsi="Verdana"/>
          <w:b/>
          <w:bCs/>
        </w:rPr>
      </w:pPr>
      <w:r w:rsidRPr="005B5CB6">
        <w:rPr>
          <w:rFonts w:ascii="Verdana" w:hAnsi="Verdana"/>
          <w:b/>
          <w:bCs/>
        </w:rPr>
        <w:t xml:space="preserve">Data Protection Act / basis for data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spacing w:after="108"/>
        <w:ind w:left="-5" w:right="49"/>
        <w:rPr>
          <w:rFonts w:ascii="Verdana" w:hAnsi="Verdana"/>
        </w:rPr>
      </w:pPr>
      <w:r w:rsidRPr="005B5CB6">
        <w:rPr>
          <w:rFonts w:ascii="Verdana" w:hAnsi="Verdana"/>
        </w:rPr>
        <w:t xml:space="preserve">Through the Data Protection Act 2018, Parliament intentionally legislated to provide a legal basis for processing of ‘democratic engagement’, as a ‘task in the public interest’. This allows for data to be processed as an alternative to explicit prior consent. This is not an ‘exception’, rather it is one of the different legal bases in data protection law on which to process data.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As an example of how it may be used, MPs may routinely send a birthday card to a constituent at the point at which they reach 18 and are entered onto the electoral register as a full elector. It would not be practical to obtain prior consent from the 18-year-old to ask permission to send them a birthday card.  </w:t>
      </w:r>
    </w:p>
    <w:p w:rsidR="00C752DD" w:rsidRPr="005B5CB6" w:rsidP="00C752DD">
      <w:pPr>
        <w:spacing w:after="17"/>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Separately, there is also a permitted provision for political parties to process the ‘special category data’ of political opinions. It would be perverse if political parties were not able to process political opinions. For example, if a party identifies that a voter has views on (say) pensions, after undertaking a survey or canvassing, that then allows the party to record that interest, and subsequently communicate the party’s policies on pensions at an election time. Parties may use other pieces of collected data to help refine who to write to.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This is an important feature of how our democracy has always worked: parties (including candidates and elected representatives) listen to voters, and then communicate with voters, to gain their mandate at the ballot box. There is also an important interaction with electoral law: parties and candidate spending are capped at a national and local level, and consequently both are forced to narrow and target audiences. This practice is not new. If parties were further restricted in targeting voters under data protection law, the practical effect would be to raise the cost per communication; this would result in less democratic engagement overall, and raise barriers to entry to participating in elections. </w:t>
      </w:r>
    </w:p>
    <w:p w:rsidR="00C752DD" w:rsidRPr="005B5CB6" w:rsidP="00C752DD">
      <w:pPr>
        <w:spacing w:after="16"/>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We have a number of concerns about the Information Commissioner’s draft code on the use of data for political campaigning. In the interests of transparency, I enclose a copy of the response that the Conservative Party sent to the consultation. I would particularly flag the potential chilling effect on long-standing practices of MPs and councillors from engaging with their local constituents.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As we state in our response, targeting people to receive political messaging is a normal part of democratic engagement. It is consistent with the long-held rights of free speech and freedom of expression. Targeted messages to those voters believed to be interested in a given issue specifically aligns with the definitions of democratic engagement (as defined in the Data Protection Act’s </w:t>
      </w:r>
      <w:r w:rsidRPr="005B5CB6">
        <w:rPr>
          <w:rFonts w:ascii="Verdana" w:hAnsi="Verdana"/>
          <w:i/>
        </w:rPr>
        <w:t>Explanatory Notes</w:t>
      </w:r>
      <w:r w:rsidRPr="005B5CB6">
        <w:rPr>
          <w:rFonts w:ascii="Verdana" w:hAnsi="Verdana"/>
        </w:rPr>
        <w:t xml:space="preserve">) which includes: communicating with electors and interested parties; surveying and opinion gathering, campaigning activities.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I would observe that there has been minimal Parliamentary scrutiny of the detail of the numerous codes being produced by the ICO – this is not something that the DCMS or PACAC Select Committees have considered. The lack of </w:t>
      </w:r>
      <w:r w:rsidRPr="005B5CB6">
        <w:rPr>
          <w:rFonts w:ascii="Verdana" w:hAnsi="Verdana"/>
          <w:i/>
        </w:rPr>
        <w:t>any</w:t>
      </w:r>
      <w:r w:rsidRPr="005B5CB6">
        <w:rPr>
          <w:rFonts w:ascii="Verdana" w:hAnsi="Verdana"/>
        </w:rPr>
        <w:t xml:space="preserve"> democratic scrutiny of quasi-legislation from a public body should be a cause for concern.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rPr>
          <w:rFonts w:ascii="Verdana" w:hAnsi="Verdana"/>
          <w:b/>
          <w:bCs/>
        </w:rPr>
      </w:pPr>
      <w:r w:rsidRPr="005B5CB6">
        <w:rPr>
          <w:rFonts w:ascii="Verdana" w:hAnsi="Verdana"/>
          <w:b/>
          <w:bCs/>
        </w:rPr>
        <w:t xml:space="preserve">Political and commercial advertising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You asked about the distinction between political and commercial advertising. This is addressed in our response to the ICO’s draft code on political campaigning. This issue stems from electronic communication regulations, rather than data protection legislation or trading/advertising standards.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The provisions of ePrivacy Directive (2002/58/EC) were intended to apply to ‘commercial communications’ for ‘direct marketing’. The (then) Labour Government transposed these </w:t>
      </w:r>
    </w:p>
    <w:p w:rsidR="00C752DD" w:rsidRPr="005B5CB6" w:rsidP="00C752DD">
      <w:pPr>
        <w:ind w:left="-5" w:right="49"/>
        <w:rPr>
          <w:rFonts w:ascii="Verdana" w:hAnsi="Verdana"/>
        </w:rPr>
      </w:pPr>
      <w:r w:rsidRPr="005B5CB6">
        <w:rPr>
          <w:rFonts w:ascii="Verdana" w:hAnsi="Verdana"/>
        </w:rPr>
        <w:t xml:space="preserve">‘PECR’ regulations in 2003, and they did not apply to party political communications (as political parties do not sell goods or services). The Information Commissioner subsequently resolved that it did apply to political communications, following a Tribunal case involving the SNP. This case has never been tested by the higher courts, and never been ratified or agreed by Parliament. The underlying European Union legislation gave discretion to member states on this matter (and would continue to do so within the EU under the future ePrivacy Regulation). </w:t>
      </w:r>
    </w:p>
    <w:p w:rsidR="00C752DD" w:rsidRPr="005B5CB6" w:rsidP="00C752DD">
      <w:pPr>
        <w:spacing w:after="14"/>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Moreover, even under the PECR regulations, commercial organisations may undertake a ‘soft opt in’ communication: a one-off email to ask existing ‘customers’ if they wish to continue to be contacted. In its draft Code, the ICO has argued that this does not apply to political communications. Again, this is confused. Either political communications are marketing and fall under PECR, and should therefore enjoy the permitted exemptions open to businesses under PECR, or they are not commercial marketing and PECR should not apply in the first place.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These issues have also been raised in the ICO’s separate consultation on a statutory code on direct marketing. The ICO has proposed that public sector communications should be caught as direct marketing, and gives an example that pro-active public health communications on GPs’ flu vaccinations would not be permitted without explicit consent.</w:t>
      </w:r>
      <w:r>
        <w:rPr>
          <w:rFonts w:ascii="Verdana" w:hAnsi="Verdana"/>
          <w:vertAlign w:val="superscript"/>
        </w:rPr>
        <w:footnoteReference w:id="481"/>
      </w:r>
      <w:r w:rsidRPr="005B5CB6">
        <w:rPr>
          <w:rFonts w:ascii="Verdana" w:hAnsi="Verdana"/>
        </w:rPr>
        <w:t xml:space="preserve"> The code would thus have the effect of further extending the legal definition of ‘commercial advertising’. This has deeply concerning implications for public health and safety, but is an unsurprising conclusion from the ICO unilaterally deciding that the definition in Parliament’s 2003 regulations should apply to far more than just commercial marketing activities.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We believe that the Government should ultimately review this confused legislative basis in PECR, with scope then for Parliament to agree a clearer legislative framework in secondary legislation. It would be open to legislators to set out activities which are permitted without explicit consent, and ones which would not be permitted. There would also be clear merits in a more consistent alignment with data protection law, rather than having two overlapping and </w:t>
      </w:r>
      <w:r w:rsidRPr="005B5CB6">
        <w:rPr>
          <w:rFonts w:ascii="Verdana" w:hAnsi="Verdana"/>
        </w:rPr>
        <w:t xml:space="preserve">confusing regimes. There are also new opportunities outside the European Union to tailor legislation specifically for the UK’s needs. </w:t>
      </w:r>
    </w:p>
    <w:p w:rsidR="00C752DD" w:rsidRPr="005B5CB6" w:rsidP="00C752DD">
      <w:pPr>
        <w:spacing w:after="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We hope these points will be useful.  </w:t>
      </w:r>
    </w:p>
    <w:p w:rsidR="00C752DD" w:rsidRPr="005B5CB6" w:rsidP="00C752DD">
      <w:pPr>
        <w:spacing w:after="0"/>
        <w:ind w:left="720"/>
        <w:rPr>
          <w:rFonts w:ascii="Verdana" w:hAnsi="Verdana"/>
        </w:rPr>
      </w:pPr>
      <w:r w:rsidRPr="005B5CB6">
        <w:rPr>
          <w:rFonts w:ascii="Verdana" w:hAnsi="Verdana"/>
        </w:rPr>
        <w:t xml:space="preserve"> </w:t>
      </w:r>
    </w:p>
    <w:p w:rsidR="00C752DD" w:rsidRPr="005B5CB6" w:rsidP="00C752DD">
      <w:pPr>
        <w:ind w:left="-5" w:right="49"/>
        <w:rPr>
          <w:rFonts w:ascii="Verdana" w:hAnsi="Verdana"/>
        </w:rPr>
      </w:pPr>
      <w:r w:rsidRPr="005B5CB6">
        <w:rPr>
          <w:rFonts w:ascii="Verdana" w:hAnsi="Verdana"/>
        </w:rPr>
        <w:t xml:space="preserve">Yours faithfully, </w:t>
      </w:r>
    </w:p>
    <w:p w:rsidR="00C752DD" w:rsidRPr="005B5CB6" w:rsidP="00C752DD">
      <w:pPr>
        <w:spacing w:after="0"/>
        <w:ind w:left="-5"/>
        <w:rPr>
          <w:rFonts w:ascii="Verdana" w:hAnsi="Verdana"/>
          <w:b/>
        </w:rPr>
      </w:pPr>
    </w:p>
    <w:p w:rsidR="00C752DD" w:rsidRPr="005B5CB6" w:rsidP="00C752DD">
      <w:pPr>
        <w:spacing w:after="0"/>
        <w:ind w:left="-5"/>
        <w:rPr>
          <w:rFonts w:ascii="Verdana" w:hAnsi="Verdana"/>
        </w:rPr>
      </w:pPr>
      <w:r w:rsidRPr="005B5CB6">
        <w:rPr>
          <w:rFonts w:ascii="Verdana" w:hAnsi="Verdana"/>
          <w:b/>
        </w:rPr>
        <w:t xml:space="preserve">Alan Mabbutt OBE </w:t>
      </w:r>
    </w:p>
    <w:p w:rsidR="00C752DD" w:rsidRPr="005B5CB6" w:rsidP="00C752DD">
      <w:pPr>
        <w:spacing w:after="0"/>
        <w:ind w:left="-5"/>
        <w:rPr>
          <w:rFonts w:ascii="Verdana" w:hAnsi="Verdana"/>
        </w:rPr>
      </w:pPr>
      <w:r w:rsidRPr="005B5CB6">
        <w:rPr>
          <w:rFonts w:ascii="Verdana" w:hAnsi="Verdana"/>
          <w:i/>
        </w:rPr>
        <w:t xml:space="preserve">Registered Treasurer and Legal Officer </w:t>
      </w:r>
    </w:p>
    <w:p w:rsidR="00285E20" w:rsidRPr="005B5CB6" w:rsidP="00C752DD">
      <w:pPr>
        <w:spacing w:after="0"/>
        <w:ind w:left="-5"/>
        <w:rPr>
          <w:rFonts w:ascii="Verdana" w:hAnsi="Verdana"/>
        </w:rPr>
      </w:pPr>
      <w:r w:rsidRPr="005B5CB6">
        <w:rPr>
          <w:rFonts w:ascii="Verdana" w:hAnsi="Verdana"/>
          <w:i/>
        </w:rPr>
        <w:t>Conservative Party</w:t>
      </w:r>
      <w:r w:rsidRPr="005B5CB6">
        <w:rPr>
          <w:rFonts w:ascii="Verdana" w:hAnsi="Verdana"/>
        </w:rPr>
        <w:t xml:space="preserve"> </w:t>
      </w:r>
    </w:p>
    <w:p w:rsidR="00285E20" w:rsidRPr="005B5CB6">
      <w:pPr>
        <w:rPr>
          <w:rFonts w:ascii="Verdana" w:hAnsi="Verdana"/>
        </w:rPr>
      </w:pPr>
      <w:r w:rsidRPr="005B5CB6">
        <w:rPr>
          <w:rFonts w:ascii="Verdana" w:hAnsi="Verdana"/>
        </w:rPr>
        <w:br w:type="page"/>
      </w:r>
    </w:p>
    <w:p w:rsidR="00C752DD" w:rsidRPr="005B5CB6" w:rsidP="00C752DD">
      <w:pPr>
        <w:spacing w:after="0"/>
        <w:rPr>
          <w:rFonts w:ascii="Verdana" w:hAnsi="Verdana"/>
        </w:rPr>
      </w:pPr>
      <w:r w:rsidRPr="005B5CB6">
        <w:rPr>
          <w:rFonts w:ascii="Verdana" w:hAnsi="Verdana"/>
        </w:rPr>
        <w:t xml:space="preserve"> </w:t>
      </w:r>
    </w:p>
    <w:p w:rsidR="004C0BEA" w:rsidRPr="005B5CB6" w:rsidP="00285E20">
      <w:pPr>
        <w:pStyle w:val="Heading1"/>
        <w:rPr>
          <w:sz w:val="22"/>
        </w:rPr>
      </w:pPr>
      <w:bookmarkStart w:id="93" w:name="_Toc44517781"/>
      <w:r w:rsidRPr="005B5CB6">
        <w:rPr>
          <w:sz w:val="22"/>
        </w:rPr>
        <w:t>Liberal Democrats – written evidence (</w:t>
      </w:r>
      <w:r w:rsidRPr="005B5CB6">
        <w:rPr>
          <w:sz w:val="22"/>
        </w:rPr>
        <w:t>DAD0105</w:t>
      </w:r>
      <w:r w:rsidRPr="005B5CB6">
        <w:rPr>
          <w:sz w:val="22"/>
        </w:rPr>
        <w:t>)</w:t>
      </w:r>
      <w:bookmarkEnd w:id="93"/>
    </w:p>
    <w:p w:rsidR="00285E20" w:rsidRPr="005B5CB6" w:rsidP="00C752DD">
      <w:pPr>
        <w:rPr>
          <w:rFonts w:ascii="Verdana" w:hAnsi="Verdana"/>
        </w:rPr>
      </w:pPr>
    </w:p>
    <w:p w:rsidR="00C752DD" w:rsidRPr="005B5CB6" w:rsidP="00C752DD">
      <w:pPr>
        <w:rPr>
          <w:rFonts w:ascii="Verdana" w:hAnsi="Verdana"/>
        </w:rPr>
      </w:pPr>
      <w:r w:rsidRPr="005B5CB6">
        <w:rPr>
          <w:rFonts w:ascii="Verdana" w:hAnsi="Verdana"/>
        </w:rPr>
        <w:t>Lord Puttnam,</w:t>
      </w:r>
    </w:p>
    <w:p w:rsidR="00C752DD" w:rsidRPr="005B5CB6" w:rsidP="00C752DD">
      <w:pPr>
        <w:rPr>
          <w:rFonts w:ascii="Verdana" w:hAnsi="Verdana"/>
        </w:rPr>
      </w:pPr>
      <w:r w:rsidRPr="005B5CB6">
        <w:rPr>
          <w:rFonts w:ascii="Verdana" w:hAnsi="Verdana"/>
        </w:rPr>
        <w:t xml:space="preserve">Denise Baron is currently on furlough leave, and as a result I shall be providing a response to your letter of 23 March. My role during the election was Head of Digital, and as such I am able to speak on these matters. </w:t>
      </w:r>
    </w:p>
    <w:p w:rsidR="00C752DD" w:rsidRPr="005B5CB6" w:rsidP="00C752DD">
      <w:pPr>
        <w:rPr>
          <w:rFonts w:ascii="Verdana" w:hAnsi="Verdana"/>
        </w:rPr>
      </w:pPr>
      <w:r w:rsidRPr="005B5CB6">
        <w:rPr>
          <w:rFonts w:ascii="Verdana" w:hAnsi="Verdana"/>
        </w:rPr>
        <w:t>I would like to respond to the specific points you have raised in your letter individually:</w:t>
      </w:r>
    </w:p>
    <w:p w:rsidR="00C752DD" w:rsidRPr="005B5CB6" w:rsidP="00C752DD">
      <w:pPr>
        <w:ind w:left="720"/>
        <w:rPr>
          <w:rFonts w:ascii="Verdana" w:hAnsi="Verdana"/>
        </w:rPr>
      </w:pPr>
      <w:r w:rsidRPr="005B5CB6">
        <w:rPr>
          <w:rFonts w:ascii="Verdana" w:hAnsi="Verdana"/>
          <w:b/>
          <w:bCs/>
        </w:rPr>
        <w:t>Purchase of information from data brokers or social listening tools</w:t>
      </w:r>
      <w:r w:rsidRPr="005B5CB6">
        <w:rPr>
          <w:rFonts w:ascii="Verdana" w:hAnsi="Verdana"/>
        </w:rPr>
        <w:br/>
        <w:t>I can confirm that we did not use any data brokers’ services or social listening tools with regard to our digital campaign in the 2019 election. It was our judgement that using data brokers’ services for the digital campaign would not be GDPR compliant, and therefore unsuitable for online campaigning, and that social listening tools would be of limited value to our campaign objectives.</w:t>
      </w:r>
    </w:p>
    <w:p w:rsidR="00C752DD" w:rsidRPr="005B5CB6" w:rsidP="00C752DD">
      <w:pPr>
        <w:ind w:left="720"/>
        <w:rPr>
          <w:rFonts w:ascii="Verdana" w:hAnsi="Verdana"/>
        </w:rPr>
      </w:pPr>
      <w:r w:rsidRPr="005B5CB6">
        <w:rPr>
          <w:rFonts w:ascii="Verdana" w:hAnsi="Verdana"/>
          <w:b/>
          <w:bCs/>
        </w:rPr>
        <w:t>Regarding transparency of political advertising</w:t>
      </w:r>
      <w:r w:rsidRPr="005B5CB6">
        <w:rPr>
          <w:rFonts w:ascii="Verdana" w:hAnsi="Verdana"/>
        </w:rPr>
        <w:br/>
        <w:t xml:space="preserve">We do not have a preferred model in this area. </w:t>
      </w:r>
    </w:p>
    <w:p w:rsidR="00C752DD" w:rsidRPr="005B5CB6" w:rsidP="00C752DD">
      <w:pPr>
        <w:ind w:left="720"/>
        <w:rPr>
          <w:rFonts w:ascii="Verdana" w:hAnsi="Verdana"/>
        </w:rPr>
      </w:pPr>
      <w:r w:rsidRPr="005B5CB6">
        <w:rPr>
          <w:rFonts w:ascii="Verdana" w:hAnsi="Verdana"/>
          <w:b/>
          <w:bCs/>
        </w:rPr>
        <w:t>Information Commissioner and conflating political and commercial data protection and privacy law</w:t>
      </w:r>
      <w:r w:rsidRPr="005B5CB6">
        <w:rPr>
          <w:rFonts w:ascii="Verdana" w:hAnsi="Verdana"/>
        </w:rPr>
        <w:br/>
        <w:t>Unfortunately I cannot see the point to which you are referring in Denise’s response on this issue. Could you clarify what this relates to?</w:t>
      </w:r>
    </w:p>
    <w:p w:rsidR="00C752DD" w:rsidRPr="005B5CB6" w:rsidP="00C752DD">
      <w:pPr>
        <w:rPr>
          <w:rFonts w:ascii="Verdana" w:hAnsi="Verdana"/>
        </w:rPr>
      </w:pPr>
      <w:r w:rsidRPr="005B5CB6">
        <w:rPr>
          <w:rFonts w:ascii="Verdana" w:hAnsi="Verdana"/>
        </w:rPr>
        <w:t>I hope that provides the required clarity on the initial two points. I am happy to come back on the third point if you could provide the additional clarification.</w:t>
      </w:r>
    </w:p>
    <w:p w:rsidR="00C752DD" w:rsidRPr="005B5CB6" w:rsidP="00C752DD">
      <w:pPr>
        <w:rPr>
          <w:rFonts w:ascii="Verdana" w:hAnsi="Verdana"/>
        </w:rPr>
      </w:pPr>
      <w:r w:rsidRPr="005B5CB6">
        <w:rPr>
          <w:rFonts w:ascii="Verdana" w:hAnsi="Verdana"/>
        </w:rPr>
        <w:t>Yours sincerely,</w:t>
      </w:r>
    </w:p>
    <w:p w:rsidR="00C752DD" w:rsidRPr="005B5CB6" w:rsidP="00C752DD">
      <w:pPr>
        <w:rPr>
          <w:rFonts w:ascii="Verdana" w:hAnsi="Verdana"/>
        </w:rPr>
      </w:pPr>
      <w:r w:rsidRPr="005B5CB6">
        <w:rPr>
          <w:rFonts w:ascii="Verdana" w:hAnsi="Verdana"/>
        </w:rPr>
        <w:t>Alex Marshall.</w:t>
      </w:r>
      <w:r w:rsidRPr="005B5CB6">
        <w:rPr>
          <w:rFonts w:ascii="Verdana" w:hAnsi="Verdana"/>
        </w:rPr>
        <w:br/>
        <w:t>Head of Digital Communications, Liberal Democrats.</w:t>
      </w:r>
    </w:p>
    <w:p w:rsidR="00C752DD" w:rsidRPr="005B5CB6" w:rsidP="00C752DD">
      <w:pPr>
        <w:rPr>
          <w:rFonts w:ascii="Verdana" w:hAnsi="Verdana"/>
        </w:rPr>
      </w:pPr>
    </w:p>
    <w:p w:rsidR="00C752DD" w:rsidRPr="005B5CB6" w:rsidP="00C752DD">
      <w:pPr>
        <w:spacing w:line="278" w:lineRule="auto"/>
        <w:rPr>
          <w:rFonts w:ascii="Verdana" w:hAnsi="Verdana"/>
        </w:rPr>
        <w:sectPr w:rsidSect="009F7415">
          <w:pgSz w:w="11906" w:h="16838" w:code="9"/>
          <w:pgMar w:top="1440" w:right="1440" w:bottom="1440" w:left="1440" w:header="720" w:footer="720" w:gutter="0"/>
          <w:cols w:space="39"/>
          <w:docGrid w:linePitch="299"/>
        </w:sectPr>
      </w:pPr>
      <w:bookmarkStart w:id="94" w:name="Twitter_-_Committee_on_Democracy_and_Dig"/>
      <w:bookmarkEnd w:id="94"/>
    </w:p>
    <w:p w:rsidR="00C752DD" w:rsidRPr="005B5CB6" w:rsidP="00C752DD">
      <w:pPr>
        <w:pStyle w:val="Heading1"/>
        <w:jc w:val="both"/>
        <w:rPr>
          <w:sz w:val="22"/>
        </w:rPr>
      </w:pPr>
      <w:bookmarkStart w:id="95" w:name="_Toc44517782"/>
      <w:r w:rsidRPr="005B5CB6">
        <w:rPr>
          <w:sz w:val="22"/>
        </w:rPr>
        <w:t>Chloe Smith MP – written evidence (DAD0107)</w:t>
      </w:r>
      <w:bookmarkEnd w:id="95"/>
    </w:p>
    <w:p w:rsidR="00C752DD" w:rsidRPr="005B5CB6" w:rsidP="00C752DD">
      <w:pPr>
        <w:tabs>
          <w:tab w:val="center" w:pos="1963"/>
          <w:tab w:val="center" w:pos="4744"/>
        </w:tabs>
        <w:spacing w:after="100" w:afterAutospacing="1" w:line="240" w:lineRule="auto"/>
        <w:rPr>
          <w:rFonts w:ascii="Verdana" w:hAnsi="Verdana"/>
        </w:rPr>
      </w:pPr>
      <w:r w:rsidRPr="005B5CB6">
        <w:rPr>
          <w:rFonts w:ascii="Verdana" w:hAnsi="Verdana"/>
        </w:rPr>
        <w:t xml:space="preserve"> </w:t>
      </w:r>
    </w:p>
    <w:p w:rsidR="00C752DD" w:rsidRPr="005B5CB6" w:rsidP="00C752DD">
      <w:pPr>
        <w:spacing w:after="100" w:afterAutospacing="1" w:line="240" w:lineRule="auto"/>
        <w:ind w:left="29" w:right="44"/>
        <w:rPr>
          <w:rFonts w:ascii="Verdana" w:hAnsi="Verdana"/>
        </w:rPr>
      </w:pPr>
      <w:r w:rsidRPr="005B5CB6">
        <w:rPr>
          <w:rFonts w:ascii="Verdana" w:hAnsi="Verdana"/>
        </w:rPr>
        <w:t xml:space="preserve">Thank you for the invitation to give evidence to your committee on Tuesday 12 May alongside the Minister of State for Digital and Culture and the Minister of State for School Standards. It was a good opportunity to address your concerns on democracy and digital technologies, and update you with the work this Government is undertaking. I look forward to reviewing the Committee’s final report.  </w:t>
      </w:r>
    </w:p>
    <w:p w:rsidR="00C752DD" w:rsidRPr="005B5CB6" w:rsidP="00C752DD">
      <w:pPr>
        <w:spacing w:after="100" w:afterAutospacing="1" w:line="240" w:lineRule="auto"/>
        <w:ind w:left="34"/>
        <w:rPr>
          <w:rFonts w:ascii="Verdana" w:hAnsi="Verdana"/>
        </w:rPr>
      </w:pPr>
      <w:r w:rsidRPr="005B5CB6">
        <w:rPr>
          <w:rFonts w:ascii="Verdana" w:hAnsi="Verdana"/>
        </w:rPr>
        <w:t xml:space="preserve"> You made some final remarks, and I would like to reassure you that it will always be an absolute priority of this Government to protect and uphold our democratic and electoral processes, including where the growing use of digital technologies are concerned. We recognise that there are gaps in electoral law that need to be addressed.  </w:t>
      </w:r>
    </w:p>
    <w:p w:rsidR="00C752DD" w:rsidRPr="005B5CB6" w:rsidP="00C752DD">
      <w:pPr>
        <w:spacing w:after="100" w:afterAutospacing="1" w:line="240" w:lineRule="auto"/>
        <w:ind w:left="34"/>
        <w:rPr>
          <w:rFonts w:ascii="Verdana" w:hAnsi="Verdana"/>
        </w:rPr>
      </w:pPr>
      <w:r w:rsidRPr="005B5CB6">
        <w:rPr>
          <w:rFonts w:ascii="Verdana" w:hAnsi="Verdana"/>
        </w:rPr>
        <w:t xml:space="preserve"> As I set out during the evidence session, the Government is taking forward a programme of work which will aim to address these gaps; this will ensure that elections are secure and fit for the modern age. We will review and refresh our analogue laws for a digital age, empowering citizens to make informed decisions by increasing transparency in online political campaigning and ensuring rules on campaign donations and spending are effective. </w:t>
      </w:r>
    </w:p>
    <w:p w:rsidR="00C752DD" w:rsidRPr="005B5CB6" w:rsidP="00C752DD">
      <w:pPr>
        <w:spacing w:after="100" w:afterAutospacing="1" w:line="240" w:lineRule="auto"/>
        <w:ind w:left="29" w:right="44"/>
        <w:rPr>
          <w:rFonts w:ascii="Verdana" w:hAnsi="Verdana"/>
        </w:rPr>
      </w:pPr>
      <w:r w:rsidRPr="005B5CB6">
        <w:rPr>
          <w:rFonts w:ascii="Verdana" w:hAnsi="Verdana"/>
        </w:rPr>
        <w:t xml:space="preserve">As a leading part of this, the Government is pressing ahead with its work on digital imprints. Through new imprints on digital election material, we will strengthen trust and ensure people are informed about who is behind a campaign. The Government has developed technical proposals on the regime and will consult on such measures when it is practical to do so. The consultation will be aimed at voters, technology and social media companies, prospective or elected representatives and civil society organisations. It will provide an opportunity for respondents to feedback on the proposed scope of the regime ahead of the Government finalising the policy and then legislating. This Government is committed to ensuring our electoral regulation framework is able to meet the challenges presented by digital technology. </w:t>
      </w:r>
    </w:p>
    <w:p w:rsidR="00C752DD" w:rsidRPr="005B5CB6" w:rsidP="00C752DD">
      <w:pPr>
        <w:spacing w:after="100" w:afterAutospacing="1" w:line="240" w:lineRule="auto"/>
        <w:ind w:left="34"/>
        <w:rPr>
          <w:rFonts w:ascii="Verdana" w:hAnsi="Verdana"/>
        </w:rPr>
      </w:pPr>
      <w:r w:rsidRPr="005B5CB6">
        <w:rPr>
          <w:rFonts w:ascii="Verdana" w:hAnsi="Verdana"/>
        </w:rPr>
        <w:t>We will also ensure that no one is put o</w:t>
      </w:r>
      <w:r w:rsidRPr="005B5CB6">
        <w:rPr>
          <w:rFonts w:ascii="Verdana" w:eastAsia="Cambria Math" w:hAnsi="Verdana" w:cs="Cambria Math"/>
        </w:rPr>
        <w:t>ff</w:t>
      </w:r>
      <w:r w:rsidRPr="005B5CB6">
        <w:rPr>
          <w:rFonts w:ascii="Verdana" w:hAnsi="Verdana"/>
        </w:rPr>
        <w:t xml:space="preserve"> from engaging in politics or standing in an election by threats, harassment or abuse, whether in person or online. It is important to distinguish between strong political debate and robust free speech within the law on one hand, and unacceptable acts of abuse, hatred, intimidation and violence on the other. We will strive to protect our democracy from foreign interference, maintain public confidence, and safeguard Britain’s reputation for free and fair elections from those with malicious intent. </w:t>
      </w:r>
    </w:p>
    <w:p w:rsidR="00C752DD" w:rsidRPr="005B5CB6" w:rsidP="00C752DD">
      <w:pPr>
        <w:spacing w:after="100" w:afterAutospacing="1" w:line="240" w:lineRule="auto"/>
        <w:ind w:left="29" w:right="44"/>
        <w:rPr>
          <w:rFonts w:ascii="Verdana" w:hAnsi="Verdana"/>
        </w:rPr>
      </w:pPr>
      <w:r w:rsidRPr="005B5CB6">
        <w:rPr>
          <w:rFonts w:ascii="Verdana" w:hAnsi="Verdana"/>
        </w:rPr>
        <w:t xml:space="preserve">I hope this information demonstrates the importance this Government places on digital technologies in relation to democracy and elections. We will continue to safeguard against future risks, strengthen our resilience and ensure that the regulatory framework is robust.  </w:t>
      </w:r>
    </w:p>
    <w:p w:rsidR="00C752DD" w:rsidRPr="005B5CB6" w:rsidP="00C752DD">
      <w:pPr>
        <w:spacing w:after="0"/>
        <w:ind w:left="34"/>
        <w:rPr>
          <w:rFonts w:ascii="Verdana" w:hAnsi="Verdana"/>
        </w:rPr>
      </w:pPr>
      <w:r w:rsidRPr="005B5CB6">
        <w:rPr>
          <w:rFonts w:ascii="Verdana" w:eastAsia="Times New Roman" w:hAnsi="Verdana" w:cs="Times New Roman"/>
        </w:rPr>
        <w:t xml:space="preserve"> </w:t>
      </w:r>
    </w:p>
    <w:p w:rsidR="00C752DD" w:rsidRPr="005B5CB6" w:rsidP="00C752DD">
      <w:pPr>
        <w:spacing w:after="15"/>
        <w:ind w:left="34"/>
        <w:rPr>
          <w:rFonts w:ascii="Verdana" w:hAnsi="Verdana"/>
        </w:rPr>
      </w:pPr>
      <w:r w:rsidRPr="005B5CB6">
        <w:rPr>
          <w:rFonts w:ascii="Verdana" w:hAnsi="Verdana"/>
        </w:rPr>
        <w:t xml:space="preserve"> </w:t>
      </w:r>
    </w:p>
    <w:p w:rsidR="00C752DD" w:rsidRPr="005B5CB6" w:rsidP="00C752DD">
      <w:pPr>
        <w:tabs>
          <w:tab w:val="right" w:pos="9810"/>
        </w:tabs>
        <w:spacing w:after="73"/>
        <w:ind w:right="-722"/>
        <w:rPr>
          <w:rFonts w:ascii="Verdana" w:hAnsi="Verdana"/>
        </w:rPr>
      </w:pPr>
      <w:r w:rsidRPr="005B5CB6">
        <w:rPr>
          <w:rFonts w:ascii="Verdana" w:hAnsi="Verdana"/>
        </w:rPr>
        <w:t xml:space="preserve"> </w:t>
      </w:r>
      <w:r w:rsidRPr="005B5CB6">
        <w:rPr>
          <w:rFonts w:ascii="Verdana" w:hAnsi="Verdana"/>
        </w:rPr>
        <w:tab/>
      </w:r>
    </w:p>
    <w:p w:rsidR="00656373" w:rsidRPr="005B5CB6" w:rsidP="007A69A1">
      <w:pPr>
        <w:pStyle w:val="Heading1"/>
        <w:rPr>
          <w:b w:val="0"/>
          <w:bCs/>
          <w:color w:val="auto"/>
          <w:sz w:val="22"/>
        </w:rPr>
      </w:pPr>
      <w:bookmarkStart w:id="96" w:name="_Toc44517783"/>
      <w:r w:rsidRPr="005B5CB6">
        <w:rPr>
          <w:bCs/>
          <w:color w:val="auto"/>
          <w:sz w:val="22"/>
        </w:rPr>
        <w:t>Facebook supplementary written evidence (DAD0108)</w:t>
      </w:r>
      <w:bookmarkEnd w:id="96"/>
    </w:p>
    <w:p w:rsidR="00656373" w:rsidRPr="005B5CB6" w:rsidP="00857BA9">
      <w:pPr>
        <w:pStyle w:val="NormalWeb"/>
        <w:spacing w:before="0" w:beforeAutospacing="0" w:after="0" w:afterAutospacing="0"/>
        <w:jc w:val="both"/>
        <w:rPr>
          <w:rFonts w:ascii="Verdana" w:hAnsi="Verdana" w:cs="Arial"/>
          <w:color w:val="000000"/>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Dear Lord Puttnam,</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I wanted to follow up from my recent appearance before the committee.</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I was pleased when I appeared at the hearing to be able to update the committee that significant progress had been made during the course of your hearings on the issue of releasing more data to the academic community for research into elections.</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I understand why until this announcement the committee had been concerned that it was difficult for independent research to track issues of misinformation on our platform.</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But this announcement represents a genuine step change. Researchers have never before been able to understand population-level URL sharing and exposure dynamics -- in other words how information and disinformation is propagated across Facebook</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The committee had a number of questions about how the decisions had been taken to release the data in the form we did. The most authoritative sources for this information is the following article which explains this: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fldChar w:fldCharType="begin"/>
      </w:r>
      <w:r>
        <w:instrText xml:space="preserve"> HYPERLINK "https://research.fb.com/blog/2020/02/new-privacy-protected-facebook-data-for-independent-research-on-social-medias-impact-on-democracy/" </w:instrText>
      </w:r>
      <w:r>
        <w:fldChar w:fldCharType="separate"/>
      </w:r>
      <w:r w:rsidRPr="005B5CB6">
        <w:rPr>
          <w:rStyle w:val="Hyperlink"/>
          <w:rFonts w:ascii="Verdana" w:eastAsia="Verdana" w:hAnsi="Verdana" w:cs="Arial"/>
        </w:rPr>
        <w:t>https://research.fb.com/blog/2020/02/new-privacy-protected-facebook-data-for-independent-research-on-social-medias-impact-on-democracy/</w:t>
      </w:r>
      <w:r>
        <w:fldChar w:fldCharType="end"/>
      </w:r>
      <w:r w:rsidRPr="005B5CB6">
        <w:rPr>
          <w:rFonts w:ascii="Verdana" w:hAnsi="Verdana" w:cs="Arial"/>
          <w:color w:val="000000"/>
        </w:rPr>
        <w:t>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The challenge we faced in releasing this data is that by sharing databases, even anonymised, it is theoretically possible for sophisticated actors to identify individuals. Given the sensitive nature of the data involved - often relating to their engagement with political content - it should be clear why this must be kept entirely safe.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Social Science One - based at Harvard University and our partners in the release of this data - do make clear they disagree with our interpretation of our privacy responsibilities under the law to our users. But they also make clear that they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ind w:left="720"/>
        <w:jc w:val="both"/>
        <w:rPr>
          <w:rFonts w:ascii="Verdana" w:hAnsi="Verdana" w:cs="Arial"/>
        </w:rPr>
      </w:pPr>
      <w:r w:rsidRPr="005B5CB6">
        <w:rPr>
          <w:rFonts w:ascii="Verdana" w:hAnsi="Verdana" w:cs="Arial"/>
          <w:color w:val="1E1E1E"/>
          <w:shd w:val="clear" w:color="auto" w:fill="FFFFFF"/>
        </w:rPr>
        <w:t>“would not be on the hook if our legal interpretation did not win the day in court or with regulators.</w:t>
      </w:r>
      <w:r w:rsidRPr="005B5CB6">
        <w:rPr>
          <w:rFonts w:ascii="Verdana" w:hAnsi="Verdana" w:cs="Arial"/>
          <w:color w:val="000000"/>
        </w:rPr>
        <w:t>“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 xml:space="preserve">As regards providing more background to the committee on the legal advice relating to our engagement with regulators on this matter I hope you will understand that </w:t>
      </w:r>
      <w:r w:rsidRPr="005B5CB6">
        <w:rPr>
          <w:rFonts w:ascii="Verdana" w:hAnsi="Verdana" w:cs="Arial"/>
          <w:color w:val="000000"/>
        </w:rPr>
        <w:t>our legal assessments are subject to legal privilege and remain confidential and our discussions with regulators are conducted on a confidential basis.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However - as I undertook to the committee - we have reflected on what information we can provide to the committee that would reassure you of our determination throughout this process to provide as comprehensive a data set as possible.</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shd w:val="clear" w:color="auto" w:fill="FFFFFF"/>
        </w:rPr>
        <w:t>We engage extensively with regulators and data protection authorities around the world on numerous issues, and are bound by the very high standards set by the GDPR, California's CCPA and of course the Federal Trade Commission consent order recently imposed on FB</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It should be clear to the committee that our caution in these areas is grounded in a good understanding of regulators’ expectations. As I said to the committee it is of course entirely within the prerogative of regulators - and would be welcome - to provide even more comfort in this area to researchers and companies.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If the committee is looking for signs of our good faith intent to provide as much data as we can to the academic community then I would ask the committee to consider the fact that we invested over $11m dollars, and significant engineering resource in addition to this, to contribute - working with universities and others - to the development of the new Differential privacy approach.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color w:val="000000"/>
        </w:rPr>
      </w:pPr>
      <w:r w:rsidRPr="005B5CB6">
        <w:rPr>
          <w:rFonts w:ascii="Verdana" w:hAnsi="Verdana" w:cs="Arial"/>
          <w:color w:val="000000"/>
        </w:rPr>
        <w:t>This process operates by adding enough random noise to data such that there are mathematical guarantees (a closed form proof) of individuals’ protection from re-identification. </w:t>
      </w:r>
    </w:p>
    <w:p w:rsidR="00656373" w:rsidRPr="005B5CB6" w:rsidP="00857BA9">
      <w:pPr>
        <w:pStyle w:val="NormalWeb"/>
        <w:spacing w:before="0" w:beforeAutospacing="0" w:after="0" w:afterAutospacing="0"/>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As such, the results of analysis are the same whether or not a given individual is included in the data, and therefore preventing this kind of identification.</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The purpose of this is precisely to provide as much relevant information to researchers as is possible without compromising the privacy of our users.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As I told the committee the database we have released enables the academic community - despite these necessary safeguards - to gain:</w:t>
      </w:r>
    </w:p>
    <w:p w:rsidR="00656373" w:rsidRPr="005B5CB6" w:rsidP="00857BA9">
      <w:pPr>
        <w:jc w:val="both"/>
        <w:rPr>
          <w:rFonts w:ascii="Verdana" w:hAnsi="Verdana" w:cs="Arial"/>
        </w:rPr>
      </w:pPr>
    </w:p>
    <w:p w:rsidR="00656373" w:rsidRPr="005B5CB6" w:rsidP="00575F14">
      <w:pPr>
        <w:pStyle w:val="NormalWeb"/>
        <w:numPr>
          <w:ilvl w:val="0"/>
          <w:numId w:val="302"/>
        </w:numPr>
        <w:spacing w:before="0" w:beforeAutospacing="0" w:after="0" w:afterAutospacing="0"/>
        <w:ind w:left="1440"/>
        <w:jc w:val="both"/>
        <w:textAlignment w:val="baseline"/>
        <w:rPr>
          <w:rFonts w:ascii="Verdana" w:hAnsi="Verdana" w:cs="Arial"/>
        </w:rPr>
      </w:pPr>
      <w:r w:rsidRPr="005B5CB6">
        <w:rPr>
          <w:rFonts w:ascii="Verdana" w:hAnsi="Verdana" w:cs="Arial"/>
          <w:color w:val="000000"/>
        </w:rPr>
        <w:t>Understanding of how people share, view, react to, and click URLs on Facebook</w:t>
      </w:r>
    </w:p>
    <w:p w:rsidR="00656373" w:rsidRPr="005B5CB6" w:rsidP="00575F14">
      <w:pPr>
        <w:pStyle w:val="NormalWeb"/>
        <w:numPr>
          <w:ilvl w:val="0"/>
          <w:numId w:val="302"/>
        </w:numPr>
        <w:spacing w:before="0" w:beforeAutospacing="0" w:after="0" w:afterAutospacing="0"/>
        <w:ind w:left="1440"/>
        <w:jc w:val="both"/>
        <w:textAlignment w:val="baseline"/>
        <w:rPr>
          <w:rFonts w:ascii="Verdana" w:hAnsi="Verdana" w:cs="Arial"/>
        </w:rPr>
      </w:pPr>
      <w:r w:rsidRPr="005B5CB6">
        <w:rPr>
          <w:rFonts w:ascii="Verdana" w:hAnsi="Verdana" w:cs="Arial"/>
          <w:color w:val="000000"/>
        </w:rPr>
        <w:t>Understanding aggregate trends in specific demography and geographic buckets</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 xml:space="preserve">Developing tools like differential privacy is not a one-time gain. It is available to the world as a tool for sharing such datasets more easily, so this process is one we </w:t>
      </w:r>
      <w:r w:rsidRPr="005B5CB6">
        <w:rPr>
          <w:rFonts w:ascii="Verdana" w:hAnsi="Verdana" w:cs="Arial"/>
          <w:color w:val="000000"/>
        </w:rPr>
        <w:t>anticipate continuing, as regulators, companies and researchers develop their understanding of these issues in a post GDPR and CCPA world.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I am confident that the committee will agree that this demonstrates our wholehearted commitment to transparency in this area.</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A few other questions were raised by the committee where I undertook to follow up;</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b/>
          <w:bCs/>
          <w:color w:val="000000"/>
        </w:rPr>
        <w:t>Oversight Board</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 xml:space="preserve">The committee also asked for more information on how the Oversight board’s decisions would impact on our content policies. Since the hearing, on the 12th May, we announced the establishment of the board and more details on it’s powers and role can now be found here: </w:t>
      </w:r>
      <w:r>
        <w:fldChar w:fldCharType="begin"/>
      </w:r>
      <w:r>
        <w:instrText xml:space="preserve"> HYPERLINK "https://about.fb.com/news/2020/05/welcoming-the-oversight-board/" </w:instrText>
      </w:r>
      <w:r>
        <w:fldChar w:fldCharType="separate"/>
      </w:r>
      <w:r w:rsidRPr="005B5CB6">
        <w:rPr>
          <w:rStyle w:val="Hyperlink"/>
          <w:rFonts w:ascii="Verdana" w:eastAsia="Verdana" w:hAnsi="Verdana" w:cs="Arial"/>
          <w:color w:val="1155CC"/>
        </w:rPr>
        <w:t>https://about.fb.com/news/2020/05/welcoming-the-oversight-board/</w:t>
      </w:r>
      <w:r>
        <w:fldChar w:fldCharType="end"/>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We have made clear that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w:t>
      </w:r>
      <w:r w:rsidRPr="005B5CB6">
        <w:rPr>
          <w:rFonts w:ascii="Verdana" w:hAnsi="Verdana" w:cs="Arial"/>
          <w:color w:val="404040"/>
        </w:rPr>
        <w:t>For our part, Facebook will implement the board’s decisions unless doing so could violate the law, and will respond constructively and in good faith to policy guidance put forth by the board.’</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 xml:space="preserve">The Oversight Board site is here: </w:t>
      </w:r>
      <w:r>
        <w:fldChar w:fldCharType="begin"/>
      </w:r>
      <w:r>
        <w:instrText xml:space="preserve"> HYPERLINK "https://www.oversightboard.com/news/announcing-the-first-members-of-the-oversight-board/" </w:instrText>
      </w:r>
      <w:r>
        <w:fldChar w:fldCharType="separate"/>
      </w:r>
      <w:r w:rsidRPr="005B5CB6">
        <w:rPr>
          <w:rStyle w:val="Hyperlink"/>
          <w:rFonts w:ascii="Verdana" w:eastAsia="Verdana" w:hAnsi="Verdana" w:cs="Arial"/>
          <w:color w:val="1155CC"/>
        </w:rPr>
        <w:t>https://www.oversightboard.com/news/announcing-the-first-members-of-the-oversight-board/</w:t>
      </w:r>
      <w:r>
        <w:fldChar w:fldCharType="end"/>
      </w: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br/>
      </w:r>
      <w:r w:rsidRPr="005B5CB6">
        <w:rPr>
          <w:rFonts w:ascii="Verdana" w:hAnsi="Verdana" w:cs="Arial"/>
        </w:rPr>
        <w:t>As the board makes clear:</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‘The Board will take final and binding decisions on whether specific content should be allowed or removed from Facebook and Instagram’</w:t>
      </w: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‘The Board will review whether content is consistent with Facebook and Instagram’s policies and values, as well as a commitment to upholding freedom of expression within the framework of international norms of human rights. We will make decisions based on these principles, and the impact on users and society, without regard to Facebook’s economic, political or reputational interests. Facebook must implement our decisions, unless implementation could violate the law.’</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b/>
          <w:bCs/>
          <w:color w:val="000000"/>
        </w:rPr>
        <w:t>Flagging content for fact check</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I undertook to provide more information on the ways in which content is flagged to fact checkers including what share of content flagged to fact checkers was flagged manually by technology or by users.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Content is surfaced to our independent third-party fact-checking partners through a combination of technology and human review. On the technology side, we have misinformation classifiers that use machine learning to synthesize thousands of data points to make predictions about whether content would likely be rated false by a fact-checker. Such data points include things like user reports, disbelief comments, and whether the person posting has a history of sharing false rated content.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Content that is prioritized for fact-checkers to review is populated in an internal tool we have developed for our fact-checking partners to review. On the human review side, our fact-checking partners can also proactively surface public content on Facebook or Instagram that they can then choose to review and rate and submit into the Fact Checking tool.</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Once one of our fact-checking partner submits a rating through the fact-checking tool, we also use technology to surface content that is similar to something that they previously fact-checked, thereby helping them rate more content quickly.</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As should be clear from the above the interplay between technology and human reporting is not hard and fast. For example if a claim was first manually reported and found false, but numerous similar claims were then also flagged as false because technology found that they were similar claims it is unclear how many should count as manually flagged and how many manually.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In order to provide a sense of the interplay between the two, so as to try to provide as satisfactory an answer as possible to the question, I can provide the committee with the latest figures on actions we are taking on misinformation relating to the COVID-19 epidemic. </w:t>
      </w:r>
    </w:p>
    <w:p w:rsidR="00656373" w:rsidRPr="005B5CB6" w:rsidP="00857BA9">
      <w:pPr>
        <w:jc w:val="both"/>
        <w:rPr>
          <w:rFonts w:ascii="Verdana" w:hAnsi="Verdana" w:cs="Arial"/>
        </w:rPr>
      </w:pPr>
    </w:p>
    <w:p w:rsidR="00656373" w:rsidRPr="005B5CB6" w:rsidP="00575F14">
      <w:pPr>
        <w:pStyle w:val="NormalWeb"/>
        <w:numPr>
          <w:ilvl w:val="0"/>
          <w:numId w:val="303"/>
        </w:numPr>
        <w:spacing w:before="0" w:beforeAutospacing="0" w:after="0" w:afterAutospacing="0"/>
        <w:ind w:left="1440"/>
        <w:jc w:val="both"/>
        <w:textAlignment w:val="baseline"/>
        <w:rPr>
          <w:rFonts w:ascii="Verdana" w:hAnsi="Verdana" w:cs="Arial"/>
        </w:rPr>
      </w:pPr>
      <w:r w:rsidRPr="005B5CB6">
        <w:rPr>
          <w:rFonts w:ascii="Verdana" w:hAnsi="Verdana" w:cs="Arial"/>
          <w:color w:val="000000"/>
        </w:rPr>
        <w:t>In the month of March 2020, Facebook took action on about 40 million pieces of content containing misinformation about COVID-19. This was based on over 4,000 fact checks by our network of over 60 fact checkers working in more than 50 languages. </w:t>
      </w:r>
    </w:p>
    <w:p w:rsidR="00656373" w:rsidRPr="005B5CB6" w:rsidP="00857BA9">
      <w:pPr>
        <w:jc w:val="both"/>
        <w:rPr>
          <w:rFonts w:ascii="Verdana" w:hAnsi="Verdana" w:cs="Arial"/>
        </w:rPr>
      </w:pPr>
    </w:p>
    <w:p w:rsidR="00656373" w:rsidRPr="005B5CB6" w:rsidP="00575F14">
      <w:pPr>
        <w:pStyle w:val="NormalWeb"/>
        <w:numPr>
          <w:ilvl w:val="0"/>
          <w:numId w:val="304"/>
        </w:numPr>
        <w:spacing w:before="0" w:beforeAutospacing="0" w:after="0" w:afterAutospacing="0"/>
        <w:ind w:left="1440"/>
        <w:jc w:val="both"/>
        <w:textAlignment w:val="baseline"/>
        <w:rPr>
          <w:rFonts w:ascii="Verdana" w:hAnsi="Verdana" w:cs="Arial"/>
        </w:rPr>
      </w:pPr>
      <w:r w:rsidRPr="005B5CB6">
        <w:rPr>
          <w:rFonts w:ascii="Verdana" w:hAnsi="Verdana" w:cs="Arial"/>
          <w:color w:val="000000"/>
        </w:rPr>
        <w:t>In April 2020, we put warning labels on about 50 million pieces of content related to COVID-19 on Facebook, based on around 7,500 articles by our independent fact-checking partners.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In the UK we work with Full Fact, FactCheckNI, and as of last month, Reuters UK.  We also know that for this content where we have applied a warning label, 95% of people who saw it did not click through to view it. In addition to misinformation that we’ve actioned on, since March 1st, we’ve removed more than 2.5 million pieces of content for the sale of masks, hand sanitizers, surface disinfecting wipes and Covid-19 test kits.</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b/>
          <w:bCs/>
          <w:color w:val="000000"/>
        </w:rPr>
        <w:t>Fact-checking politicians</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The committee also asked for more clarity on the definition of political candidate or elected official in relation to fact checking.</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For the purposes of fact-checking, politicians on Facebook are profiles and Pages from politicians, government officials, political candidates, and political parties or campaigns--many of which have blue-badge verification.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The political candidates list would include full time elected office holders or candidates for full time elected office - given their deeper knowledge of the context we ask our independent fact checkers to  make the judgement as to whether part time elected office holders or candidates for those office holders should be covered by this specific exemption.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As I told the committee the difference between our treatment of politicians applies in one specific area: We continue to remove and action their content against our community standards (the content rules) on the same basis as all other users of our platform.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However, when it comes to fact-checking we don’t send content or ads from politicians and political parties to our third party fact-checking partners. We believe that by limiting speech or removing content, we’d leave people less informed about what their elected officials are saying and leave politicians less accountable for their words.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As I said earlier, this doesn’t mean that politicians can say whatever they want on Facebook. They can’t spread misinformation about where, when or how to vote, incite violence or post anything else that would violate our Community Standards. </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Additionally, when a politician shares content that has previously been debunked as part of our third-party fact-checking program that content will be demoted and have the fact checkers debunking attached to it. But in general we believe political speech should be heard and we don’t feel it is right for private companies like us to fact-check or judge the veracity of what politicians and political parties say - when they are being transparent about who they are. </w:t>
      </w: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 </w:t>
      </w: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b/>
          <w:bCs/>
          <w:color w:val="000000"/>
        </w:rPr>
        <w:t>Unicef Myanmar Content</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 xml:space="preserve">The Chair raised with us content appearing in Myanmar that Unicef had told him they had flagged. At the time I told the committee that we had removed significant amounts of the content and that we were continuing to investigate. We recently published our regular monthly report into take-downs we have undertaken as part of our global efforts to stop what we describe as ‘coordinated inauthentic behaviour’. </w:t>
      </w:r>
      <w:r w:rsidRPr="005B5CB6">
        <w:rPr>
          <w:rFonts w:ascii="Verdana" w:hAnsi="Verdana" w:cs="Arial"/>
          <w:color w:val="000000"/>
        </w:rPr>
        <w:t xml:space="preserve">This included networks of accounts that our investigation linked to members of the Myanmar police force. A report on this investigation was published and can be found here: </w:t>
      </w:r>
      <w:r>
        <w:fldChar w:fldCharType="begin"/>
      </w:r>
      <w:r>
        <w:instrText xml:space="preserve"> HYPERLINK "https://about.fb.com/wp-content/uploads/2020/05/April-2020-CIB-Report.pdf" </w:instrText>
      </w:r>
      <w:r>
        <w:fldChar w:fldCharType="separate"/>
      </w:r>
      <w:r w:rsidRPr="005B5CB6">
        <w:rPr>
          <w:rStyle w:val="Hyperlink"/>
          <w:rFonts w:ascii="Verdana" w:eastAsia="Verdana" w:hAnsi="Verdana" w:cs="Arial"/>
          <w:color w:val="1A73E8"/>
          <w:shd w:val="clear" w:color="auto" w:fill="FFFFFF"/>
        </w:rPr>
        <w:t>https://about.fb.com/wp-content/uploads/2020/05/April-2020-CIB-Report.pdf</w:t>
      </w:r>
      <w:r>
        <w:fldChar w:fldCharType="end"/>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Yours Sincerely</w:t>
      </w:r>
    </w:p>
    <w:p w:rsidR="00656373" w:rsidRPr="005B5CB6" w:rsidP="00857BA9">
      <w:pPr>
        <w:jc w:val="both"/>
        <w:rPr>
          <w:rFonts w:ascii="Verdana" w:hAnsi="Verdana" w:cs="Arial"/>
        </w:rPr>
      </w:pPr>
    </w:p>
    <w:p w:rsidR="00656373" w:rsidRPr="005B5CB6" w:rsidP="00857BA9">
      <w:pPr>
        <w:pStyle w:val="NormalWeb"/>
        <w:spacing w:before="0" w:beforeAutospacing="0" w:after="0" w:afterAutospacing="0"/>
        <w:jc w:val="both"/>
        <w:rPr>
          <w:rFonts w:ascii="Verdana" w:hAnsi="Verdana" w:cs="Arial"/>
        </w:rPr>
      </w:pPr>
      <w:r w:rsidRPr="005B5CB6">
        <w:rPr>
          <w:rFonts w:ascii="Verdana" w:hAnsi="Verdana" w:cs="Arial"/>
          <w:color w:val="000000"/>
        </w:rPr>
        <w:t>Karim Palant</w:t>
      </w:r>
    </w:p>
    <w:p w:rsidR="00656373" w:rsidRPr="005B5CB6" w:rsidP="00857BA9">
      <w:pPr>
        <w:jc w:val="both"/>
        <w:rPr>
          <w:rFonts w:ascii="Verdana" w:hAnsi="Verdana" w:cs="Arial"/>
        </w:rPr>
      </w:pPr>
      <w:r w:rsidRPr="005B5CB6">
        <w:rPr>
          <w:rFonts w:ascii="Verdana" w:hAnsi="Verdana" w:cs="Arial"/>
        </w:rPr>
        <w:t>UK Public Policy Manager</w:t>
      </w:r>
    </w:p>
    <w:p w:rsidR="00656373" w:rsidRPr="005B5CB6" w:rsidP="00857BA9">
      <w:pPr>
        <w:jc w:val="both"/>
        <w:rPr>
          <w:rFonts w:ascii="Verdana" w:hAnsi="Verdana" w:cs="Arial"/>
        </w:rPr>
      </w:pPr>
    </w:p>
    <w:p w:rsidR="00656373" w:rsidRPr="005B5CB6" w:rsidP="00C752DD">
      <w:pPr>
        <w:pStyle w:val="Heading1"/>
        <w:jc w:val="both"/>
        <w:rPr>
          <w:color w:val="000000" w:themeColor="text1"/>
          <w:sz w:val="22"/>
        </w:rPr>
      </w:pPr>
    </w:p>
    <w:sectPr w:rsidSect="006562C6">
      <w:headerReference w:type="even" r:id="rId565"/>
      <w:headerReference w:type="default" r:id="rId566"/>
      <w:footerReference w:type="even" r:id="rId567"/>
      <w:footerReference w:type="default" r:id="rId568"/>
      <w:headerReference w:type="first" r:id="rId569"/>
      <w:footerReference w:type="first" r:id="rId570"/>
      <w:pgSz w:w="11906" w:h="16838"/>
      <w:pgMar w:top="1492" w:right="992" w:bottom="1982" w:left="159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altName w:val="Yu Mincho"/>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Gill Sans MT">
    <w:altName w:val="Gill Sans"/>
    <w:panose1 w:val="020B0502020104020203"/>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default"/>
  </w:font>
  <w:font w:name="Google Sans">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40710736"/>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5"/>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9"/>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1487295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9"/>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4"/>
      <w:jc w:val="right"/>
    </w:pPr>
  </w:p>
  <w:p w:rsidR="00673732">
    <w:pPr>
      <w:spacing w:after="0"/>
      <w:ind w:left="1"/>
    </w:pPr>
    <w: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1257145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4"/>
      <w:jc w:val="right"/>
    </w:pPr>
    <w:r>
      <w:fldChar w:fldCharType="begin"/>
    </w:r>
    <w:r>
      <w:instrText xml:space="preserve"> PAGE   \* MERGEFORMAT </w:instrText>
    </w:r>
    <w:r>
      <w:fldChar w:fldCharType="separate"/>
    </w:r>
    <w:r>
      <w:t>1</w:t>
    </w:r>
    <w:r>
      <w:fldChar w:fldCharType="end"/>
    </w:r>
    <w:r>
      <w:t xml:space="preserve"> </w:t>
    </w:r>
  </w:p>
  <w:p w:rsidR="00673732">
    <w:pPr>
      <w:spacing w:after="0"/>
      <w:ind w:left="1"/>
    </w:pPr>
    <w: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1"/>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70737473"/>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2239758"/>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3"/>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476654"/>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9"/>
      <w:jc w:val="right"/>
    </w:pPr>
    <w:r>
      <w:fldChar w:fldCharType="begin"/>
    </w:r>
    <w:r>
      <w:instrText xml:space="preserve"> PAGE   \* MERGEFORMAT </w:instrText>
    </w:r>
    <w:r>
      <w:fldChar w:fldCharType="separate"/>
    </w:r>
    <w:r>
      <w:rPr>
        <w:rFonts w:ascii="Verdana" w:eastAsia="Verdana" w:hAnsi="Verdana" w:cs="Verdana"/>
        <w:sz w:val="20"/>
      </w:rPr>
      <w:t>1</w:t>
    </w:r>
    <w:r>
      <w:rPr>
        <w:rFonts w:ascii="Verdana" w:eastAsia="Verdana" w:hAnsi="Verdana" w:cs="Verdana"/>
        <w:sz w:val="20"/>
      </w:rPr>
      <w:fldChar w:fldCharType="end"/>
    </w:r>
    <w:r>
      <w:rPr>
        <w:rFonts w:ascii="Verdana" w:eastAsia="Verdana" w:hAnsi="Verdana" w:cs="Verdana"/>
        <w:sz w:val="20"/>
      </w:rPr>
      <w:t xml:space="preserve"> </w:t>
    </w:r>
  </w:p>
  <w:p w:rsidR="00673732">
    <w:pPr>
      <w:spacing w:after="0"/>
    </w:pPr>
    <w:r>
      <w:rPr>
        <w:rFonts w:ascii="Verdana" w:eastAsia="Verdana" w:hAnsi="Verdana" w:cs="Verdana"/>
        <w:sz w:val="20"/>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7025923"/>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9"/>
      <w:jc w:val="right"/>
    </w:pPr>
    <w:r>
      <w:fldChar w:fldCharType="begin"/>
    </w:r>
    <w:r>
      <w:instrText xml:space="preserve"> PAGE   \* MERGEFORMAT </w:instrText>
    </w:r>
    <w:r>
      <w:fldChar w:fldCharType="separate"/>
    </w:r>
    <w:r>
      <w:rPr>
        <w:rFonts w:ascii="Arial" w:eastAsia="Arial" w:hAnsi="Arial" w:cs="Arial"/>
        <w:sz w:val="24"/>
      </w:rPr>
      <w:t>1</w:t>
    </w:r>
    <w:r>
      <w:rPr>
        <w:rFonts w:ascii="Arial" w:eastAsia="Arial" w:hAnsi="Arial" w:cs="Arial"/>
        <w:sz w:val="24"/>
      </w:rPr>
      <w:fldChar w:fldCharType="end"/>
    </w:r>
    <w:r>
      <w:rPr>
        <w:rFonts w:ascii="Arial" w:eastAsia="Arial" w:hAnsi="Arial" w:cs="Arial"/>
        <w:sz w:val="24"/>
      </w:rPr>
      <w:t xml:space="preserve"> </w:t>
    </w:r>
  </w:p>
  <w:p w:rsidR="00673732">
    <w:pPr>
      <w:spacing w:after="0"/>
    </w:pPr>
    <w:r>
      <w:rPr>
        <w:rFonts w:ascii="Arial" w:eastAsia="Arial" w:hAnsi="Arial" w:cs="Arial"/>
        <w:sz w:val="24"/>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179121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04396438"/>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4"/>
      <w:jc w:val="right"/>
    </w:pPr>
    <w:r>
      <w:fldChar w:fldCharType="begin"/>
    </w:r>
    <w:r>
      <w:instrText xml:space="preserve"> PAGE   \* MERGEFORMAT </w:instrText>
    </w:r>
    <w:r>
      <w:fldChar w:fldCharType="separate"/>
    </w:r>
    <w:r>
      <w:rPr>
        <w:rFonts w:ascii="Garamond" w:eastAsia="Garamond" w:hAnsi="Garamond" w:cs="Garamond"/>
        <w:sz w:val="24"/>
      </w:rPr>
      <w:t>1</w:t>
    </w:r>
    <w:r>
      <w:rPr>
        <w:rFonts w:ascii="Garamond" w:eastAsia="Garamond" w:hAnsi="Garamond" w:cs="Garamond"/>
        <w:sz w:val="24"/>
      </w:rPr>
      <w:fldChar w:fldCharType="end"/>
    </w:r>
    <w:r>
      <w:rPr>
        <w:rFonts w:ascii="Garamond" w:eastAsia="Garamond" w:hAnsi="Garamond" w:cs="Garamond"/>
        <w:sz w:val="24"/>
      </w:rPr>
      <w:t xml:space="preserve"> </w:t>
    </w:r>
  </w:p>
  <w:p w:rsidR="00673732">
    <w:pPr>
      <w:spacing w:after="0"/>
    </w:pPr>
    <w:r>
      <w:rPr>
        <w:rFonts w:ascii="Garamond" w:eastAsia="Garamond" w:hAnsi="Garamond" w:cs="Garamond"/>
        <w:sz w:val="20"/>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25014366"/>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8"/>
      <w:jc w:val="right"/>
    </w:pPr>
    <w:r>
      <w:fldChar w:fldCharType="begin"/>
    </w:r>
    <w:r>
      <w:instrText xml:space="preserve"> PAGE   \* MERGEFORMAT </w:instrText>
    </w:r>
    <w:r>
      <w:fldChar w:fldCharType="separate"/>
    </w:r>
    <w:r>
      <w:rPr>
        <w:rFonts w:ascii="Verdana" w:eastAsia="Verdana" w:hAnsi="Verdana" w:cs="Verdana"/>
        <w:sz w:val="20"/>
      </w:rPr>
      <w:t>1</w:t>
    </w:r>
    <w:r>
      <w:rPr>
        <w:rFonts w:ascii="Verdana" w:eastAsia="Verdana" w:hAnsi="Verdana" w:cs="Verdana"/>
        <w:sz w:val="20"/>
      </w:rPr>
      <w:fldChar w:fldCharType="end"/>
    </w:r>
    <w:r>
      <w:rPr>
        <w:rFonts w:ascii="Verdana" w:eastAsia="Verdana" w:hAnsi="Verdana" w:cs="Verdana"/>
        <w:sz w:val="20"/>
      </w:rPr>
      <w:t xml:space="preserve"> </w:t>
    </w:r>
  </w:p>
  <w:p w:rsidR="00673732">
    <w:pPr>
      <w:spacing w:after="0"/>
    </w:pPr>
    <w:r>
      <w:rPr>
        <w:rFonts w:ascii="Verdana" w:eastAsia="Verdana" w:hAnsi="Verdana" w:cs="Verdana"/>
        <w:sz w:val="20"/>
      </w:rPr>
      <w:t xml:space="preserve"> </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2"/>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9264412"/>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
      <w:jc w:val="right"/>
    </w:pPr>
    <w:r>
      <w:fldChar w:fldCharType="begin"/>
    </w:r>
    <w:r>
      <w:instrText xml:space="preserve"> PAGE   \* MERGEFORMAT </w:instrText>
    </w:r>
    <w:r>
      <w:fldChar w:fldCharType="separate"/>
    </w:r>
    <w:r>
      <w:t>1</w:t>
    </w:r>
    <w:r>
      <w:fldChar w:fldCharType="end"/>
    </w:r>
    <w:r>
      <w:t xml:space="preserve"> </w:t>
    </w:r>
  </w:p>
  <w:p w:rsidR="00673732">
    <w:pPr>
      <w:spacing w:after="0"/>
      <w:ind w:left="2"/>
    </w:pPr>
    <w:r>
      <w:t xml:space="preserve">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pPr>
    <w:r>
      <w:t xml:space="preserve">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1"/>
    </w:pPr>
    <w:r>
      <w:rPr>
        <w:rFonts w:ascii="Tahoma" w:eastAsia="Tahoma" w:hAnsi="Tahoma" w:cs="Tahoma"/>
        <w:sz w:val="24"/>
      </w:rPr>
      <w:t xml:space="preserve">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4635384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9"/>
      <w:jc w:val="right"/>
    </w:pPr>
    <w:r>
      <w:fldChar w:fldCharType="begin"/>
    </w:r>
    <w:r>
      <w:instrText xml:space="preserve"> PAGE   \* MERGEFORMAT </w:instrText>
    </w:r>
    <w:r>
      <w:fldChar w:fldCharType="separate"/>
    </w:r>
    <w:r>
      <w:rPr>
        <w:rFonts w:ascii="Tahoma" w:eastAsia="Tahoma" w:hAnsi="Tahoma" w:cs="Tahoma"/>
        <w:sz w:val="24"/>
      </w:rPr>
      <w:t>1</w:t>
    </w:r>
    <w:r>
      <w:rPr>
        <w:rFonts w:ascii="Tahoma" w:eastAsia="Tahoma" w:hAnsi="Tahoma" w:cs="Tahoma"/>
        <w:sz w:val="24"/>
      </w:rPr>
      <w:fldChar w:fldCharType="end"/>
    </w:r>
    <w:r>
      <w:rPr>
        <w:rFonts w:ascii="Tahoma" w:eastAsia="Tahoma" w:hAnsi="Tahoma" w:cs="Tahoma"/>
        <w:sz w:val="24"/>
      </w:rPr>
      <w:t xml:space="preserve"> </w:t>
    </w:r>
  </w:p>
  <w:p w:rsidR="00673732">
    <w:pPr>
      <w:spacing w:after="0"/>
      <w:ind w:left="1"/>
    </w:pPr>
    <w:r>
      <w:rPr>
        <w:rFonts w:ascii="Tahoma" w:eastAsia="Tahoma" w:hAnsi="Tahoma" w:cs="Tahoma"/>
        <w:sz w:val="24"/>
      </w:rPr>
      <w:t xml:space="preserve">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pPr>
    <w:r>
      <w:t xml:space="preserve"> </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06768265"/>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82428956"/>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tabs>
        <w:tab w:val="right" w:pos="9022"/>
      </w:tabs>
      <w:spacing w:after="0"/>
    </w:pPr>
    <w:r>
      <w:rPr>
        <w:rFonts w:ascii="Verdana" w:eastAsia="Verdana" w:hAnsi="Verdana" w:cs="Verdana"/>
      </w:rPr>
      <w:t xml:space="preserve"> </w:t>
    </w:r>
    <w:r>
      <w:rPr>
        <w:rFonts w:ascii="Verdana" w:eastAsia="Verdana" w:hAnsi="Verdana" w:cs="Verdana"/>
      </w:rPr>
      <w:tab/>
    </w:r>
    <w:r>
      <w:fldChar w:fldCharType="begin"/>
    </w:r>
    <w:r>
      <w:instrText xml:space="preserve"> PAGE   \* MERGEFORMAT </w:instrText>
    </w:r>
    <w:r>
      <w:fldChar w:fldCharType="separate"/>
    </w:r>
    <w:r>
      <w:rPr>
        <w:rFonts w:ascii="Verdana" w:eastAsia="Verdana" w:hAnsi="Verdana" w:cs="Verdana"/>
      </w:rPr>
      <w:t>1</w:t>
    </w:r>
    <w:r>
      <w:rPr>
        <w:rFonts w:ascii="Verdana" w:eastAsia="Verdana" w:hAnsi="Verdana" w:cs="Verdana"/>
      </w:rPr>
      <w:fldChar w:fldCharType="end"/>
    </w:r>
    <w:r>
      <w:rPr>
        <w:rFonts w:ascii="Verdana" w:eastAsia="Verdana" w:hAnsi="Verdana" w:cs="Verdana"/>
      </w:rPr>
      <w:t xml:space="preserve"> </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2081709"/>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
      <w:jc w:val="right"/>
    </w:pPr>
    <w:r>
      <w:fldChar w:fldCharType="begin"/>
    </w:r>
    <w:r>
      <w:instrText xml:space="preserve"> PAGE   \* MERGEFORMAT </w:instrText>
    </w:r>
    <w:r>
      <w:fldChar w:fldCharType="separate"/>
    </w:r>
    <w:r>
      <w:rPr>
        <w:rFonts w:ascii="Verdana" w:eastAsia="Verdana" w:hAnsi="Verdana" w:cs="Verdana"/>
      </w:rPr>
      <w:t>1</w:t>
    </w:r>
    <w:r>
      <w:rPr>
        <w:rFonts w:ascii="Verdana" w:eastAsia="Verdana" w:hAnsi="Verdana" w:cs="Verdana"/>
      </w:rPr>
      <w:fldChar w:fldCharType="end"/>
    </w:r>
    <w:r>
      <w:rPr>
        <w:rFonts w:ascii="Verdana" w:eastAsia="Verdana" w:hAnsi="Verdana" w:cs="Verdana"/>
      </w:rPr>
      <w:t xml:space="preserve"> </w:t>
    </w:r>
  </w:p>
  <w:p w:rsidR="00673732">
    <w:pPr>
      <w:spacing w:after="0"/>
    </w:pPr>
    <w:r>
      <w:rPr>
        <w:rFonts w:ascii="Verdana" w:eastAsia="Verdana" w:hAnsi="Verdana" w:cs="Verdana"/>
      </w:rPr>
      <w:t xml:space="preserve"> </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2713828"/>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6854498"/>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679"/>
      <w:jc w:val="right"/>
    </w:pPr>
    <w:r>
      <w:fldChar w:fldCharType="begin"/>
    </w:r>
    <w:r>
      <w:instrText xml:space="preserve"> PAGE   \* MERGEFORMAT </w:instrText>
    </w:r>
    <w:r>
      <w:fldChar w:fldCharType="separate"/>
    </w:r>
    <w:r>
      <w:t>1</w:t>
    </w:r>
    <w:r>
      <w:fldChar w:fldCharType="end"/>
    </w:r>
    <w:r>
      <w:t xml:space="preserve"> </w:t>
    </w:r>
  </w:p>
  <w:p w:rsidR="00673732">
    <w:pPr>
      <w:spacing w:after="0"/>
      <w:ind w:left="1"/>
    </w:pPr>
    <w:r>
      <w:t xml:space="preserve"> </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0889991"/>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90743624"/>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823"/>
    </w:pPr>
    <w:r>
      <w:rPr>
        <w:rFonts w:ascii="Verdana" w:eastAsia="Verdana" w:hAnsi="Verdana" w:cs="Verdana"/>
      </w:rPr>
      <w:t xml:space="preserve"> </w:t>
    </w:r>
  </w:p>
  <w:p w:rsidR="00673732">
    <w:pPr>
      <w:spacing w:after="0"/>
      <w:ind w:right="411"/>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rsidR="00673732">
    <w:pPr>
      <w:spacing w:after="0"/>
    </w:pPr>
    <w:r>
      <w:rPr>
        <w:rFonts w:ascii="Arial" w:eastAsia="Arial" w:hAnsi="Arial" w:cs="Arial"/>
      </w:rPr>
      <w:t xml:space="preserve"> </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pPr>
    <w:r>
      <w:rPr>
        <w:rFonts w:ascii="Times New Roman" w:eastAsia="Times New Roman" w:hAnsi="Times New Roman" w:cs="Times New Roman"/>
        <w:sz w:val="20"/>
      </w:rPr>
      <w:t xml:space="preserve"> </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62269284"/>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9"/>
      <w:jc w:val="right"/>
    </w:pP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Times New Roman" w:eastAsia="Times New Roman" w:hAnsi="Times New Roman" w:cs="Times New Roman"/>
        <w:sz w:val="20"/>
      </w:rPr>
      <w:t xml:space="preserve"> </w:t>
    </w:r>
  </w:p>
  <w:p w:rsidR="00673732">
    <w:pPr>
      <w:spacing w:after="0"/>
    </w:pPr>
    <w:r>
      <w:rPr>
        <w:rFonts w:ascii="Times New Roman" w:eastAsia="Times New Roman" w:hAnsi="Times New Roman" w:cs="Times New Roman"/>
        <w:sz w:val="20"/>
      </w:rPr>
      <w:t xml:space="preserve"> </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pP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9549441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3"/>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48185888"/>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3"/>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rsidR="00673732">
    <w:pPr>
      <w:spacing w:after="0"/>
    </w:pPr>
    <w:r>
      <w:rPr>
        <w:rFonts w:ascii="Arial" w:eastAsia="Arial" w:hAnsi="Arial" w:cs="Arial"/>
      </w:rPr>
      <w:t xml:space="preserve"> </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430"/>
    </w:pP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83535550"/>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951A38">
    <w:pPr>
      <w:pStyle w:val="Footer"/>
      <w:tabs>
        <w:tab w:val="clear" w:pos="4513"/>
        <w:tab w:val="left" w:pos="7719"/>
        <w:tab w:val="clear" w:pos="9026"/>
      </w:tabs>
    </w:pP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
      <w:jc w:val="right"/>
    </w:pPr>
    <w:r>
      <w:fldChar w:fldCharType="begin"/>
    </w:r>
    <w:r>
      <w:instrText xml:space="preserve"> PAGE   \* MERGEFORMAT </w:instrText>
    </w:r>
    <w:r>
      <w:fldChar w:fldCharType="separate"/>
    </w:r>
    <w:r>
      <w:t>1</w:t>
    </w:r>
    <w:r>
      <w:fldChar w:fldCharType="end"/>
    </w:r>
    <w:r>
      <w:t xml:space="preserve"> </w:t>
    </w:r>
  </w:p>
  <w:p w:rsidR="00673732">
    <w:pPr>
      <w:spacing w:after="0"/>
      <w:ind w:left="430"/>
    </w:pPr>
    <w:r>
      <w:t xml:space="preserve"> </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0"/>
      <w:jc w:val="right"/>
    </w:pPr>
  </w:p>
  <w:p w:rsidR="00673732">
    <w:pPr>
      <w:spacing w:after="0"/>
    </w:pPr>
    <w:r>
      <w:t xml:space="preserve"> </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514398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0"/>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16189810"/>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3"/>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3422993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673732">
    <w:pPr>
      <w:spacing w:after="0"/>
    </w:pPr>
    <w:r>
      <w:rPr>
        <w:sz w:val="24"/>
      </w:rPr>
      <w:t xml:space="preserve"> </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0532266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5"/>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04245774"/>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95"/>
      <w:ind w:right="4"/>
      <w:jc w:val="right"/>
    </w:pPr>
    <w:r>
      <w:fldChar w:fldCharType="begin"/>
    </w:r>
    <w:r>
      <w:instrText xml:space="preserve"> PAGE   \* MERGEFORMAT </w:instrText>
    </w:r>
    <w:r>
      <w:fldChar w:fldCharType="separate"/>
    </w:r>
    <w:r>
      <w:rPr>
        <w:rFonts w:ascii="Garamond" w:eastAsia="Garamond" w:hAnsi="Garamond" w:cs="Garamond"/>
        <w:sz w:val="24"/>
      </w:rPr>
      <w:t>1</w:t>
    </w:r>
    <w:r>
      <w:rPr>
        <w:rFonts w:ascii="Garamond" w:eastAsia="Garamond" w:hAnsi="Garamond" w:cs="Garamond"/>
        <w:sz w:val="24"/>
      </w:rPr>
      <w:fldChar w:fldCharType="end"/>
    </w:r>
    <w:r>
      <w:rPr>
        <w:rFonts w:ascii="Garamond" w:eastAsia="Garamond" w:hAnsi="Garamond" w:cs="Garamond"/>
        <w:sz w:val="24"/>
      </w:rPr>
      <w:t xml:space="preserve"> </w:t>
    </w:r>
  </w:p>
  <w:p w:rsidR="00673732">
    <w:pPr>
      <w:spacing w:after="0"/>
    </w:pPr>
    <w:r>
      <w:rPr>
        <w:rFonts w:ascii="Garamond" w:eastAsia="Garamond" w:hAnsi="Garamond" w:cs="Garamond"/>
        <w:sz w:val="24"/>
      </w:rPr>
      <w:t xml:space="preserve"> </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747043"/>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6567580"/>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5"/>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rsidR="00673732">
    <w:pPr>
      <w:spacing w:after="0"/>
      <w:ind w:left="1"/>
    </w:pPr>
    <w:r>
      <w:rPr>
        <w:rFonts w:ascii="Times New Roman" w:eastAsia="Times New Roman" w:hAnsi="Times New Roman" w:cs="Times New Roman"/>
      </w:rPr>
      <w:t xml:space="preserve"> </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67484409"/>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5"/>
      <w:jc w:val="right"/>
    </w:pPr>
    <w:r>
      <w:fldChar w:fldCharType="begin"/>
    </w:r>
    <w:r>
      <w:instrText xml:space="preserve"> PAGE   \* MERGEFORMAT </w:instrText>
    </w:r>
    <w:r>
      <w:fldChar w:fldCharType="separate"/>
    </w:r>
    <w:r>
      <w:rPr>
        <w:rFonts w:ascii="Arial" w:eastAsia="Arial" w:hAnsi="Arial" w:cs="Arial"/>
        <w:sz w:val="18"/>
      </w:rPr>
      <w:t>1</w:t>
    </w:r>
    <w:r>
      <w:rPr>
        <w:rFonts w:ascii="Arial" w:eastAsia="Arial" w:hAnsi="Arial" w:cs="Arial"/>
        <w:sz w:val="18"/>
      </w:rPr>
      <w:fldChar w:fldCharType="end"/>
    </w:r>
    <w:r>
      <w:rPr>
        <w:rFonts w:ascii="Arial" w:eastAsia="Arial" w:hAnsi="Arial" w:cs="Arial"/>
        <w:sz w:val="18"/>
      </w:rPr>
      <w:t xml:space="preserve"> </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358"/>
    </w:pP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35460698"/>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7"/>
      <w:jc w:val="right"/>
    </w:pPr>
    <w:r>
      <w:fldChar w:fldCharType="begin"/>
    </w:r>
    <w:r>
      <w:instrText xml:space="preserve"> PAGE   \* MERGEFORMAT </w:instrText>
    </w:r>
    <w:r>
      <w:fldChar w:fldCharType="separate"/>
    </w:r>
    <w:r>
      <w:t>1</w:t>
    </w:r>
    <w:r>
      <w:fldChar w:fldCharType="end"/>
    </w:r>
    <w:r>
      <w:t xml:space="preserve"> </w:t>
    </w:r>
  </w:p>
  <w:p w:rsidR="00673732">
    <w:pPr>
      <w:spacing w:after="0"/>
      <w:ind w:left="358"/>
    </w:pPr>
    <w:r>
      <w:t xml:space="preserve"> </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pP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56197326"/>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5"/>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673732">
    <w:pPr>
      <w:spacing w:after="0"/>
    </w:pPr>
    <w:r>
      <w:rPr>
        <w:sz w:val="24"/>
      </w:rPr>
      <w:t xml:space="preserve"> </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19755848"/>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8356091"/>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673732">
    <w:pPr>
      <w:spacing w:after="0"/>
    </w:pPr>
    <w:r>
      <w:rPr>
        <w:sz w:val="24"/>
      </w:rPr>
      <w:t xml:space="preserve"> </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3284832"/>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1"/>
    </w:pP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1041969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139"/>
      <w:ind w:right="2"/>
      <w:jc w:val="right"/>
    </w:pPr>
    <w:r>
      <w:fldChar w:fldCharType="begin"/>
    </w:r>
    <w:r>
      <w:instrText xml:space="preserve"> PAGE   \* MERGEFORMAT </w:instrText>
    </w:r>
    <w:r>
      <w:fldChar w:fldCharType="separate"/>
    </w:r>
    <w:r>
      <w:rPr>
        <w:color w:val="404040"/>
      </w:rPr>
      <w:t>1</w:t>
    </w:r>
    <w:r>
      <w:rPr>
        <w:color w:val="404040"/>
      </w:rPr>
      <w:fldChar w:fldCharType="end"/>
    </w:r>
    <w:r>
      <w:rPr>
        <w:color w:val="404040"/>
      </w:rPr>
      <w:t xml:space="preserve"> </w:t>
    </w:r>
  </w:p>
  <w:p w:rsidR="00673732">
    <w:pPr>
      <w:spacing w:after="0"/>
      <w:ind w:left="1"/>
    </w:pPr>
    <w:r>
      <w:rPr>
        <w:color w:val="404040"/>
      </w:rPr>
      <w:t xml:space="preserve"> </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pPr>
    <w:r>
      <w:t xml:space="preserve"> </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86522964"/>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158"/>
      <w:ind w:right="-14"/>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77115975"/>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
      <w:jc w:val="right"/>
    </w:pPr>
    <w:r>
      <w:fldChar w:fldCharType="begin"/>
    </w:r>
    <w:r>
      <w:instrText xml:space="preserve"> PAGE   \* MERGEFORMAT </w:instrText>
    </w:r>
    <w:r>
      <w:fldChar w:fldCharType="separate"/>
    </w:r>
    <w:r>
      <w:rPr>
        <w:rFonts w:ascii="Verdana" w:eastAsia="Verdana" w:hAnsi="Verdana" w:cs="Verdana"/>
      </w:rPr>
      <w:t>1</w:t>
    </w:r>
    <w:r>
      <w:rPr>
        <w:rFonts w:ascii="Verdana" w:eastAsia="Verdana" w:hAnsi="Verdana" w:cs="Verdana"/>
      </w:rPr>
      <w:fldChar w:fldCharType="end"/>
    </w:r>
    <w:r>
      <w:rPr>
        <w:rFonts w:ascii="Verdana" w:eastAsia="Verdana" w:hAnsi="Verdana" w:cs="Verdana"/>
      </w:rPr>
      <w:t xml:space="preserve"> </w:t>
    </w:r>
  </w:p>
  <w:p w:rsidR="00673732">
    <w:pPr>
      <w:spacing w:after="0"/>
    </w:pPr>
    <w:r>
      <w:rPr>
        <w:rFonts w:ascii="Verdana" w:eastAsia="Verdana" w:hAnsi="Verdana" w:cs="Verdana"/>
      </w:rPr>
      <w:t xml:space="preserve"> </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1689215"/>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3"/>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95802984"/>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
      <w:jc w:val="right"/>
    </w:pPr>
    <w:r>
      <w:fldChar w:fldCharType="begin"/>
    </w:r>
    <w:r>
      <w:instrText xml:space="preserve"> PAGE   \* MERGEFORMAT </w:instrText>
    </w:r>
    <w:r>
      <w:fldChar w:fldCharType="separate"/>
    </w:r>
    <w:r>
      <w:t>1</w:t>
    </w:r>
    <w:r>
      <w:fldChar w:fldCharType="end"/>
    </w:r>
    <w:r>
      <w:t xml:space="preserve"> </w:t>
    </w:r>
  </w:p>
  <w:p w:rsidR="00673732">
    <w:pPr>
      <w:spacing w:after="0"/>
      <w:ind w:left="1"/>
    </w:pPr>
    <w:r>
      <w:t xml:space="preserve"> </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0742475"/>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6806111"/>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0"/>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33132800"/>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71860796"/>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88931395"/>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4"/>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673732">
    <w:pPr>
      <w:spacing w:after="0"/>
    </w:pPr>
    <w:r>
      <w:rPr>
        <w:rFonts w:ascii="Times New Roman" w:eastAsia="Times New Roman" w:hAnsi="Times New Roman" w:cs="Times New Roman"/>
        <w:sz w:val="24"/>
      </w:rPr>
      <w:t xml:space="preserve"> </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4947203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48"/>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90259993"/>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83"/>
      <w:jc w:val="right"/>
    </w:pPr>
    <w:r>
      <w:fldChar w:fldCharType="begin"/>
    </w:r>
    <w:r>
      <w:instrText xml:space="preserve"> PAGE   \* MERGEFORMAT </w:instrText>
    </w:r>
    <w:r>
      <w:fldChar w:fldCharType="separate"/>
    </w:r>
    <w:r>
      <w:t>1</w:t>
    </w:r>
    <w:r>
      <w:fldChar w:fldCharType="end"/>
    </w:r>
    <w:r>
      <w:t xml:space="preserve"> </w:t>
    </w:r>
  </w:p>
  <w:p w:rsidR="00673732">
    <w:pPr>
      <w:spacing w:after="0"/>
      <w:ind w:left="1"/>
    </w:pPr>
    <w:r>
      <w:t xml:space="preserve"> </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tabs>
        <w:tab w:val="center" w:pos="8660"/>
        <w:tab w:val="right" w:pos="9024"/>
      </w:tabs>
      <w:spacing w:after="0"/>
    </w:pP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94680789"/>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tabs>
        <w:tab w:val="center" w:pos="8660"/>
        <w:tab w:val="right" w:pos="9024"/>
      </w:tabs>
      <w:spacing w:after="0"/>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pP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3593020"/>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5"/>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1"/>
    </w:pP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44152765"/>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
      <w:jc w:val="right"/>
    </w:pPr>
    <w:r>
      <w:fldChar w:fldCharType="begin"/>
    </w:r>
    <w:r>
      <w:instrText xml:space="preserve"> PAGE   \* MERGEFORMAT </w:instrText>
    </w:r>
    <w:r>
      <w:fldChar w:fldCharType="separate"/>
    </w:r>
    <w:r>
      <w:t>1</w:t>
    </w:r>
    <w:r>
      <w:fldChar w:fldCharType="end"/>
    </w:r>
    <w:r>
      <w:t xml:space="preserve"> </w:t>
    </w:r>
  </w:p>
  <w:p w:rsidR="00673732">
    <w:pPr>
      <w:spacing w:after="0"/>
      <w:ind w:left="1"/>
    </w:pPr>
    <w:r>
      <w:t xml:space="preserve"> </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1"/>
    </w:pP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6455425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673732">
    <w:pPr>
      <w:spacing w:after="0"/>
      <w:ind w:left="1"/>
    </w:pPr>
    <w:r>
      <w:rPr>
        <w:sz w:val="24"/>
      </w:rPr>
      <w:t xml:space="preserve"> </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3630060"/>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1271"/>
      <w:jc w:val="center"/>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673732">
    <w:pPr>
      <w:spacing w:after="0"/>
      <w:ind w:left="1277"/>
    </w:pPr>
    <w:r>
      <w:rPr>
        <w:sz w:val="24"/>
      </w:rPr>
      <w:t xml:space="preserve"> </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1506289"/>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pPr>
    <w:r>
      <w:rPr>
        <w:sz w:val="24"/>
      </w:rPr>
      <w:t xml:space="preserve"> </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68793054"/>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jc w:val="right"/>
    </w:pPr>
    <w:r>
      <w:fldChar w:fldCharType="begin"/>
    </w:r>
    <w:r>
      <w:instrText xml:space="preserve"> PAGE   \* MERGEFORMAT </w:instrText>
    </w:r>
    <w:r>
      <w:fldChar w:fldCharType="separate"/>
    </w:r>
    <w:r>
      <w:rPr>
        <w:rFonts w:ascii="Gill Sans MT" w:eastAsia="Gill Sans MT" w:hAnsi="Gill Sans MT" w:cs="Gill Sans MT"/>
        <w:sz w:val="24"/>
      </w:rPr>
      <w:t>1</w:t>
    </w:r>
    <w:r>
      <w:rPr>
        <w:rFonts w:ascii="Gill Sans MT" w:eastAsia="Gill Sans MT" w:hAnsi="Gill Sans MT" w:cs="Gill Sans MT"/>
        <w:sz w:val="24"/>
      </w:rPr>
      <w:fldChar w:fldCharType="end"/>
    </w:r>
    <w:r>
      <w:rPr>
        <w:sz w:val="24"/>
      </w:rPr>
      <w:t xml:space="preserve"> </w:t>
    </w:r>
  </w:p>
  <w:p w:rsidR="00673732">
    <w:pPr>
      <w:spacing w:after="0"/>
    </w:pPr>
    <w:r>
      <w:rPr>
        <w:sz w:val="24"/>
      </w:rPr>
      <w:t xml:space="preserve"> </w:t>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2484615"/>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3"/>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673732">
    <w:pPr>
      <w:spacing w:after="0"/>
    </w:pPr>
    <w:r>
      <w:rPr>
        <w:rFonts w:ascii="Times New Roman" w:eastAsia="Times New Roman" w:hAnsi="Times New Roman" w:cs="Times New Roman"/>
        <w:sz w:val="24"/>
      </w:rPr>
      <w:t xml:space="preserve"> </w:t>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14"/>
    </w:pPr>
    <w:r>
      <w:rPr>
        <w:rFonts w:ascii="Georgia" w:eastAsia="Georgia" w:hAnsi="Georgia" w:cs="Georgia"/>
      </w:rPr>
      <w:t xml:space="preserve"> </w:t>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38471590"/>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3"/>
      <w:jc w:val="right"/>
    </w:pPr>
    <w:r>
      <w:fldChar w:fldCharType="begin"/>
    </w:r>
    <w:r>
      <w:instrText xml:space="preserve"> PAGE   \* MERGEFORMAT </w:instrText>
    </w:r>
    <w:r>
      <w:fldChar w:fldCharType="separate"/>
    </w:r>
    <w:r>
      <w:rPr>
        <w:rFonts w:ascii="Georgia" w:eastAsia="Georgia" w:hAnsi="Georgia" w:cs="Georgia"/>
      </w:rPr>
      <w:t>1</w:t>
    </w:r>
    <w:r>
      <w:rPr>
        <w:rFonts w:ascii="Georgia" w:eastAsia="Georgia" w:hAnsi="Georgia" w:cs="Georgia"/>
      </w:rPr>
      <w:fldChar w:fldCharType="end"/>
    </w:r>
    <w:r>
      <w:rPr>
        <w:rFonts w:ascii="Georgia" w:eastAsia="Georgia" w:hAnsi="Georgia" w:cs="Georgia"/>
      </w:rPr>
      <w:t xml:space="preserve"> </w:t>
    </w:r>
  </w:p>
  <w:p w:rsidR="00673732">
    <w:pPr>
      <w:spacing w:after="0"/>
      <w:ind w:left="14"/>
    </w:pPr>
    <w:r>
      <w:rPr>
        <w:rFonts w:ascii="Georgia" w:eastAsia="Georgia" w:hAnsi="Georgia" w:cs="Georgia"/>
      </w:rPr>
      <w:t xml:space="preserve"> </w:t>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15"/>
    </w:pPr>
    <w:r>
      <w:rPr>
        <w:rFonts w:ascii="Arial" w:eastAsia="Arial" w:hAnsi="Arial" w:cs="Arial"/>
      </w:rPr>
      <w:t xml:space="preserve"> </w:t>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1773848"/>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708"/>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rsidR="00673732">
    <w:pPr>
      <w:spacing w:after="0"/>
      <w:ind w:left="15"/>
    </w:pPr>
    <w:r>
      <w:rPr>
        <w:rFonts w:ascii="Arial" w:eastAsia="Arial" w:hAnsi="Arial" w:cs="Arial"/>
      </w:rPr>
      <w:t xml:space="preserve"> </w:t>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46922869"/>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2"/>
      <w:jc w:val="right"/>
    </w:pPr>
    <w:r>
      <w:rPr>
        <w:sz w:val="24"/>
      </w:rPr>
      <w:t xml:space="preserve"> </w:t>
    </w:r>
    <w:r>
      <w:fldChar w:fldCharType="begin"/>
    </w:r>
    <w:r>
      <w:instrText xml:space="preserve"> PAGE   \* MERGEFORMAT </w:instrText>
    </w:r>
    <w:r>
      <w:fldChar w:fldCharType="separate"/>
    </w:r>
    <w:r>
      <w:rPr>
        <w:sz w:val="24"/>
      </w:rPr>
      <w:t>1</w:t>
    </w:r>
    <w:r>
      <w:rPr>
        <w:sz w:val="24"/>
      </w:rPr>
      <w:fldChar w:fldCharType="end"/>
    </w:r>
  </w:p>
  <w:p w:rsidR="00673732">
    <w:pPr>
      <w:spacing w:after="0"/>
    </w:pPr>
    <w:r>
      <w:t xml:space="preserve"> </w:t>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16188814"/>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26081583"/>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tabs>
        <w:tab w:val="center" w:pos="360"/>
        <w:tab w:val="center" w:pos="9350"/>
      </w:tabs>
      <w:spacing w:after="0"/>
    </w:pPr>
    <w: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1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63174928"/>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1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rsidR="00673732">
    <w:pPr>
      <w:spacing w:after="0"/>
    </w:pPr>
    <w:r>
      <w:rPr>
        <w:rFonts w:ascii="Arial" w:eastAsia="Arial" w:hAnsi="Arial" w:cs="Arial"/>
      </w:rPr>
      <w:t xml:space="preserve"> </w:t>
    </w:r>
  </w:p>
</w:ftr>
</file>

<file path=word/footer1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1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08390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673732">
    <w:pPr>
      <w:spacing w:after="0"/>
    </w:pPr>
    <w:r>
      <w:rPr>
        <w:sz w:val="24"/>
      </w:rPr>
      <w:t xml:space="preserve"> </w:t>
    </w:r>
  </w:p>
</w:ftr>
</file>

<file path=word/footer2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64632230"/>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
      <w:jc w:val="right"/>
    </w:pPr>
    <w:r>
      <w:fldChar w:fldCharType="begin"/>
    </w:r>
    <w:r>
      <w:instrText xml:space="preserve"> PAGE   \* MERGEFORMAT </w:instrText>
    </w:r>
    <w:r>
      <w:fldChar w:fldCharType="separate"/>
    </w:r>
    <w:r>
      <w:rPr>
        <w:rFonts w:ascii="Cambria" w:eastAsia="Cambria" w:hAnsi="Cambria" w:cs="Cambria"/>
        <w:sz w:val="24"/>
      </w:rPr>
      <w:t>1</w:t>
    </w:r>
    <w:r>
      <w:rPr>
        <w:rFonts w:ascii="Cambria" w:eastAsia="Cambria" w:hAnsi="Cambria" w:cs="Cambria"/>
        <w:sz w:val="24"/>
      </w:rPr>
      <w:fldChar w:fldCharType="end"/>
    </w:r>
    <w:r>
      <w:rPr>
        <w:rFonts w:ascii="Cambria" w:eastAsia="Cambria" w:hAnsi="Cambria" w:cs="Cambria"/>
        <w:sz w:val="24"/>
      </w:rPr>
      <w:t xml:space="preserve"> </w:t>
    </w:r>
  </w:p>
  <w:p w:rsidR="00673732">
    <w:pPr>
      <w:spacing w:after="0"/>
    </w:pPr>
    <w:r>
      <w:rPr>
        <w:rFonts w:ascii="Cambria" w:eastAsia="Cambria" w:hAnsi="Cambria" w:cs="Cambria"/>
        <w:sz w:val="24"/>
      </w:rPr>
      <w:t xml:space="preserve"> </w:t>
    </w:r>
  </w:p>
</w:ftr>
</file>

<file path=word/footer2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8"/>
      <w:jc w:val="right"/>
    </w:pPr>
    <w:r>
      <w:fldChar w:fldCharType="begin"/>
    </w:r>
    <w:r>
      <w:instrText xml:space="preserve"> PAGE   \* MERGEFORMAT </w:instrText>
    </w:r>
    <w:r>
      <w:fldChar w:fldCharType="separate"/>
    </w:r>
    <w:r>
      <w:rPr>
        <w:rFonts w:ascii="Cambria" w:eastAsia="Cambria" w:hAnsi="Cambria" w:cs="Cambria"/>
        <w:sz w:val="24"/>
      </w:rPr>
      <w:t>1</w:t>
    </w:r>
    <w:r>
      <w:rPr>
        <w:rFonts w:ascii="Cambria" w:eastAsia="Cambria" w:hAnsi="Cambria" w:cs="Cambria"/>
        <w:sz w:val="24"/>
      </w:rPr>
      <w:fldChar w:fldCharType="end"/>
    </w:r>
    <w:r>
      <w:rPr>
        <w:rFonts w:ascii="Cambria" w:eastAsia="Cambria" w:hAnsi="Cambria" w:cs="Cambria"/>
        <w:sz w:val="24"/>
      </w:rPr>
      <w:t xml:space="preserve"> </w:t>
    </w:r>
  </w:p>
  <w:p w:rsidR="00673732">
    <w:pPr>
      <w:spacing w:after="0"/>
    </w:pPr>
    <w:r>
      <w:rPr>
        <w:rFonts w:ascii="Cambria" w:eastAsia="Cambria" w:hAnsi="Cambria" w:cs="Cambria"/>
        <w:sz w:val="24"/>
      </w:rPr>
      <w:t xml:space="preserve"> </w:t>
    </w:r>
  </w:p>
</w:ftr>
</file>

<file path=word/footer2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8"/>
      <w:jc w:val="right"/>
    </w:pPr>
    <w:r>
      <w:fldChar w:fldCharType="begin"/>
    </w:r>
    <w:r>
      <w:instrText xml:space="preserve"> PAGE   \* MERGEFORMAT </w:instrText>
    </w:r>
    <w:r>
      <w:fldChar w:fldCharType="separate"/>
    </w:r>
    <w:r>
      <w:rPr>
        <w:rFonts w:ascii="Cambria" w:eastAsia="Cambria" w:hAnsi="Cambria" w:cs="Cambria"/>
        <w:sz w:val="24"/>
      </w:rPr>
      <w:t>1</w:t>
    </w:r>
    <w:r>
      <w:rPr>
        <w:rFonts w:ascii="Cambria" w:eastAsia="Cambria" w:hAnsi="Cambria" w:cs="Cambria"/>
        <w:sz w:val="24"/>
      </w:rPr>
      <w:fldChar w:fldCharType="end"/>
    </w:r>
    <w:r>
      <w:rPr>
        <w:rFonts w:ascii="Cambria" w:eastAsia="Cambria" w:hAnsi="Cambria" w:cs="Cambria"/>
        <w:sz w:val="24"/>
      </w:rPr>
      <w:t xml:space="preserve"> </w:t>
    </w:r>
  </w:p>
  <w:p w:rsidR="00673732">
    <w:pPr>
      <w:spacing w:after="0"/>
    </w:pPr>
    <w:r>
      <w:rPr>
        <w:rFonts w:ascii="Cambria" w:eastAsia="Cambria" w:hAnsi="Cambria" w:cs="Cambria"/>
        <w:sz w:val="24"/>
      </w:rPr>
      <w:t xml:space="preserve"> </w:t>
    </w:r>
  </w:p>
</w:ftr>
</file>

<file path=word/footer2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tabs>
        <w:tab w:val="right" w:pos="9074"/>
      </w:tabs>
      <w:spacing w:after="0"/>
    </w:pP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2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36677460"/>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87415398"/>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5"/>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2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5"/>
      <w:jc w:val="right"/>
    </w:pPr>
    <w:r>
      <w:t xml:space="preserve"> </w:t>
    </w:r>
  </w:p>
</w:ftr>
</file>

<file path=word/footer2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49924996"/>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5"/>
      <w:jc w:val="right"/>
    </w:pPr>
    <w:r>
      <w:fldChar w:fldCharType="begin"/>
    </w:r>
    <w:r>
      <w:instrText xml:space="preserve"> PAGE   \* MERGEFORMAT </w:instrText>
    </w:r>
    <w:r>
      <w:fldChar w:fldCharType="separate"/>
    </w:r>
    <w:r>
      <w:t>1</w:t>
    </w:r>
    <w:r>
      <w:fldChar w:fldCharType="end"/>
    </w:r>
    <w:r>
      <w:t xml:space="preserve">  </w:t>
    </w:r>
  </w:p>
</w:ftr>
</file>

<file path=word/footer2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pPr>
  </w:p>
</w:ftr>
</file>

<file path=word/footer2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2126959"/>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5"/>
      <w:jc w:val="right"/>
    </w:pPr>
    <w:r>
      <w:fldChar w:fldCharType="begin"/>
    </w:r>
    <w:r>
      <w:instrText xml:space="preserve"> PAGE   \* MERGEFORMAT </w:instrText>
    </w:r>
    <w:r>
      <w:fldChar w:fldCharType="separate"/>
    </w:r>
    <w:r>
      <w:rPr>
        <w:rFonts w:ascii="Verdana" w:eastAsia="Verdana" w:hAnsi="Verdana" w:cs="Verdana"/>
        <w:sz w:val="24"/>
      </w:rPr>
      <w:t>1</w:t>
    </w:r>
    <w:r>
      <w:rPr>
        <w:rFonts w:ascii="Verdana" w:eastAsia="Verdana" w:hAnsi="Verdana" w:cs="Verdana"/>
        <w:sz w:val="24"/>
      </w:rPr>
      <w:fldChar w:fldCharType="end"/>
    </w:r>
    <w:r>
      <w:rPr>
        <w:rFonts w:ascii="Verdana" w:eastAsia="Verdana" w:hAnsi="Verdana" w:cs="Verdana"/>
        <w:sz w:val="24"/>
      </w:rPr>
      <w:t xml:space="preserve"> </w:t>
    </w:r>
  </w:p>
  <w:p w:rsidR="00673732">
    <w:pPr>
      <w:spacing w:after="0"/>
    </w:pPr>
    <w:r>
      <w:rPr>
        <w:rFonts w:ascii="Verdana" w:eastAsia="Verdana" w:hAnsi="Verdana" w:cs="Verdana"/>
        <w:sz w:val="24"/>
      </w:rPr>
      <w:t xml:space="preserve"> </w:t>
    </w:r>
  </w:p>
</w:ftr>
</file>

<file path=word/footer2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51372484"/>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ftr>
</file>

<file path=word/footer2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1791835"/>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15"/>
      <w:jc w:val="right"/>
    </w:pPr>
    <w:r>
      <w:fldChar w:fldCharType="begin"/>
    </w:r>
    <w:r>
      <w:instrText xml:space="preserve"> PAGE   \* MERGEFORMAT </w:instrText>
    </w:r>
    <w:r>
      <w:fldChar w:fldCharType="separate"/>
    </w:r>
    <w:r>
      <w:rPr>
        <w:rFonts w:ascii="Arial" w:eastAsia="Arial" w:hAnsi="Arial" w:cs="Arial"/>
        <w:sz w:val="24"/>
      </w:rPr>
      <w:t>1</w:t>
    </w:r>
    <w:r>
      <w:rPr>
        <w:rFonts w:ascii="Arial" w:eastAsia="Arial" w:hAnsi="Arial" w:cs="Arial"/>
        <w:sz w:val="24"/>
      </w:rPr>
      <w:fldChar w:fldCharType="end"/>
    </w:r>
    <w:r>
      <w:rPr>
        <w:rFonts w:ascii="Arial" w:eastAsia="Arial" w:hAnsi="Arial" w:cs="Arial"/>
        <w:sz w:val="24"/>
      </w:rPr>
      <w:t xml:space="preserve"> </w:t>
    </w:r>
  </w:p>
  <w:p w:rsidR="00673732">
    <w:pPr>
      <w:spacing w:after="0"/>
    </w:pPr>
    <w:r>
      <w:rPr>
        <w:rFonts w:ascii="Arial" w:eastAsia="Arial" w:hAnsi="Arial" w:cs="Arial"/>
        <w:sz w:val="24"/>
      </w:rPr>
      <w:t xml:space="preserve"> </w:t>
    </w:r>
  </w:p>
</w:ftr>
</file>

<file path=word/footer2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49510784"/>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ftr>
</file>

<file path=word/footer2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53097440"/>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2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66510583"/>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tabs>
        <w:tab w:val="right" w:pos="9419"/>
      </w:tabs>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7116555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3188473"/>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ftr>
</file>

<file path=word/footer2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6218144"/>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3"/>
      <w:jc w:val="right"/>
    </w:pPr>
    <w:r>
      <w:fldChar w:fldCharType="begin"/>
    </w:r>
    <w:r>
      <w:instrText xml:space="preserve"> PAGE   \* MERGEFORMAT </w:instrText>
    </w:r>
    <w:r>
      <w:fldChar w:fldCharType="separate"/>
    </w:r>
    <w:r>
      <w:t>1</w:t>
    </w:r>
    <w:r>
      <w:fldChar w:fldCharType="end"/>
    </w:r>
    <w:r>
      <w:t xml:space="preserve"> </w:t>
    </w:r>
  </w:p>
  <w:p w:rsidR="00673732">
    <w:pPr>
      <w:spacing w:after="0"/>
    </w:pPr>
    <w:r>
      <w:t xml:space="preserve"> </w:t>
    </w:r>
  </w:p>
</w:ftr>
</file>

<file path=word/footer2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92272897"/>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10"/>
      <w:ind w:right="4"/>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673732">
    <w:pPr>
      <w:spacing w:after="0"/>
    </w:pPr>
    <w:r>
      <w:rPr>
        <w:sz w:val="24"/>
      </w:rPr>
      <w:t xml:space="preserve"> </w:t>
    </w:r>
  </w:p>
</w:ftr>
</file>

<file path=word/footer2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21757336"/>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ftr>
</file>

<file path=word/footer2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50059678"/>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4"/>
      <w:jc w:val="center"/>
    </w:pPr>
    <w:r>
      <w:fldChar w:fldCharType="begin"/>
    </w:r>
    <w:r>
      <w:instrText xml:space="preserve"> PAGE   \* MERGEFORMAT </w:instrText>
    </w:r>
    <w:r>
      <w:fldChar w:fldCharType="separate"/>
    </w:r>
    <w:r>
      <w:rPr>
        <w:rFonts w:ascii="Gill Sans MT" w:eastAsia="Gill Sans MT" w:hAnsi="Gill Sans MT" w:cs="Gill Sans MT"/>
        <w:sz w:val="24"/>
      </w:rPr>
      <w:t>2</w:t>
    </w:r>
    <w:r>
      <w:rPr>
        <w:rFonts w:ascii="Gill Sans MT" w:eastAsia="Gill Sans MT" w:hAnsi="Gill Sans MT" w:cs="Gill Sans MT"/>
        <w:sz w:val="24"/>
      </w:rPr>
      <w:fldChar w:fldCharType="end"/>
    </w:r>
    <w:r>
      <w:rPr>
        <w:rFonts w:ascii="Gill Sans MT" w:eastAsia="Gill Sans MT" w:hAnsi="Gill Sans MT" w:cs="Gill Sans MT"/>
        <w:sz w:val="24"/>
      </w:rPr>
      <w:t xml:space="preserve"> of 11 </w:t>
    </w:r>
  </w:p>
</w:ftr>
</file>

<file path=word/footer2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1016194"/>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18"/>
      <w:jc w:val="center"/>
    </w:pPr>
    <w:r>
      <w:fldChar w:fldCharType="begin"/>
    </w:r>
    <w:r>
      <w:instrText xml:space="preserve"> PAGE   \* MERGEFORMAT </w:instrText>
    </w:r>
    <w:r>
      <w:fldChar w:fldCharType="separate"/>
    </w:r>
    <w:r>
      <w:rPr>
        <w:rFonts w:ascii="Times New Roman" w:eastAsia="Times New Roman" w:hAnsi="Times New Roman" w:cs="Times New Roman"/>
        <w:sz w:val="18"/>
      </w:rPr>
      <w:t>1</w:t>
    </w:r>
    <w:r>
      <w:rPr>
        <w:rFonts w:ascii="Times New Roman" w:eastAsia="Times New Roman" w:hAnsi="Times New Roman" w:cs="Times New Roman"/>
        <w:sz w:val="18"/>
      </w:rPr>
      <w:fldChar w:fldCharType="end"/>
    </w:r>
    <w:r>
      <w:rPr>
        <w:rFonts w:ascii="Times New Roman" w:eastAsia="Times New Roman" w:hAnsi="Times New Roman" w:cs="Times New Roman"/>
        <w:sz w:val="18"/>
      </w:rPr>
      <w:t xml:space="preserve"> </w:t>
    </w:r>
    <w:r>
      <w:rPr>
        <w:rFonts w:ascii="Times New Roman" w:eastAsia="Times New Roman" w:hAnsi="Times New Roman" w:cs="Times New Roman"/>
        <w:sz w:val="24"/>
      </w:rPr>
      <w:t xml:space="preserve"> </w:t>
    </w:r>
  </w:p>
</w:ftr>
</file>

<file path=word/footer2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50996465"/>
      <w:docPartObj>
        <w:docPartGallery w:val="Page Numbers (Bottom of Page)"/>
        <w:docPartUnique/>
      </w:docPartObj>
    </w:sdtPr>
    <w:sdtEndPr>
      <w:rPr>
        <w:noProof/>
      </w:rPr>
    </w:sdtEndPr>
    <w:sdtContent>
      <w:p w:rsidR="00673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3732" w:rsidRPr="00DE1E8D" w:rsidP="00DE1E8D">
    <w:pPr>
      <w:pStyle w:val="Footer"/>
    </w:pPr>
  </w:p>
</w:ftr>
</file>

<file path=word/footer2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DE1E8D" w:rsidP="00DE1E8D">
    <w:pPr>
      <w:pStyle w:val="Footer"/>
    </w:pPr>
  </w:p>
</w:ftr>
</file>

<file path=word/footer2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38"/>
      <w:jc w:val="right"/>
    </w:pPr>
    <w:r>
      <w:fldChar w:fldCharType="begin"/>
    </w:r>
    <w:r>
      <w:instrText xml:space="preserve"> PAGE   \* MERGEFORMAT </w:instrText>
    </w:r>
    <w:r>
      <w:fldChar w:fldCharType="separate"/>
    </w:r>
    <w:r>
      <w:rPr>
        <w:rFonts w:ascii="Arial" w:eastAsia="Arial" w:hAnsi="Arial" w:cs="Arial"/>
        <w:color w:val="003057"/>
        <w:sz w:val="24"/>
      </w:rPr>
      <w:t>3</w:t>
    </w:r>
    <w:r>
      <w:rPr>
        <w:rFonts w:ascii="Arial" w:eastAsia="Arial" w:hAnsi="Arial" w:cs="Arial"/>
        <w:color w:val="003057"/>
        <w:sz w:val="24"/>
      </w:rPr>
      <w:fldChar w:fldCharType="end"/>
    </w:r>
    <w:r>
      <w:rPr>
        <w:rFonts w:ascii="Arial" w:eastAsia="Arial" w:hAnsi="Arial" w:cs="Arial"/>
        <w:color w:val="003057"/>
        <w:sz w:val="24"/>
      </w:rPr>
      <w:t xml:space="preserve"> </w:t>
    </w:r>
  </w:p>
  <w:p w:rsidR="00673732">
    <w:pPr>
      <w:spacing w:after="0"/>
      <w:ind w:left="127"/>
    </w:pPr>
    <w:r>
      <w:rPr>
        <w:rFonts w:ascii="Arial" w:eastAsia="Arial" w:hAnsi="Arial" w:cs="Arial"/>
        <w:color w:val="003057"/>
        <w:sz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75F14">
      <w:pPr>
        <w:spacing w:after="0" w:line="287" w:lineRule="auto"/>
        <w:jc w:val="both"/>
      </w:pPr>
      <w:r>
        <w:separator/>
      </w:r>
    </w:p>
  </w:footnote>
  <w:footnote w:type="continuationSeparator" w:id="1">
    <w:p w:rsidR="00575F14">
      <w:pPr>
        <w:spacing w:after="0" w:line="287" w:lineRule="auto"/>
        <w:jc w:val="both"/>
      </w:pPr>
      <w:r>
        <w:continuationSeparator/>
      </w:r>
    </w:p>
  </w:footnote>
  <w:footnote w:id="2">
    <w:p w:rsidR="00673732" w:rsidRPr="001C1B82">
      <w:pPr>
        <w:pStyle w:val="footnotedescription"/>
        <w:spacing w:line="287" w:lineRule="auto"/>
        <w:jc w:val="both"/>
        <w:rPr>
          <w:szCs w:val="16"/>
        </w:rPr>
      </w:pPr>
      <w:r w:rsidRPr="001C1B82">
        <w:rPr>
          <w:rStyle w:val="footnotemark"/>
          <w:szCs w:val="16"/>
        </w:rPr>
        <w:footnoteRef/>
      </w:r>
      <w:r w:rsidRPr="001C1B82">
        <w:rPr>
          <w:szCs w:val="16"/>
        </w:rPr>
        <w:t xml:space="preserve"> ‘Big Data, Small Law: How Gaps in Regulation are Affecting Political Campaigning Methods and the Need for Fundamental Reform’ [2019] 2 </w:t>
      </w:r>
      <w:r w:rsidRPr="001C1B82">
        <w:rPr>
          <w:i/>
          <w:szCs w:val="16"/>
        </w:rPr>
        <w:t>Public Law</w:t>
      </w:r>
      <w:r w:rsidRPr="001C1B82">
        <w:rPr>
          <w:szCs w:val="16"/>
        </w:rPr>
        <w:t xml:space="preserve"> 361-378</w:t>
      </w:r>
      <w:r w:rsidRPr="001C1B82">
        <w:rPr>
          <w:szCs w:val="16"/>
          <w:vertAlign w:val="superscript"/>
        </w:rPr>
        <w:t xml:space="preserve"> </w:t>
      </w:r>
    </w:p>
  </w:footnote>
  <w:footnote w:id="3">
    <w:p w:rsidR="00673732" w:rsidRPr="001C1B82">
      <w:pPr>
        <w:pStyle w:val="footnotedescription"/>
        <w:spacing w:line="276" w:lineRule="auto"/>
        <w:rPr>
          <w:szCs w:val="16"/>
        </w:rPr>
      </w:pPr>
      <w:r w:rsidRPr="001C1B82">
        <w:rPr>
          <w:rStyle w:val="footnotemark"/>
          <w:szCs w:val="16"/>
        </w:rPr>
        <w:footnoteRef/>
      </w:r>
      <w:r w:rsidRPr="001C1B82">
        <w:rPr>
          <w:szCs w:val="16"/>
        </w:rPr>
        <w:t xml:space="preserve"> Dark advertisements are only seen by the recipient (unless the recipient chooses the share the advertisement). </w:t>
      </w:r>
    </w:p>
  </w:footnote>
  <w:footnote w:id="4">
    <w:p w:rsidR="00673732" w:rsidRPr="001C1B82">
      <w:pPr>
        <w:pStyle w:val="footnotedescription"/>
        <w:spacing w:after="14"/>
        <w:jc w:val="both"/>
        <w:rPr>
          <w:szCs w:val="16"/>
        </w:rPr>
      </w:pPr>
      <w:r w:rsidRPr="001C1B82">
        <w:rPr>
          <w:rStyle w:val="footnotemark"/>
          <w:szCs w:val="16"/>
        </w:rPr>
        <w:footnoteRef/>
      </w:r>
      <w:r w:rsidRPr="001C1B82">
        <w:rPr>
          <w:szCs w:val="16"/>
        </w:rPr>
        <w:t xml:space="preserve"> Tambini et al, “The new political campaigning” (London School of Economics and Political Science, 2017), LSE </w:t>
      </w:r>
    </w:p>
    <w:p w:rsidR="00673732" w:rsidRPr="001C1B82">
      <w:pPr>
        <w:pStyle w:val="footnotedescription"/>
        <w:rPr>
          <w:szCs w:val="16"/>
        </w:rPr>
      </w:pPr>
      <w:r w:rsidRPr="001C1B82">
        <w:rPr>
          <w:szCs w:val="16"/>
        </w:rPr>
        <w:t xml:space="preserve">Media Policy Project Series, Media Policy Brief 19, p.12, </w:t>
      </w:r>
      <w:r>
        <w:fldChar w:fldCharType="begin"/>
      </w:r>
      <w:r>
        <w:instrText xml:space="preserve"> HYPERLINK "http://eprints.lse.ac.uk/71945/" </w:instrText>
      </w:r>
      <w:r>
        <w:fldChar w:fldCharType="separate"/>
      </w:r>
      <w:r w:rsidRPr="001C1B82">
        <w:rPr>
          <w:color w:val="0000FF"/>
          <w:szCs w:val="16"/>
          <w:u w:val="single" w:color="0000FF"/>
        </w:rPr>
        <w:t>http://eprints.lse.ac.uk/71945/</w:t>
      </w:r>
      <w:r>
        <w:fldChar w:fldCharType="end"/>
      </w:r>
      <w:r>
        <w:fldChar w:fldCharType="begin"/>
      </w:r>
      <w:r>
        <w:instrText xml:space="preserve"> HYPERLINK "http://eprints.lse.ac.uk/71945/" </w:instrText>
      </w:r>
      <w:r>
        <w:fldChar w:fldCharType="separate"/>
      </w:r>
      <w:r w:rsidRPr="001C1B82">
        <w:rPr>
          <w:szCs w:val="16"/>
        </w:rPr>
        <w:t xml:space="preserve"> </w:t>
      </w:r>
      <w:r>
        <w:fldChar w:fldCharType="end"/>
      </w:r>
      <w:r w:rsidRPr="001C1B82">
        <w:rPr>
          <w:szCs w:val="16"/>
        </w:rPr>
        <w:t xml:space="preserve">  </w:t>
      </w:r>
    </w:p>
  </w:footnote>
  <w:footnote w:id="5">
    <w:p w:rsidR="00673732" w:rsidRPr="001C1B82">
      <w:pPr>
        <w:pStyle w:val="footnotedescription"/>
        <w:spacing w:line="257" w:lineRule="auto"/>
        <w:ind w:right="3"/>
        <w:jc w:val="both"/>
        <w:rPr>
          <w:szCs w:val="16"/>
        </w:rPr>
      </w:pPr>
      <w:r w:rsidRPr="001C1B82">
        <w:rPr>
          <w:rStyle w:val="footnotemark"/>
          <w:szCs w:val="16"/>
        </w:rPr>
        <w:footnoteRef/>
      </w:r>
      <w:r w:rsidRPr="001C1B82">
        <w:rPr>
          <w:szCs w:val="16"/>
        </w:rPr>
        <w:t xml:space="preserve"> The Electoral Commission ‘Recommendations for The Brexit Party – financial procedures for incoming funds’ </w:t>
      </w:r>
      <w:r>
        <w:fldChar w:fldCharType="begin"/>
      </w:r>
      <w:r>
        <w:instrText xml:space="preserve"> HYPERLINK "https://www.electoralcommission.org.uk/sites/default/files/2019-07/FOI-159-19.pdf" </w:instrText>
      </w:r>
      <w:r>
        <w:fldChar w:fldCharType="separate"/>
      </w:r>
      <w:r w:rsidRPr="001C1B82">
        <w:rPr>
          <w:color w:val="0000FF"/>
          <w:szCs w:val="16"/>
          <w:u w:val="single" w:color="0000FF"/>
        </w:rPr>
        <w:t>https://www.electoralcommission.org.uk/sites/default/files/2019</w:t>
      </w:r>
      <w:r>
        <w:fldChar w:fldCharType="end"/>
      </w:r>
      <w:r>
        <w:fldChar w:fldCharType="begin"/>
      </w:r>
      <w:r>
        <w:instrText xml:space="preserve"> HYPERLINK "https://www.electoralcommission.org.uk/sites/default/files/2019-07/FOI-159-19.pdf" </w:instrText>
      </w:r>
      <w:r>
        <w:fldChar w:fldCharType="separate"/>
      </w:r>
      <w:r w:rsidRPr="001C1B82">
        <w:rPr>
          <w:color w:val="0000FF"/>
          <w:szCs w:val="16"/>
          <w:u w:val="single" w:color="0000FF"/>
        </w:rPr>
        <w:t>07/FOI-159-19.pdf</w:t>
      </w:r>
      <w:r>
        <w:fldChar w:fldCharType="end"/>
      </w:r>
      <w:r>
        <w:fldChar w:fldCharType="begin"/>
      </w:r>
      <w:r>
        <w:instrText xml:space="preserve"> HYPERLINK "https://www.electoralcommission.org.uk/sites/default/files/2019-07/FOI-159-19.pdf" </w:instrText>
      </w:r>
      <w:r>
        <w:fldChar w:fldCharType="separate"/>
      </w:r>
      <w:r w:rsidRPr="001C1B82">
        <w:rPr>
          <w:szCs w:val="16"/>
        </w:rPr>
        <w:t xml:space="preserve"> </w:t>
      </w:r>
      <w:r>
        <w:fldChar w:fldCharType="end"/>
      </w:r>
      <w:r w:rsidRPr="001C1B82">
        <w:rPr>
          <w:szCs w:val="16"/>
        </w:rPr>
        <w:t xml:space="preserve">published following a Freedom of Information Act request. </w:t>
      </w:r>
    </w:p>
  </w:footnote>
  <w:footnote w:id="6">
    <w:p w:rsidR="00673732" w:rsidRPr="001C1B82">
      <w:pPr>
        <w:pStyle w:val="footnotedescription"/>
        <w:spacing w:line="258" w:lineRule="auto"/>
        <w:jc w:val="both"/>
        <w:rPr>
          <w:szCs w:val="16"/>
        </w:rPr>
      </w:pPr>
      <w:r w:rsidRPr="001C1B82">
        <w:rPr>
          <w:rStyle w:val="footnotemark"/>
          <w:szCs w:val="16"/>
        </w:rPr>
        <w:footnoteRef/>
      </w:r>
      <w:r w:rsidRPr="001C1B82">
        <w:rPr>
          <w:szCs w:val="16"/>
        </w:rPr>
        <w:t xml:space="preserve"> </w:t>
      </w:r>
      <w:r w:rsidRPr="001C1B82">
        <w:rPr>
          <w:i/>
          <w:szCs w:val="16"/>
        </w:rPr>
        <w:t>Bowman v UK</w:t>
      </w:r>
      <w:r w:rsidRPr="001C1B82">
        <w:rPr>
          <w:szCs w:val="16"/>
        </w:rPr>
        <w:t xml:space="preserve"> App No 24839/94 (1998) 26 EHRR 1 was related to another, now outdated, element of campaign spending limits. </w:t>
      </w:r>
    </w:p>
  </w:footnote>
  <w:footnote w:id="7">
    <w:p w:rsidR="00673732" w:rsidRPr="001C1B82">
      <w:pPr>
        <w:pStyle w:val="footnotedescription"/>
        <w:spacing w:line="276" w:lineRule="auto"/>
        <w:rPr>
          <w:szCs w:val="16"/>
        </w:rPr>
      </w:pPr>
      <w:r w:rsidRPr="001C1B82">
        <w:rPr>
          <w:rStyle w:val="footnotemark"/>
          <w:szCs w:val="16"/>
        </w:rPr>
        <w:footnoteRef/>
      </w:r>
      <w:r w:rsidRPr="001C1B82">
        <w:rPr>
          <w:szCs w:val="16"/>
        </w:rPr>
        <w:t xml:space="preserve"> For example, Arron Banks is the largest political donor having given £1 million to UKIP and £8 million to Leave.EU and is reportedly continuing to provide donations to Nigel Farage.  </w:t>
      </w:r>
    </w:p>
  </w:footnote>
  <w:footnote w:id="8">
    <w:p w:rsidR="00673732" w:rsidRPr="001C1B82">
      <w:pPr>
        <w:pStyle w:val="footnotedescription"/>
        <w:spacing w:line="276" w:lineRule="auto"/>
        <w:jc w:val="both"/>
        <w:rPr>
          <w:szCs w:val="16"/>
        </w:rPr>
      </w:pPr>
      <w:r w:rsidRPr="001C1B82">
        <w:rPr>
          <w:rStyle w:val="footnotemark"/>
          <w:szCs w:val="16"/>
        </w:rPr>
        <w:footnoteRef/>
      </w:r>
      <w:r w:rsidRPr="001C1B82">
        <w:rPr>
          <w:szCs w:val="16"/>
        </w:rPr>
        <w:t xml:space="preserve"> The answer provided here also addresses questions 8 and 9. See ‘The applicable legal framework’ section of the enclosed article (‘Big Data, Small Law’).  </w:t>
      </w:r>
    </w:p>
  </w:footnote>
  <w:footnote w:id="9">
    <w:p w:rsidR="00673732" w:rsidRPr="001C1B82">
      <w:pPr>
        <w:pStyle w:val="footnotedescription"/>
        <w:spacing w:line="257" w:lineRule="auto"/>
        <w:rPr>
          <w:szCs w:val="16"/>
        </w:rPr>
      </w:pPr>
      <w:r w:rsidRPr="001C1B82">
        <w:rPr>
          <w:rStyle w:val="footnotemark"/>
          <w:szCs w:val="16"/>
        </w:rPr>
        <w:footnoteRef/>
      </w:r>
      <w:r w:rsidRPr="001C1B82">
        <w:rPr>
          <w:szCs w:val="16"/>
        </w:rPr>
        <w:t xml:space="preserve"> Political finance regulation and digital campaigning: a public perspective. GfK UK report for qualitative research findings (The Electoral Commission, April 24, 2018) </w:t>
      </w:r>
      <w:r>
        <w:fldChar w:fldCharType="begin"/>
      </w:r>
      <w:r>
        <w:instrText xml:space="preserve"> HYPERLINK "https://www.electoralcommission.org.uk/media/2565" </w:instrText>
      </w:r>
      <w:r>
        <w:fldChar w:fldCharType="separate"/>
      </w:r>
      <w:r w:rsidRPr="001C1B82">
        <w:rPr>
          <w:color w:val="0000FF"/>
          <w:szCs w:val="16"/>
          <w:u w:val="single" w:color="0000FF"/>
        </w:rPr>
        <w:t>https://www.electoralcommission.org.uk/media/2565</w:t>
      </w:r>
      <w:r>
        <w:fldChar w:fldCharType="end"/>
      </w:r>
      <w:r>
        <w:fldChar w:fldCharType="begin"/>
      </w:r>
      <w:r>
        <w:instrText xml:space="preserve"> HYPERLINK "https://www.electoralcommission.org.uk/media/2565" </w:instrText>
      </w:r>
      <w:r>
        <w:fldChar w:fldCharType="separate"/>
      </w:r>
      <w:r w:rsidRPr="001C1B82">
        <w:rPr>
          <w:szCs w:val="16"/>
        </w:rPr>
        <w:t xml:space="preserve"> </w:t>
      </w:r>
      <w:r>
        <w:fldChar w:fldCharType="end"/>
      </w:r>
    </w:p>
  </w:footnote>
  <w:footnote w:id="10">
    <w:p w:rsidR="00673732" w:rsidRPr="001C1B82">
      <w:pPr>
        <w:pStyle w:val="footnotedescription"/>
        <w:spacing w:line="248" w:lineRule="auto"/>
        <w:rPr>
          <w:szCs w:val="16"/>
        </w:rPr>
      </w:pPr>
      <w:r w:rsidRPr="001C1B82">
        <w:rPr>
          <w:rStyle w:val="footnotemark"/>
          <w:szCs w:val="16"/>
        </w:rPr>
        <w:footnoteRef/>
      </w:r>
      <w:r w:rsidRPr="001C1B82">
        <w:rPr>
          <w:szCs w:val="16"/>
        </w:rPr>
        <w:t xml:space="preserve"> For example, the Conservative party’s privacy policy  for recent advertisements and questionnaires  relied on the democratic engagement basis for processing personal data. The privacy policy makes to clear that data submitted by the individual will be processed along other data sets like the electoral register and purchased consumer data and other publicly available data to make predictions. see </w:t>
      </w:r>
      <w:r>
        <w:fldChar w:fldCharType="begin"/>
      </w:r>
      <w:r>
        <w:instrText xml:space="preserve"> HYPERLINK "https://www.conservatives.com/Privacy" </w:instrText>
      </w:r>
      <w:r>
        <w:fldChar w:fldCharType="separate"/>
      </w:r>
      <w:r w:rsidRPr="001C1B82">
        <w:rPr>
          <w:color w:val="0000FF"/>
          <w:szCs w:val="16"/>
          <w:u w:val="single" w:color="0000FF"/>
        </w:rPr>
        <w:t>https://www.conservatives.com/Privacy</w:t>
      </w:r>
      <w:r>
        <w:fldChar w:fldCharType="end"/>
      </w:r>
      <w:r>
        <w:fldChar w:fldCharType="begin"/>
      </w:r>
      <w:r>
        <w:instrText xml:space="preserve"> HYPERLINK "https://www.conservatives.com/Privacy" </w:instrText>
      </w:r>
      <w:r>
        <w:fldChar w:fldCharType="separate"/>
      </w:r>
      <w:r w:rsidRPr="001C1B82">
        <w:rPr>
          <w:szCs w:val="16"/>
        </w:rPr>
        <w:t>.</w:t>
      </w:r>
      <w:r>
        <w:fldChar w:fldCharType="end"/>
      </w:r>
      <w:r w:rsidRPr="001C1B82">
        <w:rPr>
          <w:szCs w:val="16"/>
        </w:rPr>
        <w:t xml:space="preserve">  </w:t>
      </w:r>
    </w:p>
  </w:footnote>
  <w:footnote w:id="11">
    <w:p w:rsidR="00673732" w:rsidRPr="001C1B82">
      <w:pPr>
        <w:pStyle w:val="footnotedescription"/>
        <w:spacing w:line="277" w:lineRule="auto"/>
        <w:rPr>
          <w:szCs w:val="16"/>
        </w:rPr>
      </w:pPr>
      <w:r w:rsidRPr="001C1B82">
        <w:rPr>
          <w:rStyle w:val="footnotemark"/>
          <w:szCs w:val="16"/>
        </w:rPr>
        <w:footnoteRef/>
      </w:r>
      <w:r w:rsidRPr="001C1B82">
        <w:rPr>
          <w:szCs w:val="16"/>
        </w:rPr>
        <w:t xml:space="preserve"> See the reform section in ‘Big data, Small Law’ article and evidence given to the All Party Parliamentary Group on electoral campaigning transparency.  </w:t>
      </w:r>
    </w:p>
  </w:footnote>
  <w:footnote w:id="12">
    <w:p w:rsidR="00673732" w:rsidRPr="001C1B82">
      <w:pPr>
        <w:pStyle w:val="footnotedescription"/>
        <w:spacing w:after="14"/>
        <w:rPr>
          <w:szCs w:val="16"/>
        </w:rPr>
      </w:pPr>
      <w:r w:rsidRPr="001C1B82">
        <w:rPr>
          <w:rStyle w:val="footnotemark"/>
          <w:szCs w:val="16"/>
        </w:rPr>
        <w:footnoteRef/>
      </w:r>
      <w:r w:rsidRPr="001C1B82">
        <w:rPr>
          <w:szCs w:val="16"/>
        </w:rPr>
        <w:t xml:space="preserve"> Caio Machado  and Marco Konopacki ‘Computational Power: Automated Use of WhatsApp in the Elections </w:t>
      </w:r>
    </w:p>
    <w:p w:rsidR="00673732" w:rsidRPr="001C1B82">
      <w:pPr>
        <w:pStyle w:val="footnotedescription"/>
        <w:spacing w:line="238" w:lineRule="auto"/>
        <w:ind w:right="4"/>
        <w:jc w:val="both"/>
        <w:rPr>
          <w:szCs w:val="16"/>
        </w:rPr>
      </w:pPr>
      <w:r w:rsidRPr="001C1B82">
        <w:rPr>
          <w:szCs w:val="16"/>
        </w:rPr>
        <w:t xml:space="preserve">Study on the use of automation tools to boost political campaigns digitally in the 2018 Brazilian elections’ (Medium, October 26, 2018) </w:t>
      </w:r>
      <w:r>
        <w:fldChar w:fldCharType="begin"/>
      </w:r>
      <w:r>
        <w:instrText xml:space="preserve"> HYPERLINK "https://feed.itsrio.org/computational-power-automated-use-of-whatsapp-in-the-elections-59f62b857033" </w:instrText>
      </w:r>
      <w:r>
        <w:fldChar w:fldCharType="separate"/>
      </w:r>
      <w:r w:rsidRPr="001C1B82">
        <w:rPr>
          <w:color w:val="0000FF"/>
          <w:szCs w:val="16"/>
          <w:u w:val="single" w:color="0000FF"/>
        </w:rPr>
        <w:t>https://feed.itsrio.org/computational-power-automated-use-of-whatsapp-in-the</w:t>
      </w:r>
      <w:r>
        <w:fldChar w:fldCharType="end"/>
      </w:r>
      <w:r>
        <w:fldChar w:fldCharType="begin"/>
      </w:r>
      <w:r>
        <w:instrText xml:space="preserve"> HYPERLINK "https://feed.itsrio.org/computational-power-automated-use-of-whatsapp-in-the-elections-59f62b857033" </w:instrText>
      </w:r>
      <w:r>
        <w:fldChar w:fldCharType="separate"/>
      </w:r>
      <w:r w:rsidRPr="001C1B82">
        <w:rPr>
          <w:color w:val="0000FF"/>
          <w:szCs w:val="16"/>
          <w:u w:val="single" w:color="0000FF"/>
        </w:rPr>
        <w:t>elections-59f62b857033</w:t>
      </w:r>
      <w:r>
        <w:fldChar w:fldCharType="end"/>
      </w:r>
      <w:r>
        <w:fldChar w:fldCharType="begin"/>
      </w:r>
      <w:r>
        <w:instrText xml:space="preserve"> HYPERLINK "https://feed.itsrio.org/computational-power-automated-use-of-whatsapp-in-the-elections-59f62b857033" </w:instrText>
      </w:r>
      <w:r>
        <w:fldChar w:fldCharType="separate"/>
      </w:r>
      <w:r w:rsidRPr="001C1B82">
        <w:rPr>
          <w:szCs w:val="16"/>
        </w:rPr>
        <w:t xml:space="preserve"> </w:t>
      </w:r>
      <w:r>
        <w:fldChar w:fldCharType="end"/>
      </w:r>
    </w:p>
  </w:footnote>
  <w:footnote w:id="13">
    <w:p w:rsidR="00673732" w:rsidRPr="001C1B82">
      <w:pPr>
        <w:pStyle w:val="footnotedescription"/>
        <w:spacing w:line="251" w:lineRule="auto"/>
        <w:ind w:right="3"/>
        <w:jc w:val="both"/>
        <w:rPr>
          <w:szCs w:val="16"/>
        </w:rPr>
      </w:pPr>
      <w:r w:rsidRPr="001C1B82">
        <w:rPr>
          <w:rStyle w:val="footnotemark"/>
          <w:szCs w:val="16"/>
        </w:rPr>
        <w:footnoteRef/>
      </w:r>
      <w:r w:rsidRPr="001C1B82">
        <w:rPr>
          <w:szCs w:val="16"/>
        </w:rPr>
        <w:t xml:space="preserve"> Luca Belli ‘WhatsApp skewed Brazilian, election, providing social media’s danger to democracy’ (The Conversation, December 5, 2018) </w:t>
      </w:r>
      <w:r>
        <w:fldChar w:fldCharType="begin"/>
      </w:r>
      <w:r>
        <w:instrText xml:space="preserve"> HYPERLINK "https://theconversation.com/whatsapp-skewed-brazilian-election-proving-social-medias-danger-to-democracy-106476" </w:instrText>
      </w:r>
      <w:r>
        <w:fldChar w:fldCharType="separate"/>
      </w:r>
      <w:r w:rsidRPr="001C1B82">
        <w:rPr>
          <w:color w:val="0000FF"/>
          <w:szCs w:val="16"/>
          <w:u w:val="single" w:color="0000FF"/>
        </w:rPr>
        <w:t>https://theconversation.com/whatsapp-skewed-brazilian-election-proving</w:t>
      </w:r>
      <w:r>
        <w:fldChar w:fldCharType="end"/>
      </w:r>
      <w:r>
        <w:fldChar w:fldCharType="begin"/>
      </w:r>
      <w:r>
        <w:instrText xml:space="preserve"> HYPERLINK "https://theconversation.com/whatsapp-skewed-brazilian-election-proving-social-medias-danger-to-democracy-106476" </w:instrText>
      </w:r>
      <w:r>
        <w:fldChar w:fldCharType="separate"/>
      </w:r>
      <w:r w:rsidRPr="001C1B82">
        <w:rPr>
          <w:color w:val="0000FF"/>
          <w:szCs w:val="16"/>
          <w:u w:val="single" w:color="0000FF"/>
        </w:rPr>
        <w:t>social-medias-danger-to-democracy-106476</w:t>
      </w:r>
      <w:r>
        <w:fldChar w:fldCharType="end"/>
      </w:r>
      <w:r>
        <w:fldChar w:fldCharType="begin"/>
      </w:r>
      <w:r>
        <w:instrText xml:space="preserve"> HYPERLINK "https://theconversation.com/whatsapp-skewed-brazilian-election-proving-social-medias-danger-to-democracy-106476" </w:instrText>
      </w:r>
      <w:r>
        <w:fldChar w:fldCharType="separate"/>
      </w:r>
      <w:r w:rsidRPr="001C1B82">
        <w:rPr>
          <w:szCs w:val="16"/>
        </w:rPr>
        <w:t xml:space="preserve"> </w:t>
      </w:r>
      <w:r>
        <w:fldChar w:fldCharType="end"/>
      </w:r>
    </w:p>
  </w:footnote>
  <w:footnote w:id="14">
    <w:p w:rsidR="00673732" w:rsidRPr="001C1B82">
      <w:pPr>
        <w:pStyle w:val="footnotedescription"/>
        <w:spacing w:after="24" w:line="248" w:lineRule="auto"/>
        <w:jc w:val="both"/>
        <w:rPr>
          <w:szCs w:val="16"/>
        </w:rPr>
      </w:pPr>
      <w:r w:rsidRPr="001C1B82">
        <w:rPr>
          <w:rStyle w:val="footnotemark"/>
          <w:szCs w:val="16"/>
        </w:rPr>
        <w:footnoteRef/>
      </w:r>
      <w:r w:rsidRPr="001C1B82">
        <w:rPr>
          <w:szCs w:val="16"/>
        </w:rPr>
        <w:t xml:space="preserve"> Political finance regulation and digital campaigning: a public perspective. GfK UK report for qualitative research findings (The Electoral Commission, April 24, 2018) </w:t>
      </w:r>
      <w:r>
        <w:fldChar w:fldCharType="begin"/>
      </w:r>
      <w:r>
        <w:instrText xml:space="preserve"> HYPERLINK "https://www.electoralcommission.org.uk/media/2565" </w:instrText>
      </w:r>
      <w:r>
        <w:fldChar w:fldCharType="separate"/>
      </w:r>
      <w:r w:rsidRPr="001C1B82">
        <w:rPr>
          <w:color w:val="0000FF"/>
          <w:szCs w:val="16"/>
          <w:u w:val="single" w:color="0000FF"/>
        </w:rPr>
        <w:t>https://www.electoralcommission.org.uk/media/2565</w:t>
      </w:r>
      <w:r>
        <w:fldChar w:fldCharType="end"/>
      </w:r>
      <w:r>
        <w:fldChar w:fldCharType="begin"/>
      </w:r>
      <w:r>
        <w:instrText xml:space="preserve"> HYPERLINK "https://www.electoralcommission.org.uk/media/2565" </w:instrText>
      </w:r>
      <w:r>
        <w:fldChar w:fldCharType="separate"/>
      </w:r>
      <w:r w:rsidRPr="001C1B82">
        <w:rPr>
          <w:szCs w:val="16"/>
        </w:rPr>
        <w:t xml:space="preserve"> </w:t>
      </w:r>
      <w:r>
        <w:fldChar w:fldCharType="end"/>
      </w:r>
      <w:r w:rsidRPr="001C1B82">
        <w:rPr>
          <w:szCs w:val="16"/>
          <w:vertAlign w:val="superscript"/>
        </w:rPr>
        <w:t>14</w:t>
      </w:r>
      <w:r w:rsidRPr="001C1B82">
        <w:rPr>
          <w:szCs w:val="16"/>
        </w:rPr>
        <w:t xml:space="preserve"> For example, 71% of people surveyed claim they are avoiding news about Brexit, see: Reuters Institute </w:t>
      </w:r>
    </w:p>
    <w:p w:rsidR="00673732" w:rsidRPr="001C1B82">
      <w:pPr>
        <w:pStyle w:val="footnotedescription"/>
        <w:spacing w:line="238" w:lineRule="auto"/>
        <w:jc w:val="both"/>
        <w:rPr>
          <w:szCs w:val="16"/>
        </w:rPr>
      </w:pPr>
      <w:r w:rsidRPr="001C1B82">
        <w:rPr>
          <w:szCs w:val="16"/>
        </w:rPr>
        <w:t xml:space="preserve">Digital News Report 2019 </w:t>
      </w:r>
      <w:r>
        <w:fldChar w:fldCharType="begin"/>
      </w:r>
      <w:r>
        <w:instrText xml:space="preserve"> HYPERLINK "https://reutersinstitute.politics.ox.ac.uk/sites/default/files/2019-06/DNR_2019_FINAL_1.pdf" </w:instrText>
      </w:r>
      <w:r>
        <w:fldChar w:fldCharType="separate"/>
      </w:r>
      <w:r w:rsidRPr="001C1B82">
        <w:rPr>
          <w:color w:val="0000FF"/>
          <w:szCs w:val="16"/>
          <w:u w:val="single" w:color="0000FF"/>
        </w:rPr>
        <w:t>https://reutersinstitute.politics.ox.ac.uk/sites/default/files/2019</w:t>
      </w:r>
      <w:r>
        <w:fldChar w:fldCharType="end"/>
      </w:r>
      <w:r>
        <w:fldChar w:fldCharType="begin"/>
      </w:r>
      <w:r>
        <w:instrText xml:space="preserve"> HYPERLINK "https://reutersinstitute.politics.ox.ac.uk/sites/default/files/2019-06/DNR_2019_FINAL_1.pdf" </w:instrText>
      </w:r>
      <w:r>
        <w:fldChar w:fldCharType="separate"/>
      </w:r>
      <w:r w:rsidRPr="001C1B82">
        <w:rPr>
          <w:color w:val="0000FF"/>
          <w:szCs w:val="16"/>
          <w:u w:val="single" w:color="0000FF"/>
        </w:rPr>
        <w:t>06/DNR_2019_FINAL_1.pdf</w:t>
      </w:r>
      <w:r>
        <w:fldChar w:fldCharType="end"/>
      </w:r>
      <w:r>
        <w:fldChar w:fldCharType="begin"/>
      </w:r>
      <w:r>
        <w:instrText xml:space="preserve"> HYPERLINK "https://reutersinstitute.politics.ox.ac.uk/sites/default/files/2019-06/DNR_2019_FINAL_1.pdf" </w:instrText>
      </w:r>
      <w:r>
        <w:fldChar w:fldCharType="separate"/>
      </w:r>
      <w:r w:rsidRPr="001C1B82">
        <w:rPr>
          <w:szCs w:val="16"/>
        </w:rPr>
        <w:t xml:space="preserve"> </w:t>
      </w:r>
      <w:r>
        <w:fldChar w:fldCharType="end"/>
      </w:r>
      <w:r w:rsidRPr="001C1B82">
        <w:rPr>
          <w:szCs w:val="16"/>
        </w:rPr>
        <w:t xml:space="preserve">(pages 25-27) </w:t>
      </w:r>
    </w:p>
  </w:footnote>
  <w:footnote w:id="15">
    <w:p w:rsidR="00673732" w:rsidRPr="001C1B82">
      <w:pPr>
        <w:pStyle w:val="footnotedescription"/>
        <w:spacing w:line="264" w:lineRule="auto"/>
        <w:jc w:val="both"/>
        <w:rPr>
          <w:szCs w:val="16"/>
        </w:rPr>
      </w:pPr>
      <w:r w:rsidRPr="001C1B82">
        <w:rPr>
          <w:rStyle w:val="footnotemark"/>
          <w:szCs w:val="16"/>
        </w:rPr>
        <w:footnoteRef/>
      </w:r>
      <w:r w:rsidRPr="001C1B82">
        <w:rPr>
          <w:szCs w:val="16"/>
        </w:rPr>
        <w:t xml:space="preserve"> Available at https://publications.parliament.uk/pa/cm201719/cmselect/cmcumeds/1791/1791.pdf (accessed 20 August 2019). </w:t>
      </w:r>
    </w:p>
  </w:footnote>
  <w:footnote w:id="16">
    <w:p w:rsidR="00673732" w:rsidRPr="001C1B82">
      <w:pPr>
        <w:pStyle w:val="footnotedescription"/>
        <w:rPr>
          <w:szCs w:val="16"/>
        </w:rPr>
      </w:pPr>
      <w:r w:rsidRPr="001C1B82">
        <w:rPr>
          <w:rStyle w:val="footnotemark"/>
          <w:szCs w:val="16"/>
        </w:rPr>
        <w:footnoteRef/>
      </w:r>
      <w:r w:rsidRPr="001C1B82">
        <w:rPr>
          <w:szCs w:val="16"/>
        </w:rPr>
        <w:t xml:space="preserve"> https://kleros.io/ (accessed 20 August 2019). </w:t>
      </w:r>
    </w:p>
  </w:footnote>
  <w:footnote w:id="17">
    <w:p w:rsidR="00673732" w:rsidRPr="001C1B82">
      <w:pPr>
        <w:pStyle w:val="footnotedescription"/>
        <w:spacing w:line="251" w:lineRule="auto"/>
        <w:ind w:right="1"/>
        <w:jc w:val="both"/>
        <w:rPr>
          <w:szCs w:val="16"/>
        </w:rPr>
      </w:pPr>
      <w:r w:rsidRPr="001C1B82">
        <w:rPr>
          <w:rStyle w:val="footnotemark"/>
          <w:szCs w:val="16"/>
        </w:rPr>
        <w:footnoteRef/>
      </w:r>
      <w:r w:rsidRPr="001C1B82">
        <w:rPr>
          <w:szCs w:val="16"/>
        </w:rPr>
        <w:t xml:space="preserve"> In order to incentivize the honest behaviour of randomly selected jurors, Kleros creators have devised a system of crowdsourcing dispute resolution grounded on a combination of computer science (cryptography) and economic game theory (the concept of ‘focal points’ developed by Thomas Schelling), which falls within the nascent field of cryptoeconomics. </w:t>
      </w:r>
    </w:p>
  </w:footnote>
  <w:footnote w:id="18">
    <w:p w:rsidR="00673732" w:rsidRPr="001C1B82">
      <w:pPr>
        <w:pStyle w:val="footnotedescription"/>
        <w:rPr>
          <w:szCs w:val="16"/>
        </w:rPr>
      </w:pPr>
      <w:r w:rsidRPr="001C1B82">
        <w:rPr>
          <w:rStyle w:val="footnotemark"/>
          <w:szCs w:val="16"/>
        </w:rPr>
        <w:footnoteRef/>
      </w:r>
      <w:r w:rsidRPr="001C1B82">
        <w:rPr>
          <w:szCs w:val="16"/>
        </w:rPr>
        <w:t xml:space="preserve"> The evidence submitted is secured by public key cryptography. </w:t>
      </w:r>
    </w:p>
  </w:footnote>
  <w:footnote w:id="19">
    <w:p w:rsidR="00673732" w:rsidRPr="001C1B82">
      <w:pPr>
        <w:pStyle w:val="footnotedescription"/>
        <w:rPr>
          <w:szCs w:val="16"/>
        </w:rPr>
      </w:pPr>
      <w:r w:rsidRPr="001C1B82">
        <w:rPr>
          <w:rStyle w:val="footnotemark"/>
          <w:szCs w:val="16"/>
        </w:rPr>
        <w:footnoteRef/>
      </w:r>
      <w:r w:rsidRPr="001C1B82">
        <w:rPr>
          <w:szCs w:val="16"/>
        </w:rPr>
        <w:t xml:space="preserve"> Although more expensive, appeals are possible. They are decided by a new jury. </w:t>
      </w:r>
    </w:p>
  </w:footnote>
  <w:footnote w:id="20">
    <w:p w:rsidR="00673732" w:rsidRPr="001C1B82">
      <w:pPr>
        <w:pStyle w:val="footnotedescription"/>
        <w:rPr>
          <w:szCs w:val="16"/>
        </w:rPr>
      </w:pPr>
      <w:r w:rsidRPr="001C1B82">
        <w:rPr>
          <w:rStyle w:val="footnotemark"/>
          <w:szCs w:val="16"/>
        </w:rPr>
        <w:footnoteRef/>
      </w:r>
      <w:r w:rsidRPr="001C1B82">
        <w:rPr>
          <w:szCs w:val="16"/>
        </w:rPr>
        <w:t xml:space="preserve"> Data provided by Kleros on 20 August 2019. </w:t>
      </w:r>
    </w:p>
  </w:footnote>
  <w:footnote w:id="21">
    <w:p w:rsidR="00673732" w:rsidRPr="001C1B82">
      <w:pPr>
        <w:pStyle w:val="footnotedescription"/>
        <w:rPr>
          <w:szCs w:val="16"/>
        </w:rPr>
      </w:pPr>
      <w:r w:rsidRPr="001C1B82">
        <w:rPr>
          <w:rStyle w:val="footnotemark"/>
          <w:szCs w:val="16"/>
        </w:rPr>
        <w:footnoteRef/>
      </w:r>
      <w:r w:rsidRPr="001C1B82">
        <w:rPr>
          <w:szCs w:val="16"/>
        </w:rPr>
        <w:t xml:space="preserve"> Data provided by Kleros on 20 August 2019. </w:t>
      </w:r>
    </w:p>
  </w:footnote>
  <w:footnote w:id="22">
    <w:p w:rsidR="00673732" w:rsidRPr="001C1B82">
      <w:pPr>
        <w:pStyle w:val="footnotedescription"/>
        <w:spacing w:line="243" w:lineRule="auto"/>
        <w:ind w:left="1"/>
        <w:rPr>
          <w:szCs w:val="16"/>
        </w:rPr>
      </w:pPr>
      <w:r w:rsidRPr="001C1B82">
        <w:rPr>
          <w:rStyle w:val="footnotemark"/>
          <w:szCs w:val="16"/>
        </w:rPr>
        <w:footnoteRef/>
      </w:r>
      <w:r w:rsidRPr="001C1B82">
        <w:rPr>
          <w:rFonts w:eastAsia="Calibri" w:cs="Calibri"/>
          <w:szCs w:val="16"/>
        </w:rPr>
        <w:t xml:space="preserve"> Wylie, C. 2018. </w:t>
      </w:r>
      <w:r w:rsidRPr="001C1B82">
        <w:rPr>
          <w:rFonts w:eastAsia="Calibri" w:cs="Calibri"/>
          <w:i/>
          <w:szCs w:val="16"/>
        </w:rPr>
        <w:t>Oral evidence: fake news</w:t>
      </w:r>
      <w:r w:rsidRPr="001C1B82">
        <w:rPr>
          <w:rFonts w:eastAsia="Calibri" w:cs="Calibri"/>
          <w:szCs w:val="16"/>
        </w:rPr>
        <w:t xml:space="preserve">, HC 363, 27 March. </w:t>
      </w:r>
      <w:r>
        <w:fldChar w:fldCharType="begin"/>
      </w:r>
      <w:r>
        <w:instrText xml:space="preserve"> HYPERLINK "http://data.parliament.uk/writtenevidence/committeeevidence.svc/evidencedocument/digital-culture-media-and-sport-committee/disinformation-and-fake-news/oral/81022.pdf" </w:instrText>
      </w:r>
      <w:r>
        <w:fldChar w:fldCharType="separate"/>
      </w:r>
      <w:r w:rsidRPr="001C1B82">
        <w:rPr>
          <w:rFonts w:eastAsia="Calibri" w:cs="Calibri"/>
          <w:szCs w:val="16"/>
          <w:u w:val="single" w:color="000000"/>
        </w:rPr>
        <w:t>http://data.parliament.uk/writtenevidence/committeeevidence.svc/evidencedocument/digital-culture-media-and-sport</w:t>
      </w:r>
      <w:r>
        <w:fldChar w:fldCharType="end"/>
      </w:r>
      <w:r>
        <w:fldChar w:fldCharType="begin"/>
      </w:r>
      <w:r>
        <w:instrText xml:space="preserve"> HYPERLINK "http://data.parliament.uk/writtenevidence/committeeevidence.svc/evidencedocument/digital-culture-media-and-sport-committee/disinformation-and-fake-news/oral/81022.pdf" </w:instrText>
      </w:r>
      <w:r>
        <w:fldChar w:fldCharType="separate"/>
      </w:r>
      <w:r w:rsidRPr="001C1B82">
        <w:rPr>
          <w:rFonts w:eastAsia="Calibri" w:cs="Calibri"/>
          <w:szCs w:val="16"/>
          <w:u w:val="single" w:color="000000"/>
        </w:rPr>
        <w:t>committee/disinformation-and-fake-news/oral/81022.pdf</w:t>
      </w:r>
      <w:r>
        <w:fldChar w:fldCharType="end"/>
      </w:r>
      <w:r>
        <w:fldChar w:fldCharType="begin"/>
      </w:r>
      <w:r>
        <w:instrText xml:space="preserve"> HYPERLINK "http://data.parliament.uk/writtenevidence/committeeevidence.svc/evidencedocument/digital-culture-media-and-sport-committee/disinformation-and-fake-news/oral/81022.pdf"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p.6. Kaiser, B. 2018. </w:t>
      </w:r>
      <w:r w:rsidRPr="001C1B82">
        <w:rPr>
          <w:rFonts w:eastAsia="Calibri" w:cs="Calibri"/>
          <w:i/>
          <w:szCs w:val="16"/>
        </w:rPr>
        <w:t>Oral evidence: fake news</w:t>
      </w:r>
      <w:r w:rsidRPr="001C1B82">
        <w:rPr>
          <w:rFonts w:eastAsia="Calibri" w:cs="Calibri"/>
          <w:szCs w:val="16"/>
        </w:rPr>
        <w:t xml:space="preserve">, HC 363, 17 April. </w:t>
      </w:r>
      <w:r>
        <w:fldChar w:fldCharType="begin"/>
      </w:r>
      <w:r>
        <w:instrText xml:space="preserve"> HYPERLINK "http://data.parliament.uk/writtenevidence/committeeevidence.svc/evidencedocument/digital-culture-media-and-sport-committee/disinformation-and-fake-news/oral/81592.html" </w:instrText>
      </w:r>
      <w:r>
        <w:fldChar w:fldCharType="separate"/>
      </w:r>
      <w:r w:rsidRPr="001C1B82">
        <w:rPr>
          <w:rFonts w:eastAsia="Calibri" w:cs="Calibri"/>
          <w:szCs w:val="16"/>
          <w:u w:val="single" w:color="000000"/>
        </w:rPr>
        <w:t>http://data.parliament.uk/writtenevidence/committeeevidence.svc/evidencedocument/digital-culture-media-and-sport</w:t>
      </w:r>
      <w:r>
        <w:fldChar w:fldCharType="end"/>
      </w:r>
      <w:r>
        <w:fldChar w:fldCharType="begin"/>
      </w:r>
      <w:r>
        <w:instrText xml:space="preserve"> HYPERLINK "http://data.parliament.uk/writtenevidence/committeeevidence.svc/evidencedocument/digital-culture-media-and-sport-committee/disinformation-and-fake-news/oral/81592.html" </w:instrText>
      </w:r>
      <w:r>
        <w:fldChar w:fldCharType="separate"/>
      </w:r>
      <w:r w:rsidRPr="001C1B82">
        <w:rPr>
          <w:rFonts w:eastAsia="Calibri" w:cs="Calibri"/>
          <w:szCs w:val="16"/>
          <w:u w:val="single" w:color="000000"/>
        </w:rPr>
        <w:t>committee/disinformation-and-fake-news/oral/81592.html</w:t>
      </w:r>
      <w:r>
        <w:fldChar w:fldCharType="end"/>
      </w:r>
      <w:r>
        <w:fldChar w:fldCharType="begin"/>
      </w:r>
      <w:r>
        <w:instrText xml:space="preserve"> HYPERLINK "http://data.parliament.uk/writtenevidence/committeeevidence.svc/evidencedocument/digital-culture-media-and-sport-committee/disinformation-and-fake-news/oral/81592.html" </w:instrText>
      </w:r>
      <w:r>
        <w:fldChar w:fldCharType="separate"/>
      </w:r>
      <w:r w:rsidRPr="001C1B82">
        <w:rPr>
          <w:rFonts w:eastAsia="Calibri" w:cs="Calibri"/>
          <w:szCs w:val="16"/>
        </w:rPr>
        <w:t xml:space="preserve">  </w:t>
      </w:r>
      <w:r>
        <w:fldChar w:fldCharType="end"/>
      </w:r>
      <w:r w:rsidRPr="001C1B82">
        <w:rPr>
          <w:rFonts w:eastAsia="Calibri" w:cs="Calibri"/>
          <w:szCs w:val="16"/>
        </w:rPr>
        <w:t>p.2.  Cadwalladr, C. 2018</w:t>
      </w:r>
      <w:r>
        <w:fldChar w:fldCharType="begin"/>
      </w:r>
      <w:r>
        <w:instrText xml:space="preserve"> HYPERLINK "https://www.theguardian.com/news/series/cambridge-analytica-files" </w:instrText>
      </w:r>
      <w:r>
        <w:fldChar w:fldCharType="separate"/>
      </w:r>
      <w:r w:rsidRPr="001C1B82">
        <w:rPr>
          <w:rFonts w:eastAsia="Calibri" w:cs="Calibri"/>
          <w:szCs w:val="16"/>
        </w:rPr>
        <w:t xml:space="preserve">. The Cambridge Analytica Files. </w:t>
      </w:r>
      <w:r>
        <w:fldChar w:fldCharType="end"/>
      </w:r>
      <w:r w:rsidRPr="001C1B82">
        <w:rPr>
          <w:rFonts w:eastAsia="Calibri" w:cs="Calibri"/>
          <w:szCs w:val="16"/>
        </w:rPr>
        <w:t xml:space="preserve">The Brexit whistleblower: ‘Did Vote Leave use me? Was I naive?' </w:t>
      </w:r>
      <w:r w:rsidRPr="001C1B82">
        <w:rPr>
          <w:rFonts w:eastAsia="Calibri" w:cs="Calibri"/>
          <w:i/>
          <w:szCs w:val="16"/>
        </w:rPr>
        <w:t>The</w:t>
      </w:r>
      <w:r w:rsidRPr="001C1B82">
        <w:rPr>
          <w:rFonts w:eastAsia="Calibri" w:cs="Calibri"/>
          <w:szCs w:val="16"/>
        </w:rPr>
        <w:t xml:space="preserve"> </w:t>
      </w:r>
      <w:r w:rsidRPr="001C1B82">
        <w:rPr>
          <w:rFonts w:eastAsia="Calibri" w:cs="Calibri"/>
          <w:i/>
          <w:szCs w:val="16"/>
        </w:rPr>
        <w:t>Guardian</w:t>
      </w:r>
      <w:r w:rsidRPr="001C1B82">
        <w:rPr>
          <w:rFonts w:eastAsia="Calibri" w:cs="Calibri"/>
          <w:szCs w:val="16"/>
        </w:rPr>
        <w:t>, 24 March</w:t>
      </w:r>
      <w:r>
        <w:fldChar w:fldCharType="begin"/>
      </w:r>
      <w:r>
        <w:instrText xml:space="preserve"> HYPERLINK "https://www.theguardian.com/uk-news/2018/mar/24/brexit-whistleblower-shahmir-sanni-interview-vote-leave-cambridge-analytica" </w:instrText>
      </w:r>
      <w:r>
        <w:fldChar w:fldCharType="separate"/>
      </w:r>
      <w:r w:rsidRPr="001C1B82">
        <w:rPr>
          <w:rFonts w:eastAsia="Calibri" w:cs="Calibri"/>
          <w:szCs w:val="16"/>
        </w:rPr>
        <w:t xml:space="preserve">. </w:t>
      </w:r>
      <w:r>
        <w:fldChar w:fldCharType="end"/>
      </w:r>
      <w:r>
        <w:fldChar w:fldCharType="begin"/>
      </w:r>
      <w:r>
        <w:instrText xml:space="preserve"> HYPERLINK "https://www.theguardian.com/uk-news/2018/mar/24/brexit-whistleblower-shahmir-sanni-interview-vote-leave-cambridge-analytica" </w:instrText>
      </w:r>
      <w:r>
        <w:fldChar w:fldCharType="separate"/>
      </w:r>
      <w:r w:rsidRPr="001C1B82">
        <w:rPr>
          <w:rFonts w:eastAsia="Calibri" w:cs="Calibri"/>
          <w:szCs w:val="16"/>
          <w:u w:val="single" w:color="000000"/>
        </w:rPr>
        <w:t>https://www.theguardian.com/uk</w:t>
      </w:r>
      <w:r>
        <w:fldChar w:fldCharType="end"/>
      </w:r>
      <w:r>
        <w:fldChar w:fldCharType="begin"/>
      </w:r>
      <w:r>
        <w:instrText xml:space="preserve"> HYPERLINK "https://www.theguardian.com/uk-news/2018/mar/24/brexit-whistleblower-shahmir-sanni-interview-vote-leave-cambridge-analytica" </w:instrText>
      </w:r>
      <w:r>
        <w:fldChar w:fldCharType="separate"/>
      </w:r>
      <w:r w:rsidRPr="001C1B82">
        <w:rPr>
          <w:rFonts w:eastAsia="Calibri" w:cs="Calibri"/>
          <w:szCs w:val="16"/>
          <w:u w:val="single" w:color="000000"/>
        </w:rPr>
        <w:t>news/2018/mar/24/brexit-whistleblower-shahmir-sanni-interview-vote-leave-cambridge-analytica</w:t>
      </w:r>
      <w:r>
        <w:fldChar w:fldCharType="end"/>
      </w:r>
      <w:r>
        <w:fldChar w:fldCharType="begin"/>
      </w:r>
      <w:r>
        <w:instrText xml:space="preserve"> HYPERLINK "https://www.theguardian.com/uk-news/2018/mar/24/brexit-whistleblower-shahmir-sanni-interview-vote-leave-cambridge-analytica" </w:instrText>
      </w:r>
      <w:r>
        <w:fldChar w:fldCharType="separate"/>
      </w:r>
      <w:r w:rsidRPr="001C1B82">
        <w:rPr>
          <w:rFonts w:eastAsia="Calibri" w:cs="Calibri"/>
          <w:szCs w:val="16"/>
        </w:rPr>
        <w:t xml:space="preserve"> </w:t>
      </w:r>
      <w:r>
        <w:fldChar w:fldCharType="end"/>
      </w:r>
    </w:p>
  </w:footnote>
  <w:footnote w:id="23">
    <w:p w:rsidR="00673732" w:rsidRPr="001C1B82">
      <w:pPr>
        <w:pStyle w:val="footnotedescription"/>
        <w:spacing w:after="9" w:line="243" w:lineRule="auto"/>
        <w:ind w:left="1" w:right="273"/>
        <w:rPr>
          <w:szCs w:val="16"/>
        </w:rPr>
      </w:pPr>
      <w:r w:rsidRPr="001C1B82">
        <w:rPr>
          <w:rStyle w:val="footnotemark"/>
          <w:szCs w:val="16"/>
        </w:rPr>
        <w:footnoteRef/>
      </w:r>
      <w:r w:rsidRPr="001C1B82">
        <w:rPr>
          <w:rFonts w:eastAsia="Calibri" w:cs="Calibri"/>
          <w:szCs w:val="16"/>
        </w:rPr>
        <w:t xml:space="preserve"> Bakir, V. &amp; McStay, A. 2019.</w:t>
      </w:r>
      <w:r w:rsidRPr="001C1B82">
        <w:rPr>
          <w:rFonts w:eastAsia="Calibri" w:cs="Calibri"/>
          <w:i/>
          <w:szCs w:val="16"/>
        </w:rPr>
        <w:t xml:space="preserve"> CULTURE CHANGE: Incentivise political campaigners to run civil and informative election campaigns</w:t>
      </w:r>
      <w:r w:rsidRPr="001C1B82">
        <w:rPr>
          <w:rFonts w:eastAsia="Calibri" w:cs="Calibri"/>
          <w:szCs w:val="16"/>
        </w:rPr>
        <w:t xml:space="preserve">.  Submission to All-Party Parliamentary Group (APPG) on Electoral Campaigning Transparency. Aug. </w:t>
      </w:r>
      <w:r>
        <w:fldChar w:fldCharType="begin"/>
      </w:r>
      <w:r>
        <w:instrText xml:space="preserve"> HYPERLINK "https://research.bangor.ac.uk/portal/files/24668915/Bakir_McStay_2019_Culture_Change.pdf" </w:instrText>
      </w:r>
      <w:r>
        <w:fldChar w:fldCharType="separate"/>
      </w:r>
      <w:r w:rsidRPr="001C1B82">
        <w:rPr>
          <w:rFonts w:eastAsia="Calibri" w:cs="Calibri"/>
          <w:szCs w:val="16"/>
          <w:u w:val="single" w:color="000000"/>
        </w:rPr>
        <w:t>https://research.bangor.ac.uk/portal/files/24668915/Bakir_McStay_2019_Culture_Change.pdf</w:t>
      </w:r>
      <w:r>
        <w:fldChar w:fldCharType="end"/>
      </w:r>
      <w:r>
        <w:fldChar w:fldCharType="begin"/>
      </w:r>
      <w:r>
        <w:instrText xml:space="preserve"> HYPERLINK "https://research.bangor.ac.uk/portal/files/24668915/Bakir_McStay_2019_Culture_Change.pdf" </w:instrText>
      </w:r>
      <w:r>
        <w:fldChar w:fldCharType="separate"/>
      </w:r>
      <w:r w:rsidRPr="001C1B82">
        <w:rPr>
          <w:rFonts w:eastAsia="Calibri" w:cs="Calibri"/>
          <w:szCs w:val="16"/>
        </w:rPr>
        <w:t xml:space="preserve"> </w:t>
      </w:r>
      <w:r>
        <w:fldChar w:fldCharType="end"/>
      </w:r>
      <w:r w:rsidRPr="001C1B82">
        <w:rPr>
          <w:rFonts w:eastAsia="Calibri" w:cs="Calibri"/>
          <w:szCs w:val="16"/>
          <w:vertAlign w:val="superscript"/>
        </w:rPr>
        <w:t>3</w:t>
      </w:r>
      <w:r w:rsidRPr="001C1B82">
        <w:rPr>
          <w:rFonts w:eastAsia="Calibri" w:cs="Calibri"/>
          <w:szCs w:val="16"/>
        </w:rPr>
        <w:t xml:space="preserve"> Cummings, D. 2017. </w:t>
      </w:r>
      <w:r w:rsidRPr="001C1B82">
        <w:rPr>
          <w:rFonts w:eastAsia="Calibri" w:cs="Calibri"/>
          <w:i/>
          <w:szCs w:val="16"/>
        </w:rPr>
        <w:t>On the referendum #22: Some basic numbers for the Vote Leave campaign</w:t>
      </w:r>
      <w:r w:rsidRPr="001C1B82">
        <w:rPr>
          <w:rFonts w:eastAsia="Calibri" w:cs="Calibri"/>
          <w:szCs w:val="16"/>
        </w:rPr>
        <w:t xml:space="preserve">. </w:t>
      </w:r>
      <w:r>
        <w:fldChar w:fldCharType="begin"/>
      </w:r>
      <w:r>
        <w:instrText xml:space="preserve"> HYPERLINK "https://dominiccummings.wordpress.com/2016/10/29/on-the-referendum-20-the-campaign-physics-and-data-science-vote-leaves-voter-intention-collection-system-vics-now-available-for-all/" </w:instrText>
      </w:r>
      <w:r>
        <w:fldChar w:fldCharType="separate"/>
      </w:r>
      <w:r w:rsidRPr="001C1B82">
        <w:rPr>
          <w:rFonts w:eastAsia="Calibri" w:cs="Calibri"/>
          <w:szCs w:val="16"/>
          <w:u w:val="single" w:color="000000"/>
        </w:rPr>
        <w:t>https://dominiccummings.wordpress.com/2016/10/29/on-the-referendum-20-the-campaign-physics-and-data-science</w:t>
      </w:r>
      <w:r>
        <w:fldChar w:fldCharType="end"/>
      </w:r>
      <w:r>
        <w:fldChar w:fldCharType="begin"/>
      </w:r>
      <w:r>
        <w:instrText xml:space="preserve"> HYPERLINK "https://dominiccummings.wordpress.com/2016/10/29/on-the-referendum-20-the-campaign-physics-and-data-science-vote-leaves-voter-intention-collection-system-vics-now-available-for-all/" </w:instrText>
      </w:r>
      <w:r>
        <w:fldChar w:fldCharType="separate"/>
      </w:r>
      <w:r w:rsidRPr="001C1B82">
        <w:rPr>
          <w:rFonts w:eastAsia="Calibri" w:cs="Calibri"/>
          <w:szCs w:val="16"/>
          <w:u w:val="single" w:color="000000"/>
        </w:rPr>
        <w:t>vote-leaves-voter-intention-collection-system-vics-now-available-for-all/</w:t>
      </w:r>
      <w:r>
        <w:fldChar w:fldCharType="end"/>
      </w:r>
      <w:r>
        <w:fldChar w:fldCharType="begin"/>
      </w:r>
      <w:r>
        <w:instrText xml:space="preserve"> HYPERLINK "https://dominiccummings.wordpress.com/2016/10/29/on-the-referendum-20-the-campaign-physics-and-data-science-vote-leaves-voter-intention-collection-system-vics-now-available-for-all/"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.12. </w:t>
      </w:r>
      <w:r w:rsidRPr="001C1B82">
        <w:rPr>
          <w:rFonts w:eastAsia="Calibri" w:cs="Calibri"/>
          <w:szCs w:val="16"/>
          <w:vertAlign w:val="superscript"/>
        </w:rPr>
        <w:t>4</w:t>
      </w:r>
      <w:r w:rsidRPr="001C1B82">
        <w:rPr>
          <w:rFonts w:eastAsia="Calibri" w:cs="Calibri"/>
          <w:szCs w:val="16"/>
        </w:rPr>
        <w:t xml:space="preserve"> LSE, Opinium &amp; Lansons 2016. </w:t>
      </w:r>
      <w:r w:rsidRPr="001C1B82">
        <w:rPr>
          <w:rFonts w:eastAsia="Calibri" w:cs="Calibri"/>
          <w:i/>
          <w:szCs w:val="16"/>
        </w:rPr>
        <w:t>‘The Impact of Brexit on consumer behaviour’</w:t>
      </w:r>
      <w:r w:rsidRPr="001C1B82">
        <w:rPr>
          <w:rFonts w:eastAsia="Calibri" w:cs="Calibri"/>
          <w:szCs w:val="16"/>
        </w:rPr>
        <w:t xml:space="preserve">, 8 June. </w:t>
      </w:r>
    </w:p>
    <w:p w:rsidR="00673732" w:rsidRPr="001C1B82">
      <w:pPr>
        <w:pStyle w:val="footnotedescription"/>
        <w:ind w:left="1"/>
        <w:rPr>
          <w:szCs w:val="16"/>
        </w:rPr>
      </w:pPr>
      <w:r>
        <w:fldChar w:fldCharType="begin"/>
      </w:r>
      <w:r>
        <w:instrText xml:space="preserve"> HYPERLINK "https://www.opinium.co.uk/?s=the_impact_of_brexit_on_consumer_behaviour" </w:instrText>
      </w:r>
      <w:r>
        <w:fldChar w:fldCharType="separate"/>
      </w:r>
      <w:r w:rsidRPr="001C1B82">
        <w:rPr>
          <w:rFonts w:eastAsia="Calibri" w:cs="Calibri"/>
          <w:szCs w:val="16"/>
          <w:u w:val="single" w:color="000000"/>
        </w:rPr>
        <w:t>https://www.opinium.co.uk/?s=the_impact_of_brexit_on_consumer_behaviour</w:t>
      </w:r>
      <w:r>
        <w:fldChar w:fldCharType="end"/>
      </w:r>
      <w:r>
        <w:fldChar w:fldCharType="begin"/>
      </w:r>
      <w:r>
        <w:instrText xml:space="preserve"> HYPERLINK "https://www.opinium.co.uk/?s=the_impact_of_brexit_on_consumer_behaviour" </w:instrText>
      </w:r>
      <w:r>
        <w:fldChar w:fldCharType="separate"/>
      </w:r>
      <w:r w:rsidRPr="001C1B82">
        <w:rPr>
          <w:rFonts w:eastAsia="Calibri" w:cs="Calibri"/>
          <w:szCs w:val="16"/>
        </w:rPr>
        <w:t xml:space="preserve"> </w:t>
      </w:r>
      <w:r>
        <w:fldChar w:fldCharType="end"/>
      </w:r>
    </w:p>
  </w:footnote>
  <w:footnote w:id="24">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Kirk, A. 2017. EU referendum: The claims that won it for Brexit, fact checked. </w:t>
      </w:r>
      <w:r w:rsidRPr="001C1B82">
        <w:rPr>
          <w:rFonts w:eastAsia="Calibri" w:cs="Calibri"/>
          <w:i/>
          <w:szCs w:val="16"/>
        </w:rPr>
        <w:t xml:space="preserve">The Telegraph, </w:t>
      </w:r>
      <w:r w:rsidRPr="001C1B82">
        <w:rPr>
          <w:rFonts w:eastAsia="Calibri" w:cs="Calibri"/>
          <w:szCs w:val="16"/>
        </w:rPr>
        <w:t xml:space="preserve">13 March. </w:t>
      </w:r>
    </w:p>
    <w:p w:rsidR="00673732" w:rsidRPr="001C1B82">
      <w:pPr>
        <w:pStyle w:val="footnotedescription"/>
        <w:ind w:left="1"/>
        <w:rPr>
          <w:szCs w:val="16"/>
        </w:rPr>
      </w:pPr>
      <w:r>
        <w:fldChar w:fldCharType="begin"/>
      </w:r>
      <w:r>
        <w:instrText xml:space="preserve"> HYPERLINK "http://www.telegraph.co.uk/news/0/eu-referendum-claims-won-brexit-fact-checked/" </w:instrText>
      </w:r>
      <w:r>
        <w:fldChar w:fldCharType="separate"/>
      </w:r>
      <w:r w:rsidRPr="001C1B82">
        <w:rPr>
          <w:rFonts w:eastAsia="Calibri" w:cs="Calibri"/>
          <w:szCs w:val="16"/>
          <w:u w:val="single" w:color="000000"/>
        </w:rPr>
        <w:t>http://www.telegraph.co.uk/news/0/eu-referendum-claims-won-brexit-fact-checked/</w:t>
      </w:r>
      <w:r>
        <w:fldChar w:fldCharType="end"/>
      </w:r>
      <w:r>
        <w:fldChar w:fldCharType="begin"/>
      </w:r>
      <w:r>
        <w:instrText xml:space="preserve"> HYPERLINK "http://www.telegraph.co.uk/news/0/eu-referendum-claims-won-brexit-fact-checked/" </w:instrText>
      </w:r>
      <w:r>
        <w:fldChar w:fldCharType="separate"/>
      </w:r>
      <w:r w:rsidRPr="001C1B82">
        <w:rPr>
          <w:rFonts w:eastAsia="Calibri" w:cs="Calibri"/>
          <w:szCs w:val="16"/>
        </w:rPr>
        <w:t xml:space="preserve"> </w:t>
      </w:r>
      <w:r>
        <w:fldChar w:fldCharType="end"/>
      </w:r>
    </w:p>
  </w:footnote>
  <w:footnote w:id="25">
    <w:p w:rsidR="00673732" w:rsidRPr="001C1B82">
      <w:pPr>
        <w:pStyle w:val="footnotedescription"/>
        <w:spacing w:line="247" w:lineRule="auto"/>
        <w:ind w:left="1" w:right="151"/>
        <w:rPr>
          <w:szCs w:val="16"/>
        </w:rPr>
      </w:pPr>
      <w:r w:rsidRPr="001C1B82">
        <w:rPr>
          <w:rStyle w:val="footnotemark"/>
          <w:szCs w:val="16"/>
        </w:rPr>
        <w:footnoteRef/>
      </w:r>
      <w:r w:rsidRPr="001C1B82">
        <w:rPr>
          <w:rFonts w:eastAsia="Calibri" w:cs="Calibri"/>
          <w:szCs w:val="16"/>
        </w:rPr>
        <w:t xml:space="preserve"> Merrick, R. 2019. Dominic Cummings: Vote Leave chief found in contempt of parliament over refusal to give evidence to 'fake news' inquiry. </w:t>
      </w:r>
      <w:r w:rsidRPr="001C1B82">
        <w:rPr>
          <w:rFonts w:eastAsia="Calibri" w:cs="Calibri"/>
          <w:i/>
          <w:szCs w:val="16"/>
        </w:rPr>
        <w:t>The Independent</w:t>
      </w:r>
      <w:r w:rsidRPr="001C1B82">
        <w:rPr>
          <w:rFonts w:eastAsia="Calibri" w:cs="Calibri"/>
          <w:szCs w:val="16"/>
        </w:rPr>
        <w:t>, 27 March</w:t>
      </w:r>
      <w:r>
        <w:fldChar w:fldCharType="begin"/>
      </w:r>
      <w:r>
        <w:instrText xml:space="preserve"> HYPERLINK "https://www.independent.co.uk/news/uk/politics/dominic-cummings-vote-leave-contempt-parliament-brexit-inquiry-fake-news-a8841731.html" </w:instrText>
      </w:r>
      <w:r>
        <w:fldChar w:fldCharType="separate"/>
      </w:r>
      <w:r w:rsidRPr="001C1B82">
        <w:rPr>
          <w:rFonts w:eastAsia="Calibri" w:cs="Calibri"/>
          <w:szCs w:val="16"/>
        </w:rPr>
        <w:t xml:space="preserve">. </w:t>
      </w:r>
      <w:r>
        <w:fldChar w:fldCharType="end"/>
      </w:r>
      <w:r>
        <w:fldChar w:fldCharType="begin"/>
      </w:r>
      <w:r>
        <w:instrText xml:space="preserve"> HYPERLINK "https://www.independent.co.uk/news/uk/politics/dominic-cummings-vote-leave-contempt-parliament-brexit-inquiry-fake-news-a8841731.html" </w:instrText>
      </w:r>
      <w:r>
        <w:fldChar w:fldCharType="separate"/>
      </w:r>
      <w:r w:rsidRPr="001C1B82">
        <w:rPr>
          <w:rFonts w:eastAsia="Calibri" w:cs="Calibri"/>
          <w:szCs w:val="16"/>
          <w:u w:val="single" w:color="000000"/>
        </w:rPr>
        <w:t>https://www.independent.co.uk/news/uk/politics/dominic-cummings</w:t>
      </w:r>
      <w:r>
        <w:fldChar w:fldCharType="end"/>
      </w:r>
      <w:r>
        <w:fldChar w:fldCharType="begin"/>
      </w:r>
      <w:r>
        <w:instrText xml:space="preserve"> HYPERLINK "https://www.independent.co.uk/news/uk/politics/dominic-cummings-vote-leave-contempt-parliament-brexit-inquiry-fake-news-a8841731.html" </w:instrText>
      </w:r>
      <w:r>
        <w:fldChar w:fldCharType="separate"/>
      </w:r>
      <w:r w:rsidRPr="001C1B82">
        <w:rPr>
          <w:rFonts w:eastAsia="Calibri" w:cs="Calibri"/>
          <w:szCs w:val="16"/>
          <w:u w:val="single" w:color="000000"/>
        </w:rPr>
        <w:t>vote-leave-contempt-parliament-brexit-inquiry-fake-news-a8841731.html</w:t>
      </w:r>
      <w:r>
        <w:fldChar w:fldCharType="end"/>
      </w:r>
      <w:r>
        <w:fldChar w:fldCharType="begin"/>
      </w:r>
      <w:r>
        <w:instrText xml:space="preserve"> HYPERLINK "https://www.independent.co.uk/news/uk/politics/dominic-cummings-vote-leave-contempt-parliament-brexit-inquiry-fake-news-a8841731.html" </w:instrText>
      </w:r>
      <w:r>
        <w:fldChar w:fldCharType="separate"/>
      </w:r>
      <w:r w:rsidRPr="001C1B82">
        <w:rPr>
          <w:rFonts w:eastAsia="Calibri" w:cs="Calibri"/>
          <w:szCs w:val="16"/>
        </w:rPr>
        <w:t xml:space="preserve">  </w:t>
      </w:r>
      <w:r>
        <w:fldChar w:fldCharType="end"/>
      </w:r>
      <w:r w:rsidRPr="001C1B82">
        <w:rPr>
          <w:rFonts w:eastAsia="Calibri" w:cs="Calibri"/>
          <w:szCs w:val="16"/>
          <w:vertAlign w:val="superscript"/>
        </w:rPr>
        <w:t>7</w:t>
      </w:r>
      <w:r w:rsidRPr="001C1B82">
        <w:rPr>
          <w:rFonts w:eastAsia="Calibri" w:cs="Calibri"/>
          <w:szCs w:val="16"/>
        </w:rPr>
        <w:t xml:space="preserve"> Banks, A. 2018. </w:t>
      </w:r>
      <w:r w:rsidRPr="001C1B82">
        <w:rPr>
          <w:rFonts w:eastAsia="Calibri" w:cs="Calibri"/>
          <w:i/>
          <w:szCs w:val="16"/>
        </w:rPr>
        <w:t>Oral evidence: fake news</w:t>
      </w:r>
      <w:r w:rsidRPr="001C1B82">
        <w:rPr>
          <w:rFonts w:eastAsia="Calibri" w:cs="Calibri"/>
          <w:szCs w:val="16"/>
        </w:rPr>
        <w:t xml:space="preserve">, HC 363, 12 June. </w:t>
      </w:r>
      <w:r>
        <w:fldChar w:fldCharType="begin"/>
      </w:r>
      <w:r>
        <w:instrText xml:space="preserve"> HYPERLINK "http://data.parliament.uk/writtenevidence/committeeevidence.svc/evidencedocument/digital-culture-media-and-sport-committee/disinformation-and-fake-news/oral/85344.html" </w:instrText>
      </w:r>
      <w:r>
        <w:fldChar w:fldCharType="separate"/>
      </w:r>
      <w:r w:rsidRPr="001C1B82">
        <w:rPr>
          <w:rFonts w:eastAsia="Calibri" w:cs="Calibri"/>
          <w:szCs w:val="16"/>
          <w:u w:val="single" w:color="000000"/>
        </w:rPr>
        <w:t>http://data.parliament.uk/writtenevidence/committeeevidence.svc/evidencedocument/digital-culture-media-and-sport</w:t>
      </w:r>
      <w:r>
        <w:fldChar w:fldCharType="end"/>
      </w:r>
      <w:r>
        <w:fldChar w:fldCharType="begin"/>
      </w:r>
      <w:r>
        <w:instrText xml:space="preserve"> HYPERLINK "http://data.parliament.uk/writtenevidence/committeeevidence.svc/evidencedocument/digital-culture-media-and-sport-committee/disinformation-and-fake-news/oral/85344.html" </w:instrText>
      </w:r>
      <w:r>
        <w:fldChar w:fldCharType="separate"/>
      </w:r>
      <w:r w:rsidRPr="001C1B82">
        <w:rPr>
          <w:rFonts w:eastAsia="Calibri" w:cs="Calibri"/>
          <w:szCs w:val="16"/>
          <w:u w:val="single" w:color="000000"/>
        </w:rPr>
        <w:t>committee/disinformation-and-fake-news/oral/85344.html</w:t>
      </w:r>
      <w:r>
        <w:fldChar w:fldCharType="end"/>
      </w:r>
      <w:r>
        <w:fldChar w:fldCharType="begin"/>
      </w:r>
      <w:r>
        <w:instrText xml:space="preserve"> HYPERLINK "http://data.parliament.uk/writtenevidence/committeeevidence.svc/evidencedocument/digital-culture-media-and-sport-committee/disinformation-and-fake-news/oral/85344.html" </w:instrText>
      </w:r>
      <w:r>
        <w:fldChar w:fldCharType="separate"/>
      </w:r>
      <w:r w:rsidRPr="001C1B82">
        <w:rPr>
          <w:rFonts w:eastAsia="Calibri" w:cs="Calibri"/>
          <w:szCs w:val="16"/>
        </w:rPr>
        <w:t xml:space="preserve"> </w:t>
      </w:r>
      <w:r>
        <w:fldChar w:fldCharType="end"/>
      </w:r>
    </w:p>
  </w:footnote>
  <w:footnote w:id="26">
    <w:p w:rsidR="00673732" w:rsidRPr="001C1B82">
      <w:pPr>
        <w:pStyle w:val="footnotedescription"/>
        <w:spacing w:line="256" w:lineRule="auto"/>
        <w:ind w:left="1"/>
        <w:rPr>
          <w:szCs w:val="16"/>
        </w:rPr>
      </w:pPr>
      <w:r w:rsidRPr="001C1B82">
        <w:rPr>
          <w:rStyle w:val="footnotemark"/>
          <w:szCs w:val="16"/>
        </w:rPr>
        <w:footnoteRef/>
      </w:r>
      <w:r w:rsidRPr="001C1B82">
        <w:rPr>
          <w:rFonts w:eastAsia="Calibri" w:cs="Calibri"/>
          <w:szCs w:val="16"/>
        </w:rPr>
        <w:t xml:space="preserve"> DCMS. 2019. </w:t>
      </w:r>
      <w:r w:rsidRPr="001C1B82">
        <w:rPr>
          <w:rFonts w:eastAsia="Calibri" w:cs="Calibri"/>
          <w:i/>
          <w:szCs w:val="16"/>
        </w:rPr>
        <w:t>Disinformation and ‘fake news’: final report</w:t>
      </w:r>
      <w:r w:rsidRPr="001C1B82">
        <w:rPr>
          <w:rFonts w:eastAsia="Calibri" w:cs="Calibri"/>
          <w:szCs w:val="16"/>
        </w:rPr>
        <w:t>, 14 February. Digital, Culture, Media and Sport Committee, House of Commons 1791</w:t>
      </w:r>
      <w:r>
        <w:fldChar w:fldCharType="begin"/>
      </w:r>
      <w:r>
        <w:instrText xml:space="preserve"> HYPERLINK "https://publications.parliament.uk/pa/cm201719/cmselect/cmcumeds/1791/1791.pdf" </w:instrText>
      </w:r>
      <w:r>
        <w:fldChar w:fldCharType="separate"/>
      </w:r>
      <w:r w:rsidRPr="001C1B82">
        <w:rPr>
          <w:rFonts w:eastAsia="Calibri" w:cs="Calibri"/>
          <w:szCs w:val="16"/>
        </w:rPr>
        <w:t xml:space="preserve">. </w:t>
      </w:r>
      <w:r>
        <w:fldChar w:fldCharType="end"/>
      </w:r>
      <w:r>
        <w:fldChar w:fldCharType="begin"/>
      </w:r>
      <w:r>
        <w:instrText xml:space="preserve"> HYPERLINK "https://publications.parliament.uk/pa/cm201719/cmselect/cmcumeds/1791/1791.pdf" </w:instrText>
      </w:r>
      <w:r>
        <w:fldChar w:fldCharType="separate"/>
      </w:r>
      <w:r w:rsidRPr="001C1B82">
        <w:rPr>
          <w:rFonts w:eastAsia="Calibri" w:cs="Calibri"/>
          <w:szCs w:val="16"/>
          <w:u w:val="single" w:color="000000"/>
        </w:rPr>
        <w:t>https://publications.parliament.uk/pa/cm201719/cmselect/cmcumeds/1791/1791.pdf</w:t>
      </w:r>
      <w:r>
        <w:fldChar w:fldCharType="end"/>
      </w:r>
      <w:r>
        <w:fldChar w:fldCharType="begin"/>
      </w:r>
      <w:r>
        <w:instrText xml:space="preserve"> HYPERLINK "https://publications.parliament.uk/pa/cm201719/cmselect/cmcumeds/1791/1791.pdf"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.43. </w:t>
      </w:r>
    </w:p>
  </w:footnote>
  <w:footnote w:id="27">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Caesar, E. 2019. Banks, the “Bad Boy of Brexit”, </w:t>
      </w:r>
      <w:r w:rsidRPr="001C1B82">
        <w:rPr>
          <w:rFonts w:eastAsia="Calibri" w:cs="Calibri"/>
          <w:i/>
          <w:szCs w:val="16"/>
        </w:rPr>
        <w:t>The New Yorker</w:t>
      </w:r>
      <w:r w:rsidRPr="001C1B82">
        <w:rPr>
          <w:rFonts w:eastAsia="Calibri" w:cs="Calibri"/>
          <w:szCs w:val="16"/>
        </w:rPr>
        <w:t xml:space="preserve">, 18 March. </w:t>
      </w:r>
    </w:p>
    <w:p w:rsidR="00673732" w:rsidRPr="001C1B82">
      <w:pPr>
        <w:pStyle w:val="footnotedescription"/>
        <w:spacing w:line="243" w:lineRule="auto"/>
        <w:ind w:left="1" w:right="676"/>
        <w:rPr>
          <w:szCs w:val="16"/>
        </w:rPr>
      </w:pPr>
      <w:r>
        <w:fldChar w:fldCharType="begin"/>
      </w:r>
      <w:r>
        <w:instrText xml:space="preserve"> HYPERLINK "https://www.newyorker.com/magazine/2019/03/25/the-chaotic-triumph-of-arron-banks-the-bad-boy-of-brexit" </w:instrText>
      </w:r>
      <w:r>
        <w:fldChar w:fldCharType="separate"/>
      </w:r>
      <w:r w:rsidRPr="001C1B82">
        <w:rPr>
          <w:rFonts w:eastAsia="Calibri" w:cs="Calibri"/>
          <w:szCs w:val="16"/>
          <w:u w:val="single" w:color="000000"/>
        </w:rPr>
        <w:t>https://www.newyorker.com/magazine/2019/03/25/the-chaotic-triumph-of-arron-banks-the-bad-boy-of-brexit</w:t>
      </w:r>
      <w:r>
        <w:fldChar w:fldCharType="end"/>
      </w:r>
      <w:r>
        <w:fldChar w:fldCharType="begin"/>
      </w:r>
      <w:r>
        <w:instrText xml:space="preserve"> HYPERLINK "https://www.newyorker.com/magazine/2019/03/25/the-chaotic-triumph-of-arron-banks-the-bad-boy-of-brexit" </w:instrText>
      </w:r>
      <w:r>
        <w:fldChar w:fldCharType="separate"/>
      </w:r>
      <w:r w:rsidRPr="001C1B82">
        <w:rPr>
          <w:rFonts w:eastAsia="Calibri" w:cs="Calibri"/>
          <w:szCs w:val="16"/>
        </w:rPr>
        <w:t xml:space="preserve"> </w:t>
      </w:r>
      <w:r>
        <w:fldChar w:fldCharType="end"/>
      </w:r>
      <w:r w:rsidRPr="001C1B82">
        <w:rPr>
          <w:rFonts w:eastAsia="Calibri" w:cs="Calibri"/>
          <w:szCs w:val="16"/>
          <w:vertAlign w:val="superscript"/>
        </w:rPr>
        <w:t>10</w:t>
      </w:r>
      <w:r w:rsidRPr="001C1B82">
        <w:rPr>
          <w:rFonts w:eastAsia="Calibri" w:cs="Calibri"/>
          <w:szCs w:val="16"/>
        </w:rPr>
        <w:t xml:space="preserve"> Channel 4 News, 2019. Revealed: how Leave.EU faked migrant footage, Channel 4 News, 16 Apr. </w:t>
      </w:r>
      <w:r>
        <w:fldChar w:fldCharType="begin"/>
      </w:r>
      <w:r>
        <w:instrText xml:space="preserve"> HYPERLINK "https://www.channel4.com/news/revealed-how-leave-eu-faked-migrant-footage" </w:instrText>
      </w:r>
      <w:r>
        <w:fldChar w:fldCharType="separate"/>
      </w:r>
      <w:r w:rsidRPr="001C1B82">
        <w:rPr>
          <w:rFonts w:eastAsia="Calibri" w:cs="Calibri"/>
          <w:szCs w:val="16"/>
          <w:u w:val="single" w:color="000000"/>
        </w:rPr>
        <w:t>https://www.channel4.com/news/revealed-how-leave-eu-faked-migrant-footage</w:t>
      </w:r>
      <w:r>
        <w:fldChar w:fldCharType="end"/>
      </w:r>
      <w:r>
        <w:fldChar w:fldCharType="begin"/>
      </w:r>
      <w:r>
        <w:instrText xml:space="preserve"> HYPERLINK "https://www.channel4.com/news/revealed-how-leave-eu-faked-migrant-footage" </w:instrText>
      </w:r>
      <w:r>
        <w:fldChar w:fldCharType="separate"/>
      </w:r>
      <w:r w:rsidRPr="001C1B82">
        <w:rPr>
          <w:rFonts w:eastAsia="Calibri" w:cs="Calibri"/>
          <w:szCs w:val="16"/>
        </w:rPr>
        <w:t xml:space="preserve">  </w:t>
      </w:r>
      <w:r>
        <w:fldChar w:fldCharType="end"/>
      </w:r>
    </w:p>
  </w:footnote>
  <w:footnote w:id="28">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Kennedy, G.A. 1991. </w:t>
      </w:r>
      <w:r w:rsidRPr="001C1B82">
        <w:rPr>
          <w:rFonts w:eastAsia="Calibri" w:cs="Calibri"/>
          <w:i/>
          <w:szCs w:val="16"/>
        </w:rPr>
        <w:t>On rhetoric: a theory of civic discourse</w:t>
      </w:r>
      <w:r w:rsidRPr="001C1B82">
        <w:rPr>
          <w:rFonts w:eastAsia="Calibri" w:cs="Calibri"/>
          <w:szCs w:val="16"/>
        </w:rPr>
        <w:t xml:space="preserve">. New York: Oxford University Press. </w:t>
      </w:r>
    </w:p>
  </w:footnote>
  <w:footnote w:id="29">
    <w:p w:rsidR="00673732" w:rsidRPr="001C1B82">
      <w:pPr>
        <w:pStyle w:val="footnotedescription"/>
        <w:spacing w:line="248" w:lineRule="auto"/>
        <w:ind w:left="1"/>
        <w:rPr>
          <w:szCs w:val="16"/>
        </w:rPr>
      </w:pPr>
      <w:r w:rsidRPr="001C1B82">
        <w:rPr>
          <w:rStyle w:val="footnotemark"/>
          <w:szCs w:val="16"/>
        </w:rPr>
        <w:footnoteRef/>
      </w:r>
      <w:r w:rsidRPr="001C1B82">
        <w:rPr>
          <w:rFonts w:eastAsia="Calibri" w:cs="Calibri"/>
          <w:szCs w:val="16"/>
        </w:rPr>
        <w:t xml:space="preserve"> Westen, D. 2008. </w:t>
      </w:r>
      <w:r w:rsidRPr="001C1B82">
        <w:rPr>
          <w:rFonts w:eastAsia="Calibri" w:cs="Calibri"/>
          <w:i/>
          <w:szCs w:val="16"/>
        </w:rPr>
        <w:t>The political brain: the role of emotion in deciding the fate of the nation</w:t>
      </w:r>
      <w:r w:rsidRPr="001C1B82">
        <w:rPr>
          <w:rFonts w:eastAsia="Calibri" w:cs="Calibri"/>
          <w:szCs w:val="16"/>
        </w:rPr>
        <w:t xml:space="preserve">. New York: PublicAffairs, p.173. </w:t>
      </w:r>
      <w:r w:rsidRPr="001C1B82">
        <w:rPr>
          <w:rFonts w:eastAsia="Calibri" w:cs="Calibri"/>
          <w:szCs w:val="16"/>
          <w:vertAlign w:val="superscript"/>
        </w:rPr>
        <w:t>13</w:t>
      </w:r>
      <w:r w:rsidRPr="001C1B82">
        <w:rPr>
          <w:rFonts w:eastAsia="Calibri" w:cs="Calibri"/>
          <w:szCs w:val="16"/>
        </w:rPr>
        <w:t xml:space="preserve"> Perloff, R.M. 2018. </w:t>
      </w:r>
      <w:r w:rsidRPr="001C1B82">
        <w:rPr>
          <w:rFonts w:eastAsia="Calibri" w:cs="Calibri"/>
          <w:i/>
          <w:szCs w:val="16"/>
        </w:rPr>
        <w:t>The dynamics of political communication: media and politics in a digital age</w:t>
      </w:r>
      <w:r w:rsidRPr="001C1B82">
        <w:rPr>
          <w:rFonts w:eastAsia="Calibri" w:cs="Calibri"/>
          <w:szCs w:val="16"/>
        </w:rPr>
        <w:t xml:space="preserve">. New York and London: Routledge. Bakir, V., Herring, E., Miller, D. &amp; Robinson, P. 2018. Lying and deception in politics. In. J. Meibauer (ed.), </w:t>
      </w:r>
      <w:r w:rsidRPr="001C1B82">
        <w:rPr>
          <w:rFonts w:eastAsia="Calibri" w:cs="Calibri"/>
          <w:i/>
          <w:szCs w:val="16"/>
        </w:rPr>
        <w:t>The Oxford handbook of politics and lying</w:t>
      </w:r>
      <w:r w:rsidRPr="001C1B82">
        <w:rPr>
          <w:rFonts w:eastAsia="Calibri" w:cs="Calibri"/>
          <w:szCs w:val="16"/>
        </w:rPr>
        <w:t xml:space="preserve">. Oxford: Oxford University Press. </w:t>
      </w:r>
    </w:p>
  </w:footnote>
  <w:footnote w:id="30">
    <w:p w:rsidR="00673732" w:rsidRPr="001C1B82">
      <w:pPr>
        <w:pStyle w:val="footnotedescription"/>
        <w:spacing w:line="250" w:lineRule="auto"/>
        <w:ind w:left="1" w:right="59"/>
        <w:rPr>
          <w:szCs w:val="16"/>
        </w:rPr>
      </w:pPr>
      <w:r w:rsidRPr="001C1B82">
        <w:rPr>
          <w:rStyle w:val="footnotemark"/>
          <w:szCs w:val="16"/>
        </w:rPr>
        <w:footnoteRef/>
      </w:r>
      <w:r w:rsidRPr="001C1B82">
        <w:rPr>
          <w:rFonts w:eastAsia="Calibri" w:cs="Calibri"/>
          <w:szCs w:val="16"/>
        </w:rPr>
        <w:t xml:space="preserve"> Chester, J. &amp; Montgomery, K. 2017. The role of digital marketing in political campaigns. </w:t>
      </w:r>
      <w:r w:rsidRPr="001C1B82">
        <w:rPr>
          <w:rFonts w:eastAsia="Calibri" w:cs="Calibri"/>
          <w:i/>
          <w:szCs w:val="16"/>
        </w:rPr>
        <w:t>Internet Policy Review</w:t>
      </w:r>
      <w:r w:rsidRPr="001C1B82">
        <w:rPr>
          <w:rFonts w:eastAsia="Calibri" w:cs="Calibri"/>
          <w:szCs w:val="16"/>
        </w:rPr>
        <w:t xml:space="preserve">, </w:t>
      </w:r>
      <w:r w:rsidRPr="001C1B82">
        <w:rPr>
          <w:rFonts w:eastAsia="Calibri" w:cs="Calibri"/>
          <w:i/>
          <w:szCs w:val="16"/>
        </w:rPr>
        <w:t>6</w:t>
      </w:r>
      <w:r w:rsidRPr="001C1B82">
        <w:rPr>
          <w:rFonts w:eastAsia="Calibri" w:cs="Calibri"/>
          <w:szCs w:val="16"/>
        </w:rPr>
        <w:t xml:space="preserve">(4). DOI: 10.14763/2017.4.773  </w:t>
      </w:r>
    </w:p>
  </w:footnote>
  <w:footnote w:id="31">
    <w:p w:rsidR="00673732" w:rsidRPr="001C1B82">
      <w:pPr>
        <w:pStyle w:val="footnotedescription"/>
        <w:spacing w:line="267" w:lineRule="auto"/>
        <w:ind w:left="1"/>
        <w:rPr>
          <w:szCs w:val="16"/>
        </w:rPr>
      </w:pPr>
      <w:r w:rsidRPr="001C1B82">
        <w:rPr>
          <w:rStyle w:val="footnotemark"/>
          <w:szCs w:val="16"/>
        </w:rPr>
        <w:footnoteRef/>
      </w:r>
      <w:r w:rsidRPr="001C1B82">
        <w:rPr>
          <w:rFonts w:eastAsia="Calibri" w:cs="Calibri"/>
          <w:szCs w:val="16"/>
        </w:rPr>
        <w:t xml:space="preserve"> Demographic data is statistically socio-economic in nature: e.g. population, gender, race, age, income, education and employment in specific geographic locations and time periods. </w:t>
      </w:r>
    </w:p>
  </w:footnote>
  <w:footnote w:id="32">
    <w:p w:rsidR="00673732" w:rsidRPr="001C1B82">
      <w:pPr>
        <w:pStyle w:val="footnotedescription"/>
        <w:spacing w:line="249" w:lineRule="auto"/>
        <w:ind w:left="1"/>
        <w:rPr>
          <w:szCs w:val="16"/>
        </w:rPr>
      </w:pPr>
      <w:r w:rsidRPr="001C1B82">
        <w:rPr>
          <w:rStyle w:val="footnotemark"/>
          <w:szCs w:val="16"/>
        </w:rPr>
        <w:footnoteRef/>
      </w:r>
      <w:r w:rsidRPr="001C1B82">
        <w:rPr>
          <w:rFonts w:eastAsia="Calibri" w:cs="Calibri"/>
          <w:szCs w:val="16"/>
        </w:rPr>
        <w:t xml:space="preserve"> For an overview of use of opinion polling, targeted campaigning and direct marketing in UK campaigns, see: Macintyre, A., Wright, G. &amp; Hankey, S. n.d.</w:t>
      </w:r>
      <w:r w:rsidRPr="001C1B82">
        <w:rPr>
          <w:rFonts w:eastAsia="Calibri" w:cs="Calibri"/>
          <w:i/>
          <w:szCs w:val="16"/>
        </w:rPr>
        <w:t xml:space="preserve">  Data &amp; democracy in the UK: Tactical Tech’s data &amp; politics team</w:t>
      </w:r>
      <w:r w:rsidRPr="001C1B82">
        <w:rPr>
          <w:rFonts w:eastAsia="Calibri" w:cs="Calibri"/>
          <w:szCs w:val="16"/>
        </w:rPr>
        <w:t xml:space="preserve">. </w:t>
      </w:r>
      <w:r>
        <w:fldChar w:fldCharType="begin"/>
      </w:r>
      <w:r>
        <w:instrText xml:space="preserve"> HYPERLINK "https://cdn.ttc.io/s/ourdataourselves.tacticaltech.org/ttc-influence-industry-uk.pdf" </w:instrText>
      </w:r>
      <w:r>
        <w:fldChar w:fldCharType="separate"/>
      </w:r>
      <w:r w:rsidRPr="001C1B82">
        <w:rPr>
          <w:rFonts w:eastAsia="Calibri" w:cs="Calibri"/>
          <w:szCs w:val="16"/>
          <w:u w:val="single" w:color="000000"/>
        </w:rPr>
        <w:t>https://cdn.ttc.io/s/ourdataourselves.tacticaltech.org/ttc-influence-industry-uk.pdf</w:t>
      </w:r>
      <w:r>
        <w:fldChar w:fldCharType="end"/>
      </w:r>
      <w:r>
        <w:fldChar w:fldCharType="begin"/>
      </w:r>
      <w:r>
        <w:instrText xml:space="preserve"> HYPERLINK "https://cdn.ttc.io/s/ourdataourselves.tacticaltech.org/ttc-influence-industry-uk.pdf"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Also see: McNair, B. 2011.  </w:t>
      </w:r>
      <w:r w:rsidRPr="001C1B82">
        <w:rPr>
          <w:rFonts w:eastAsia="Calibri" w:cs="Calibri"/>
          <w:i/>
          <w:szCs w:val="16"/>
        </w:rPr>
        <w:t>An introduction to political communication</w:t>
      </w:r>
      <w:r w:rsidRPr="001C1B82">
        <w:rPr>
          <w:rFonts w:eastAsia="Calibri" w:cs="Calibri"/>
          <w:szCs w:val="16"/>
        </w:rPr>
        <w:t xml:space="preserve">, London, Taylor &amp; Francis, p.101. </w:t>
      </w:r>
    </w:p>
  </w:footnote>
  <w:footnote w:id="33">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Perloff, R.M. 2018. </w:t>
      </w:r>
      <w:r w:rsidRPr="001C1B82">
        <w:rPr>
          <w:rFonts w:eastAsia="Calibri" w:cs="Calibri"/>
          <w:i/>
          <w:szCs w:val="16"/>
        </w:rPr>
        <w:t>The dynamics of political communication: media and politics in a digital age</w:t>
      </w:r>
      <w:r w:rsidRPr="001C1B82">
        <w:rPr>
          <w:rFonts w:eastAsia="Calibri" w:cs="Calibri"/>
          <w:szCs w:val="16"/>
        </w:rPr>
        <w:t xml:space="preserve">. New York and London: </w:t>
      </w:r>
    </w:p>
    <w:p w:rsidR="00673732" w:rsidRPr="001C1B82">
      <w:pPr>
        <w:pStyle w:val="footnotedescription"/>
        <w:ind w:left="1"/>
        <w:rPr>
          <w:szCs w:val="16"/>
        </w:rPr>
      </w:pPr>
      <w:r w:rsidRPr="001C1B82">
        <w:rPr>
          <w:rFonts w:eastAsia="Calibri" w:cs="Calibri"/>
          <w:szCs w:val="16"/>
        </w:rPr>
        <w:t xml:space="preserve">Routledge, pp.246-247. Bartlett, J., Smith, J. &amp; Acton, R. 2018. </w:t>
      </w:r>
      <w:r w:rsidRPr="001C1B82">
        <w:rPr>
          <w:rFonts w:eastAsia="Calibri" w:cs="Calibri"/>
          <w:i/>
          <w:szCs w:val="16"/>
        </w:rPr>
        <w:t>The future of political campaigning</w:t>
      </w:r>
      <w:r w:rsidRPr="001C1B82">
        <w:rPr>
          <w:rFonts w:eastAsia="Calibri" w:cs="Calibri"/>
          <w:szCs w:val="16"/>
        </w:rPr>
        <w:t xml:space="preserve">. Demos. July. </w:t>
      </w:r>
    </w:p>
    <w:p w:rsidR="00673732" w:rsidRPr="001C1B82">
      <w:pPr>
        <w:pStyle w:val="footnotedescription"/>
        <w:ind w:left="1"/>
        <w:rPr>
          <w:szCs w:val="16"/>
        </w:rPr>
      </w:pPr>
      <w:r>
        <w:fldChar w:fldCharType="begin"/>
      </w:r>
      <w:r>
        <w:instrText xml:space="preserve"> HYPERLINK "https://ico.org.uk/media/2259365/the-future-of-political-campaigning.pdf" </w:instrText>
      </w:r>
      <w:r>
        <w:fldChar w:fldCharType="separate"/>
      </w:r>
      <w:r w:rsidRPr="001C1B82">
        <w:rPr>
          <w:rFonts w:eastAsia="Calibri" w:cs="Calibri"/>
          <w:szCs w:val="16"/>
          <w:u w:val="single" w:color="000000"/>
        </w:rPr>
        <w:t>https://ico.org.uk/media/2259365/the-future-of-political-campaigning.pdf</w:t>
      </w:r>
      <w:r>
        <w:fldChar w:fldCharType="end"/>
      </w:r>
      <w:r>
        <w:fldChar w:fldCharType="begin"/>
      </w:r>
      <w:r>
        <w:instrText xml:space="preserve"> HYPERLINK "https://ico.org.uk/media/2259365/the-future-of-political-campaigning.pdf"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 27. </w:t>
      </w:r>
    </w:p>
  </w:footnote>
  <w:footnote w:id="34">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Tufekci, Z. 2014. Engineering the public: big data, surveillance and computational politics. </w:t>
      </w:r>
      <w:r w:rsidRPr="001C1B82">
        <w:rPr>
          <w:rFonts w:eastAsia="Calibri" w:cs="Calibri"/>
          <w:i/>
          <w:szCs w:val="16"/>
        </w:rPr>
        <w:t>First Monday</w:t>
      </w:r>
      <w:r w:rsidRPr="001C1B82">
        <w:rPr>
          <w:rFonts w:eastAsia="Calibri" w:cs="Calibri"/>
          <w:szCs w:val="16"/>
        </w:rPr>
        <w:t xml:space="preserve">, 19 (7). </w:t>
      </w:r>
    </w:p>
    <w:p w:rsidR="00673732" w:rsidRPr="001C1B82">
      <w:pPr>
        <w:pStyle w:val="footnotedescription"/>
        <w:ind w:left="1"/>
        <w:rPr>
          <w:szCs w:val="16"/>
        </w:rPr>
      </w:pPr>
      <w:r>
        <w:fldChar w:fldCharType="begin"/>
      </w:r>
      <w:r>
        <w:instrText xml:space="preserve"> HYPERLINK "https://firstmonday.org/ojs/index.php/fm/article/view/4901/4097" </w:instrText>
      </w:r>
      <w:r>
        <w:fldChar w:fldCharType="separate"/>
      </w:r>
      <w:r w:rsidRPr="001C1B82">
        <w:rPr>
          <w:rFonts w:eastAsia="Calibri" w:cs="Calibri"/>
          <w:szCs w:val="16"/>
          <w:u w:val="single" w:color="000000"/>
        </w:rPr>
        <w:t>https://firstmonday.org/ojs/index.php/fm/article/view/4901/4097</w:t>
      </w:r>
      <w:r>
        <w:fldChar w:fldCharType="end"/>
      </w:r>
      <w:r>
        <w:fldChar w:fldCharType="begin"/>
      </w:r>
      <w:r>
        <w:instrText xml:space="preserve"> HYPERLINK "https://firstmonday.org/ojs/index.php/fm/article/view/4901/4097" </w:instrText>
      </w:r>
      <w:r>
        <w:fldChar w:fldCharType="separate"/>
      </w:r>
      <w:r w:rsidRPr="001C1B82">
        <w:rPr>
          <w:rFonts w:eastAsia="Calibri" w:cs="Calibri"/>
          <w:szCs w:val="16"/>
        </w:rPr>
        <w:t xml:space="preserve"> </w:t>
      </w:r>
      <w:r>
        <w:fldChar w:fldCharType="end"/>
      </w:r>
    </w:p>
  </w:footnote>
  <w:footnote w:id="35">
    <w:p w:rsidR="00673732" w:rsidRPr="001C1B82">
      <w:pPr>
        <w:pStyle w:val="footnotedescription"/>
        <w:spacing w:line="247" w:lineRule="auto"/>
        <w:ind w:left="1"/>
        <w:rPr>
          <w:szCs w:val="16"/>
        </w:rPr>
      </w:pPr>
      <w:r w:rsidRPr="001C1B82">
        <w:rPr>
          <w:rStyle w:val="footnotemark"/>
          <w:szCs w:val="16"/>
        </w:rPr>
        <w:footnoteRef/>
      </w:r>
      <w:r w:rsidRPr="001C1B82">
        <w:rPr>
          <w:rFonts w:eastAsia="Calibri" w:cs="Calibri"/>
          <w:szCs w:val="16"/>
        </w:rPr>
        <w:t xml:space="preserve"> The Electoral Commission. 2018. </w:t>
      </w:r>
      <w:r w:rsidRPr="001C1B82">
        <w:rPr>
          <w:rFonts w:eastAsia="Calibri" w:cs="Calibri"/>
          <w:i/>
          <w:szCs w:val="16"/>
        </w:rPr>
        <w:t>Digital campaigning: increasing transparency for voters</w:t>
      </w:r>
      <w:r w:rsidRPr="001C1B82">
        <w:rPr>
          <w:rFonts w:eastAsia="Calibri" w:cs="Calibri"/>
          <w:szCs w:val="16"/>
        </w:rPr>
        <w:t xml:space="preserve">, June. </w:t>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https://www.electoralcommission.org.uk/sites/default/files/pdf_file/Digital-campaigning-improving-transparency-for</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voters.pdf</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.4. </w:t>
      </w:r>
    </w:p>
  </w:footnote>
  <w:footnote w:id="36">
    <w:p w:rsidR="00673732" w:rsidRPr="001C1B82">
      <w:pPr>
        <w:pStyle w:val="footnotedescription"/>
        <w:spacing w:line="246" w:lineRule="auto"/>
        <w:ind w:left="1" w:right="362"/>
        <w:rPr>
          <w:szCs w:val="16"/>
        </w:rPr>
      </w:pPr>
      <w:r w:rsidRPr="001C1B82">
        <w:rPr>
          <w:rStyle w:val="footnotemark"/>
          <w:szCs w:val="16"/>
        </w:rPr>
        <w:footnoteRef/>
      </w:r>
      <w:r w:rsidRPr="001C1B82">
        <w:rPr>
          <w:rFonts w:eastAsia="Calibri" w:cs="Calibri"/>
          <w:szCs w:val="16"/>
        </w:rPr>
        <w:t xml:space="preserve"> Macintyre, A., Wright, G. &amp; Hankey, S. n.d.</w:t>
      </w:r>
      <w:r w:rsidRPr="001C1B82">
        <w:rPr>
          <w:rFonts w:eastAsia="Calibri" w:cs="Calibri"/>
          <w:i/>
          <w:szCs w:val="16"/>
        </w:rPr>
        <w:t xml:space="preserve">  Data &amp; democracy in the UK: Tactical Tech’s data &amp; politics team</w:t>
      </w:r>
      <w:r w:rsidRPr="001C1B82">
        <w:rPr>
          <w:rFonts w:eastAsia="Calibri" w:cs="Calibri"/>
          <w:szCs w:val="16"/>
        </w:rPr>
        <w:t xml:space="preserve">. </w:t>
      </w:r>
      <w:r>
        <w:fldChar w:fldCharType="begin"/>
      </w:r>
      <w:r>
        <w:instrText xml:space="preserve"> HYPERLINK "https://cdn.ttc.io/s/ourdataourselves.tacticaltech.org/ttc-influence-industry-uk.pdf" </w:instrText>
      </w:r>
      <w:r>
        <w:fldChar w:fldCharType="separate"/>
      </w:r>
      <w:r w:rsidRPr="001C1B82">
        <w:rPr>
          <w:rFonts w:eastAsia="Calibri" w:cs="Calibri"/>
          <w:szCs w:val="16"/>
          <w:u w:val="single" w:color="000000"/>
        </w:rPr>
        <w:t>https://cdn.ttc.io/s/ourdataourselves.tacticaltech.org/ttc-influence-industry-uk.pdf</w:t>
      </w:r>
      <w:r>
        <w:fldChar w:fldCharType="end"/>
      </w:r>
      <w:r>
        <w:fldChar w:fldCharType="begin"/>
      </w:r>
      <w:r>
        <w:instrText xml:space="preserve"> HYPERLINK "https://cdn.ttc.io/s/ourdataourselves.tacticaltech.org/ttc-influence-industry-uk.pdf"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.7. </w:t>
      </w:r>
      <w:r w:rsidRPr="001C1B82">
        <w:rPr>
          <w:rFonts w:eastAsia="Calibri" w:cs="Calibri"/>
          <w:szCs w:val="16"/>
          <w:vertAlign w:val="superscript"/>
        </w:rPr>
        <w:t>21</w:t>
      </w:r>
      <w:r w:rsidRPr="001C1B82">
        <w:rPr>
          <w:rFonts w:eastAsia="Calibri" w:cs="Calibri"/>
          <w:szCs w:val="16"/>
        </w:rPr>
        <w:t xml:space="preserve"> The Electoral Commission. 2018. </w:t>
      </w:r>
      <w:r w:rsidRPr="001C1B82">
        <w:rPr>
          <w:rFonts w:eastAsia="Calibri" w:cs="Calibri"/>
          <w:i/>
          <w:szCs w:val="16"/>
        </w:rPr>
        <w:t>Digital campaigning: increasing transparency for voters</w:t>
      </w:r>
      <w:r w:rsidRPr="001C1B82">
        <w:rPr>
          <w:rFonts w:eastAsia="Calibri" w:cs="Calibri"/>
          <w:szCs w:val="16"/>
        </w:rPr>
        <w:t xml:space="preserve">, June. </w:t>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https://www.electoralcommission.org.uk/sites/default/files/pdf_file/Digital-campaigning-improving-transparency-for</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voters.pdf</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.4. </w:t>
      </w:r>
    </w:p>
  </w:footnote>
  <w:footnote w:id="37">
    <w:p w:rsidR="00673732" w:rsidRPr="001C1B82">
      <w:pPr>
        <w:pStyle w:val="footnotedescription"/>
        <w:spacing w:line="256" w:lineRule="auto"/>
        <w:ind w:left="1"/>
        <w:rPr>
          <w:szCs w:val="16"/>
        </w:rPr>
      </w:pPr>
      <w:r w:rsidRPr="001C1B82">
        <w:rPr>
          <w:rStyle w:val="footnotemark"/>
          <w:szCs w:val="16"/>
        </w:rPr>
        <w:footnoteRef/>
      </w:r>
      <w:r w:rsidRPr="001C1B82">
        <w:rPr>
          <w:rFonts w:eastAsia="Calibri" w:cs="Calibri"/>
          <w:szCs w:val="16"/>
        </w:rPr>
        <w:t xml:space="preserve"> Macintyre, A., Wright, G. &amp; Hankey, S. n.d.</w:t>
      </w:r>
      <w:r w:rsidRPr="001C1B82">
        <w:rPr>
          <w:rFonts w:eastAsia="Calibri" w:cs="Calibri"/>
          <w:i/>
          <w:szCs w:val="16"/>
        </w:rPr>
        <w:t xml:space="preserve">  Data &amp; democracy in the UK: Tactical Tech’s data &amp; politics team</w:t>
      </w:r>
      <w:r w:rsidRPr="001C1B82">
        <w:rPr>
          <w:rFonts w:eastAsia="Calibri" w:cs="Calibri"/>
          <w:szCs w:val="16"/>
        </w:rPr>
        <w:t xml:space="preserve">. </w:t>
      </w:r>
      <w:r>
        <w:fldChar w:fldCharType="begin"/>
      </w:r>
      <w:r>
        <w:instrText xml:space="preserve"> HYPERLINK "https://cdn.ttc.io/s/ourdataourselves.tacticaltech.org/ttc-influence-industry-uk.pdf" </w:instrText>
      </w:r>
      <w:r>
        <w:fldChar w:fldCharType="separate"/>
      </w:r>
      <w:r w:rsidRPr="001C1B82">
        <w:rPr>
          <w:rFonts w:eastAsia="Calibri" w:cs="Calibri"/>
          <w:szCs w:val="16"/>
          <w:u w:val="single" w:color="000000"/>
        </w:rPr>
        <w:t>https://cdn.ttc.io/s/ourdataourselves.tacticaltech.org/ttc-influence-industry-uk.pdf</w:t>
      </w:r>
      <w:r>
        <w:fldChar w:fldCharType="end"/>
      </w:r>
      <w:r>
        <w:fldChar w:fldCharType="begin"/>
      </w:r>
      <w:r>
        <w:instrText xml:space="preserve"> HYPERLINK "https://cdn.ttc.io/s/ourdataourselves.tacticaltech.org/ttc-influence-industry-uk.pdf"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.7. </w:t>
      </w:r>
    </w:p>
  </w:footnote>
  <w:footnote w:id="38">
    <w:p w:rsidR="00673732" w:rsidRPr="001C1B82">
      <w:pPr>
        <w:pStyle w:val="footnotedescription"/>
        <w:spacing w:line="270" w:lineRule="auto"/>
        <w:ind w:left="1"/>
        <w:rPr>
          <w:szCs w:val="16"/>
        </w:rPr>
      </w:pPr>
      <w:r w:rsidRPr="001C1B82">
        <w:rPr>
          <w:rStyle w:val="footnotemark"/>
          <w:szCs w:val="16"/>
        </w:rPr>
        <w:footnoteRef/>
      </w:r>
      <w:r w:rsidRPr="001C1B82">
        <w:rPr>
          <w:rFonts w:eastAsia="Calibri" w:cs="Calibri"/>
          <w:szCs w:val="16"/>
        </w:rPr>
        <w:t xml:space="preserve"> Data analytics provides automated insights into a dataset. It can use data mining techniques and tools to discover hidden patterns in datasets. </w:t>
      </w:r>
    </w:p>
  </w:footnote>
  <w:footnote w:id="39">
    <w:p w:rsidR="00673732" w:rsidRPr="001C1B82">
      <w:pPr>
        <w:pStyle w:val="footnotedescription"/>
        <w:spacing w:line="270" w:lineRule="auto"/>
        <w:ind w:left="1"/>
        <w:rPr>
          <w:szCs w:val="16"/>
        </w:rPr>
      </w:pPr>
      <w:r w:rsidRPr="001C1B82">
        <w:rPr>
          <w:rStyle w:val="footnotemark"/>
          <w:szCs w:val="16"/>
        </w:rPr>
        <w:footnoteRef/>
      </w:r>
      <w:r w:rsidRPr="001C1B82">
        <w:rPr>
          <w:rFonts w:eastAsia="Calibri" w:cs="Calibri"/>
          <w:szCs w:val="16"/>
        </w:rPr>
        <w:t xml:space="preserve"> ‘Profiling’ refers to the process of construction and application of user profiles generated by mathematical techniques (such as algorithms) that allow discovery of patterns or correlations in large quantities of data, aggregated in databases. </w:t>
      </w:r>
    </w:p>
    <w:p w:rsidR="00673732" w:rsidRPr="001C1B82">
      <w:pPr>
        <w:pStyle w:val="footnotedescription"/>
        <w:ind w:left="1"/>
        <w:rPr>
          <w:szCs w:val="16"/>
        </w:rPr>
      </w:pPr>
      <w:r w:rsidRPr="001C1B82">
        <w:rPr>
          <w:rFonts w:eastAsia="Calibri" w:cs="Calibri"/>
          <w:szCs w:val="16"/>
        </w:rPr>
        <w:t xml:space="preserve">When these patterns or correlations are used to identify or represent people, they are called ‘profiles’. See Elmer, G. 2004. </w:t>
      </w:r>
    </w:p>
    <w:p w:rsidR="00673732" w:rsidRPr="001C1B82">
      <w:pPr>
        <w:pStyle w:val="footnotedescription"/>
        <w:ind w:left="1"/>
        <w:rPr>
          <w:szCs w:val="16"/>
        </w:rPr>
      </w:pPr>
      <w:r w:rsidRPr="001C1B82">
        <w:rPr>
          <w:rFonts w:eastAsia="Calibri" w:cs="Calibri"/>
          <w:i/>
          <w:szCs w:val="16"/>
        </w:rPr>
        <w:t>Profiling machines. mapping the personal information economy</w:t>
      </w:r>
      <w:r w:rsidRPr="001C1B82">
        <w:rPr>
          <w:rFonts w:eastAsia="Calibri" w:cs="Calibri"/>
          <w:szCs w:val="16"/>
        </w:rPr>
        <w:t xml:space="preserve">. MIT Press. </w:t>
      </w:r>
    </w:p>
  </w:footnote>
  <w:footnote w:id="40">
    <w:p w:rsidR="00673732" w:rsidRPr="001C1B82">
      <w:pPr>
        <w:pStyle w:val="footnotedescription"/>
        <w:spacing w:line="253" w:lineRule="auto"/>
        <w:ind w:left="1"/>
        <w:rPr>
          <w:szCs w:val="16"/>
        </w:rPr>
      </w:pPr>
      <w:r w:rsidRPr="001C1B82">
        <w:rPr>
          <w:rStyle w:val="footnotemark"/>
          <w:szCs w:val="16"/>
        </w:rPr>
        <w:footnoteRef/>
      </w:r>
      <w:r w:rsidRPr="001C1B82">
        <w:rPr>
          <w:rFonts w:eastAsia="Calibri" w:cs="Calibri"/>
          <w:szCs w:val="16"/>
        </w:rPr>
        <w:t xml:space="preserve"> Macintyre, A., Wright, G. &amp; Hankey, S. n.d.</w:t>
      </w:r>
      <w:r w:rsidRPr="001C1B82">
        <w:rPr>
          <w:rFonts w:eastAsia="Calibri" w:cs="Calibri"/>
          <w:i/>
          <w:szCs w:val="16"/>
        </w:rPr>
        <w:t xml:space="preserve">  Data &amp; democracy in the UK: Tactical Tech’s data &amp; politics team</w:t>
      </w:r>
      <w:r w:rsidRPr="001C1B82">
        <w:rPr>
          <w:rFonts w:eastAsia="Calibri" w:cs="Calibri"/>
          <w:szCs w:val="16"/>
        </w:rPr>
        <w:t xml:space="preserve">. </w:t>
      </w:r>
      <w:r>
        <w:fldChar w:fldCharType="begin"/>
      </w:r>
      <w:r>
        <w:instrText xml:space="preserve"> HYPERLINK "https://cdn.ttc.io/s/ourdataourselves.tacticaltech.org/ttc-influence-industry-uk.pdf" </w:instrText>
      </w:r>
      <w:r>
        <w:fldChar w:fldCharType="separate"/>
      </w:r>
      <w:r w:rsidRPr="001C1B82">
        <w:rPr>
          <w:rFonts w:eastAsia="Calibri" w:cs="Calibri"/>
          <w:szCs w:val="16"/>
          <w:u w:val="single" w:color="000000"/>
        </w:rPr>
        <w:t>https://cdn.ttc.io/s/ourdataourselves.tacticaltech.org/ttc-influence-industry-uk.pdf</w:t>
      </w:r>
      <w:r>
        <w:fldChar w:fldCharType="end"/>
      </w:r>
      <w:r>
        <w:fldChar w:fldCharType="begin"/>
      </w:r>
      <w:r>
        <w:instrText xml:space="preserve"> HYPERLINK "https://cdn.ttc.io/s/ourdataourselves.tacticaltech.org/ttc-influence-industry-uk.pdf"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.7. </w:t>
      </w:r>
    </w:p>
  </w:footnote>
  <w:footnote w:id="41">
    <w:p w:rsidR="00673732" w:rsidRPr="001C1B82">
      <w:pPr>
        <w:pStyle w:val="footnotedescription"/>
        <w:spacing w:line="253" w:lineRule="auto"/>
        <w:ind w:left="1"/>
        <w:rPr>
          <w:szCs w:val="16"/>
        </w:rPr>
      </w:pPr>
      <w:r w:rsidRPr="001C1B82">
        <w:rPr>
          <w:rStyle w:val="footnotemark"/>
          <w:szCs w:val="16"/>
        </w:rPr>
        <w:footnoteRef/>
      </w:r>
      <w:r w:rsidRPr="001C1B82">
        <w:rPr>
          <w:rFonts w:eastAsia="Calibri" w:cs="Calibri"/>
          <w:szCs w:val="16"/>
        </w:rPr>
        <w:t xml:space="preserve"> Macintyre, A., Wright, G. &amp; Hankey, S. n.d.</w:t>
      </w:r>
      <w:r w:rsidRPr="001C1B82">
        <w:rPr>
          <w:rFonts w:eastAsia="Calibri" w:cs="Calibri"/>
          <w:i/>
          <w:szCs w:val="16"/>
        </w:rPr>
        <w:t xml:space="preserve">  Data &amp; democracy in the UK: Tactical Tech’s data &amp; politics team</w:t>
      </w:r>
      <w:r w:rsidRPr="001C1B82">
        <w:rPr>
          <w:rFonts w:eastAsia="Calibri" w:cs="Calibri"/>
          <w:szCs w:val="16"/>
        </w:rPr>
        <w:t xml:space="preserve">. </w:t>
      </w:r>
      <w:r>
        <w:fldChar w:fldCharType="begin"/>
      </w:r>
      <w:r>
        <w:instrText xml:space="preserve"> HYPERLINK "https://cdn.ttc.io/s/ourdataourselves.tacticaltech.org/ttc-influence-industry-uk.pdf" </w:instrText>
      </w:r>
      <w:r>
        <w:fldChar w:fldCharType="separate"/>
      </w:r>
      <w:r w:rsidRPr="001C1B82">
        <w:rPr>
          <w:rFonts w:eastAsia="Calibri" w:cs="Calibri"/>
          <w:szCs w:val="16"/>
          <w:u w:val="single" w:color="000000"/>
        </w:rPr>
        <w:t>https://cdn.ttc.io/s/ourdataourselves.tacticaltech.org/ttc-influence-industry-uk.pdf</w:t>
      </w:r>
      <w:r>
        <w:fldChar w:fldCharType="end"/>
      </w:r>
      <w:r>
        <w:fldChar w:fldCharType="begin"/>
      </w:r>
      <w:r>
        <w:instrText xml:space="preserve"> HYPERLINK "https://cdn.ttc.io/s/ourdataourselves.tacticaltech.org/ttc-influence-industry-uk.pdf"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.11. </w:t>
      </w:r>
    </w:p>
  </w:footnote>
  <w:footnote w:id="42">
    <w:p w:rsidR="00673732" w:rsidRPr="001C1B82">
      <w:pPr>
        <w:pStyle w:val="footnotedescription"/>
        <w:spacing w:line="250" w:lineRule="auto"/>
        <w:ind w:left="1"/>
        <w:rPr>
          <w:szCs w:val="16"/>
        </w:rPr>
      </w:pPr>
      <w:r w:rsidRPr="001C1B82">
        <w:rPr>
          <w:rStyle w:val="footnotemark"/>
          <w:szCs w:val="16"/>
        </w:rPr>
        <w:footnoteRef/>
      </w:r>
      <w:r w:rsidRPr="001C1B82">
        <w:rPr>
          <w:rFonts w:eastAsia="Calibri" w:cs="Calibri"/>
          <w:szCs w:val="16"/>
        </w:rPr>
        <w:t xml:space="preserve"> Information Commissioners Office. 2018. </w:t>
      </w:r>
      <w:r w:rsidRPr="001C1B82">
        <w:rPr>
          <w:rFonts w:eastAsia="Calibri" w:cs="Calibri"/>
          <w:i/>
          <w:szCs w:val="16"/>
        </w:rPr>
        <w:t>Investigation into the use of data analytics in political campaigns:  A report to Parliament,</w:t>
      </w:r>
      <w:r w:rsidRPr="001C1B82">
        <w:rPr>
          <w:rFonts w:eastAsia="Calibri" w:cs="Calibri"/>
          <w:szCs w:val="16"/>
        </w:rPr>
        <w:t xml:space="preserve"> 6 November</w:t>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rPr>
        <w:t xml:space="preserve">. </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https://ico.org.uk/media/action-weve-taken/2260271/investigation-into-the-use-of-data</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analytics-in-political-campaigns-final-20181105.pdf</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.23. </w:t>
      </w:r>
    </w:p>
  </w:footnote>
  <w:footnote w:id="43">
    <w:p w:rsidR="00673732" w:rsidRPr="001C1B82">
      <w:pPr>
        <w:pStyle w:val="footnotedescription"/>
        <w:spacing w:line="248" w:lineRule="auto"/>
        <w:ind w:left="1"/>
        <w:rPr>
          <w:szCs w:val="16"/>
        </w:rPr>
      </w:pPr>
      <w:r w:rsidRPr="001C1B82">
        <w:rPr>
          <w:rStyle w:val="footnotemark"/>
          <w:szCs w:val="16"/>
        </w:rPr>
        <w:footnoteRef/>
      </w:r>
      <w:r w:rsidRPr="001C1B82">
        <w:rPr>
          <w:rFonts w:eastAsia="Calibri" w:cs="Calibri"/>
          <w:szCs w:val="16"/>
        </w:rPr>
        <w:t xml:space="preserve"> The formal warnings included a demand for each party to provide Data Protection Impact Assessments for all projects involving the use of personal data. Under the EU General Data Protection Regulation (GDPR), data controllers are required to complete a Data Protection Impact Assessment wherever their intended processing is ‘likely to result in high risk’ to the rights and freedoms of data subjects. Because parties are using special category data (relating political opinions and ethnicity), as well as automated decision making and profiling, they would be required to undertake a Data Protection </w:t>
      </w:r>
    </w:p>
  </w:footnote>
  <w:footnote w:id="44">
    <w:p w:rsidR="00673732" w:rsidRPr="001C1B82">
      <w:pPr>
        <w:pStyle w:val="footnotedescription"/>
        <w:spacing w:line="267" w:lineRule="auto"/>
        <w:ind w:left="1"/>
        <w:rPr>
          <w:szCs w:val="16"/>
        </w:rPr>
      </w:pPr>
      <w:r w:rsidRPr="001C1B82">
        <w:rPr>
          <w:rStyle w:val="footnotemark"/>
          <w:szCs w:val="16"/>
        </w:rPr>
        <w:footnoteRef/>
      </w:r>
      <w:r w:rsidRPr="001C1B82">
        <w:rPr>
          <w:rFonts w:eastAsia="Calibri" w:cs="Calibri"/>
          <w:szCs w:val="16"/>
        </w:rPr>
        <w:t xml:space="preserve"> A/B testing is a way to compare two versions of a single variable, typically by testing a subject's response to variant A against variant B and determining which of the two variants is more effective. </w:t>
      </w:r>
    </w:p>
  </w:footnote>
  <w:footnote w:id="45">
    <w:p w:rsidR="00673732" w:rsidRPr="001C1B82">
      <w:pPr>
        <w:pStyle w:val="footnotedescription"/>
        <w:spacing w:line="256" w:lineRule="auto"/>
        <w:ind w:left="1"/>
        <w:rPr>
          <w:szCs w:val="16"/>
        </w:rPr>
      </w:pPr>
      <w:r w:rsidRPr="001C1B82">
        <w:rPr>
          <w:rStyle w:val="footnotemark"/>
          <w:szCs w:val="16"/>
        </w:rPr>
        <w:footnoteRef/>
      </w:r>
      <w:r w:rsidRPr="001C1B82">
        <w:rPr>
          <w:rFonts w:eastAsia="Calibri" w:cs="Calibri"/>
          <w:szCs w:val="16"/>
        </w:rPr>
        <w:t xml:space="preserve"> Siroker, D. 2010. How Obama raised $60 million by running a simple experiment, </w:t>
      </w:r>
      <w:r w:rsidRPr="001C1B82">
        <w:rPr>
          <w:rFonts w:eastAsia="Calibri" w:cs="Calibri"/>
          <w:i/>
          <w:szCs w:val="16"/>
        </w:rPr>
        <w:t>Optimizely Blog</w:t>
      </w:r>
      <w:r w:rsidRPr="001C1B82">
        <w:rPr>
          <w:rFonts w:eastAsia="Calibri" w:cs="Calibri"/>
          <w:szCs w:val="16"/>
        </w:rPr>
        <w:t xml:space="preserve">, 29 November. https://blog.optimizely.com/2010/11/29/how-obama-raised-60-million-by-running-a-simple-experiment/ </w:t>
      </w:r>
    </w:p>
  </w:footnote>
  <w:footnote w:id="46">
    <w:p w:rsidR="00673732" w:rsidRPr="001C1B82">
      <w:pPr>
        <w:pStyle w:val="footnotedescription"/>
        <w:spacing w:line="250" w:lineRule="auto"/>
        <w:ind w:left="1"/>
        <w:rPr>
          <w:szCs w:val="16"/>
        </w:rPr>
      </w:pPr>
      <w:r w:rsidRPr="001C1B82">
        <w:rPr>
          <w:rStyle w:val="footnotemark"/>
          <w:szCs w:val="16"/>
        </w:rPr>
        <w:footnoteRef/>
      </w:r>
      <w:r w:rsidRPr="001C1B82">
        <w:rPr>
          <w:rFonts w:eastAsia="Calibri" w:cs="Calibri"/>
          <w:szCs w:val="16"/>
        </w:rPr>
        <w:t xml:space="preserve"> Formisimo. 2016. </w:t>
      </w:r>
      <w:r w:rsidRPr="001C1B82">
        <w:rPr>
          <w:rFonts w:eastAsia="Calibri" w:cs="Calibri"/>
          <w:i/>
          <w:szCs w:val="16"/>
        </w:rPr>
        <w:t>Digital marketing and CRO in political campaigns</w:t>
      </w:r>
      <w:r>
        <w:fldChar w:fldCharType="begin"/>
      </w:r>
      <w:r>
        <w:instrText xml:space="preserve"> HYPERLINK "https://www.formisimo.com/blog/digital-marketing-and-cro-in-political-campaigns/" </w:instrText>
      </w:r>
      <w:r>
        <w:fldChar w:fldCharType="separate"/>
      </w:r>
      <w:r w:rsidRPr="001C1B82">
        <w:rPr>
          <w:rFonts w:eastAsia="Calibri" w:cs="Calibri"/>
          <w:szCs w:val="16"/>
        </w:rPr>
        <w:t xml:space="preserve">. </w:t>
      </w:r>
      <w:r>
        <w:fldChar w:fldCharType="end"/>
      </w:r>
      <w:r>
        <w:fldChar w:fldCharType="begin"/>
      </w:r>
      <w:r>
        <w:instrText xml:space="preserve"> HYPERLINK "https://www.formisimo.com/blog/digital-marketing-and-cro-in-political-campaigns/" </w:instrText>
      </w:r>
      <w:r>
        <w:fldChar w:fldCharType="separate"/>
      </w:r>
      <w:r w:rsidRPr="001C1B82">
        <w:rPr>
          <w:rFonts w:eastAsia="Calibri" w:cs="Calibri"/>
          <w:szCs w:val="16"/>
          <w:u w:val="single" w:color="000000"/>
        </w:rPr>
        <w:t>https://www.formisimo.com/blog/digital-marketing-and-cro</w:t>
      </w:r>
      <w:r>
        <w:fldChar w:fldCharType="end"/>
      </w:r>
      <w:r>
        <w:fldChar w:fldCharType="begin"/>
      </w:r>
      <w:r>
        <w:instrText xml:space="preserve"> HYPERLINK "https://www.formisimo.com/blog/digital-marketing-and-cro-in-political-campaigns/" </w:instrText>
      </w:r>
      <w:r>
        <w:fldChar w:fldCharType="separate"/>
      </w:r>
      <w:r w:rsidRPr="001C1B82">
        <w:rPr>
          <w:rFonts w:eastAsia="Calibri" w:cs="Calibri"/>
          <w:szCs w:val="16"/>
          <w:u w:val="single" w:color="000000"/>
        </w:rPr>
        <w:t>in-political-campaigns/</w:t>
      </w:r>
      <w:r>
        <w:fldChar w:fldCharType="end"/>
      </w:r>
      <w:r>
        <w:fldChar w:fldCharType="begin"/>
      </w:r>
      <w:r>
        <w:instrText xml:space="preserve"> HYPERLINK "https://www.formisimo.com/blog/digital-marketing-and-cro-in-political-campaigns/" </w:instrText>
      </w:r>
      <w:r>
        <w:fldChar w:fldCharType="separate"/>
      </w:r>
      <w:r w:rsidRPr="001C1B82">
        <w:rPr>
          <w:rFonts w:eastAsia="Calibri" w:cs="Calibri"/>
          <w:szCs w:val="16"/>
        </w:rPr>
        <w:t xml:space="preserve"> </w:t>
      </w:r>
      <w:r>
        <w:fldChar w:fldCharType="end"/>
      </w:r>
    </w:p>
  </w:footnote>
  <w:footnote w:id="47">
    <w:p w:rsidR="00673732" w:rsidRPr="001C1B82">
      <w:pPr>
        <w:pStyle w:val="footnotedescription"/>
        <w:spacing w:line="248" w:lineRule="auto"/>
        <w:ind w:left="1" w:right="428"/>
        <w:rPr>
          <w:szCs w:val="16"/>
        </w:rPr>
      </w:pPr>
      <w:r w:rsidRPr="001C1B82">
        <w:rPr>
          <w:rStyle w:val="footnotemark"/>
          <w:szCs w:val="16"/>
        </w:rPr>
        <w:footnoteRef/>
      </w:r>
      <w:r w:rsidRPr="001C1B82">
        <w:rPr>
          <w:rFonts w:eastAsia="Calibri" w:cs="Calibri"/>
          <w:szCs w:val="16"/>
        </w:rPr>
        <w:t xml:space="preserve"> Beckett, L. 2017. Trump digital director says Facebook helped win the White House. </w:t>
      </w:r>
      <w:r w:rsidRPr="001C1B82">
        <w:rPr>
          <w:rFonts w:eastAsia="Calibri" w:cs="Calibri"/>
          <w:i/>
          <w:szCs w:val="16"/>
        </w:rPr>
        <w:t>The Guardian</w:t>
      </w:r>
      <w:r w:rsidRPr="001C1B82">
        <w:rPr>
          <w:rFonts w:eastAsia="Calibri" w:cs="Calibri"/>
          <w:szCs w:val="16"/>
        </w:rPr>
        <w:t xml:space="preserve">, 9 October. https://www.theguardian.com/technology/2017/oct/08/trump-digital-director-brad-parscale-facebook-advertising </w:t>
      </w:r>
      <w:r w:rsidRPr="001C1B82">
        <w:rPr>
          <w:rFonts w:eastAsia="Calibri" w:cs="Calibri"/>
          <w:szCs w:val="16"/>
          <w:vertAlign w:val="superscript"/>
        </w:rPr>
        <w:t>33</w:t>
      </w:r>
      <w:r w:rsidRPr="001C1B82">
        <w:rPr>
          <w:rFonts w:eastAsia="Calibri" w:cs="Calibri"/>
          <w:szCs w:val="16"/>
        </w:rPr>
        <w:t xml:space="preserve"> Bartlett, J., Smith, J. &amp; Acton, R. 2018. </w:t>
      </w:r>
      <w:r w:rsidRPr="001C1B82">
        <w:rPr>
          <w:rFonts w:eastAsia="Calibri" w:cs="Calibri"/>
          <w:i/>
          <w:szCs w:val="16"/>
        </w:rPr>
        <w:t>The future of political campaigning</w:t>
      </w:r>
      <w:r w:rsidRPr="001C1B82">
        <w:rPr>
          <w:rFonts w:eastAsia="Calibri" w:cs="Calibri"/>
          <w:szCs w:val="16"/>
        </w:rPr>
        <w:t xml:space="preserve">. Demos. July. </w:t>
      </w:r>
      <w:r>
        <w:fldChar w:fldCharType="begin"/>
      </w:r>
      <w:r>
        <w:instrText xml:space="preserve"> HYPERLINK "https://ico.org.uk/media/2259365/the-future-of-political-campaigning.pdf" </w:instrText>
      </w:r>
      <w:r>
        <w:fldChar w:fldCharType="separate"/>
      </w:r>
      <w:r w:rsidRPr="001C1B82">
        <w:rPr>
          <w:rFonts w:eastAsia="Calibri" w:cs="Calibri"/>
          <w:szCs w:val="16"/>
          <w:u w:val="single" w:color="000000"/>
        </w:rPr>
        <w:t>https://ico.org.uk/media/2259365/the-future-of-political-campaigning.pdf</w:t>
      </w:r>
      <w:r>
        <w:fldChar w:fldCharType="end"/>
      </w:r>
      <w:r>
        <w:fldChar w:fldCharType="begin"/>
      </w:r>
      <w:r>
        <w:instrText xml:space="preserve"> HYPERLINK "https://ico.org.uk/media/2259365/the-future-of-political-campaigning.pdf"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 33. </w:t>
      </w:r>
    </w:p>
  </w:footnote>
  <w:footnote w:id="48">
    <w:p w:rsidR="00673732" w:rsidRPr="001C1B82">
      <w:pPr>
        <w:pStyle w:val="footnotedescription"/>
        <w:spacing w:line="256" w:lineRule="auto"/>
        <w:ind w:left="1"/>
        <w:rPr>
          <w:szCs w:val="16"/>
        </w:rPr>
      </w:pPr>
      <w:r w:rsidRPr="001C1B82">
        <w:rPr>
          <w:rStyle w:val="footnotemark"/>
          <w:szCs w:val="16"/>
        </w:rPr>
        <w:footnoteRef/>
      </w:r>
      <w:r w:rsidRPr="001C1B82">
        <w:rPr>
          <w:rFonts w:eastAsia="Calibri" w:cs="Calibri"/>
          <w:szCs w:val="16"/>
        </w:rPr>
        <w:t xml:space="preserve"> Cummings, D. 2017. Dominic Cummings: how the Brexit referendum was won. </w:t>
      </w:r>
      <w:r w:rsidRPr="001C1B82">
        <w:rPr>
          <w:rFonts w:eastAsia="Calibri" w:cs="Calibri"/>
          <w:i/>
          <w:szCs w:val="16"/>
        </w:rPr>
        <w:t>The Spectator</w:t>
      </w:r>
      <w:r w:rsidRPr="001C1B82">
        <w:rPr>
          <w:rFonts w:eastAsia="Calibri" w:cs="Calibri"/>
          <w:szCs w:val="16"/>
        </w:rPr>
        <w:t xml:space="preserve">, 9 January. </w:t>
      </w:r>
      <w:r>
        <w:fldChar w:fldCharType="begin"/>
      </w:r>
      <w:r>
        <w:instrText xml:space="preserve"> HYPERLINK "https://blogs.spectator.co.uk/2017/01/dominic-cummings-brexit-referendum-won/" </w:instrText>
      </w:r>
      <w:r>
        <w:fldChar w:fldCharType="separate"/>
      </w:r>
      <w:r w:rsidRPr="001C1B82">
        <w:rPr>
          <w:rFonts w:eastAsia="Calibri" w:cs="Calibri"/>
          <w:szCs w:val="16"/>
          <w:u w:val="single" w:color="000000"/>
        </w:rPr>
        <w:t>https://blogs.spectator.co.uk/2017/01/dominic-cummings-brexit-referendum-won/</w:t>
      </w:r>
      <w:r>
        <w:fldChar w:fldCharType="end"/>
      </w:r>
      <w:r>
        <w:fldChar w:fldCharType="begin"/>
      </w:r>
      <w:r>
        <w:instrText xml:space="preserve"> HYPERLINK "https://blogs.spectator.co.uk/2017/01/dominic-cummings-brexit-referendum-won/" </w:instrText>
      </w:r>
      <w:r>
        <w:fldChar w:fldCharType="separate"/>
      </w:r>
      <w:r w:rsidRPr="001C1B82">
        <w:rPr>
          <w:rFonts w:eastAsia="Calibri" w:cs="Calibri"/>
          <w:szCs w:val="16"/>
        </w:rPr>
        <w:t xml:space="preserve"> </w:t>
      </w:r>
      <w:r>
        <w:fldChar w:fldCharType="end"/>
      </w:r>
    </w:p>
  </w:footnote>
  <w:footnote w:id="49">
    <w:p w:rsidR="00673732" w:rsidRPr="001C1B82">
      <w:pPr>
        <w:pStyle w:val="footnotedescription"/>
        <w:spacing w:line="254" w:lineRule="auto"/>
        <w:ind w:left="1"/>
        <w:rPr>
          <w:szCs w:val="16"/>
        </w:rPr>
      </w:pPr>
      <w:r w:rsidRPr="001C1B82">
        <w:rPr>
          <w:rStyle w:val="footnotemark"/>
          <w:szCs w:val="16"/>
        </w:rPr>
        <w:footnoteRef/>
      </w:r>
      <w:r w:rsidRPr="001C1B82">
        <w:rPr>
          <w:rFonts w:eastAsia="Calibri" w:cs="Calibri"/>
          <w:szCs w:val="16"/>
        </w:rPr>
        <w:t xml:space="preserve"> This figure is likely an over-estimate, and may arise from Cummings referring to the budget he worked with, not the overall campaign budget. Analysis of Vote Leave’s reported spending to the Electoral Commission suggests that more was spent on print media and canvassing than Cummings implied: e.g. Vote Leave report that £179,06 was spent on Royal Mail. </w:t>
      </w:r>
    </w:p>
  </w:footnote>
  <w:footnote w:id="50">
    <w:p w:rsidR="00673732" w:rsidRPr="001C1B82">
      <w:pPr>
        <w:pStyle w:val="footnotedescription"/>
        <w:spacing w:line="253" w:lineRule="auto"/>
        <w:ind w:left="1"/>
        <w:rPr>
          <w:szCs w:val="16"/>
        </w:rPr>
      </w:pPr>
      <w:r w:rsidRPr="001C1B82">
        <w:rPr>
          <w:rStyle w:val="footnotemark"/>
          <w:szCs w:val="16"/>
        </w:rPr>
        <w:footnoteRef/>
      </w:r>
      <w:r w:rsidRPr="001C1B82">
        <w:rPr>
          <w:rFonts w:eastAsia="Calibri" w:cs="Calibri"/>
          <w:szCs w:val="16"/>
        </w:rPr>
        <w:t xml:space="preserve"> Cummings, D. 2017. Dominic Cummings: how the Brexit referendum was won. </w:t>
      </w:r>
      <w:r w:rsidRPr="001C1B82">
        <w:rPr>
          <w:rFonts w:eastAsia="Calibri" w:cs="Calibri"/>
          <w:i/>
          <w:szCs w:val="16"/>
        </w:rPr>
        <w:t>The Spectator</w:t>
      </w:r>
      <w:r w:rsidRPr="001C1B82">
        <w:rPr>
          <w:rFonts w:eastAsia="Calibri" w:cs="Calibri"/>
          <w:szCs w:val="16"/>
        </w:rPr>
        <w:t xml:space="preserve">, 9 January. </w:t>
      </w:r>
      <w:r>
        <w:fldChar w:fldCharType="begin"/>
      </w:r>
      <w:r>
        <w:instrText xml:space="preserve"> HYPERLINK "https://blogs.spectator.co.uk/2017/01/dominic-cummings-brexit-referendum-won/" </w:instrText>
      </w:r>
      <w:r>
        <w:fldChar w:fldCharType="separate"/>
      </w:r>
      <w:r w:rsidRPr="001C1B82">
        <w:rPr>
          <w:rFonts w:eastAsia="Calibri" w:cs="Calibri"/>
          <w:szCs w:val="16"/>
          <w:u w:val="single" w:color="000000"/>
        </w:rPr>
        <w:t>https://blogs.spectator.co.uk/2017/01/dominic-cummings-brexit-referendum-won/</w:t>
      </w:r>
      <w:r>
        <w:fldChar w:fldCharType="end"/>
      </w:r>
      <w:r>
        <w:fldChar w:fldCharType="begin"/>
      </w:r>
      <w:r>
        <w:instrText xml:space="preserve"> HYPERLINK "https://blogs.spectator.co.uk/2017/01/dominic-cummings-brexit-referendum-won/" </w:instrText>
      </w:r>
      <w:r>
        <w:fldChar w:fldCharType="separate"/>
      </w:r>
      <w:r w:rsidRPr="001C1B82">
        <w:rPr>
          <w:rFonts w:eastAsia="Calibri" w:cs="Calibri"/>
          <w:szCs w:val="16"/>
        </w:rPr>
        <w:t xml:space="preserve"> </w:t>
      </w:r>
      <w:r>
        <w:fldChar w:fldCharType="end"/>
      </w:r>
    </w:p>
  </w:footnote>
  <w:footnote w:id="51">
    <w:p w:rsidR="00673732" w:rsidRPr="001C1B82">
      <w:pPr>
        <w:pStyle w:val="footnotedescription"/>
        <w:spacing w:line="244" w:lineRule="auto"/>
        <w:ind w:left="1" w:right="4"/>
        <w:rPr>
          <w:szCs w:val="16"/>
        </w:rPr>
      </w:pPr>
      <w:r w:rsidRPr="001C1B82">
        <w:rPr>
          <w:rStyle w:val="footnotemark"/>
          <w:szCs w:val="16"/>
        </w:rPr>
        <w:footnoteRef/>
      </w:r>
      <w:r w:rsidRPr="001C1B82">
        <w:rPr>
          <w:rFonts w:eastAsia="Calibri" w:cs="Calibri"/>
          <w:szCs w:val="16"/>
        </w:rPr>
        <w:t xml:space="preserve"> Cummings, D. 2017. </w:t>
      </w:r>
      <w:r w:rsidRPr="001C1B82">
        <w:rPr>
          <w:rFonts w:eastAsia="Calibri" w:cs="Calibri"/>
          <w:i/>
          <w:szCs w:val="16"/>
        </w:rPr>
        <w:t>On the referendum #22: Some basic numbers for the Vote Leave campaign</w:t>
      </w:r>
      <w:r w:rsidRPr="001C1B82">
        <w:rPr>
          <w:rFonts w:eastAsia="Calibri" w:cs="Calibri"/>
          <w:szCs w:val="16"/>
        </w:rPr>
        <w:t xml:space="preserve">. https://dominiccummings.com/2017/01/30/on-the-referendum-22-some-numbers-for-the-vote-leave-campaign/ </w:t>
      </w:r>
      <w:r w:rsidRPr="001C1B82">
        <w:rPr>
          <w:rFonts w:eastAsia="Calibri" w:cs="Calibri"/>
          <w:szCs w:val="16"/>
          <w:vertAlign w:val="superscript"/>
        </w:rPr>
        <w:t>38</w:t>
      </w:r>
      <w:r w:rsidRPr="001C1B82">
        <w:rPr>
          <w:rFonts w:eastAsia="Calibri" w:cs="Calibri"/>
          <w:szCs w:val="16"/>
        </w:rPr>
        <w:t xml:space="preserve"> Cummings, D. 2016. </w:t>
      </w:r>
      <w:r w:rsidRPr="001C1B82">
        <w:rPr>
          <w:rFonts w:eastAsia="Calibri" w:cs="Calibri"/>
          <w:i/>
          <w:szCs w:val="16"/>
        </w:rPr>
        <w:t>'On the referendum #20: the campaign, physics and data science – Vote Leave’s ‘Voter Intention Collection System’ (VICS) now available for all'</w:t>
      </w:r>
      <w:r w:rsidRPr="001C1B82">
        <w:rPr>
          <w:rFonts w:eastAsia="Calibri" w:cs="Calibri"/>
          <w:szCs w:val="16"/>
        </w:rPr>
        <w:t xml:space="preserve">, 29 October. https://dominiccummings.com/2016/10/29/on-thereferendum-20-the-cam- paign-physics-and-data-science-vote-leaves-voter-intention-collection-system-vics-now-availablefor-all/  </w:t>
      </w:r>
    </w:p>
  </w:footnote>
  <w:footnote w:id="52">
    <w:p w:rsidR="00673732" w:rsidRPr="001C1B82">
      <w:pPr>
        <w:pStyle w:val="footnotedescription"/>
        <w:spacing w:line="250" w:lineRule="auto"/>
        <w:ind w:left="1"/>
        <w:rPr>
          <w:szCs w:val="16"/>
        </w:rPr>
      </w:pPr>
      <w:r w:rsidRPr="001C1B82">
        <w:rPr>
          <w:rStyle w:val="footnotemark"/>
          <w:szCs w:val="16"/>
        </w:rPr>
        <w:footnoteRef/>
      </w:r>
      <w:r w:rsidRPr="001C1B82">
        <w:rPr>
          <w:rFonts w:eastAsia="Calibri" w:cs="Calibri"/>
          <w:szCs w:val="16"/>
        </w:rPr>
        <w:t xml:space="preserve"> Howard, P.N. 2018. </w:t>
      </w:r>
      <w:r w:rsidRPr="001C1B82">
        <w:rPr>
          <w:rFonts w:eastAsia="Calibri" w:cs="Calibri"/>
          <w:i/>
          <w:szCs w:val="16"/>
        </w:rPr>
        <w:t>Claim No: CO/3214/2018, Report of Dr Philip N. Howard Professor, Oxford University to The High Court of Justice, Queen’s Bench Division, Administrative Court</w:t>
      </w:r>
      <w:r w:rsidRPr="001C1B82">
        <w:rPr>
          <w:rFonts w:eastAsia="Calibri" w:cs="Calibri"/>
          <w:szCs w:val="16"/>
        </w:rPr>
        <w:t>, 30 November</w:t>
      </w:r>
      <w:r>
        <w:fldChar w:fldCharType="begin"/>
      </w:r>
      <w:r>
        <w:instrText xml:space="preserve"> HYPERLINK "https://www.ukineuchallenge.com/wp-content/uploads/2018/12/257136-Expert-report-of-Prof-Howard-FINAL-Signed.pdf" </w:instrText>
      </w:r>
      <w:r>
        <w:fldChar w:fldCharType="separate"/>
      </w:r>
      <w:r w:rsidRPr="001C1B82">
        <w:rPr>
          <w:rFonts w:eastAsia="Calibri" w:cs="Calibri"/>
          <w:szCs w:val="16"/>
        </w:rPr>
        <w:t xml:space="preserve">. </w:t>
      </w:r>
      <w:r>
        <w:fldChar w:fldCharType="end"/>
      </w:r>
      <w:r>
        <w:fldChar w:fldCharType="begin"/>
      </w:r>
      <w:r>
        <w:instrText xml:space="preserve"> HYPERLINK "https://www.ukineuchallenge.com/wp-content/uploads/2018/12/257136-Expert-report-of-Prof-Howard-FINAL-Signed.pdf" </w:instrText>
      </w:r>
      <w:r>
        <w:fldChar w:fldCharType="separate"/>
      </w:r>
      <w:r w:rsidRPr="001C1B82">
        <w:rPr>
          <w:rFonts w:eastAsia="Calibri" w:cs="Calibri"/>
          <w:szCs w:val="16"/>
          <w:u w:val="single" w:color="000000"/>
        </w:rPr>
        <w:t>https://www.ukineuchallenge.com/wp</w:t>
      </w:r>
      <w:r>
        <w:fldChar w:fldCharType="end"/>
      </w:r>
      <w:r>
        <w:fldChar w:fldCharType="begin"/>
      </w:r>
      <w:r>
        <w:instrText xml:space="preserve"> HYPERLINK "https://www.ukineuchallenge.com/wp-content/uploads/2018/12/257136-Expert-report-of-Prof-Howard-FINAL-Signed.pdf" </w:instrText>
      </w:r>
      <w:r>
        <w:fldChar w:fldCharType="separate"/>
      </w:r>
      <w:r w:rsidRPr="001C1B82">
        <w:rPr>
          <w:rFonts w:eastAsia="Calibri" w:cs="Calibri"/>
          <w:szCs w:val="16"/>
          <w:u w:val="single" w:color="000000"/>
        </w:rPr>
        <w:t>content/uploads/2018/12/257136-Expert-report-of-Prof-Howard-FINAL-Signed.pdf</w:t>
      </w:r>
      <w:r>
        <w:fldChar w:fldCharType="end"/>
      </w:r>
      <w:r>
        <w:fldChar w:fldCharType="begin"/>
      </w:r>
      <w:r>
        <w:instrText xml:space="preserve"> HYPERLINK "https://www.ukineuchallenge.com/wp-content/uploads/2018/12/257136-Expert-report-of-Prof-Howard-FINAL-Signed.pdf" </w:instrText>
      </w:r>
      <w:r>
        <w:fldChar w:fldCharType="separate"/>
      </w:r>
      <w:r w:rsidRPr="001C1B82">
        <w:rPr>
          <w:rFonts w:eastAsia="Calibri" w:cs="Calibri"/>
          <w:szCs w:val="16"/>
        </w:rPr>
        <w:t xml:space="preserve">  </w:t>
      </w:r>
      <w:r>
        <w:fldChar w:fldCharType="end"/>
      </w:r>
    </w:p>
  </w:footnote>
  <w:footnote w:id="53">
    <w:p w:rsidR="00673732" w:rsidRPr="001C1B82">
      <w:pPr>
        <w:pStyle w:val="footnotedescription"/>
        <w:spacing w:line="245" w:lineRule="auto"/>
        <w:ind w:left="1" w:right="366"/>
        <w:rPr>
          <w:szCs w:val="16"/>
        </w:rPr>
      </w:pPr>
      <w:r w:rsidRPr="001C1B82">
        <w:rPr>
          <w:rStyle w:val="footnotemark"/>
          <w:szCs w:val="16"/>
        </w:rPr>
        <w:footnoteRef/>
      </w:r>
      <w:r w:rsidRPr="001C1B82">
        <w:rPr>
          <w:rFonts w:eastAsia="Calibri" w:cs="Calibri"/>
          <w:szCs w:val="16"/>
        </w:rPr>
        <w:t xml:space="preserve"> Cummings, D. 2017. </w:t>
      </w:r>
      <w:r w:rsidRPr="001C1B82">
        <w:rPr>
          <w:rFonts w:eastAsia="Calibri" w:cs="Calibri"/>
          <w:i/>
          <w:szCs w:val="16"/>
        </w:rPr>
        <w:t>On the referendum #22: Some basic numbers for the Vote Leave campaign</w:t>
      </w:r>
      <w:r w:rsidRPr="001C1B82">
        <w:rPr>
          <w:rFonts w:eastAsia="Calibri" w:cs="Calibri"/>
          <w:szCs w:val="16"/>
        </w:rPr>
        <w:t xml:space="preserve">. </w:t>
      </w:r>
      <w:r>
        <w:fldChar w:fldCharType="begin"/>
      </w:r>
      <w:r>
        <w:instrText xml:space="preserve"> HYPERLINK "https://dominiccummings.com/2017/01/30/on-the-referendum-22-some-numbers-for-the-vote-leave-campaign/" </w:instrText>
      </w:r>
      <w:r>
        <w:fldChar w:fldCharType="separate"/>
      </w:r>
      <w:r w:rsidRPr="001C1B82">
        <w:rPr>
          <w:rFonts w:eastAsia="Calibri" w:cs="Calibri"/>
          <w:szCs w:val="16"/>
          <w:u w:val="single" w:color="000000"/>
        </w:rPr>
        <w:t>https://dominiccummings.com/2017/01/30/on-the-referendum-22-some-numbers-for-the-vote-leave-campaign/</w:t>
      </w:r>
      <w:r>
        <w:fldChar w:fldCharType="end"/>
      </w:r>
      <w:r>
        <w:fldChar w:fldCharType="begin"/>
      </w:r>
      <w:r>
        <w:instrText xml:space="preserve"> HYPERLINK "https://dominiccummings.com/2017/01/30/on-the-referendum-22-some-numbers-for-the-vote-leave-campaign/"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r w:rsidRPr="001C1B82">
        <w:rPr>
          <w:rFonts w:eastAsia="Calibri" w:cs="Calibri"/>
          <w:szCs w:val="16"/>
          <w:vertAlign w:val="superscript"/>
        </w:rPr>
        <w:t>41</w:t>
      </w:r>
      <w:r w:rsidRPr="001C1B82">
        <w:rPr>
          <w:rFonts w:eastAsia="Calibri" w:cs="Calibri"/>
          <w:szCs w:val="16"/>
        </w:rPr>
        <w:t xml:space="preserve"> Howard, P.N. 2018. Claim No: CO/3214/2018. </w:t>
      </w:r>
      <w:r w:rsidRPr="001C1B82">
        <w:rPr>
          <w:rFonts w:eastAsia="Calibri" w:cs="Calibri"/>
          <w:i/>
          <w:szCs w:val="16"/>
        </w:rPr>
        <w:t>Report of Dr Philip N. Howard Professor, Oxford University to The High Court of Justice, Queen’s Bench Division, Administrative Court</w:t>
      </w:r>
      <w:r w:rsidRPr="001C1B82">
        <w:rPr>
          <w:rFonts w:eastAsia="Calibri" w:cs="Calibri"/>
          <w:szCs w:val="16"/>
        </w:rPr>
        <w:t>, 30 November</w:t>
      </w:r>
      <w:r>
        <w:fldChar w:fldCharType="begin"/>
      </w:r>
      <w:r>
        <w:instrText xml:space="preserve"> HYPERLINK "https://www.ukineuchallenge.com/wp-content/uploads/2018/12/257136-Expert-report-of-Prof-Howard-FINAL-Signed.pdf" </w:instrText>
      </w:r>
      <w:r>
        <w:fldChar w:fldCharType="separate"/>
      </w:r>
      <w:r w:rsidRPr="001C1B82">
        <w:rPr>
          <w:rFonts w:eastAsia="Calibri" w:cs="Calibri"/>
          <w:szCs w:val="16"/>
        </w:rPr>
        <w:t xml:space="preserve">. </w:t>
      </w:r>
      <w:r>
        <w:fldChar w:fldCharType="end"/>
      </w:r>
      <w:r>
        <w:fldChar w:fldCharType="begin"/>
      </w:r>
      <w:r>
        <w:instrText xml:space="preserve"> HYPERLINK "https://www.ukineuchallenge.com/wp-content/uploads/2018/12/257136-Expert-report-of-Prof-Howard-FINAL-Signed.pdf" </w:instrText>
      </w:r>
      <w:r>
        <w:fldChar w:fldCharType="separate"/>
      </w:r>
      <w:r w:rsidRPr="001C1B82">
        <w:rPr>
          <w:rFonts w:eastAsia="Calibri" w:cs="Calibri"/>
          <w:szCs w:val="16"/>
          <w:u w:val="single" w:color="000000"/>
        </w:rPr>
        <w:t>https://www.ukineuchallenge.com/wp</w:t>
      </w:r>
      <w:r>
        <w:fldChar w:fldCharType="end"/>
      </w:r>
      <w:r>
        <w:fldChar w:fldCharType="begin"/>
      </w:r>
      <w:r>
        <w:instrText xml:space="preserve"> HYPERLINK "https://www.ukineuchallenge.com/wp-content/uploads/2018/12/257136-Expert-report-of-Prof-Howard-FINAL-Signed.pdf" </w:instrText>
      </w:r>
      <w:r>
        <w:fldChar w:fldCharType="separate"/>
      </w:r>
      <w:r w:rsidRPr="001C1B82">
        <w:rPr>
          <w:rFonts w:eastAsia="Calibri" w:cs="Calibri"/>
          <w:szCs w:val="16"/>
          <w:u w:val="single" w:color="000000"/>
        </w:rPr>
        <w:t>content/uploads/2018/12/257136-Expert-report-of-Prof-Howard-FINAL-Signed.pdf</w:t>
      </w:r>
      <w:r>
        <w:fldChar w:fldCharType="end"/>
      </w:r>
      <w:r>
        <w:fldChar w:fldCharType="begin"/>
      </w:r>
      <w:r>
        <w:instrText xml:space="preserve"> HYPERLINK "https://www.ukineuchallenge.com/wp-content/uploads/2018/12/257136-Expert-report-of-Prof-Howard-FINAL-Signed.pdf" </w:instrText>
      </w:r>
      <w:r>
        <w:fldChar w:fldCharType="separate"/>
      </w:r>
      <w:r w:rsidRPr="001C1B82">
        <w:rPr>
          <w:rFonts w:eastAsia="Calibri" w:cs="Calibri"/>
          <w:szCs w:val="16"/>
        </w:rPr>
        <w:t xml:space="preserve">  </w:t>
      </w:r>
      <w:r>
        <w:fldChar w:fldCharType="end"/>
      </w:r>
    </w:p>
  </w:footnote>
  <w:footnote w:id="54">
    <w:p w:rsidR="00673732" w:rsidRPr="001C1B82">
      <w:pPr>
        <w:pStyle w:val="footnotedescription"/>
        <w:spacing w:line="247" w:lineRule="auto"/>
        <w:ind w:left="1"/>
        <w:rPr>
          <w:szCs w:val="16"/>
        </w:rPr>
      </w:pPr>
      <w:r w:rsidRPr="001C1B82">
        <w:rPr>
          <w:rStyle w:val="footnotemark"/>
          <w:szCs w:val="16"/>
        </w:rPr>
        <w:footnoteRef/>
      </w:r>
      <w:r w:rsidRPr="001C1B82">
        <w:rPr>
          <w:rFonts w:eastAsia="Calibri" w:cs="Calibri"/>
          <w:szCs w:val="16"/>
        </w:rPr>
        <w:t xml:space="preserve"> Cummings, D. 2016. </w:t>
      </w:r>
      <w:r w:rsidRPr="001C1B82">
        <w:rPr>
          <w:rFonts w:eastAsia="Calibri" w:cs="Calibri"/>
          <w:i/>
          <w:szCs w:val="16"/>
        </w:rPr>
        <w:t>On the referendum #20: the campaign, physics and data science – Vote Leave’s ‘Voter Intention Collection System’ (VICS) now available for all, 29 October</w:t>
      </w:r>
      <w:r w:rsidRPr="001C1B82">
        <w:rPr>
          <w:rFonts w:eastAsia="Calibri" w:cs="Calibri"/>
          <w:szCs w:val="16"/>
        </w:rPr>
        <w:t xml:space="preserve">. https://dominiccummings.com/2016/10/29/on-thereferendum-20-the-campaign-physics-and-data-science-vote-leaves-voter-intention-collection-system-vics-now-availablefor-all/ </w:t>
      </w:r>
    </w:p>
  </w:footnote>
  <w:footnote w:id="55">
    <w:p w:rsidR="00673732" w:rsidRPr="001C1B82">
      <w:pPr>
        <w:pStyle w:val="footnotedescription"/>
        <w:spacing w:line="247" w:lineRule="auto"/>
        <w:ind w:left="1"/>
        <w:rPr>
          <w:szCs w:val="16"/>
        </w:rPr>
      </w:pPr>
      <w:r w:rsidRPr="001C1B82">
        <w:rPr>
          <w:rStyle w:val="footnotemark"/>
          <w:szCs w:val="16"/>
        </w:rPr>
        <w:footnoteRef/>
      </w:r>
      <w:r w:rsidRPr="001C1B82">
        <w:rPr>
          <w:rFonts w:eastAsia="Calibri" w:cs="Calibri"/>
          <w:szCs w:val="16"/>
        </w:rPr>
        <w:t xml:space="preserve"> Griffin, A. 2018. Brexit adverts used by Leave Campaign revealed by Facebook. </w:t>
      </w:r>
      <w:r w:rsidRPr="001C1B82">
        <w:rPr>
          <w:rFonts w:eastAsia="Calibri" w:cs="Calibri"/>
          <w:i/>
          <w:szCs w:val="16"/>
        </w:rPr>
        <w:t>The Independent,</w:t>
      </w:r>
      <w:r w:rsidRPr="001C1B82">
        <w:rPr>
          <w:rFonts w:eastAsia="Calibri" w:cs="Calibri"/>
          <w:szCs w:val="16"/>
        </w:rPr>
        <w:t xml:space="preserve"> 26 July. </w:t>
      </w:r>
      <w:r>
        <w:fldChar w:fldCharType="begin"/>
      </w:r>
      <w:r>
        <w:instrText xml:space="preserve"> HYPERLINK "https://www.independent.co.uk/life-style/gadgets-and-tech/news/brexit-facebook-ads-leave-campaign-nhs-immigration-boris-johnson-a8465516.html" </w:instrText>
      </w:r>
      <w:r>
        <w:fldChar w:fldCharType="separate"/>
      </w:r>
      <w:r w:rsidRPr="001C1B82">
        <w:rPr>
          <w:rFonts w:eastAsia="Calibri" w:cs="Calibri"/>
          <w:szCs w:val="16"/>
          <w:u w:val="single" w:color="000000"/>
        </w:rPr>
        <w:t>https://www.independent.co.uk/life-style/gadgets-and-tech/news/brexit-facebook-ads-leave-campaign-nhs-immigration</w:t>
      </w:r>
      <w:r>
        <w:fldChar w:fldCharType="end"/>
      </w:r>
      <w:r>
        <w:fldChar w:fldCharType="begin"/>
      </w:r>
      <w:r>
        <w:instrText xml:space="preserve"> HYPERLINK "https://www.independent.co.uk/life-style/gadgets-and-tech/news/brexit-facebook-ads-leave-campaign-nhs-immigration-boris-johnson-a8465516.html" </w:instrText>
      </w:r>
      <w:r>
        <w:fldChar w:fldCharType="separate"/>
      </w:r>
      <w:r w:rsidRPr="001C1B82">
        <w:rPr>
          <w:rFonts w:eastAsia="Calibri" w:cs="Calibri"/>
          <w:szCs w:val="16"/>
          <w:u w:val="single" w:color="000000"/>
        </w:rPr>
        <w:t>boris-johnson-a8465516.html</w:t>
      </w:r>
      <w:r>
        <w:fldChar w:fldCharType="end"/>
      </w:r>
      <w:r>
        <w:fldChar w:fldCharType="begin"/>
      </w:r>
      <w:r>
        <w:instrText xml:space="preserve"> HYPERLINK "https://www.independent.co.uk/life-style/gadgets-and-tech/news/brexit-facebook-ads-leave-campaign-nhs-immigration-boris-johnson-a8465516.html" </w:instrText>
      </w:r>
      <w:r>
        <w:fldChar w:fldCharType="separate"/>
      </w:r>
      <w:r w:rsidRPr="001C1B82">
        <w:rPr>
          <w:rFonts w:eastAsia="Calibri" w:cs="Calibri"/>
          <w:szCs w:val="16"/>
        </w:rPr>
        <w:t xml:space="preserve"> </w:t>
      </w:r>
      <w:r>
        <w:fldChar w:fldCharType="end"/>
      </w:r>
    </w:p>
  </w:footnote>
  <w:footnote w:id="56">
    <w:p w:rsidR="00673732" w:rsidRPr="001C1B82">
      <w:pPr>
        <w:pStyle w:val="footnotedescription"/>
        <w:spacing w:line="267" w:lineRule="auto"/>
        <w:ind w:left="1"/>
        <w:rPr>
          <w:szCs w:val="16"/>
        </w:rPr>
      </w:pPr>
      <w:r w:rsidRPr="001C1B82">
        <w:rPr>
          <w:rStyle w:val="footnotemark"/>
          <w:szCs w:val="16"/>
        </w:rPr>
        <w:footnoteRef/>
      </w:r>
      <w:r w:rsidRPr="001C1B82">
        <w:rPr>
          <w:rFonts w:eastAsia="Calibri" w:cs="Calibri"/>
          <w:szCs w:val="16"/>
        </w:rPr>
        <w:t xml:space="preserve"> This is revealed by cross-referencing findings from the UK Inquiry into Disinformation and Fake News (2017-19), The Electoral Commission, and The Information Commissioners Office. </w:t>
      </w:r>
    </w:p>
  </w:footnote>
  <w:footnote w:id="57">
    <w:p w:rsidR="00673732" w:rsidRPr="001C1B82">
      <w:pPr>
        <w:pStyle w:val="footnotedescription"/>
        <w:spacing w:line="250" w:lineRule="auto"/>
        <w:ind w:left="1"/>
        <w:rPr>
          <w:szCs w:val="16"/>
        </w:rPr>
      </w:pPr>
      <w:r w:rsidRPr="001C1B82">
        <w:rPr>
          <w:rStyle w:val="footnotemark"/>
          <w:szCs w:val="16"/>
        </w:rPr>
        <w:footnoteRef/>
      </w:r>
      <w:r w:rsidRPr="001C1B82">
        <w:rPr>
          <w:rFonts w:eastAsia="Calibri" w:cs="Calibri"/>
          <w:szCs w:val="16"/>
        </w:rPr>
        <w:t xml:space="preserve"> This is revealed by cross-referencing a NATO publication on psychological operations; revelations from Cambridge Analytica (including the company’s publicity, internal documents, and whistleblowers’ testimony); the findings of various UK inquiries into social media manipulation and disinformation; US legal filings; and psychology literature on the ability to predict personality traits from social media. </w:t>
      </w:r>
    </w:p>
  </w:footnote>
  <w:footnote w:id="58">
    <w:p w:rsidR="00673732" w:rsidRPr="001C1B82">
      <w:pPr>
        <w:pStyle w:val="footnotedescription"/>
        <w:spacing w:line="243" w:lineRule="auto"/>
        <w:ind w:left="1" w:right="181"/>
        <w:rPr>
          <w:szCs w:val="16"/>
        </w:rPr>
      </w:pPr>
      <w:r w:rsidRPr="001C1B82">
        <w:rPr>
          <w:rStyle w:val="footnotemark"/>
          <w:szCs w:val="16"/>
        </w:rPr>
        <w:footnoteRef/>
      </w:r>
      <w:r w:rsidRPr="001C1B82">
        <w:rPr>
          <w:rFonts w:eastAsia="Calibri" w:cs="Calibri"/>
          <w:szCs w:val="16"/>
        </w:rPr>
        <w:t xml:space="preserve"> DCMS. 2019. </w:t>
      </w:r>
      <w:r w:rsidRPr="001C1B82">
        <w:rPr>
          <w:rFonts w:eastAsia="Calibri" w:cs="Calibri"/>
          <w:i/>
          <w:szCs w:val="16"/>
        </w:rPr>
        <w:t>Disinformation and ‘fake news’: final report</w:t>
      </w:r>
      <w:r w:rsidRPr="001C1B82">
        <w:rPr>
          <w:rFonts w:eastAsia="Calibri" w:cs="Calibri"/>
          <w:szCs w:val="16"/>
        </w:rPr>
        <w:t>, 14 February. Digital, Culture, Media and Sport Committee, House of Commons 1791</w:t>
      </w:r>
      <w:r>
        <w:fldChar w:fldCharType="begin"/>
      </w:r>
      <w:r>
        <w:instrText xml:space="preserve"> HYPERLINK "https://publications.parliament.uk/pa/cm201719/cmselect/cmcumeds/1791/1791.pdf" </w:instrText>
      </w:r>
      <w:r>
        <w:fldChar w:fldCharType="separate"/>
      </w:r>
      <w:r w:rsidRPr="001C1B82">
        <w:rPr>
          <w:rFonts w:eastAsia="Calibri" w:cs="Calibri"/>
          <w:szCs w:val="16"/>
        </w:rPr>
        <w:t xml:space="preserve">. </w:t>
      </w:r>
      <w:r>
        <w:fldChar w:fldCharType="end"/>
      </w:r>
      <w:r>
        <w:fldChar w:fldCharType="begin"/>
      </w:r>
      <w:r>
        <w:instrText xml:space="preserve"> HYPERLINK "https://publications.parliament.uk/pa/cm201719/cmselect/cmcumeds/1791/1791.pdf" </w:instrText>
      </w:r>
      <w:r>
        <w:fldChar w:fldCharType="separate"/>
      </w:r>
      <w:r w:rsidRPr="001C1B82">
        <w:rPr>
          <w:rFonts w:eastAsia="Calibri" w:cs="Calibri"/>
          <w:szCs w:val="16"/>
          <w:u w:val="single" w:color="000000"/>
        </w:rPr>
        <w:t>https://publications.parliament.uk/pa/cm201719/cmselect/cmcumeds/1791/1791.pdf</w:t>
      </w:r>
      <w:r>
        <w:fldChar w:fldCharType="end"/>
      </w:r>
      <w:r>
        <w:fldChar w:fldCharType="begin"/>
      </w:r>
      <w:r>
        <w:instrText xml:space="preserve"> HYPERLINK "https://publications.parliament.uk/pa/cm201719/cmselect/cmcumeds/1791/1791.pdf"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.50. </w:t>
      </w:r>
      <w:r w:rsidRPr="001C1B82">
        <w:rPr>
          <w:rFonts w:eastAsia="Calibri" w:cs="Calibri"/>
          <w:szCs w:val="16"/>
          <w:vertAlign w:val="superscript"/>
        </w:rPr>
        <w:t>47</w:t>
      </w:r>
      <w:r w:rsidRPr="001C1B82">
        <w:rPr>
          <w:rFonts w:eastAsia="Calibri" w:cs="Calibri"/>
          <w:szCs w:val="16"/>
        </w:rPr>
        <w:t xml:space="preserve"> The complex corporate structure of Cambridge Analytica, SCL Elections and SCL Group at the time of the Brexit referendum are explained by Siegelman. (see: Siegelman, W. 2017. SCL Group - Companies &amp; Shareholders. </w:t>
      </w:r>
      <w:r w:rsidRPr="001C1B82">
        <w:rPr>
          <w:rFonts w:eastAsia="Calibri" w:cs="Calibri"/>
          <w:i/>
          <w:szCs w:val="16"/>
        </w:rPr>
        <w:t>Medium,</w:t>
      </w:r>
      <w:r w:rsidRPr="001C1B82">
        <w:rPr>
          <w:rFonts w:eastAsia="Calibri" w:cs="Calibri"/>
          <w:szCs w:val="16"/>
        </w:rPr>
        <w:t xml:space="preserve"> 9 May</w:t>
      </w:r>
      <w:r>
        <w:fldChar w:fldCharType="begin"/>
      </w:r>
      <w:r>
        <w:instrText xml:space="preserve"> HYPERLINK "https://medium.com/@wsiegelman/scl-companies-shareholders-e65a4f394158" </w:instrText>
      </w:r>
      <w:r>
        <w:fldChar w:fldCharType="separate"/>
      </w:r>
      <w:r w:rsidRPr="001C1B82">
        <w:rPr>
          <w:rFonts w:eastAsia="Calibri" w:cs="Calibri"/>
          <w:szCs w:val="16"/>
        </w:rPr>
        <w:t xml:space="preserve">. </w:t>
      </w:r>
      <w:r>
        <w:fldChar w:fldCharType="end"/>
      </w:r>
      <w:r>
        <w:fldChar w:fldCharType="begin"/>
      </w:r>
      <w:r>
        <w:instrText xml:space="preserve"> HYPERLINK "https://medium.com/@wsiegelman/scl-companies-shareholders-e65a4f394158" </w:instrText>
      </w:r>
      <w:r>
        <w:fldChar w:fldCharType="separate"/>
      </w:r>
      <w:r w:rsidRPr="001C1B82">
        <w:rPr>
          <w:rFonts w:eastAsia="Calibri" w:cs="Calibri"/>
          <w:szCs w:val="16"/>
          <w:u w:val="single" w:color="000000"/>
        </w:rPr>
        <w:t>https://medium.com/@wsiegelman/scl-companies-shareholders-e65a4f394158</w:t>
      </w:r>
      <w:r>
        <w:fldChar w:fldCharType="end"/>
      </w:r>
      <w:r>
        <w:fldChar w:fldCharType="begin"/>
      </w:r>
      <w:r>
        <w:instrText xml:space="preserve"> HYPERLINK "https://medium.com/@wsiegelman/scl-companies-shareholders-e65a4f394158"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SCL Elections and Cambridge Analytica went into administration in May 2018, but appear to be incorporated by the new structure, Emerdata (see Siegelman, W. 2018. Chart: Emerdata Limited — the new Cambridge Analytica/SCL Group? </w:t>
      </w:r>
      <w:r w:rsidRPr="001C1B82">
        <w:rPr>
          <w:rFonts w:eastAsia="Calibri" w:cs="Calibri"/>
          <w:i/>
          <w:szCs w:val="16"/>
        </w:rPr>
        <w:t>Medium</w:t>
      </w:r>
      <w:r w:rsidRPr="001C1B82">
        <w:rPr>
          <w:rFonts w:eastAsia="Calibri" w:cs="Calibri"/>
          <w:szCs w:val="16"/>
        </w:rPr>
        <w:t xml:space="preserve">, 26 March. </w:t>
      </w:r>
    </w:p>
    <w:p w:rsidR="00673732" w:rsidRPr="001C1B82">
      <w:pPr>
        <w:pStyle w:val="footnotedescription"/>
        <w:ind w:left="1"/>
        <w:rPr>
          <w:szCs w:val="16"/>
        </w:rPr>
      </w:pPr>
      <w:r>
        <w:fldChar w:fldCharType="begin"/>
      </w:r>
      <w:r>
        <w:instrText xml:space="preserve"> HYPERLINK "https://medium.com/@wsiegelman/chart-emerdata-limited-the-new-cambridge-analytica-scl-group-63283f47670d" </w:instrText>
      </w:r>
      <w:r>
        <w:fldChar w:fldCharType="separate"/>
      </w:r>
      <w:r w:rsidRPr="001C1B82">
        <w:rPr>
          <w:rFonts w:eastAsia="Calibri" w:cs="Calibri"/>
          <w:szCs w:val="16"/>
          <w:u w:val="single" w:color="000000"/>
        </w:rPr>
        <w:t>https://medium.com/@wsiegelman/chart-emerdata-limited-the-new-cambridge-analytica-scl-group-63283f47670d</w:t>
      </w:r>
      <w:r>
        <w:fldChar w:fldCharType="end"/>
      </w:r>
      <w:r>
        <w:fldChar w:fldCharType="begin"/>
      </w:r>
      <w:r>
        <w:instrText xml:space="preserve"> HYPERLINK "https://medium.com/@wsiegelman/chart-emerdata-limited-the-new-cambridge-analytica-scl-group-63283f47670d"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59">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Silvester, J. 2018. </w:t>
      </w:r>
      <w:r w:rsidRPr="001C1B82">
        <w:rPr>
          <w:rFonts w:eastAsia="Calibri" w:cs="Calibri"/>
          <w:i/>
          <w:szCs w:val="16"/>
        </w:rPr>
        <w:t>Oral evidence: fake news</w:t>
      </w:r>
      <w:r w:rsidRPr="001C1B82">
        <w:rPr>
          <w:rFonts w:eastAsia="Calibri" w:cs="Calibri"/>
          <w:szCs w:val="16"/>
        </w:rPr>
        <w:t xml:space="preserve">, HC 363, 16 May. </w:t>
      </w:r>
    </w:p>
    <w:p w:rsidR="00673732" w:rsidRPr="001C1B82">
      <w:pPr>
        <w:pStyle w:val="footnotedescription"/>
        <w:spacing w:line="241" w:lineRule="auto"/>
        <w:ind w:left="1"/>
        <w:rPr>
          <w:szCs w:val="16"/>
        </w:rPr>
      </w:pPr>
      <w:r>
        <w:fldChar w:fldCharType="begin"/>
      </w:r>
      <w:r>
        <w:instrText xml:space="preserve"> HYPERLINK "http://data.parliament.uk/writtenevidence/committeeevidence.svc/evidencedocument/digital-culture-media-and-sport-committee/disinformation-and-fake-news/oral/83034.pdf" </w:instrText>
      </w:r>
      <w:r>
        <w:fldChar w:fldCharType="separate"/>
      </w:r>
      <w:r w:rsidRPr="001C1B82">
        <w:rPr>
          <w:rFonts w:eastAsia="Calibri" w:cs="Calibri"/>
          <w:szCs w:val="16"/>
          <w:u w:val="single" w:color="000000"/>
        </w:rPr>
        <w:t>http://data.parliament.uk/writtenevidence/committeeevidence.svc/evidencedocument/digital-culture-media-and-sport</w:t>
      </w:r>
      <w:r>
        <w:fldChar w:fldCharType="end"/>
      </w:r>
      <w:r>
        <w:fldChar w:fldCharType="begin"/>
      </w:r>
      <w:r>
        <w:instrText xml:space="preserve"> HYPERLINK "http://data.parliament.uk/writtenevidence/committeeevidence.svc/evidencedocument/digital-culture-media-and-sport-committee/disinformation-and-fake-news/oral/83034.pdf" </w:instrText>
      </w:r>
      <w:r>
        <w:fldChar w:fldCharType="separate"/>
      </w:r>
      <w:r w:rsidRPr="001C1B82">
        <w:rPr>
          <w:rFonts w:eastAsia="Calibri" w:cs="Calibri"/>
          <w:szCs w:val="16"/>
          <w:u w:val="single" w:color="000000"/>
        </w:rPr>
        <w:t>committee/disinformation-and-fake-news/oral/83034.pdf</w:t>
      </w:r>
      <w:r>
        <w:fldChar w:fldCharType="end"/>
      </w:r>
      <w:r>
        <w:fldChar w:fldCharType="begin"/>
      </w:r>
      <w:r>
        <w:instrText xml:space="preserve"> HYPERLINK "http://data.parliament.uk/writtenevidence/committeeevidence.svc/evidencedocument/digital-culture-media-and-sport-committee/disinformation-and-fake-news/oral/83034.pdf"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.44. </w:t>
      </w:r>
    </w:p>
  </w:footnote>
  <w:footnote w:id="60">
    <w:p w:rsidR="00673732" w:rsidRPr="001C1B82">
      <w:pPr>
        <w:pStyle w:val="footnotedescription"/>
        <w:spacing w:line="249" w:lineRule="auto"/>
        <w:ind w:left="1"/>
        <w:rPr>
          <w:szCs w:val="16"/>
        </w:rPr>
      </w:pPr>
      <w:r w:rsidRPr="001C1B82">
        <w:rPr>
          <w:rStyle w:val="footnotemark"/>
          <w:szCs w:val="16"/>
        </w:rPr>
        <w:footnoteRef/>
      </w:r>
      <w:r w:rsidRPr="001C1B82">
        <w:rPr>
          <w:rFonts w:eastAsia="Calibri" w:cs="Calibri"/>
          <w:szCs w:val="16"/>
        </w:rPr>
        <w:t xml:space="preserve"> The Electoral Commission. 2018. </w:t>
      </w:r>
      <w:r w:rsidRPr="001C1B82">
        <w:rPr>
          <w:rFonts w:eastAsia="Calibri" w:cs="Calibri"/>
          <w:i/>
          <w:szCs w:val="16"/>
        </w:rPr>
        <w:t>Digital campaigning: increasing transparency for voters</w:t>
      </w:r>
      <w:r w:rsidRPr="001C1B82">
        <w:rPr>
          <w:rFonts w:eastAsia="Calibri" w:cs="Calibri"/>
          <w:szCs w:val="16"/>
        </w:rPr>
        <w:t xml:space="preserve">, June. </w:t>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https://www.electoralcommission.org.uk/sites/default/files/pdf_file/Digital-campaigning-improving-transparency-for</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voters.pdf</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.4. </w:t>
      </w:r>
    </w:p>
  </w:footnote>
  <w:footnote w:id="61">
    <w:p w:rsidR="00673732" w:rsidRPr="001C1B82">
      <w:pPr>
        <w:pStyle w:val="footnotedescription"/>
        <w:spacing w:line="247" w:lineRule="auto"/>
        <w:ind w:left="1"/>
        <w:rPr>
          <w:szCs w:val="16"/>
        </w:rPr>
      </w:pPr>
      <w:r w:rsidRPr="001C1B82">
        <w:rPr>
          <w:rStyle w:val="footnotemark"/>
          <w:szCs w:val="16"/>
        </w:rPr>
        <w:footnoteRef/>
      </w:r>
      <w:r w:rsidRPr="001C1B82">
        <w:rPr>
          <w:rFonts w:eastAsia="Calibri" w:cs="Calibri"/>
          <w:szCs w:val="16"/>
        </w:rPr>
        <w:t xml:space="preserve"> ICO. 2018. </w:t>
      </w:r>
      <w:r w:rsidRPr="001C1B82">
        <w:rPr>
          <w:rFonts w:eastAsia="Calibri" w:cs="Calibri"/>
          <w:i/>
          <w:szCs w:val="16"/>
        </w:rPr>
        <w:t>Investigation into the use of data analytics in political campaigns.  A report to Parliament</w:t>
      </w:r>
      <w:r w:rsidRPr="001C1B82">
        <w:rPr>
          <w:rFonts w:eastAsia="Calibri" w:cs="Calibri"/>
          <w:szCs w:val="16"/>
        </w:rPr>
        <w:t>, 6 November. Information Commissioners Office</w:t>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rPr>
        <w:t xml:space="preserve">. </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https://ico.org.uk/media/action-weve-taken/2260271/investigation-into-the-use-of</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data-analytics-in-political-campaigns-final-20181105.pdf p</w:t>
      </w:r>
      <w:r>
        <w:fldChar w:fldCharType="end"/>
      </w:r>
      <w:r w:rsidRPr="001C1B82">
        <w:rPr>
          <w:rFonts w:eastAsia="Calibri" w:cs="Calibri"/>
          <w:szCs w:val="16"/>
          <w:u w:val="single" w:color="000000"/>
        </w:rPr>
        <w:t>.150.</w:t>
      </w:r>
      <w:r w:rsidRPr="001C1B82">
        <w:rPr>
          <w:rFonts w:eastAsia="Calibri" w:cs="Calibri"/>
          <w:szCs w:val="16"/>
        </w:rPr>
        <w:t xml:space="preserve"> </w:t>
      </w:r>
    </w:p>
  </w:footnote>
  <w:footnote w:id="62">
    <w:p w:rsidR="00673732" w:rsidRPr="001C1B82">
      <w:pPr>
        <w:pStyle w:val="footnotedescription"/>
        <w:spacing w:line="247" w:lineRule="auto"/>
        <w:ind w:left="1"/>
        <w:rPr>
          <w:szCs w:val="16"/>
        </w:rPr>
      </w:pPr>
      <w:r w:rsidRPr="001C1B82">
        <w:rPr>
          <w:rStyle w:val="footnotemark"/>
          <w:szCs w:val="16"/>
        </w:rPr>
        <w:footnoteRef/>
      </w:r>
      <w:r w:rsidRPr="001C1B82">
        <w:rPr>
          <w:rFonts w:eastAsia="Calibri" w:cs="Calibri"/>
          <w:szCs w:val="16"/>
        </w:rPr>
        <w:t xml:space="preserve"> ICO. 2018. </w:t>
      </w:r>
      <w:r w:rsidRPr="001C1B82">
        <w:rPr>
          <w:rFonts w:eastAsia="Calibri" w:cs="Calibri"/>
          <w:i/>
          <w:szCs w:val="16"/>
        </w:rPr>
        <w:t>Investigation into the use of data analytics in political campaigns.  A report to Parliament</w:t>
      </w:r>
      <w:r w:rsidRPr="001C1B82">
        <w:rPr>
          <w:rFonts w:eastAsia="Calibri" w:cs="Calibri"/>
          <w:szCs w:val="16"/>
        </w:rPr>
        <w:t>, 6 November. Information Commissioners Office</w:t>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rPr>
        <w:t xml:space="preserve">. </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https://ico.org.uk/media/action-weve-taken/2260271/investigation-into-the-use-of</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data-analytics-in-political-campaigns-final-20181105.pdf p</w:t>
      </w:r>
      <w:r>
        <w:fldChar w:fldCharType="end"/>
      </w:r>
      <w:r w:rsidRPr="001C1B82">
        <w:rPr>
          <w:rFonts w:eastAsia="Calibri" w:cs="Calibri"/>
          <w:szCs w:val="16"/>
          <w:u w:val="single" w:color="000000"/>
        </w:rPr>
        <w:t>p.41-42.</w:t>
      </w:r>
      <w:r w:rsidRPr="001C1B82">
        <w:rPr>
          <w:rFonts w:eastAsia="Calibri" w:cs="Calibri"/>
          <w:szCs w:val="16"/>
        </w:rPr>
        <w:t xml:space="preserve"> </w:t>
      </w:r>
    </w:p>
  </w:footnote>
  <w:footnote w:id="63">
    <w:p w:rsidR="00673732" w:rsidRPr="001C1B82">
      <w:pPr>
        <w:pStyle w:val="footnotedescription"/>
        <w:spacing w:after="20" w:line="238" w:lineRule="auto"/>
        <w:ind w:left="1" w:right="181"/>
        <w:rPr>
          <w:szCs w:val="16"/>
        </w:rPr>
      </w:pPr>
      <w:r w:rsidRPr="001C1B82">
        <w:rPr>
          <w:rStyle w:val="footnotemark"/>
          <w:szCs w:val="16"/>
        </w:rPr>
        <w:footnoteRef/>
      </w:r>
      <w:r w:rsidRPr="001C1B82">
        <w:rPr>
          <w:rFonts w:eastAsia="Calibri" w:cs="Calibri"/>
          <w:szCs w:val="16"/>
        </w:rPr>
        <w:t xml:space="preserve"> DCMS. 2019. </w:t>
      </w:r>
      <w:r w:rsidRPr="001C1B82">
        <w:rPr>
          <w:rFonts w:eastAsia="Calibri" w:cs="Calibri"/>
          <w:i/>
          <w:szCs w:val="16"/>
        </w:rPr>
        <w:t>Disinformation and ‘fake news’: final report</w:t>
      </w:r>
      <w:r w:rsidRPr="001C1B82">
        <w:rPr>
          <w:rFonts w:eastAsia="Calibri" w:cs="Calibri"/>
          <w:szCs w:val="16"/>
        </w:rPr>
        <w:t>, 14 February. Digital, Culture, Media and Sport Committee, House of Commons 1791</w:t>
      </w:r>
      <w:r>
        <w:fldChar w:fldCharType="begin"/>
      </w:r>
      <w:r>
        <w:instrText xml:space="preserve"> HYPERLINK "https://publications.parliament.uk/pa/cm201719/cmselect/cmcumeds/1791/1791.pdf" </w:instrText>
      </w:r>
      <w:r>
        <w:fldChar w:fldCharType="separate"/>
      </w:r>
      <w:r w:rsidRPr="001C1B82">
        <w:rPr>
          <w:rFonts w:eastAsia="Calibri" w:cs="Calibri"/>
          <w:szCs w:val="16"/>
        </w:rPr>
        <w:t xml:space="preserve">. </w:t>
      </w:r>
      <w:r>
        <w:fldChar w:fldCharType="end"/>
      </w:r>
      <w:r>
        <w:fldChar w:fldCharType="begin"/>
      </w:r>
      <w:r>
        <w:instrText xml:space="preserve"> HYPERLINK "https://publications.parliament.uk/pa/cm201719/cmselect/cmcumeds/1791/1791.pdf" </w:instrText>
      </w:r>
      <w:r>
        <w:fldChar w:fldCharType="separate"/>
      </w:r>
      <w:r w:rsidRPr="001C1B82">
        <w:rPr>
          <w:rFonts w:eastAsia="Calibri" w:cs="Calibri"/>
          <w:szCs w:val="16"/>
          <w:u w:val="single" w:color="000000"/>
        </w:rPr>
        <w:t>https://publications.parliament.uk/pa/cm201719/cmselect/cmcumeds/1791/1791.pdf</w:t>
      </w:r>
      <w:r>
        <w:fldChar w:fldCharType="end"/>
      </w:r>
      <w:r>
        <w:fldChar w:fldCharType="begin"/>
      </w:r>
      <w:r>
        <w:instrText xml:space="preserve"> HYPERLINK "https://publications.parliament.uk/pa/cm201719/cmselect/cmcumeds/1791/1791.pdf"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.51. </w:t>
      </w:r>
      <w:r w:rsidRPr="001C1B82">
        <w:rPr>
          <w:rFonts w:eastAsia="Calibri" w:cs="Calibri"/>
          <w:szCs w:val="16"/>
          <w:vertAlign w:val="superscript"/>
        </w:rPr>
        <w:t>53</w:t>
      </w:r>
      <w:r w:rsidRPr="001C1B82">
        <w:rPr>
          <w:rFonts w:eastAsia="Calibri" w:cs="Calibri"/>
          <w:szCs w:val="16"/>
        </w:rPr>
        <w:t xml:space="preserve"> This is an Aggregate IQ repository that the Inquiry asked data breach expert, Chris Vickery to examine. </w:t>
      </w:r>
    </w:p>
  </w:footnote>
  <w:footnote w:id="64">
    <w:p w:rsidR="00673732" w:rsidRPr="001C1B82">
      <w:pPr>
        <w:pStyle w:val="footnotedescription"/>
        <w:spacing w:line="256" w:lineRule="auto"/>
        <w:ind w:left="1"/>
        <w:rPr>
          <w:szCs w:val="16"/>
        </w:rPr>
      </w:pPr>
      <w:r w:rsidRPr="001C1B82">
        <w:rPr>
          <w:rStyle w:val="footnotemark"/>
          <w:szCs w:val="16"/>
        </w:rPr>
        <w:footnoteRef/>
      </w:r>
      <w:r w:rsidRPr="001C1B82">
        <w:rPr>
          <w:rFonts w:eastAsia="Calibri" w:cs="Calibri"/>
          <w:szCs w:val="16"/>
        </w:rPr>
        <w:t xml:space="preserve"> DCMS. 2019. </w:t>
      </w:r>
      <w:r w:rsidRPr="001C1B82">
        <w:rPr>
          <w:rFonts w:eastAsia="Calibri" w:cs="Calibri"/>
          <w:i/>
          <w:szCs w:val="16"/>
        </w:rPr>
        <w:t>Disinformation and ‘fake news’: final report</w:t>
      </w:r>
      <w:r w:rsidRPr="001C1B82">
        <w:rPr>
          <w:rFonts w:eastAsia="Calibri" w:cs="Calibri"/>
          <w:szCs w:val="16"/>
        </w:rPr>
        <w:t>, 14 February. Digital, Culture, Media and Sport Committee, House of Commons 1791</w:t>
      </w:r>
      <w:r>
        <w:fldChar w:fldCharType="begin"/>
      </w:r>
      <w:r>
        <w:instrText xml:space="preserve"> HYPERLINK "https://publications.parliament.uk/pa/cm201719/cmselect/cmcumeds/1791/1791.pdf" </w:instrText>
      </w:r>
      <w:r>
        <w:fldChar w:fldCharType="separate"/>
      </w:r>
      <w:r w:rsidRPr="001C1B82">
        <w:rPr>
          <w:rFonts w:eastAsia="Calibri" w:cs="Calibri"/>
          <w:szCs w:val="16"/>
        </w:rPr>
        <w:t xml:space="preserve">. </w:t>
      </w:r>
      <w:r>
        <w:fldChar w:fldCharType="end"/>
      </w:r>
      <w:r>
        <w:fldChar w:fldCharType="begin"/>
      </w:r>
      <w:r>
        <w:instrText xml:space="preserve"> HYPERLINK "https://publications.parliament.uk/pa/cm201719/cmselect/cmcumeds/1791/1791.pdf" </w:instrText>
      </w:r>
      <w:r>
        <w:fldChar w:fldCharType="separate"/>
      </w:r>
      <w:r w:rsidRPr="001C1B82">
        <w:rPr>
          <w:rFonts w:eastAsia="Calibri" w:cs="Calibri"/>
          <w:szCs w:val="16"/>
          <w:u w:val="single" w:color="000000"/>
        </w:rPr>
        <w:t>https://publications.parliament.uk/pa/cm201719/cmselect/cmcumeds/1791/1791.pdf</w:t>
      </w:r>
      <w:r>
        <w:fldChar w:fldCharType="end"/>
      </w:r>
      <w:r>
        <w:fldChar w:fldCharType="begin"/>
      </w:r>
      <w:r>
        <w:instrText xml:space="preserve"> HYPERLINK "https://publications.parliament.uk/pa/cm201719/cmselect/cmcumeds/1791/1791.pdf"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.50. </w:t>
      </w:r>
    </w:p>
  </w:footnote>
  <w:footnote w:id="65">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Kaiser, B. 2019. </w:t>
      </w:r>
      <w:r w:rsidRPr="001C1B82">
        <w:rPr>
          <w:rFonts w:eastAsia="Calibri" w:cs="Calibri"/>
          <w:i/>
          <w:szCs w:val="16"/>
        </w:rPr>
        <w:t>Additional submissions to Parliament in support of inquiries regarding Brexit</w:t>
      </w:r>
      <w:r w:rsidRPr="001C1B82">
        <w:rPr>
          <w:rFonts w:eastAsia="Calibri" w:cs="Calibri"/>
          <w:szCs w:val="16"/>
        </w:rPr>
        <w:t xml:space="preserve">, July. </w:t>
      </w:r>
    </w:p>
    <w:p w:rsidR="00673732" w:rsidRPr="001C1B82">
      <w:pPr>
        <w:pStyle w:val="footnotedescription"/>
        <w:spacing w:line="241" w:lineRule="auto"/>
        <w:ind w:left="1"/>
        <w:rPr>
          <w:szCs w:val="16"/>
        </w:rPr>
      </w:pPr>
      <w:r w:rsidRPr="001C1B82">
        <w:rPr>
          <w:rFonts w:eastAsia="Calibri" w:cs="Calibri"/>
          <w:szCs w:val="16"/>
        </w:rPr>
        <w:t xml:space="preserve">https://www.parliament.uk/documents/commons-committees/culture-media-and-sport/Britanny-Kaiser-July-2019submission.pdf pp. 51-52. </w:t>
      </w:r>
    </w:p>
  </w:footnote>
  <w:footnote w:id="66">
    <w:p w:rsidR="00673732" w:rsidRPr="001C1B82">
      <w:pPr>
        <w:pStyle w:val="footnotedescription"/>
        <w:spacing w:line="243" w:lineRule="auto"/>
        <w:ind w:left="1" w:right="170"/>
        <w:rPr>
          <w:szCs w:val="16"/>
        </w:rPr>
      </w:pPr>
      <w:r w:rsidRPr="001C1B82">
        <w:rPr>
          <w:rStyle w:val="footnotemark"/>
          <w:szCs w:val="16"/>
        </w:rPr>
        <w:footnoteRef/>
      </w:r>
      <w:r w:rsidRPr="001C1B82">
        <w:rPr>
          <w:rFonts w:eastAsia="Calibri" w:cs="Calibri"/>
          <w:szCs w:val="16"/>
        </w:rPr>
        <w:t xml:space="preserve"> Hern, A. 2019. Cambridge Analytica did work for Leave.</w:t>
      </w:r>
      <w:r w:rsidRPr="001C1B82">
        <w:rPr>
          <w:rFonts w:ascii="Arial" w:eastAsia="Arial" w:hAnsi="Arial" w:cs="Arial"/>
          <w:szCs w:val="16"/>
        </w:rPr>
        <w:t> </w:t>
      </w:r>
      <w:r w:rsidRPr="001C1B82">
        <w:rPr>
          <w:rFonts w:eastAsia="Calibri" w:cs="Calibri"/>
          <w:szCs w:val="16"/>
        </w:rPr>
        <w:t xml:space="preserve">EU, emails confirm, </w:t>
      </w:r>
      <w:r w:rsidRPr="001C1B82">
        <w:rPr>
          <w:rFonts w:eastAsia="Calibri" w:cs="Calibri"/>
          <w:i/>
          <w:szCs w:val="16"/>
        </w:rPr>
        <w:t>The</w:t>
      </w:r>
      <w:r w:rsidRPr="001C1B82">
        <w:rPr>
          <w:rFonts w:eastAsia="Calibri" w:cs="Calibri"/>
          <w:szCs w:val="16"/>
        </w:rPr>
        <w:t xml:space="preserve"> </w:t>
      </w:r>
      <w:r w:rsidRPr="001C1B82">
        <w:rPr>
          <w:rFonts w:eastAsia="Calibri" w:cs="Calibri"/>
          <w:i/>
          <w:szCs w:val="16"/>
        </w:rPr>
        <w:t>Guardian</w:t>
      </w:r>
      <w:r w:rsidRPr="001C1B82">
        <w:rPr>
          <w:rFonts w:eastAsia="Calibri" w:cs="Calibri"/>
          <w:szCs w:val="16"/>
        </w:rPr>
        <w:t xml:space="preserve">, 30 July. </w:t>
      </w:r>
      <w:r>
        <w:fldChar w:fldCharType="begin"/>
      </w:r>
      <w:r>
        <w:instrText xml:space="preserve"> HYPERLINK "https://www.theguardian.com/uk-news/2019/jul/30/cambridge-analytica-did-work-for-leave-eu-emails-confirm" </w:instrText>
      </w:r>
      <w:r>
        <w:fldChar w:fldCharType="separate"/>
      </w:r>
      <w:r w:rsidRPr="001C1B82">
        <w:rPr>
          <w:rFonts w:eastAsia="Calibri" w:cs="Calibri"/>
          <w:szCs w:val="16"/>
          <w:u w:val="single" w:color="000000"/>
        </w:rPr>
        <w:t>https://www.theguardian.com/uk-news/2019/jul/30/cambridge-analytica-did-work-for-leave-eu-emails-confirm</w:t>
      </w:r>
      <w:r>
        <w:fldChar w:fldCharType="end"/>
      </w:r>
      <w:r>
        <w:fldChar w:fldCharType="begin"/>
      </w:r>
      <w:r>
        <w:instrText xml:space="preserve"> HYPERLINK "https://www.theguardian.com/uk-news/2019/jul/30/cambridge-analytica-did-work-for-leave-eu-emails-confirm" </w:instrText>
      </w:r>
      <w:r>
        <w:fldChar w:fldCharType="separate"/>
      </w:r>
      <w:r w:rsidRPr="001C1B82">
        <w:rPr>
          <w:rFonts w:eastAsia="Calibri" w:cs="Calibri"/>
          <w:szCs w:val="16"/>
        </w:rPr>
        <w:t xml:space="preserve"> </w:t>
      </w:r>
      <w:r>
        <w:fldChar w:fldCharType="end"/>
      </w:r>
      <w:r w:rsidRPr="001C1B82">
        <w:rPr>
          <w:rFonts w:eastAsia="Calibri" w:cs="Calibri"/>
          <w:szCs w:val="16"/>
          <w:vertAlign w:val="superscript"/>
        </w:rPr>
        <w:t>63</w:t>
      </w:r>
      <w:r w:rsidRPr="001C1B82">
        <w:rPr>
          <w:rFonts w:eastAsia="Calibri" w:cs="Calibri"/>
          <w:szCs w:val="16"/>
        </w:rPr>
        <w:t xml:space="preserve"> Kaiser maintains that chargeable work was done by Cambridge Analytica, at the direction of Leave.EU and UKIP executives, despite a contract never being signed; that the invoice was paid by Arron Banks to UKIP directly; and that the intent was to give the analysed UKIP dataset to Leave.EU. See: Kaiser, B. 2019. </w:t>
      </w:r>
      <w:r w:rsidRPr="001C1B82">
        <w:rPr>
          <w:rFonts w:eastAsia="Calibri" w:cs="Calibri"/>
          <w:i/>
          <w:szCs w:val="16"/>
        </w:rPr>
        <w:t>Additional submissions to Parliament in support of inquiries regarding Brexit</w:t>
      </w:r>
      <w:r w:rsidRPr="001C1B82">
        <w:rPr>
          <w:rFonts w:eastAsia="Calibri" w:cs="Calibri"/>
          <w:szCs w:val="16"/>
        </w:rPr>
        <w:t xml:space="preserve">, July. https://www.parliament.uk/documents/commons-committees/culture-mediaand-sport/Britanny-Kaiser-July-2019-submission.pdf </w:t>
      </w:r>
    </w:p>
  </w:footnote>
  <w:footnote w:id="67">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Kaiser, B. 2019. </w:t>
      </w:r>
      <w:r w:rsidRPr="001C1B82">
        <w:rPr>
          <w:rFonts w:eastAsia="Calibri" w:cs="Calibri"/>
          <w:i/>
          <w:szCs w:val="16"/>
        </w:rPr>
        <w:t>Additional submissions to Parliament in support of inquiries regarding Brexit</w:t>
      </w:r>
      <w:r w:rsidRPr="001C1B82">
        <w:rPr>
          <w:rFonts w:eastAsia="Calibri" w:cs="Calibri"/>
          <w:szCs w:val="16"/>
        </w:rPr>
        <w:t xml:space="preserve">, July. </w:t>
      </w:r>
    </w:p>
    <w:p w:rsidR="00673732" w:rsidRPr="001C1B82">
      <w:pPr>
        <w:pStyle w:val="footnotedescription"/>
        <w:spacing w:line="238" w:lineRule="auto"/>
        <w:ind w:left="1"/>
        <w:rPr>
          <w:szCs w:val="16"/>
        </w:rPr>
      </w:pPr>
      <w:r w:rsidRPr="001C1B82">
        <w:rPr>
          <w:rFonts w:eastAsia="Calibri" w:cs="Calibri"/>
          <w:szCs w:val="16"/>
        </w:rPr>
        <w:t xml:space="preserve">https://www.parliament.uk/documents/commons-committees/culture-media-and-sport/Britanny-Kaiser-July-2019submission.pdf p. 1. </w:t>
      </w:r>
    </w:p>
  </w:footnote>
  <w:footnote w:id="68">
    <w:p w:rsidR="00673732" w:rsidRPr="001C1B82">
      <w:pPr>
        <w:pStyle w:val="footnotedescription"/>
        <w:spacing w:line="267" w:lineRule="auto"/>
        <w:ind w:left="1"/>
        <w:rPr>
          <w:szCs w:val="16"/>
        </w:rPr>
      </w:pPr>
      <w:r w:rsidRPr="001C1B82">
        <w:rPr>
          <w:rStyle w:val="footnotemark"/>
          <w:szCs w:val="16"/>
        </w:rPr>
        <w:footnoteRef/>
      </w:r>
      <w:r w:rsidRPr="001C1B82">
        <w:rPr>
          <w:rFonts w:eastAsia="Calibri" w:cs="Calibri"/>
          <w:szCs w:val="16"/>
        </w:rPr>
        <w:t xml:space="preserve"> Briant, E.  2018.  Three explanatory essays giving context and analysis to submitted evidence. Written submission to </w:t>
      </w:r>
      <w:r w:rsidRPr="001C1B82">
        <w:rPr>
          <w:rFonts w:eastAsia="Calibri" w:cs="Calibri"/>
          <w:i/>
          <w:szCs w:val="16"/>
        </w:rPr>
        <w:t xml:space="preserve">Inquiry into Fake News and Disinformation, </w:t>
      </w:r>
      <w:r w:rsidRPr="001C1B82">
        <w:rPr>
          <w:rFonts w:eastAsia="Calibri" w:cs="Calibri"/>
          <w:szCs w:val="16"/>
        </w:rPr>
        <w:t xml:space="preserve">Digital, Culture, Media and Sport Committee.  </w:t>
      </w:r>
    </w:p>
    <w:p w:rsidR="00673732" w:rsidRPr="001C1B82">
      <w:pPr>
        <w:pStyle w:val="footnotedescription"/>
        <w:spacing w:line="241" w:lineRule="auto"/>
        <w:ind w:left="1"/>
        <w:rPr>
          <w:szCs w:val="16"/>
        </w:rPr>
      </w:pPr>
      <w:r>
        <w:fldChar w:fldCharType="begin"/>
      </w:r>
      <w:r>
        <w:instrText xml:space="preserve"> HYPERLINK "http://data.parliament.uk/WrittenEvidence/CommitteeEvidence.svc/EvidenceDocument/Digital,%20Culture,%20Media%20and%20Sport/Disinformation%20and%20%E2%80%98fake%20news%E2%80%99/Written/81306.html" </w:instrText>
      </w:r>
      <w:r>
        <w:fldChar w:fldCharType="separate"/>
      </w:r>
      <w:r w:rsidRPr="001C1B82">
        <w:rPr>
          <w:rFonts w:eastAsia="Calibri" w:cs="Calibri"/>
          <w:szCs w:val="16"/>
          <w:u w:val="single" w:color="000000"/>
        </w:rPr>
        <w:t xml:space="preserve">http://data.parliament.uk/WrittenEvidence/CommitteeEvidence.svc/EvidenceDocument/Digital,%20Culture,%20Media%2 </w:t>
      </w:r>
      <w:r>
        <w:fldChar w:fldCharType="end"/>
      </w:r>
      <w:r>
        <w:fldChar w:fldCharType="begin"/>
      </w:r>
      <w:r>
        <w:instrText xml:space="preserve"> HYPERLINK "http://data.parliament.uk/WrittenEvidence/CommitteeEvidence.svc/EvidenceDocument/Digital,%20Culture,%20Media%20and%20Sport/Disinformation%20and%20%E2%80%98fake%20news%E2%80%99/Written/81306.html" </w:instrText>
      </w:r>
      <w:r>
        <w:fldChar w:fldCharType="separate"/>
      </w:r>
      <w:r w:rsidRPr="001C1B82">
        <w:rPr>
          <w:rFonts w:eastAsia="Calibri" w:cs="Calibri"/>
          <w:szCs w:val="16"/>
          <w:u w:val="single" w:color="000000"/>
        </w:rPr>
        <w:t>0and%20Sport/Disinformation%20and%20%E2%80%98fake%20news%E2%80%99/Written/81306.html</w:t>
      </w:r>
      <w:r>
        <w:fldChar w:fldCharType="end"/>
      </w:r>
      <w:r>
        <w:fldChar w:fldCharType="begin"/>
      </w:r>
      <w:r>
        <w:instrText xml:space="preserve"> HYPERLINK "http://data.parliament.uk/WrittenEvidence/CommitteeEvidence.svc/EvidenceDocument/Digital,%20Culture,%20Media%20and%20Sport/Disinformation%20and%20%E2%80%98fake%20news%E2%80%99/Written/81306.html"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69">
    <w:p w:rsidR="00673732" w:rsidRPr="001C1B82">
      <w:pPr>
        <w:pStyle w:val="footnotedescription"/>
        <w:spacing w:line="256" w:lineRule="auto"/>
        <w:ind w:left="1"/>
        <w:rPr>
          <w:szCs w:val="16"/>
        </w:rPr>
      </w:pPr>
      <w:r w:rsidRPr="001C1B82">
        <w:rPr>
          <w:rStyle w:val="footnotemark"/>
          <w:szCs w:val="16"/>
        </w:rPr>
        <w:footnoteRef/>
      </w:r>
      <w:r w:rsidRPr="001C1B82">
        <w:rPr>
          <w:rFonts w:eastAsia="Calibri" w:cs="Calibri"/>
          <w:szCs w:val="16"/>
        </w:rPr>
        <w:t xml:space="preserve"> DCMS. 2019. </w:t>
      </w:r>
      <w:r w:rsidRPr="001C1B82">
        <w:rPr>
          <w:rFonts w:eastAsia="Calibri" w:cs="Calibri"/>
          <w:i/>
          <w:szCs w:val="16"/>
        </w:rPr>
        <w:t>Disinformation and ‘fake news’: final report</w:t>
      </w:r>
      <w:r w:rsidRPr="001C1B82">
        <w:rPr>
          <w:rFonts w:eastAsia="Calibri" w:cs="Calibri"/>
          <w:szCs w:val="16"/>
        </w:rPr>
        <w:t>, 14 February. Digital, Culture, Media and Sport Committee, House of Commons 1791</w:t>
      </w:r>
      <w:r>
        <w:fldChar w:fldCharType="begin"/>
      </w:r>
      <w:r>
        <w:instrText xml:space="preserve"> HYPERLINK "https://publications.parliament.uk/pa/cm201719/cmselect/cmcumeds/1791/1791.pdf" </w:instrText>
      </w:r>
      <w:r>
        <w:fldChar w:fldCharType="separate"/>
      </w:r>
      <w:r w:rsidRPr="001C1B82">
        <w:rPr>
          <w:rFonts w:eastAsia="Calibri" w:cs="Calibri"/>
          <w:szCs w:val="16"/>
        </w:rPr>
        <w:t xml:space="preserve">. </w:t>
      </w:r>
      <w:r>
        <w:fldChar w:fldCharType="end"/>
      </w:r>
      <w:r>
        <w:fldChar w:fldCharType="begin"/>
      </w:r>
      <w:r>
        <w:instrText xml:space="preserve"> HYPERLINK "https://publications.parliament.uk/pa/cm201719/cmselect/cmcumeds/1791/1791.pdf" </w:instrText>
      </w:r>
      <w:r>
        <w:fldChar w:fldCharType="separate"/>
      </w:r>
      <w:r w:rsidRPr="001C1B82">
        <w:rPr>
          <w:rFonts w:eastAsia="Calibri" w:cs="Calibri"/>
          <w:szCs w:val="16"/>
          <w:u w:val="single" w:color="000000"/>
        </w:rPr>
        <w:t>https://publications.parliament.uk/pa/cm201719/cmselect/cmcumeds/1791/1791.pdf</w:t>
      </w:r>
      <w:r>
        <w:fldChar w:fldCharType="end"/>
      </w:r>
      <w:r>
        <w:fldChar w:fldCharType="begin"/>
      </w:r>
      <w:r>
        <w:instrText xml:space="preserve"> HYPERLINK "https://publications.parliament.uk/pa/cm201719/cmselect/cmcumeds/1791/1791.pdf"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.50. </w:t>
      </w:r>
    </w:p>
  </w:footnote>
  <w:footnote w:id="70">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Kaiser, B. 2018. </w:t>
      </w:r>
      <w:r w:rsidRPr="001C1B82">
        <w:rPr>
          <w:rFonts w:eastAsia="Calibri" w:cs="Calibri"/>
          <w:i/>
          <w:szCs w:val="16"/>
        </w:rPr>
        <w:t>Oral evidence: fake news</w:t>
      </w:r>
      <w:r w:rsidRPr="001C1B82">
        <w:rPr>
          <w:rFonts w:eastAsia="Calibri" w:cs="Calibri"/>
          <w:szCs w:val="16"/>
        </w:rPr>
        <w:t xml:space="preserve">, HC 363, 17 April. </w:t>
      </w:r>
    </w:p>
    <w:p w:rsidR="00673732" w:rsidRPr="001C1B82">
      <w:pPr>
        <w:pStyle w:val="footnotedescription"/>
        <w:spacing w:line="239" w:lineRule="auto"/>
        <w:ind w:left="1"/>
        <w:rPr>
          <w:szCs w:val="16"/>
        </w:rPr>
      </w:pPr>
      <w:r>
        <w:fldChar w:fldCharType="begin"/>
      </w:r>
      <w:r>
        <w:instrText xml:space="preserve"> HYPERLINK "http://data.parliament.uk/writtenevidence/committeeevidence.svc/evidencedocument/digital-culture-media-and-sport-committee/disinformation-and-fake-news/oral/81592.html" </w:instrText>
      </w:r>
      <w:r>
        <w:fldChar w:fldCharType="separate"/>
      </w:r>
      <w:r w:rsidRPr="001C1B82">
        <w:rPr>
          <w:rFonts w:eastAsia="Calibri" w:cs="Calibri"/>
          <w:szCs w:val="16"/>
          <w:u w:val="single" w:color="000000"/>
        </w:rPr>
        <w:t>http://data.parliament.uk/writtenevidence/committeeevidence.svc/evidencedocument/digital-culture-media-and-sport</w:t>
      </w:r>
      <w:r>
        <w:fldChar w:fldCharType="end"/>
      </w:r>
      <w:r>
        <w:fldChar w:fldCharType="begin"/>
      </w:r>
      <w:r>
        <w:instrText xml:space="preserve"> HYPERLINK "http://data.parliament.uk/writtenevidence/committeeevidence.svc/evidencedocument/digital-culture-media-and-sport-committee/disinformation-and-fake-news/oral/81592.html" </w:instrText>
      </w:r>
      <w:r>
        <w:fldChar w:fldCharType="separate"/>
      </w:r>
      <w:r w:rsidRPr="001C1B82">
        <w:rPr>
          <w:rFonts w:eastAsia="Calibri" w:cs="Calibri"/>
          <w:szCs w:val="16"/>
          <w:u w:val="single" w:color="000000"/>
        </w:rPr>
        <w:t>committee/disinformation-and-fake-news/oral/81592.html</w:t>
      </w:r>
      <w:r>
        <w:fldChar w:fldCharType="end"/>
      </w:r>
      <w:r>
        <w:fldChar w:fldCharType="begin"/>
      </w:r>
      <w:r>
        <w:instrText xml:space="preserve"> HYPERLINK "http://data.parliament.uk/writtenevidence/committeeevidence.svc/evidencedocument/digital-culture-media-and-sport-committee/disinformation-and-fake-news/oral/81592.html"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pp. 20-21. </w:t>
      </w:r>
    </w:p>
  </w:footnote>
  <w:footnote w:id="71">
    <w:p w:rsidR="00673732" w:rsidRPr="001C1B82">
      <w:pPr>
        <w:pStyle w:val="footnotedescription"/>
        <w:spacing w:line="256" w:lineRule="auto"/>
        <w:ind w:left="1"/>
        <w:rPr>
          <w:szCs w:val="16"/>
        </w:rPr>
      </w:pPr>
      <w:r w:rsidRPr="001C1B82">
        <w:rPr>
          <w:rStyle w:val="footnotemark"/>
          <w:szCs w:val="16"/>
        </w:rPr>
        <w:footnoteRef/>
      </w:r>
      <w:r w:rsidRPr="001C1B82">
        <w:rPr>
          <w:rFonts w:eastAsia="Calibri" w:cs="Calibri"/>
          <w:szCs w:val="16"/>
        </w:rPr>
        <w:t xml:space="preserve"> Tatham, S. 2015. Target Audience Analysis, </w:t>
      </w:r>
      <w:r w:rsidRPr="001C1B82">
        <w:rPr>
          <w:rFonts w:eastAsia="Calibri" w:cs="Calibri"/>
          <w:i/>
          <w:szCs w:val="16"/>
        </w:rPr>
        <w:t>The Three Swords Magazine</w:t>
      </w:r>
      <w:r w:rsidRPr="001C1B82">
        <w:rPr>
          <w:rFonts w:eastAsia="Calibri" w:cs="Calibri"/>
          <w:szCs w:val="16"/>
        </w:rPr>
        <w:t xml:space="preserve">, 28: 50-53. http://www.jwc.nato.int/images/stories/threeswords/TAA.pdf </w:t>
      </w:r>
    </w:p>
  </w:footnote>
  <w:footnote w:id="72">
    <w:p w:rsidR="00673732" w:rsidRPr="001C1B82">
      <w:pPr>
        <w:pStyle w:val="footnotedescription"/>
        <w:spacing w:line="257" w:lineRule="auto"/>
        <w:ind w:left="1"/>
        <w:rPr>
          <w:szCs w:val="16"/>
        </w:rPr>
      </w:pPr>
      <w:r w:rsidRPr="001C1B82">
        <w:rPr>
          <w:rStyle w:val="footnotemark"/>
          <w:szCs w:val="16"/>
        </w:rPr>
        <w:footnoteRef/>
      </w:r>
      <w:r w:rsidRPr="001C1B82">
        <w:rPr>
          <w:rFonts w:eastAsia="Calibri" w:cs="Calibri"/>
          <w:szCs w:val="16"/>
        </w:rPr>
        <w:t xml:space="preserve"> Cambridge Analytica/SCL Group. n.d. </w:t>
      </w:r>
      <w:r w:rsidRPr="001C1B82">
        <w:rPr>
          <w:rFonts w:eastAsia="Calibri" w:cs="Calibri"/>
          <w:i/>
          <w:szCs w:val="16"/>
        </w:rPr>
        <w:t>Leave.EU: profile raising and outreach</w:t>
      </w:r>
      <w:r w:rsidRPr="001C1B82">
        <w:rPr>
          <w:rFonts w:eastAsia="Calibri" w:cs="Calibri"/>
          <w:szCs w:val="16"/>
        </w:rPr>
        <w:t xml:space="preserve">. </w:t>
      </w:r>
      <w:r>
        <w:fldChar w:fldCharType="begin"/>
      </w:r>
      <w:r>
        <w:instrText xml:space="preserve"> HYPERLINK "https://www.parliament.uk/documents/commons-committees/culture-media-and-sport/Arron-Banks-appendix.pdf" </w:instrText>
      </w:r>
      <w:r>
        <w:fldChar w:fldCharType="separate"/>
      </w:r>
      <w:r w:rsidRPr="001C1B82">
        <w:rPr>
          <w:rFonts w:eastAsia="Calibri" w:cs="Calibri"/>
          <w:szCs w:val="16"/>
          <w:u w:val="single" w:color="000000"/>
        </w:rPr>
        <w:t>https://www.parliament.uk/documents/commons-committees/culture-media-and-sport/Arron-Banks-appendix.pdf</w:t>
      </w:r>
      <w:r>
        <w:fldChar w:fldCharType="end"/>
      </w:r>
      <w:r>
        <w:fldChar w:fldCharType="begin"/>
      </w:r>
      <w:r>
        <w:instrText xml:space="preserve"> HYPERLINK "https://www.parliament.uk/documents/commons-committees/culture-media-and-sport/Arron-Banks-appendix.pdf"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.7. </w:t>
      </w:r>
    </w:p>
  </w:footnote>
  <w:footnote w:id="73">
    <w:p w:rsidR="00673732" w:rsidRPr="001C1B82">
      <w:pPr>
        <w:pStyle w:val="footnotedescription"/>
        <w:spacing w:after="7"/>
        <w:ind w:left="1"/>
        <w:rPr>
          <w:szCs w:val="16"/>
        </w:rPr>
      </w:pPr>
      <w:r w:rsidRPr="001C1B82">
        <w:rPr>
          <w:rStyle w:val="footnotemark"/>
          <w:szCs w:val="16"/>
        </w:rPr>
        <w:footnoteRef/>
      </w:r>
      <w:r w:rsidRPr="001C1B82">
        <w:rPr>
          <w:rFonts w:eastAsia="Calibri" w:cs="Calibri"/>
          <w:szCs w:val="16"/>
        </w:rPr>
        <w:t xml:space="preserve"> Federal Trade Commission. 2019a. FTC sues Cambridge Analytica, settles with former CEO and app developer, 24 July. </w:t>
      </w:r>
    </w:p>
    <w:p w:rsidR="00673732" w:rsidRPr="001C1B82">
      <w:pPr>
        <w:pStyle w:val="footnotedescription"/>
        <w:spacing w:line="243" w:lineRule="auto"/>
        <w:ind w:left="1"/>
        <w:rPr>
          <w:szCs w:val="16"/>
        </w:rPr>
      </w:pPr>
      <w:r>
        <w:fldChar w:fldCharType="begin"/>
      </w:r>
      <w:r>
        <w:instrText xml:space="preserve"> HYPERLINK "https://www.ftc.gov/news-events/press-releases/2019/07/ftc-sues-cambridge-analytica-settles-former-ceo-app-develope" </w:instrText>
      </w:r>
      <w:r>
        <w:fldChar w:fldCharType="separate"/>
      </w:r>
      <w:r w:rsidRPr="001C1B82">
        <w:rPr>
          <w:rFonts w:eastAsia="Calibri" w:cs="Calibri"/>
          <w:szCs w:val="16"/>
          <w:u w:val="single" w:color="000000"/>
        </w:rPr>
        <w:t>https://www.ftc.gov/news-events/press-releases/2019/07/ftc-sues-cambridge-analytica-settles-former-ceo-app-develope</w:t>
      </w:r>
      <w:r>
        <w:fldChar w:fldCharType="end"/>
      </w:r>
      <w:r>
        <w:fldChar w:fldCharType="begin"/>
      </w:r>
      <w:r>
        <w:instrText xml:space="preserve"> HYPERLINK "https://www.ftc.gov/news-events/press-releases/2019/07/ftc-sues-cambridge-analytica-settles-former-ceo-app-develope" </w:instrText>
      </w:r>
      <w:r>
        <w:fldChar w:fldCharType="separate"/>
      </w:r>
      <w:r w:rsidRPr="001C1B82">
        <w:rPr>
          <w:rFonts w:eastAsia="Calibri" w:cs="Calibri"/>
          <w:szCs w:val="16"/>
        </w:rPr>
        <w:t>r</w:t>
      </w:r>
      <w:r>
        <w:fldChar w:fldCharType="end"/>
      </w:r>
      <w:r w:rsidRPr="001C1B82">
        <w:rPr>
          <w:rFonts w:eastAsia="Calibri" w:cs="Calibri"/>
          <w:szCs w:val="16"/>
        </w:rPr>
        <w:t xml:space="preserve"> </w:t>
      </w:r>
      <w:r w:rsidRPr="001C1B82">
        <w:rPr>
          <w:rFonts w:eastAsia="Calibri" w:cs="Calibri"/>
          <w:szCs w:val="16"/>
          <w:vertAlign w:val="superscript"/>
        </w:rPr>
        <w:t>71</w:t>
      </w:r>
      <w:r w:rsidRPr="001C1B82">
        <w:rPr>
          <w:rFonts w:eastAsia="Calibri" w:cs="Calibri"/>
          <w:szCs w:val="16"/>
        </w:rPr>
        <w:t xml:space="preserve"> ICO. 2018. </w:t>
      </w:r>
      <w:r w:rsidRPr="001C1B82">
        <w:rPr>
          <w:rFonts w:eastAsia="Calibri" w:cs="Calibri"/>
          <w:i/>
          <w:szCs w:val="16"/>
        </w:rPr>
        <w:t>Investigation into the use of data analytics in political campaigns.  A report to Parliament</w:t>
      </w:r>
      <w:r w:rsidRPr="001C1B82">
        <w:rPr>
          <w:rFonts w:eastAsia="Calibri" w:cs="Calibri"/>
          <w:szCs w:val="16"/>
        </w:rPr>
        <w:t>, 6 November. Information Commissioners Office</w:t>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rPr>
        <w:t xml:space="preserve">. </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https://ico.org.uk/media/action-weve-taken/2260271/investigation-into-the-use-of</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data-analytics-in-political-campaigns-final-20181105.pdf</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rPr>
        <w:t xml:space="preserve">  </w:t>
      </w:r>
      <w:r>
        <w:fldChar w:fldCharType="end"/>
      </w:r>
    </w:p>
  </w:footnote>
  <w:footnote w:id="74">
    <w:p w:rsidR="00673732" w:rsidRPr="001C1B82">
      <w:pPr>
        <w:pStyle w:val="footnotedescription"/>
        <w:spacing w:line="249" w:lineRule="auto"/>
        <w:ind w:left="1" w:right="119"/>
        <w:rPr>
          <w:szCs w:val="16"/>
        </w:rPr>
      </w:pPr>
      <w:r w:rsidRPr="001C1B82">
        <w:rPr>
          <w:rStyle w:val="footnotemark"/>
          <w:szCs w:val="16"/>
        </w:rPr>
        <w:footnoteRef/>
      </w:r>
      <w:r w:rsidRPr="001C1B82">
        <w:rPr>
          <w:rFonts w:eastAsia="Calibri" w:cs="Calibri"/>
          <w:szCs w:val="16"/>
        </w:rPr>
        <w:t xml:space="preserve"> The Information Commissioners Office also issued the maximum penalty of £500,000 to Facebook in October 2018 for allowing Cambridge Analytica to collect data of up to 87 million users through third-party apps. Facebook was fined under the older Data Protection Act 1998, which meant that Facebook avoided a potential GDPR fine stretching to $1.6bn. </w:t>
      </w:r>
      <w:r w:rsidRPr="001C1B82">
        <w:rPr>
          <w:rFonts w:eastAsia="Calibri" w:cs="Calibri"/>
          <w:szCs w:val="16"/>
          <w:vertAlign w:val="superscript"/>
        </w:rPr>
        <w:t>73</w:t>
      </w:r>
      <w:r w:rsidRPr="001C1B82">
        <w:rPr>
          <w:rFonts w:eastAsia="Calibri" w:cs="Calibri"/>
          <w:szCs w:val="16"/>
        </w:rPr>
        <w:t xml:space="preserve"> The US Federal Trade Commission issues an administrative complaint when it has ‘reason to believe’ that the law has been or is being violated, and it appears to the Commission that a proceeding is in the public interest. When the </w:t>
      </w:r>
    </w:p>
    <w:p w:rsidR="00673732" w:rsidRPr="001C1B82">
      <w:pPr>
        <w:pStyle w:val="footnotedescription"/>
        <w:spacing w:line="241" w:lineRule="auto"/>
        <w:ind w:left="1"/>
        <w:rPr>
          <w:szCs w:val="16"/>
        </w:rPr>
      </w:pPr>
      <w:r w:rsidRPr="001C1B82">
        <w:rPr>
          <w:rFonts w:eastAsia="Calibri" w:cs="Calibri"/>
          <w:szCs w:val="16"/>
        </w:rPr>
        <w:t xml:space="preserve">Commission issues a consent order on a final basis, it carries the force of law with respect to future actions. Each violation of such an order may result in a civil penalty of up to $42,530. </w:t>
      </w:r>
    </w:p>
  </w:footnote>
  <w:footnote w:id="75">
    <w:p w:rsidR="00673732" w:rsidRPr="001C1B82">
      <w:pPr>
        <w:pStyle w:val="footnotedescription"/>
        <w:spacing w:line="245" w:lineRule="auto"/>
        <w:ind w:left="1" w:right="57"/>
        <w:jc w:val="both"/>
        <w:rPr>
          <w:szCs w:val="16"/>
        </w:rPr>
      </w:pPr>
      <w:r w:rsidRPr="001C1B82">
        <w:rPr>
          <w:rStyle w:val="footnotemark"/>
          <w:szCs w:val="16"/>
        </w:rPr>
        <w:footnoteRef/>
      </w:r>
      <w:r w:rsidRPr="001C1B82">
        <w:rPr>
          <w:rFonts w:eastAsia="Calibri" w:cs="Calibri"/>
          <w:szCs w:val="16"/>
        </w:rPr>
        <w:t xml:space="preserve"> In July 2019, the US Federal Trade Commission announced that Facebook would pay a record-breaking $5 billion penalty and submit to new restrictions and a modified corporate structure that would hold the company accountable for the decisions it makes about its users’ privacy. This was to settle Federal Trade Commission charges that Facebook violated a 2012 Federal Trade Commission order by deceiving users about their ability to control the privacy of their personal information. See: Federal Trade Commission. 2019. FTC imposes $5 Billion penalty and sweeping new privacy restrictions on Facebook, 24 July. https://www.ftc.gov/news-events/press-releases/2019/07/ftc-imposes-5-billion-penalty-sweeping-new-privacyrestrictions </w:t>
      </w:r>
    </w:p>
  </w:footnote>
  <w:footnote w:id="76">
    <w:p w:rsidR="00673732" w:rsidRPr="001C1B82">
      <w:pPr>
        <w:pStyle w:val="footnotedescription"/>
        <w:spacing w:line="248" w:lineRule="auto"/>
        <w:ind w:left="1" w:right="165"/>
        <w:jc w:val="both"/>
        <w:rPr>
          <w:szCs w:val="16"/>
        </w:rPr>
      </w:pPr>
      <w:r w:rsidRPr="001C1B82">
        <w:rPr>
          <w:rStyle w:val="footnotemark"/>
          <w:szCs w:val="16"/>
        </w:rPr>
        <w:footnoteRef/>
      </w:r>
      <w:r w:rsidRPr="001C1B82">
        <w:rPr>
          <w:rFonts w:eastAsia="Calibri" w:cs="Calibri"/>
          <w:szCs w:val="16"/>
        </w:rPr>
        <w:t xml:space="preserve"> Wylie, C. 2018. </w:t>
      </w:r>
      <w:r w:rsidRPr="001C1B82">
        <w:rPr>
          <w:rFonts w:eastAsia="Calibri" w:cs="Calibri"/>
          <w:i/>
          <w:szCs w:val="16"/>
        </w:rPr>
        <w:t>Oral evidence: fake news</w:t>
      </w:r>
      <w:r w:rsidRPr="001C1B82">
        <w:rPr>
          <w:rFonts w:eastAsia="Calibri" w:cs="Calibri"/>
          <w:szCs w:val="16"/>
        </w:rPr>
        <w:t xml:space="preserve">, HC 363, 27 March. </w:t>
      </w:r>
      <w:r>
        <w:fldChar w:fldCharType="begin"/>
      </w:r>
      <w:r>
        <w:instrText xml:space="preserve"> HYPERLINK "http://data.parliament.uk/writtenevidence/committeeevidence.svc/evidencedocument/digital-culture-media-and-sport-committee/disinformation-and-fake-news/oral/81022.pdf" </w:instrText>
      </w:r>
      <w:r>
        <w:fldChar w:fldCharType="separate"/>
      </w:r>
      <w:r w:rsidRPr="001C1B82">
        <w:rPr>
          <w:rFonts w:eastAsia="Calibri" w:cs="Calibri"/>
          <w:szCs w:val="16"/>
          <w:u w:val="single" w:color="000000"/>
        </w:rPr>
        <w:t>http://data.parliament.uk/writtenevidence/committeeevidence.svc/evidencedocument/digital-culture-media-and-sport</w:t>
      </w:r>
      <w:r>
        <w:fldChar w:fldCharType="end"/>
      </w:r>
      <w:r>
        <w:fldChar w:fldCharType="begin"/>
      </w:r>
      <w:r>
        <w:instrText xml:space="preserve"> HYPERLINK "http://data.parliament.uk/writtenevidence/committeeevidence.svc/evidencedocument/digital-culture-media-and-sport-committee/disinformation-and-fake-news/oral/81022.pdf" </w:instrText>
      </w:r>
      <w:r>
        <w:fldChar w:fldCharType="separate"/>
      </w:r>
      <w:r w:rsidRPr="001C1B82">
        <w:rPr>
          <w:rFonts w:eastAsia="Calibri" w:cs="Calibri"/>
          <w:szCs w:val="16"/>
          <w:u w:val="single" w:color="000000"/>
        </w:rPr>
        <w:t>committee/disinformation-and-fake-news/oral/81022.pdf</w:t>
      </w:r>
      <w:r>
        <w:fldChar w:fldCharType="end"/>
      </w:r>
      <w:r>
        <w:fldChar w:fldCharType="begin"/>
      </w:r>
      <w:r>
        <w:instrText xml:space="preserve"> HYPERLINK "http://data.parliament.uk/writtenevidence/committeeevidence.svc/evidencedocument/digital-culture-media-and-sport-committee/disinformation-and-fake-news/oral/81022.pdf"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pp.21-22. </w:t>
      </w:r>
    </w:p>
  </w:footnote>
  <w:footnote w:id="77">
    <w:p w:rsidR="00673732" w:rsidRPr="001C1B82">
      <w:pPr>
        <w:pStyle w:val="footnotedescription"/>
        <w:spacing w:line="256" w:lineRule="auto"/>
        <w:ind w:left="1"/>
        <w:rPr>
          <w:szCs w:val="16"/>
        </w:rPr>
      </w:pPr>
      <w:r w:rsidRPr="001C1B82">
        <w:rPr>
          <w:rStyle w:val="footnotemark"/>
          <w:szCs w:val="16"/>
        </w:rPr>
        <w:footnoteRef/>
      </w:r>
      <w:r w:rsidRPr="001C1B82">
        <w:rPr>
          <w:rFonts w:eastAsia="Calibri" w:cs="Calibri"/>
          <w:szCs w:val="16"/>
        </w:rPr>
        <w:t xml:space="preserve"> Wells, W.D. 1975. Psychographics: a critical review. </w:t>
      </w:r>
      <w:r w:rsidRPr="001C1B82">
        <w:rPr>
          <w:rFonts w:eastAsia="Calibri" w:cs="Calibri"/>
          <w:i/>
          <w:szCs w:val="16"/>
        </w:rPr>
        <w:t>Journal of Marketing Research,</w:t>
      </w:r>
      <w:r w:rsidRPr="001C1B82">
        <w:rPr>
          <w:rFonts w:eastAsia="Calibri" w:cs="Calibri"/>
          <w:szCs w:val="16"/>
        </w:rPr>
        <w:t xml:space="preserve"> 12(2): 196-213. </w:t>
      </w:r>
      <w:r>
        <w:fldChar w:fldCharType="begin"/>
      </w:r>
      <w:r>
        <w:instrText xml:space="preserve"> HYPERLINK "https://www.jstor.org/stable/3150443" </w:instrText>
      </w:r>
      <w:r>
        <w:fldChar w:fldCharType="separate"/>
      </w:r>
      <w:r w:rsidRPr="001C1B82">
        <w:rPr>
          <w:rFonts w:eastAsia="Calibri" w:cs="Calibri"/>
          <w:szCs w:val="16"/>
          <w:u w:val="single" w:color="000000"/>
        </w:rPr>
        <w:t>https://www.jstor.org/stable/3150443</w:t>
      </w:r>
      <w:r>
        <w:fldChar w:fldCharType="end"/>
      </w:r>
      <w:r>
        <w:fldChar w:fldCharType="begin"/>
      </w:r>
      <w:r>
        <w:instrText xml:space="preserve"> HYPERLINK "https://www.jstor.org/stable/3150443"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.197. </w:t>
      </w:r>
    </w:p>
  </w:footnote>
  <w:footnote w:id="78">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Tufekci, Z. 2014. Engineering the public: big data, surveillance and computational politics. </w:t>
      </w:r>
      <w:r w:rsidRPr="001C1B82">
        <w:rPr>
          <w:rFonts w:eastAsia="Calibri" w:cs="Calibri"/>
          <w:i/>
          <w:szCs w:val="16"/>
        </w:rPr>
        <w:t>First Monday</w:t>
      </w:r>
      <w:r w:rsidRPr="001C1B82">
        <w:rPr>
          <w:rFonts w:eastAsia="Calibri" w:cs="Calibri"/>
          <w:szCs w:val="16"/>
        </w:rPr>
        <w:t xml:space="preserve">, 19 (7). </w:t>
      </w:r>
    </w:p>
    <w:p w:rsidR="00673732" w:rsidRPr="001C1B82">
      <w:pPr>
        <w:pStyle w:val="footnotedescription"/>
        <w:ind w:left="1"/>
        <w:rPr>
          <w:szCs w:val="16"/>
        </w:rPr>
      </w:pPr>
      <w:r>
        <w:fldChar w:fldCharType="begin"/>
      </w:r>
      <w:r>
        <w:instrText xml:space="preserve"> HYPERLINK "https://firstmonday.org/ojs/index.php/fm/article/view/4901/4097" </w:instrText>
      </w:r>
      <w:r>
        <w:fldChar w:fldCharType="separate"/>
      </w:r>
      <w:r w:rsidRPr="001C1B82">
        <w:rPr>
          <w:rFonts w:eastAsia="Calibri" w:cs="Calibri"/>
          <w:szCs w:val="16"/>
          <w:u w:val="single" w:color="000000"/>
        </w:rPr>
        <w:t>https://firstmonday.org/ojs/index.php/fm/article/view/4901/4097</w:t>
      </w:r>
      <w:r>
        <w:fldChar w:fldCharType="end"/>
      </w:r>
      <w:r>
        <w:fldChar w:fldCharType="begin"/>
      </w:r>
      <w:r>
        <w:instrText xml:space="preserve"> HYPERLINK "https://firstmonday.org/ojs/index.php/fm/article/view/4901/4097" </w:instrText>
      </w:r>
      <w:r>
        <w:fldChar w:fldCharType="separate"/>
      </w:r>
      <w:r w:rsidRPr="001C1B82">
        <w:rPr>
          <w:rFonts w:eastAsia="Calibri" w:cs="Calibri"/>
          <w:szCs w:val="16"/>
        </w:rPr>
        <w:t xml:space="preserve"> </w:t>
      </w:r>
      <w:r>
        <w:fldChar w:fldCharType="end"/>
      </w:r>
    </w:p>
  </w:footnote>
  <w:footnote w:id="79">
    <w:p w:rsidR="00673732" w:rsidRPr="001C1B82">
      <w:pPr>
        <w:pStyle w:val="footnotedescription"/>
        <w:spacing w:line="256" w:lineRule="auto"/>
        <w:ind w:left="1" w:right="210"/>
        <w:rPr>
          <w:szCs w:val="16"/>
        </w:rPr>
      </w:pPr>
      <w:r w:rsidRPr="001C1B82">
        <w:rPr>
          <w:rStyle w:val="footnotemark"/>
          <w:szCs w:val="16"/>
        </w:rPr>
        <w:footnoteRef/>
      </w:r>
      <w:r w:rsidRPr="001C1B82">
        <w:rPr>
          <w:rFonts w:eastAsia="Calibri" w:cs="Calibri"/>
          <w:szCs w:val="16"/>
        </w:rPr>
        <w:t xml:space="preserve"> Kosinski, M., Stillwell, D. &amp; Graepel, T. 2013. Private traits and attributes are predictable from digital records of human behaviour. </w:t>
      </w:r>
      <w:r w:rsidRPr="001C1B82">
        <w:rPr>
          <w:rFonts w:eastAsia="Calibri" w:cs="Calibri"/>
          <w:i/>
          <w:szCs w:val="16"/>
        </w:rPr>
        <w:t>Proceedings of the National Academy of Sciences</w:t>
      </w:r>
      <w:r w:rsidRPr="001C1B82">
        <w:rPr>
          <w:rFonts w:eastAsia="Calibri" w:cs="Calibri"/>
          <w:szCs w:val="16"/>
        </w:rPr>
        <w:t>, 110(15): 5,802–5,805, doi</w:t>
      </w:r>
      <w:r>
        <w:fldChar w:fldCharType="begin"/>
      </w:r>
      <w:r>
        <w:instrText xml:space="preserve"> HYPERLINK "http://dx.doi.org/10.1073/pnas.1218772110" </w:instrText>
      </w:r>
      <w:r>
        <w:fldChar w:fldCharType="separate"/>
      </w:r>
      <w:r w:rsidRPr="001C1B82">
        <w:rPr>
          <w:rFonts w:eastAsia="Calibri" w:cs="Calibri"/>
          <w:szCs w:val="16"/>
        </w:rPr>
        <w:t xml:space="preserve">: </w:t>
      </w:r>
      <w:r>
        <w:fldChar w:fldCharType="end"/>
      </w:r>
      <w:r>
        <w:fldChar w:fldCharType="begin"/>
      </w:r>
      <w:r>
        <w:instrText xml:space="preserve"> HYPERLINK "http://dx.doi.org/10.1073/pnas.1218772110" </w:instrText>
      </w:r>
      <w:r>
        <w:fldChar w:fldCharType="separate"/>
      </w:r>
      <w:r w:rsidRPr="001C1B82">
        <w:rPr>
          <w:rFonts w:eastAsia="Calibri" w:cs="Calibri"/>
          <w:szCs w:val="16"/>
          <w:u w:val="single" w:color="000000"/>
        </w:rPr>
        <w:t>http://dx.doi.org/10.1073/pnas.1218772110</w:t>
      </w:r>
      <w:r>
        <w:fldChar w:fldCharType="end"/>
      </w:r>
      <w:r>
        <w:fldChar w:fldCharType="begin"/>
      </w:r>
      <w:r>
        <w:instrText xml:space="preserve"> HYPERLINK "http://dx.doi.org/10.1073/pnas.1218772110" </w:instrText>
      </w:r>
      <w:r>
        <w:fldChar w:fldCharType="separate"/>
      </w:r>
      <w:r w:rsidRPr="001C1B82">
        <w:rPr>
          <w:rFonts w:eastAsia="Calibri" w:cs="Calibri"/>
          <w:szCs w:val="16"/>
        </w:rPr>
        <w:t xml:space="preserve"> </w:t>
      </w:r>
      <w:r>
        <w:fldChar w:fldCharType="end"/>
      </w:r>
    </w:p>
  </w:footnote>
  <w:footnote w:id="80">
    <w:p w:rsidR="00673732" w:rsidRPr="001C1B82">
      <w:pPr>
        <w:pStyle w:val="footnotedescription"/>
        <w:spacing w:line="270" w:lineRule="auto"/>
        <w:ind w:left="1"/>
        <w:rPr>
          <w:szCs w:val="16"/>
        </w:rPr>
      </w:pPr>
      <w:r w:rsidRPr="001C1B82">
        <w:rPr>
          <w:rStyle w:val="footnotemark"/>
          <w:szCs w:val="16"/>
        </w:rPr>
        <w:footnoteRef/>
      </w:r>
      <w:r w:rsidRPr="001C1B82">
        <w:rPr>
          <w:rFonts w:eastAsia="Calibri" w:cs="Calibri"/>
          <w:szCs w:val="16"/>
        </w:rPr>
        <w:t xml:space="preserve"> McCrae, R. R. &amp; Costa, P. T. 1987. Validation of the five-factor model of personality across instruments and observers. </w:t>
      </w:r>
      <w:r w:rsidRPr="001C1B82">
        <w:rPr>
          <w:rFonts w:eastAsia="Calibri" w:cs="Calibri"/>
          <w:i/>
          <w:szCs w:val="16"/>
        </w:rPr>
        <w:t>Journal of Personality and Social Psychology</w:t>
      </w:r>
      <w:r w:rsidRPr="001C1B82">
        <w:rPr>
          <w:rFonts w:eastAsia="Calibri" w:cs="Calibri"/>
          <w:szCs w:val="16"/>
        </w:rPr>
        <w:t xml:space="preserve">, 52(1): 81.  </w:t>
      </w:r>
    </w:p>
  </w:footnote>
  <w:footnote w:id="81">
    <w:p w:rsidR="00673732" w:rsidRPr="001C1B82">
      <w:pPr>
        <w:pStyle w:val="footnotedescription"/>
        <w:spacing w:line="254" w:lineRule="auto"/>
        <w:ind w:left="1"/>
        <w:rPr>
          <w:szCs w:val="16"/>
        </w:rPr>
      </w:pPr>
      <w:r w:rsidRPr="001C1B82">
        <w:rPr>
          <w:rStyle w:val="footnotemark"/>
          <w:szCs w:val="16"/>
        </w:rPr>
        <w:footnoteRef/>
      </w:r>
      <w:r w:rsidRPr="001C1B82">
        <w:rPr>
          <w:rFonts w:eastAsia="Calibri" w:cs="Calibri"/>
          <w:szCs w:val="16"/>
        </w:rPr>
        <w:t xml:space="preserve"> Azucar, D., Marengo, D. &amp; Settanni, M. 2018. Predicting the Big 5 personality traits from digital footprints on social media: a meta-analysis. </w:t>
      </w:r>
      <w:r w:rsidRPr="001C1B82">
        <w:rPr>
          <w:rFonts w:eastAsia="Calibri" w:cs="Calibri"/>
          <w:i/>
          <w:szCs w:val="16"/>
        </w:rPr>
        <w:t>Personality and Individual Differences</w:t>
      </w:r>
      <w:r w:rsidRPr="001C1B82">
        <w:rPr>
          <w:rFonts w:eastAsia="Calibri" w:cs="Calibri"/>
          <w:szCs w:val="16"/>
        </w:rPr>
        <w:t xml:space="preserve">, 124, 1 April: 150-159. </w:t>
      </w:r>
      <w:r>
        <w:fldChar w:fldCharType="begin"/>
      </w:r>
      <w:r>
        <w:instrText xml:space="preserve"> HYPERLINK "https://doi.org/10.1016/j.paid.2017.12.018" </w:instrText>
      </w:r>
      <w:r>
        <w:fldChar w:fldCharType="separate"/>
      </w:r>
      <w:r w:rsidRPr="001C1B82">
        <w:rPr>
          <w:rFonts w:eastAsia="Calibri" w:cs="Calibri"/>
          <w:szCs w:val="16"/>
          <w:u w:val="single" w:color="000000"/>
        </w:rPr>
        <w:t>https://doi.org/10.1016/j.paid.2017.12.018</w:t>
      </w:r>
      <w:r>
        <w:fldChar w:fldCharType="end"/>
      </w:r>
      <w:r>
        <w:fldChar w:fldCharType="begin"/>
      </w:r>
      <w:r>
        <w:instrText xml:space="preserve"> HYPERLINK "https://doi.org/10.1016/j.paid.2017.12.018"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.157. </w:t>
      </w:r>
    </w:p>
  </w:footnote>
  <w:footnote w:id="82">
    <w:p w:rsidR="00673732" w:rsidRPr="001C1B82">
      <w:pPr>
        <w:pStyle w:val="footnotedescription"/>
        <w:spacing w:after="11" w:line="242" w:lineRule="auto"/>
        <w:ind w:left="1" w:right="285"/>
        <w:rPr>
          <w:szCs w:val="16"/>
        </w:rPr>
      </w:pPr>
      <w:r w:rsidRPr="001C1B82">
        <w:rPr>
          <w:rStyle w:val="footnotemark"/>
          <w:szCs w:val="16"/>
        </w:rPr>
        <w:footnoteRef/>
      </w:r>
      <w:r w:rsidRPr="001C1B82">
        <w:rPr>
          <w:rFonts w:eastAsia="Calibri" w:cs="Calibri"/>
          <w:szCs w:val="16"/>
        </w:rPr>
        <w:t xml:space="preserve"> Nix, A. 2016. </w:t>
      </w:r>
      <w:r w:rsidRPr="001C1B82">
        <w:rPr>
          <w:rFonts w:eastAsia="Calibri" w:cs="Calibri"/>
          <w:i/>
          <w:szCs w:val="16"/>
        </w:rPr>
        <w:t xml:space="preserve">The power of big data and psychographics in the electoral process, </w:t>
      </w:r>
      <w:r w:rsidRPr="001C1B82">
        <w:rPr>
          <w:rFonts w:eastAsia="Calibri" w:cs="Calibri"/>
          <w:szCs w:val="16"/>
        </w:rPr>
        <w:t>27</w:t>
      </w:r>
      <w:r w:rsidRPr="001C1B82">
        <w:rPr>
          <w:rFonts w:eastAsia="Calibri" w:cs="Calibri"/>
          <w:i/>
          <w:szCs w:val="16"/>
        </w:rPr>
        <w:t xml:space="preserve"> </w:t>
      </w:r>
      <w:r w:rsidRPr="001C1B82">
        <w:rPr>
          <w:rFonts w:eastAsia="Calibri" w:cs="Calibri"/>
          <w:szCs w:val="16"/>
        </w:rPr>
        <w:t>September. The Concordia Annual Summit, New York</w:t>
      </w:r>
      <w:r>
        <w:fldChar w:fldCharType="begin"/>
      </w:r>
      <w:r>
        <w:instrText xml:space="preserve"> HYPERLINK "https://www.youtube.com/watch?v=n8Dd5aVXLCc" </w:instrText>
      </w:r>
      <w:r>
        <w:fldChar w:fldCharType="separate"/>
      </w:r>
      <w:r w:rsidRPr="001C1B82">
        <w:rPr>
          <w:rFonts w:eastAsia="Calibri" w:cs="Calibri"/>
          <w:szCs w:val="16"/>
        </w:rPr>
        <w:t xml:space="preserve">. </w:t>
      </w:r>
      <w:r>
        <w:fldChar w:fldCharType="end"/>
      </w:r>
      <w:r>
        <w:fldChar w:fldCharType="begin"/>
      </w:r>
      <w:r>
        <w:instrText xml:space="preserve"> HYPERLINK "https://www.youtube.com/watch?v=n8Dd5aVXLCc" </w:instrText>
      </w:r>
      <w:r>
        <w:fldChar w:fldCharType="separate"/>
      </w:r>
      <w:r w:rsidRPr="001C1B82">
        <w:rPr>
          <w:rFonts w:eastAsia="Calibri" w:cs="Calibri"/>
          <w:szCs w:val="16"/>
          <w:u w:val="single" w:color="000000"/>
        </w:rPr>
        <w:t>https://www.youtube.com/watch?v=n8Dd5aVXLCc</w:t>
      </w:r>
      <w:r>
        <w:fldChar w:fldCharType="end"/>
      </w:r>
      <w:r>
        <w:fldChar w:fldCharType="begin"/>
      </w:r>
      <w:r>
        <w:instrText xml:space="preserve"> HYPERLINK "https://www.youtube.com/watch?v=n8Dd5aVXLCc"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r w:rsidRPr="001C1B82">
        <w:rPr>
          <w:rFonts w:eastAsia="Calibri" w:cs="Calibri"/>
          <w:szCs w:val="16"/>
          <w:vertAlign w:val="superscript"/>
        </w:rPr>
        <w:t>82</w:t>
      </w:r>
      <w:r w:rsidRPr="001C1B82">
        <w:rPr>
          <w:rFonts w:eastAsia="Calibri" w:cs="Calibri"/>
          <w:szCs w:val="16"/>
        </w:rPr>
        <w:t xml:space="preserve"> Kaiser, B. 2018. </w:t>
      </w:r>
      <w:r w:rsidRPr="001C1B82">
        <w:rPr>
          <w:rFonts w:eastAsia="Calibri" w:cs="Calibri"/>
          <w:i/>
          <w:szCs w:val="16"/>
        </w:rPr>
        <w:t>Oral evidence: fake news</w:t>
      </w:r>
      <w:r w:rsidRPr="001C1B82">
        <w:rPr>
          <w:rFonts w:eastAsia="Calibri" w:cs="Calibri"/>
          <w:szCs w:val="16"/>
        </w:rPr>
        <w:t xml:space="preserve">, HC 363, 17 April. </w:t>
      </w:r>
    </w:p>
    <w:p w:rsidR="00673732" w:rsidRPr="001C1B82">
      <w:pPr>
        <w:pStyle w:val="footnotedescription"/>
        <w:spacing w:line="241" w:lineRule="auto"/>
        <w:ind w:left="1"/>
        <w:rPr>
          <w:szCs w:val="16"/>
        </w:rPr>
      </w:pPr>
      <w:r>
        <w:fldChar w:fldCharType="begin"/>
      </w:r>
      <w:r>
        <w:instrText xml:space="preserve"> HYPERLINK "http://data.parliament.uk/writtenevidence/committeeevidence.svc/evidencedocument/digital-culture-media-and-sport-committee/disinformation-and-fake-news/oral/81592.html" </w:instrText>
      </w:r>
      <w:r>
        <w:fldChar w:fldCharType="separate"/>
      </w:r>
      <w:r w:rsidRPr="001C1B82">
        <w:rPr>
          <w:rFonts w:eastAsia="Calibri" w:cs="Calibri"/>
          <w:szCs w:val="16"/>
          <w:u w:val="single" w:color="000000"/>
        </w:rPr>
        <w:t>http://data.parliament.uk/writtenevidence/committeeevidence.svc/evidencedocument/digital-culture-media-and-sport</w:t>
      </w:r>
      <w:r>
        <w:fldChar w:fldCharType="end"/>
      </w:r>
      <w:r>
        <w:fldChar w:fldCharType="begin"/>
      </w:r>
      <w:r>
        <w:instrText xml:space="preserve"> HYPERLINK "http://data.parliament.uk/writtenevidence/committeeevidence.svc/evidencedocument/digital-culture-media-and-sport-committee/disinformation-and-fake-news/oral/81592.html" </w:instrText>
      </w:r>
      <w:r>
        <w:fldChar w:fldCharType="separate"/>
      </w:r>
      <w:r w:rsidRPr="001C1B82">
        <w:rPr>
          <w:rFonts w:eastAsia="Calibri" w:cs="Calibri"/>
          <w:szCs w:val="16"/>
          <w:u w:val="single" w:color="000000"/>
        </w:rPr>
        <w:t xml:space="preserve">committee/disinformation-and-fake-news/oral/81592.html </w:t>
      </w:r>
      <w:r>
        <w:fldChar w:fldCharType="end"/>
      </w:r>
      <w:r>
        <w:fldChar w:fldCharType="begin"/>
      </w:r>
      <w:r>
        <w:instrText xml:space="preserve"> HYPERLINK "http://data.parliament.uk/writtenevidence/committeeevidence.svc/evidencedocument/digital-culture-media-and-sport-committee/disinformation-and-fake-news/oral/81592.html" </w:instrText>
      </w:r>
      <w:r>
        <w:fldChar w:fldCharType="separate"/>
      </w:r>
      <w:r w:rsidRPr="001C1B82">
        <w:rPr>
          <w:rFonts w:eastAsia="Calibri" w:cs="Calibri"/>
          <w:szCs w:val="16"/>
        </w:rPr>
        <w:t>p</w:t>
      </w:r>
      <w:r>
        <w:fldChar w:fldCharType="end"/>
      </w:r>
      <w:r w:rsidRPr="001C1B82">
        <w:rPr>
          <w:rFonts w:eastAsia="Calibri" w:cs="Calibri"/>
          <w:szCs w:val="16"/>
        </w:rPr>
        <w:t xml:space="preserve">p.20-21. </w:t>
      </w:r>
    </w:p>
  </w:footnote>
  <w:footnote w:id="83">
    <w:p w:rsidR="00673732" w:rsidRPr="001C1B82">
      <w:pPr>
        <w:pStyle w:val="footnotedescription"/>
        <w:spacing w:line="256" w:lineRule="auto"/>
        <w:ind w:left="1"/>
        <w:rPr>
          <w:szCs w:val="16"/>
        </w:rPr>
      </w:pPr>
      <w:r w:rsidRPr="001C1B82">
        <w:rPr>
          <w:rStyle w:val="footnotemark"/>
          <w:szCs w:val="16"/>
        </w:rPr>
        <w:footnoteRef/>
      </w:r>
      <w:r w:rsidRPr="001C1B82">
        <w:rPr>
          <w:rFonts w:eastAsia="Calibri" w:cs="Calibri"/>
          <w:szCs w:val="16"/>
        </w:rPr>
        <w:t xml:space="preserve"> Bartlett, J., Smith, J. &amp; Acton, R. 2018. </w:t>
      </w:r>
      <w:r w:rsidRPr="001C1B82">
        <w:rPr>
          <w:rFonts w:eastAsia="Calibri" w:cs="Calibri"/>
          <w:i/>
          <w:szCs w:val="16"/>
        </w:rPr>
        <w:t>The future of political campaigning</w:t>
      </w:r>
      <w:r w:rsidRPr="001C1B82">
        <w:rPr>
          <w:rFonts w:eastAsia="Calibri" w:cs="Calibri"/>
          <w:szCs w:val="16"/>
        </w:rPr>
        <w:t xml:space="preserve">. Demos. July. </w:t>
      </w:r>
      <w:r>
        <w:fldChar w:fldCharType="begin"/>
      </w:r>
      <w:r>
        <w:instrText xml:space="preserve"> HYPERLINK "https://ico.org.uk/media/2259365/the-future-of-political-campaigning.pdf" </w:instrText>
      </w:r>
      <w:r>
        <w:fldChar w:fldCharType="separate"/>
      </w:r>
      <w:r w:rsidRPr="001C1B82">
        <w:rPr>
          <w:rFonts w:eastAsia="Calibri" w:cs="Calibri"/>
          <w:szCs w:val="16"/>
          <w:u w:val="single" w:color="000000"/>
        </w:rPr>
        <w:t>https://ico.org.uk/media/2259365/the-future-of-political-campaigning.pdf</w:t>
      </w:r>
      <w:r>
        <w:fldChar w:fldCharType="end"/>
      </w:r>
      <w:r>
        <w:fldChar w:fldCharType="begin"/>
      </w:r>
      <w:r>
        <w:instrText xml:space="preserve"> HYPERLINK "https://ico.org.uk/media/2259365/the-future-of-political-campaigning.pdf" </w:instrText>
      </w:r>
      <w:r>
        <w:fldChar w:fldCharType="separate"/>
      </w:r>
      <w:r w:rsidRPr="001C1B82">
        <w:rPr>
          <w:rFonts w:eastAsia="Calibri" w:cs="Calibri"/>
          <w:szCs w:val="16"/>
        </w:rPr>
        <w:t xml:space="preserve">  </w:t>
      </w:r>
      <w:r>
        <w:fldChar w:fldCharType="end"/>
      </w:r>
    </w:p>
  </w:footnote>
  <w:footnote w:id="84">
    <w:p w:rsidR="00673732" w:rsidRPr="001C1B82">
      <w:pPr>
        <w:pStyle w:val="footnotedescription"/>
        <w:spacing w:line="254" w:lineRule="auto"/>
        <w:ind w:left="1"/>
        <w:rPr>
          <w:szCs w:val="16"/>
        </w:rPr>
      </w:pPr>
      <w:r w:rsidRPr="001C1B82">
        <w:rPr>
          <w:rStyle w:val="footnotemark"/>
          <w:szCs w:val="16"/>
        </w:rPr>
        <w:footnoteRef/>
      </w:r>
      <w:r w:rsidRPr="001C1B82">
        <w:rPr>
          <w:rFonts w:eastAsia="Calibri" w:cs="Calibri"/>
          <w:szCs w:val="16"/>
        </w:rPr>
        <w:t xml:space="preserve"> Emotional AI derives from affective computing techniques and advances in machine learning and AI. It is a weak form of AI in that these technologies aim to read and react to emotions, but they do not have sentience or emotional states themselves. </w:t>
      </w:r>
    </w:p>
  </w:footnote>
  <w:footnote w:id="85">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McStay, A. 2018.  </w:t>
      </w:r>
      <w:r w:rsidRPr="001C1B82">
        <w:rPr>
          <w:rFonts w:eastAsia="Calibri" w:cs="Calibri"/>
          <w:i/>
          <w:szCs w:val="16"/>
        </w:rPr>
        <w:t xml:space="preserve">Emotional AI: the rise of empathic media. </w:t>
      </w:r>
      <w:r w:rsidRPr="001C1B82">
        <w:rPr>
          <w:rFonts w:eastAsia="Calibri" w:cs="Calibri"/>
          <w:szCs w:val="16"/>
        </w:rPr>
        <w:t xml:space="preserve">London: Sage </w:t>
      </w:r>
    </w:p>
  </w:footnote>
  <w:footnote w:id="86">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Bakir, V. &amp; McStay, A. 2018. Fake news and the economy of emotions: problems, causes, solutions. </w:t>
      </w:r>
      <w:r w:rsidRPr="001C1B82">
        <w:rPr>
          <w:rFonts w:eastAsia="Calibri" w:cs="Calibri"/>
          <w:i/>
          <w:szCs w:val="16"/>
        </w:rPr>
        <w:t>Digital Journalism</w:t>
      </w:r>
      <w:r w:rsidRPr="001C1B82">
        <w:rPr>
          <w:rFonts w:eastAsia="Calibri" w:cs="Calibri"/>
          <w:szCs w:val="16"/>
        </w:rPr>
        <w:t>, 1-</w:t>
      </w:r>
    </w:p>
    <w:p w:rsidR="00673732" w:rsidRPr="001C1B82">
      <w:pPr>
        <w:pStyle w:val="footnotedescription"/>
        <w:ind w:left="1"/>
        <w:rPr>
          <w:szCs w:val="16"/>
        </w:rPr>
      </w:pPr>
      <w:r w:rsidRPr="001C1B82">
        <w:rPr>
          <w:rFonts w:eastAsia="Calibri" w:cs="Calibri"/>
          <w:szCs w:val="16"/>
        </w:rPr>
        <w:t>22</w:t>
      </w:r>
      <w:r>
        <w:fldChar w:fldCharType="begin"/>
      </w:r>
      <w:r>
        <w:instrText xml:space="preserve"> HYPERLINK "http://dx.doi.org/10.1080/21670811.2017.1345645" </w:instrText>
      </w:r>
      <w:r>
        <w:fldChar w:fldCharType="separate"/>
      </w:r>
      <w:r w:rsidRPr="001C1B82">
        <w:rPr>
          <w:rFonts w:eastAsia="Calibri" w:cs="Calibri"/>
          <w:szCs w:val="16"/>
        </w:rPr>
        <w:t xml:space="preserve">. </w:t>
      </w:r>
      <w:r>
        <w:fldChar w:fldCharType="end"/>
      </w:r>
      <w:r>
        <w:fldChar w:fldCharType="begin"/>
      </w:r>
      <w:r>
        <w:instrText xml:space="preserve"> HYPERLINK "http://dx.doi.org/10.1080/21670811.2017.1345645" </w:instrText>
      </w:r>
      <w:r>
        <w:fldChar w:fldCharType="separate"/>
      </w:r>
      <w:r w:rsidRPr="001C1B82">
        <w:rPr>
          <w:rFonts w:eastAsia="Calibri" w:cs="Calibri"/>
          <w:szCs w:val="16"/>
          <w:u w:val="single" w:color="000000"/>
        </w:rPr>
        <w:t>http://dx.doi.org/10.1080/21670811.2017.1345645</w:t>
      </w:r>
      <w:r>
        <w:fldChar w:fldCharType="end"/>
      </w:r>
      <w:r>
        <w:fldChar w:fldCharType="begin"/>
      </w:r>
      <w:r>
        <w:instrText xml:space="preserve"> HYPERLINK "http://dx.doi.org/10.1080/21670811.2017.1345645" </w:instrText>
      </w:r>
      <w:r>
        <w:fldChar w:fldCharType="separate"/>
      </w:r>
      <w:r w:rsidRPr="001C1B82">
        <w:rPr>
          <w:rFonts w:eastAsia="Calibri" w:cs="Calibri"/>
          <w:szCs w:val="16"/>
        </w:rPr>
        <w:t xml:space="preserve"> </w:t>
      </w:r>
      <w:r>
        <w:fldChar w:fldCharType="end"/>
      </w:r>
    </w:p>
  </w:footnote>
  <w:footnote w:id="87">
    <w:p w:rsidR="00673732" w:rsidRPr="001C1B82">
      <w:pPr>
        <w:pStyle w:val="footnotedescription"/>
        <w:spacing w:line="250" w:lineRule="auto"/>
        <w:ind w:left="1"/>
        <w:rPr>
          <w:szCs w:val="16"/>
        </w:rPr>
      </w:pPr>
      <w:r w:rsidRPr="001C1B82">
        <w:rPr>
          <w:rStyle w:val="footnotemark"/>
          <w:szCs w:val="16"/>
        </w:rPr>
        <w:footnoteRef/>
      </w:r>
      <w:r w:rsidRPr="001C1B82">
        <w:rPr>
          <w:rFonts w:eastAsia="Calibri" w:cs="Calibri"/>
          <w:szCs w:val="16"/>
        </w:rPr>
        <w:t xml:space="preserve"> Bradshaw, S. &amp; Howard, P.N. 2017. </w:t>
      </w:r>
      <w:r w:rsidRPr="001C1B82">
        <w:rPr>
          <w:rFonts w:eastAsia="Calibri" w:cs="Calibri"/>
          <w:i/>
          <w:szCs w:val="16"/>
        </w:rPr>
        <w:t>Troops, trolls and troublemakers: a global inventory of organized social media manipulation</w:t>
      </w:r>
      <w:r w:rsidRPr="001C1B82">
        <w:rPr>
          <w:rFonts w:eastAsia="Calibri" w:cs="Calibri"/>
          <w:szCs w:val="16"/>
        </w:rPr>
        <w:t xml:space="preserve">. Computational Propaganda Research Project. Working paper no. 2017.12. http://comprop.oii.ox.ac.uk/wpcontent/uploads/sites/89/2017/07/Troops-Trolls-and-Troublemakers.pdf  </w:t>
      </w:r>
    </w:p>
  </w:footnote>
  <w:footnote w:id="88">
    <w:p w:rsidR="00673732" w:rsidRPr="001C1B82">
      <w:pPr>
        <w:pStyle w:val="footnotedescription"/>
        <w:spacing w:line="247" w:lineRule="auto"/>
        <w:ind w:left="1"/>
        <w:rPr>
          <w:szCs w:val="16"/>
        </w:rPr>
      </w:pPr>
      <w:r w:rsidRPr="001C1B82">
        <w:rPr>
          <w:rStyle w:val="footnotemark"/>
          <w:szCs w:val="16"/>
        </w:rPr>
        <w:footnoteRef/>
      </w:r>
      <w:r w:rsidRPr="001C1B82">
        <w:rPr>
          <w:rFonts w:eastAsia="Calibri" w:cs="Calibri"/>
          <w:szCs w:val="16"/>
        </w:rPr>
        <w:t xml:space="preserve"> Bartlett, J. 2019. You can’t believe a word any of these people is saying – that’s the ‘deep fake’ era for you. </w:t>
      </w:r>
      <w:r w:rsidRPr="001C1B82">
        <w:rPr>
          <w:rFonts w:eastAsia="Calibri" w:cs="Calibri"/>
          <w:i/>
          <w:szCs w:val="16"/>
        </w:rPr>
        <w:t>The Guardian</w:t>
      </w:r>
      <w:r w:rsidRPr="001C1B82">
        <w:rPr>
          <w:rFonts w:eastAsia="Calibri" w:cs="Calibri"/>
          <w:szCs w:val="16"/>
        </w:rPr>
        <w:t xml:space="preserve">, 16 June. https://www.theguardian.com/commentisfree/2019/jun/16/you-cant-believe-a-word-any-of-these-people-issaying-thats-the-dep-fake-era-for-you  </w:t>
      </w:r>
    </w:p>
  </w:footnote>
  <w:footnote w:id="89">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Bakir, V. &amp; McStay, A. 2018. Fake news and the economy of emotions: problems, causes, solutions. </w:t>
      </w:r>
      <w:r w:rsidRPr="001C1B82">
        <w:rPr>
          <w:rFonts w:eastAsia="Calibri" w:cs="Calibri"/>
          <w:i/>
          <w:szCs w:val="16"/>
        </w:rPr>
        <w:t>Digital Journalism</w:t>
      </w:r>
      <w:r w:rsidRPr="001C1B82">
        <w:rPr>
          <w:rFonts w:eastAsia="Calibri" w:cs="Calibri"/>
          <w:szCs w:val="16"/>
        </w:rPr>
        <w:t>, 1-</w:t>
      </w:r>
    </w:p>
    <w:p w:rsidR="00673732" w:rsidRPr="001C1B82">
      <w:pPr>
        <w:pStyle w:val="footnotedescription"/>
        <w:ind w:left="1"/>
        <w:rPr>
          <w:szCs w:val="16"/>
        </w:rPr>
      </w:pPr>
      <w:r w:rsidRPr="001C1B82">
        <w:rPr>
          <w:rFonts w:eastAsia="Calibri" w:cs="Calibri"/>
          <w:szCs w:val="16"/>
        </w:rPr>
        <w:t>22</w:t>
      </w:r>
      <w:r>
        <w:fldChar w:fldCharType="begin"/>
      </w:r>
      <w:r>
        <w:instrText xml:space="preserve"> HYPERLINK "http://dx.doi.org/10.1080/21670811.2017.1345645" </w:instrText>
      </w:r>
      <w:r>
        <w:fldChar w:fldCharType="separate"/>
      </w:r>
      <w:r w:rsidRPr="001C1B82">
        <w:rPr>
          <w:rFonts w:eastAsia="Calibri" w:cs="Calibri"/>
          <w:szCs w:val="16"/>
        </w:rPr>
        <w:t xml:space="preserve">. </w:t>
      </w:r>
      <w:r>
        <w:fldChar w:fldCharType="end"/>
      </w:r>
      <w:r>
        <w:fldChar w:fldCharType="begin"/>
      </w:r>
      <w:r>
        <w:instrText xml:space="preserve"> HYPERLINK "http://dx.doi.org/10.1080/21670811.2017.1345645" </w:instrText>
      </w:r>
      <w:r>
        <w:fldChar w:fldCharType="separate"/>
      </w:r>
      <w:r w:rsidRPr="001C1B82">
        <w:rPr>
          <w:rFonts w:eastAsia="Calibri" w:cs="Calibri"/>
          <w:szCs w:val="16"/>
          <w:u w:val="single" w:color="000000"/>
        </w:rPr>
        <w:t>http://dx.doi.org/10.1080/21670811.2017.1345645</w:t>
      </w:r>
      <w:r>
        <w:fldChar w:fldCharType="end"/>
      </w:r>
      <w:r>
        <w:fldChar w:fldCharType="begin"/>
      </w:r>
      <w:r>
        <w:instrText xml:space="preserve"> HYPERLINK "http://dx.doi.org/10.1080/21670811.2017.1345645" </w:instrText>
      </w:r>
      <w:r>
        <w:fldChar w:fldCharType="separate"/>
      </w:r>
      <w:r w:rsidRPr="001C1B82">
        <w:rPr>
          <w:rFonts w:eastAsia="Calibri" w:cs="Calibri"/>
          <w:szCs w:val="16"/>
        </w:rPr>
        <w:t xml:space="preserve"> </w:t>
      </w:r>
      <w:r>
        <w:fldChar w:fldCharType="end"/>
      </w:r>
    </w:p>
  </w:footnote>
  <w:footnote w:id="90">
    <w:p w:rsidR="00673732" w:rsidRPr="001C1B82">
      <w:pPr>
        <w:pStyle w:val="footnotedescription"/>
        <w:spacing w:line="249" w:lineRule="auto"/>
        <w:ind w:left="1" w:right="3252"/>
        <w:rPr>
          <w:szCs w:val="16"/>
        </w:rPr>
      </w:pPr>
      <w:r w:rsidRPr="001C1B82">
        <w:rPr>
          <w:rStyle w:val="footnotemark"/>
          <w:szCs w:val="16"/>
        </w:rPr>
        <w:footnoteRef/>
      </w:r>
      <w:r w:rsidRPr="001C1B82">
        <w:rPr>
          <w:rFonts w:eastAsia="Calibri" w:cs="Calibri"/>
          <w:szCs w:val="16"/>
        </w:rPr>
        <w:t xml:space="preserve"> McStay, A. 2018. </w:t>
      </w:r>
      <w:r w:rsidRPr="001C1B82">
        <w:rPr>
          <w:rFonts w:eastAsia="Calibri" w:cs="Calibri"/>
          <w:i/>
          <w:szCs w:val="16"/>
        </w:rPr>
        <w:t xml:space="preserve">Emotional AI: the rise of empathic media. </w:t>
      </w:r>
      <w:r w:rsidRPr="001C1B82">
        <w:rPr>
          <w:rFonts w:eastAsia="Calibri" w:cs="Calibri"/>
          <w:szCs w:val="16"/>
        </w:rPr>
        <w:t xml:space="preserve">London: Sage </w:t>
      </w:r>
      <w:r w:rsidRPr="001C1B82">
        <w:rPr>
          <w:rFonts w:eastAsia="Calibri" w:cs="Calibri"/>
          <w:szCs w:val="16"/>
          <w:vertAlign w:val="superscript"/>
        </w:rPr>
        <w:t>91</w:t>
      </w:r>
      <w:r w:rsidRPr="001C1B82">
        <w:rPr>
          <w:rFonts w:eastAsia="Calibri" w:cs="Calibri"/>
          <w:szCs w:val="16"/>
        </w:rPr>
        <w:t xml:space="preserve"> Durkheim, É. 1997 [1893]. </w:t>
      </w:r>
      <w:r w:rsidRPr="001C1B82">
        <w:rPr>
          <w:rFonts w:eastAsia="Calibri" w:cs="Calibri"/>
          <w:i/>
          <w:szCs w:val="16"/>
        </w:rPr>
        <w:t>Division of labour in society</w:t>
      </w:r>
      <w:r w:rsidRPr="001C1B82">
        <w:rPr>
          <w:rFonts w:eastAsia="Calibri" w:cs="Calibri"/>
          <w:szCs w:val="16"/>
        </w:rPr>
        <w:t xml:space="preserve">. New York: Free Press.  </w:t>
      </w:r>
    </w:p>
  </w:footnote>
  <w:footnote w:id="91">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Canetti, E. 1981 [1960]. </w:t>
      </w:r>
      <w:r w:rsidRPr="001C1B82">
        <w:rPr>
          <w:rFonts w:eastAsia="Calibri" w:cs="Calibri"/>
          <w:i/>
          <w:szCs w:val="16"/>
        </w:rPr>
        <w:t>Crowds and power</w:t>
      </w:r>
      <w:r w:rsidRPr="001C1B82">
        <w:rPr>
          <w:rFonts w:eastAsia="Calibri" w:cs="Calibri"/>
          <w:szCs w:val="16"/>
        </w:rPr>
        <w:t xml:space="preserve">. New York: Continuum. </w:t>
      </w:r>
    </w:p>
  </w:footnote>
  <w:footnote w:id="92">
    <w:p w:rsidR="00673732" w:rsidRPr="001C1B82">
      <w:pPr>
        <w:pStyle w:val="footnotedescription"/>
        <w:spacing w:line="267" w:lineRule="auto"/>
        <w:ind w:left="1"/>
        <w:rPr>
          <w:szCs w:val="16"/>
        </w:rPr>
      </w:pPr>
      <w:r w:rsidRPr="001C1B82">
        <w:rPr>
          <w:rStyle w:val="footnotemark"/>
          <w:szCs w:val="16"/>
        </w:rPr>
        <w:footnoteRef/>
      </w:r>
      <w:r w:rsidRPr="001C1B82">
        <w:rPr>
          <w:rFonts w:eastAsia="Calibri" w:cs="Calibri"/>
          <w:szCs w:val="16"/>
        </w:rPr>
        <w:t xml:space="preserve"> Kramer, A.D.I., Guillory, J.E. &amp; Hancock, J.T. 2014. Experimental evidence of massive-scale emotional contagion through social networks, </w:t>
      </w:r>
      <w:r w:rsidRPr="001C1B82">
        <w:rPr>
          <w:rFonts w:eastAsia="Calibri" w:cs="Calibri"/>
          <w:i/>
          <w:szCs w:val="16"/>
        </w:rPr>
        <w:t>Proceedings of the National Academy of Sciences</w:t>
      </w:r>
      <w:r w:rsidRPr="001C1B82">
        <w:rPr>
          <w:rFonts w:eastAsia="Calibri" w:cs="Calibri"/>
          <w:szCs w:val="16"/>
        </w:rPr>
        <w:t xml:space="preserve">, 111 (29): 8788–90. </w:t>
      </w:r>
    </w:p>
  </w:footnote>
  <w:footnote w:id="93">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Vosoughi, S., Roy, D, &amp; Aral, S. 2018. The spread of true and false news online. </w:t>
      </w:r>
      <w:r w:rsidRPr="001C1B82">
        <w:rPr>
          <w:rFonts w:eastAsia="Calibri" w:cs="Calibri"/>
          <w:i/>
          <w:szCs w:val="16"/>
        </w:rPr>
        <w:t>Science</w:t>
      </w:r>
      <w:r w:rsidRPr="001C1B82">
        <w:rPr>
          <w:rFonts w:eastAsia="Calibri" w:cs="Calibri"/>
          <w:szCs w:val="16"/>
        </w:rPr>
        <w:t xml:space="preserve">, 359 (6380). </w:t>
      </w:r>
    </w:p>
  </w:footnote>
  <w:footnote w:id="94">
    <w:p w:rsidR="00673732" w:rsidRPr="001C1B82">
      <w:pPr>
        <w:pStyle w:val="footnotedescription"/>
        <w:spacing w:line="270" w:lineRule="auto"/>
        <w:ind w:left="1"/>
        <w:rPr>
          <w:szCs w:val="16"/>
        </w:rPr>
      </w:pPr>
      <w:r w:rsidRPr="001C1B82">
        <w:rPr>
          <w:rStyle w:val="footnotemark"/>
          <w:szCs w:val="16"/>
        </w:rPr>
        <w:footnoteRef/>
      </w:r>
      <w:r w:rsidRPr="001C1B82">
        <w:rPr>
          <w:rFonts w:eastAsia="Calibri" w:cs="Calibri"/>
          <w:szCs w:val="16"/>
        </w:rPr>
        <w:t xml:space="preserve"> As of 2019, the UK has 45 million social media users (67% of the UK population). Daily, the average UK based user spends 1 hr 50 mins scrolling through social media sites. </w:t>
      </w:r>
    </w:p>
  </w:footnote>
  <w:footnote w:id="95">
    <w:p w:rsidR="00673732" w:rsidRPr="001C1B82">
      <w:pPr>
        <w:pStyle w:val="footnotedescription"/>
        <w:spacing w:line="254" w:lineRule="auto"/>
        <w:ind w:left="1"/>
        <w:rPr>
          <w:szCs w:val="16"/>
        </w:rPr>
      </w:pPr>
      <w:r w:rsidRPr="001C1B82">
        <w:rPr>
          <w:rStyle w:val="footnotemark"/>
          <w:szCs w:val="16"/>
        </w:rPr>
        <w:footnoteRef/>
      </w:r>
      <w:r w:rsidRPr="001C1B82">
        <w:rPr>
          <w:rFonts w:eastAsia="Calibri" w:cs="Calibri"/>
          <w:szCs w:val="16"/>
        </w:rPr>
        <w:t xml:space="preserve"> As of 2019, Facebook has 40 million monthly active UK users (71% of UK adults &gt;13 years old), while Twitter has 13.6 million monthly active UK users. See: wearesocial &amp; Hootsuite. 2019. </w:t>
      </w:r>
      <w:r w:rsidRPr="001C1B82">
        <w:rPr>
          <w:rFonts w:eastAsia="Calibri" w:cs="Calibri"/>
          <w:i/>
          <w:szCs w:val="16"/>
        </w:rPr>
        <w:t>Digital in the UK</w:t>
      </w:r>
      <w:r>
        <w:fldChar w:fldCharType="begin"/>
      </w:r>
      <w:r>
        <w:instrText xml:space="preserve"> HYPERLINK "https://wearesocial.com/uk/digital-in-the-uk" </w:instrText>
      </w:r>
      <w:r>
        <w:fldChar w:fldCharType="separate"/>
      </w:r>
      <w:r w:rsidRPr="001C1B82">
        <w:rPr>
          <w:rFonts w:eastAsia="Calibri" w:cs="Calibri"/>
          <w:szCs w:val="16"/>
        </w:rPr>
        <w:t xml:space="preserve">. </w:t>
      </w:r>
      <w:r>
        <w:fldChar w:fldCharType="end"/>
      </w:r>
      <w:r>
        <w:fldChar w:fldCharType="begin"/>
      </w:r>
      <w:r>
        <w:instrText xml:space="preserve"> HYPERLINK "https://wearesocial.com/uk/digital-in-the-uk" </w:instrText>
      </w:r>
      <w:r>
        <w:fldChar w:fldCharType="separate"/>
      </w:r>
      <w:r w:rsidRPr="001C1B82">
        <w:rPr>
          <w:rFonts w:eastAsia="Calibri" w:cs="Calibri"/>
          <w:szCs w:val="16"/>
          <w:u w:val="single" w:color="000000"/>
        </w:rPr>
        <w:t>https://wearesocial.com/uk/digital</w:t>
      </w:r>
      <w:r>
        <w:fldChar w:fldCharType="end"/>
      </w:r>
      <w:r>
        <w:fldChar w:fldCharType="begin"/>
      </w:r>
      <w:r>
        <w:instrText xml:space="preserve"> HYPERLINK "https://wearesocial.com/uk/digital-in-the-uk" </w:instrText>
      </w:r>
      <w:r>
        <w:fldChar w:fldCharType="separate"/>
      </w:r>
      <w:r w:rsidRPr="001C1B82">
        <w:rPr>
          <w:rFonts w:eastAsia="Calibri" w:cs="Calibri"/>
          <w:szCs w:val="16"/>
          <w:u w:val="single" w:color="000000"/>
        </w:rPr>
        <w:t>in-the-uk</w:t>
      </w:r>
      <w:r>
        <w:fldChar w:fldCharType="end"/>
      </w:r>
      <w:r>
        <w:fldChar w:fldCharType="begin"/>
      </w:r>
      <w:r>
        <w:instrText xml:space="preserve"> HYPERLINK "https://wearesocial.com/uk/digital-in-the-uk" </w:instrText>
      </w:r>
      <w:r>
        <w:fldChar w:fldCharType="separate"/>
      </w:r>
      <w:r w:rsidRPr="001C1B82">
        <w:rPr>
          <w:rFonts w:eastAsia="Calibri" w:cs="Calibri"/>
          <w:szCs w:val="16"/>
        </w:rPr>
        <w:t xml:space="preserve"> </w:t>
      </w:r>
      <w:r>
        <w:fldChar w:fldCharType="end"/>
      </w:r>
    </w:p>
  </w:footnote>
  <w:footnote w:id="96">
    <w:p w:rsidR="00673732" w:rsidRPr="001C1B82">
      <w:pPr>
        <w:pStyle w:val="footnotedescription"/>
        <w:spacing w:line="247" w:lineRule="auto"/>
        <w:ind w:left="1"/>
        <w:rPr>
          <w:szCs w:val="16"/>
        </w:rPr>
      </w:pPr>
      <w:r w:rsidRPr="001C1B82">
        <w:rPr>
          <w:rStyle w:val="footnotemark"/>
          <w:szCs w:val="16"/>
        </w:rPr>
        <w:footnoteRef/>
      </w:r>
      <w:r w:rsidRPr="001C1B82">
        <w:rPr>
          <w:rFonts w:eastAsia="Calibri" w:cs="Calibri"/>
          <w:szCs w:val="16"/>
        </w:rPr>
        <w:t xml:space="preserve"> ICO. 2018. </w:t>
      </w:r>
      <w:r w:rsidRPr="001C1B82">
        <w:rPr>
          <w:rFonts w:eastAsia="Calibri" w:cs="Calibri"/>
          <w:i/>
          <w:szCs w:val="16"/>
        </w:rPr>
        <w:t>Investigation into the use of data analytics in political campaigns.  A report to Parliament</w:t>
      </w:r>
      <w:r w:rsidRPr="001C1B82">
        <w:rPr>
          <w:rFonts w:eastAsia="Calibri" w:cs="Calibri"/>
          <w:szCs w:val="16"/>
        </w:rPr>
        <w:t>, 6 November. Information Commissioners Office</w:t>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rPr>
        <w:t xml:space="preserve">. </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https://ico.org.uk/media/action-weve-taken/2260271/investigation-into-the-use-of</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data-analytics-in-political-campaigns-final-20181105.pdf</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.18. </w:t>
      </w:r>
    </w:p>
  </w:footnote>
  <w:footnote w:id="97">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Caesar, E. 2019. Banks, the ‘Bad Boy of Brexit’, </w:t>
      </w:r>
      <w:r w:rsidRPr="001C1B82">
        <w:rPr>
          <w:rFonts w:eastAsia="Calibri" w:cs="Calibri"/>
          <w:i/>
          <w:szCs w:val="16"/>
        </w:rPr>
        <w:t>The New Yorker</w:t>
      </w:r>
      <w:r w:rsidRPr="001C1B82">
        <w:rPr>
          <w:rFonts w:eastAsia="Calibri" w:cs="Calibri"/>
          <w:szCs w:val="16"/>
        </w:rPr>
        <w:t xml:space="preserve">, 18 March. </w:t>
      </w:r>
    </w:p>
    <w:p w:rsidR="00673732" w:rsidRPr="001C1B82">
      <w:pPr>
        <w:pStyle w:val="footnotedescription"/>
        <w:spacing w:line="243" w:lineRule="auto"/>
        <w:ind w:left="1" w:right="165"/>
        <w:rPr>
          <w:szCs w:val="16"/>
        </w:rPr>
      </w:pPr>
      <w:r>
        <w:fldChar w:fldCharType="begin"/>
      </w:r>
      <w:r>
        <w:instrText xml:space="preserve"> HYPERLINK "https://www.newyorker.com/magazine/2019/03/25/the-chaotic-triumph-of-arron-banks-the-bad-boy-of-brexit" </w:instrText>
      </w:r>
      <w:r>
        <w:fldChar w:fldCharType="separate"/>
      </w:r>
      <w:r w:rsidRPr="001C1B82">
        <w:rPr>
          <w:rFonts w:eastAsia="Calibri" w:cs="Calibri"/>
          <w:szCs w:val="16"/>
          <w:u w:val="single" w:color="000000"/>
        </w:rPr>
        <w:t>https://www.newyorker.com/magazine/2019/03/25/the-chaotic-triumph-of-arron-banks-the-bad-boy-of-brexit</w:t>
      </w:r>
      <w:r>
        <w:fldChar w:fldCharType="end"/>
      </w:r>
      <w:r>
        <w:fldChar w:fldCharType="begin"/>
      </w:r>
      <w:r>
        <w:instrText xml:space="preserve"> HYPERLINK "https://www.newyorker.com/magazine/2019/03/25/the-chaotic-triumph-of-arron-banks-the-bad-boy-of-brexit"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r w:rsidRPr="001C1B82">
        <w:rPr>
          <w:rFonts w:eastAsia="Calibri" w:cs="Calibri"/>
          <w:szCs w:val="16"/>
          <w:vertAlign w:val="superscript"/>
        </w:rPr>
        <w:t>100</w:t>
      </w:r>
      <w:r w:rsidRPr="001C1B82">
        <w:rPr>
          <w:rFonts w:eastAsia="Calibri" w:cs="Calibri"/>
          <w:szCs w:val="16"/>
        </w:rPr>
        <w:t xml:space="preserve"> DCMS. 2018. </w:t>
      </w:r>
      <w:r w:rsidRPr="001C1B82">
        <w:rPr>
          <w:rFonts w:eastAsia="Calibri" w:cs="Calibri"/>
          <w:i/>
          <w:szCs w:val="16"/>
        </w:rPr>
        <w:t>Disinformation and ‘fake news’: interim report</w:t>
      </w:r>
      <w:r w:rsidRPr="001C1B82">
        <w:rPr>
          <w:rFonts w:eastAsia="Calibri" w:cs="Calibri"/>
          <w:szCs w:val="16"/>
        </w:rPr>
        <w:t xml:space="preserve">, 24 July. House of Commons 363. p.27. Also see Q657 </w:t>
      </w:r>
      <w:r>
        <w:fldChar w:fldCharType="begin"/>
      </w:r>
      <w:r>
        <w:instrText xml:space="preserve"> HYPERLINK "http://data.parliament.uk/writtenevidence/committeeevidence.svc/evidencedocument/digital-culture-media-and-sport-committee/fake-news/oral/79388.html" </w:instrText>
      </w:r>
      <w:r>
        <w:fldChar w:fldCharType="separate"/>
      </w:r>
      <w:r w:rsidRPr="001C1B82">
        <w:rPr>
          <w:rFonts w:eastAsia="Calibri" w:cs="Calibri"/>
          <w:szCs w:val="16"/>
          <w:u w:val="single" w:color="000000"/>
        </w:rPr>
        <w:t>http://data.parliament.uk/writtenevidence/committeeevidence.svc/evidencedocument/digital-culture-media-and-sport</w:t>
      </w:r>
      <w:r>
        <w:fldChar w:fldCharType="end"/>
      </w:r>
      <w:r>
        <w:fldChar w:fldCharType="begin"/>
      </w:r>
      <w:r>
        <w:instrText xml:space="preserve"> HYPERLINK "http://data.parliament.uk/writtenevidence/committeeevidence.svc/evidencedocument/digital-culture-media-and-sport-committee/fake-news/oral/79388.html" </w:instrText>
      </w:r>
      <w:r>
        <w:fldChar w:fldCharType="separate"/>
      </w:r>
      <w:r w:rsidRPr="001C1B82">
        <w:rPr>
          <w:rFonts w:eastAsia="Calibri" w:cs="Calibri"/>
          <w:szCs w:val="16"/>
          <w:u w:val="single" w:color="000000"/>
        </w:rPr>
        <w:t>committee/fake-news/oral/79388.html</w:t>
      </w:r>
      <w:r>
        <w:fldChar w:fldCharType="end"/>
      </w:r>
      <w:r>
        <w:fldChar w:fldCharType="begin"/>
      </w:r>
      <w:r>
        <w:instrText xml:space="preserve"> HYPERLINK "http://data.parliament.uk/writtenevidence/committeeevidence.svc/evidencedocument/digital-culture-media-and-sport-committee/fake-news/oral/79388.html" </w:instrText>
      </w:r>
      <w:r>
        <w:fldChar w:fldCharType="separate"/>
      </w:r>
      <w:r w:rsidRPr="001C1B82">
        <w:rPr>
          <w:rFonts w:eastAsia="Calibri" w:cs="Calibri"/>
          <w:szCs w:val="16"/>
        </w:rPr>
        <w:t xml:space="preserve">  </w:t>
      </w:r>
      <w:r>
        <w:fldChar w:fldCharType="end"/>
      </w:r>
    </w:p>
  </w:footnote>
  <w:footnote w:id="98">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Perloff, R.M. 2018. </w:t>
      </w:r>
      <w:r w:rsidRPr="001C1B82">
        <w:rPr>
          <w:rFonts w:eastAsia="Calibri" w:cs="Calibri"/>
          <w:i/>
          <w:szCs w:val="16"/>
        </w:rPr>
        <w:t>The dynamics of political communication: media and politics in a digital age</w:t>
      </w:r>
      <w:r w:rsidRPr="001C1B82">
        <w:rPr>
          <w:rFonts w:eastAsia="Calibri" w:cs="Calibri"/>
          <w:szCs w:val="16"/>
        </w:rPr>
        <w:t xml:space="preserve">. New York and London: </w:t>
      </w:r>
    </w:p>
    <w:p w:rsidR="00673732" w:rsidRPr="001C1B82">
      <w:pPr>
        <w:pStyle w:val="footnotedescription"/>
        <w:ind w:left="1"/>
        <w:rPr>
          <w:szCs w:val="16"/>
        </w:rPr>
      </w:pPr>
      <w:r w:rsidRPr="001C1B82">
        <w:rPr>
          <w:rFonts w:eastAsia="Calibri" w:cs="Calibri"/>
          <w:szCs w:val="16"/>
        </w:rPr>
        <w:t xml:space="preserve">Routledge. p.250. </w:t>
      </w:r>
    </w:p>
  </w:footnote>
  <w:footnote w:id="99">
    <w:p w:rsidR="00673732" w:rsidRPr="001C1B82">
      <w:pPr>
        <w:pStyle w:val="footnotedescription"/>
        <w:spacing w:line="248" w:lineRule="auto"/>
        <w:ind w:left="1"/>
        <w:rPr>
          <w:szCs w:val="16"/>
        </w:rPr>
      </w:pPr>
      <w:r w:rsidRPr="001C1B82">
        <w:rPr>
          <w:rStyle w:val="footnotemark"/>
          <w:szCs w:val="16"/>
        </w:rPr>
        <w:footnoteRef/>
      </w:r>
      <w:r w:rsidRPr="001C1B82">
        <w:rPr>
          <w:rFonts w:eastAsia="Calibri" w:cs="Calibri"/>
          <w:szCs w:val="16"/>
        </w:rPr>
        <w:t xml:space="preserve"> ICO. 2018. </w:t>
      </w:r>
      <w:r w:rsidRPr="001C1B82">
        <w:rPr>
          <w:rFonts w:eastAsia="Calibri" w:cs="Calibri"/>
          <w:i/>
          <w:szCs w:val="16"/>
        </w:rPr>
        <w:t>Investigation into the use of data analytics in political campaigns.  A report to Parliament</w:t>
      </w:r>
      <w:r w:rsidRPr="001C1B82">
        <w:rPr>
          <w:rFonts w:eastAsia="Calibri" w:cs="Calibri"/>
          <w:szCs w:val="16"/>
        </w:rPr>
        <w:t>, 6 November. Information Commissioners Office</w:t>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rPr>
        <w:t xml:space="preserve">. </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https://ico.org.uk/media/action-weve-taken/2260271/investigation-into-the-use-of</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data-analytics-in-political-campaigns-final-20181105.pdf</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.4. </w:t>
      </w:r>
    </w:p>
  </w:footnote>
  <w:footnote w:id="100">
    <w:p w:rsidR="00673732" w:rsidRPr="001C1B82">
      <w:pPr>
        <w:pStyle w:val="footnotedescription"/>
        <w:spacing w:line="248" w:lineRule="auto"/>
        <w:ind w:left="1"/>
        <w:rPr>
          <w:szCs w:val="16"/>
        </w:rPr>
      </w:pPr>
      <w:r w:rsidRPr="001C1B82">
        <w:rPr>
          <w:rStyle w:val="footnotemark"/>
          <w:szCs w:val="16"/>
        </w:rPr>
        <w:footnoteRef/>
      </w:r>
      <w:r w:rsidRPr="001C1B82">
        <w:rPr>
          <w:rFonts w:eastAsia="Calibri" w:cs="Calibri"/>
          <w:szCs w:val="16"/>
        </w:rPr>
        <w:t xml:space="preserve"> ICO. 2018. </w:t>
      </w:r>
      <w:r w:rsidRPr="001C1B82">
        <w:rPr>
          <w:rFonts w:eastAsia="Calibri" w:cs="Calibri"/>
          <w:i/>
          <w:szCs w:val="16"/>
        </w:rPr>
        <w:t>Investigation into the use of data analytics in political campaigns.  A report to Parliament</w:t>
      </w:r>
      <w:r w:rsidRPr="001C1B82">
        <w:rPr>
          <w:rFonts w:eastAsia="Calibri" w:cs="Calibri"/>
          <w:szCs w:val="16"/>
        </w:rPr>
        <w:t>, 6 November. Information Commissioners Office</w:t>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rPr>
        <w:t xml:space="preserve">. </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https://ico.org.uk/media/action-weve-taken/2260271/investigation-into-the-use-of</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u w:val="single" w:color="000000"/>
        </w:rPr>
        <w:t>data-analytics-in-political-campaigns-final-20181105.pdf</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.18. </w:t>
      </w:r>
    </w:p>
  </w:footnote>
  <w:footnote w:id="101">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Bartlett, J., Smith, J. &amp; Acton, R. 2018. </w:t>
      </w:r>
      <w:r w:rsidRPr="001C1B82">
        <w:rPr>
          <w:rFonts w:eastAsia="Calibri" w:cs="Calibri"/>
          <w:i/>
          <w:szCs w:val="16"/>
        </w:rPr>
        <w:t>The future of political campaigning</w:t>
      </w:r>
      <w:r w:rsidRPr="001C1B82">
        <w:rPr>
          <w:rFonts w:eastAsia="Calibri" w:cs="Calibri"/>
          <w:szCs w:val="16"/>
        </w:rPr>
        <w:t xml:space="preserve">. Demos. July. </w:t>
      </w:r>
    </w:p>
    <w:p w:rsidR="00673732" w:rsidRPr="001C1B82">
      <w:pPr>
        <w:pStyle w:val="footnotedescription"/>
        <w:ind w:left="1"/>
        <w:rPr>
          <w:szCs w:val="16"/>
        </w:rPr>
      </w:pPr>
      <w:r>
        <w:fldChar w:fldCharType="begin"/>
      </w:r>
      <w:r>
        <w:instrText xml:space="preserve"> HYPERLINK "https://ico.org.uk/media/2259365/the-future-of-political-campaigning.pdf" </w:instrText>
      </w:r>
      <w:r>
        <w:fldChar w:fldCharType="separate"/>
      </w:r>
      <w:r w:rsidRPr="001C1B82">
        <w:rPr>
          <w:rFonts w:eastAsia="Calibri" w:cs="Calibri"/>
          <w:szCs w:val="16"/>
          <w:u w:val="single" w:color="000000"/>
        </w:rPr>
        <w:t>https://ico.org.uk/media/2259365/the-future-of-political-campaigning.pdf</w:t>
      </w:r>
      <w:r>
        <w:fldChar w:fldCharType="end"/>
      </w:r>
      <w:r>
        <w:fldChar w:fldCharType="begin"/>
      </w:r>
      <w:r>
        <w:instrText xml:space="preserve"> HYPERLINK "https://ico.org.uk/media/2259365/the-future-of-political-campaigning.pdf" </w:instrText>
      </w:r>
      <w:r>
        <w:fldChar w:fldCharType="separate"/>
      </w:r>
      <w:r w:rsidRPr="001C1B82">
        <w:rPr>
          <w:rFonts w:eastAsia="Calibri" w:cs="Calibri"/>
          <w:szCs w:val="16"/>
        </w:rPr>
        <w:t xml:space="preserve"> </w:t>
      </w:r>
      <w:r>
        <w:fldChar w:fldCharType="end"/>
      </w:r>
    </w:p>
  </w:footnote>
  <w:footnote w:id="102">
    <w:p w:rsidR="00673732" w:rsidRPr="001C1B82">
      <w:pPr>
        <w:pStyle w:val="footnotedescription"/>
        <w:spacing w:line="257" w:lineRule="auto"/>
        <w:ind w:left="1"/>
        <w:rPr>
          <w:szCs w:val="16"/>
        </w:rPr>
      </w:pPr>
      <w:r w:rsidRPr="001C1B82">
        <w:rPr>
          <w:rStyle w:val="footnotemark"/>
          <w:szCs w:val="16"/>
        </w:rPr>
        <w:footnoteRef/>
      </w:r>
      <w:r w:rsidRPr="001C1B82">
        <w:rPr>
          <w:rFonts w:eastAsia="Calibri" w:cs="Calibri"/>
          <w:szCs w:val="16"/>
        </w:rPr>
        <w:t xml:space="preserve"> Bartlett, J., Smith, J. &amp; Acton, R. 2018. </w:t>
      </w:r>
      <w:r w:rsidRPr="001C1B82">
        <w:rPr>
          <w:rFonts w:eastAsia="Calibri" w:cs="Calibri"/>
          <w:i/>
          <w:szCs w:val="16"/>
        </w:rPr>
        <w:t>The future of political campaigning</w:t>
      </w:r>
      <w:r w:rsidRPr="001C1B82">
        <w:rPr>
          <w:rFonts w:eastAsia="Calibri" w:cs="Calibri"/>
          <w:szCs w:val="16"/>
        </w:rPr>
        <w:t xml:space="preserve">. Demos. July. </w:t>
      </w:r>
      <w:r>
        <w:fldChar w:fldCharType="begin"/>
      </w:r>
      <w:r>
        <w:instrText xml:space="preserve"> HYPERLINK "https://ico.org.uk/media/2259365/the-future-of-political-campaigning.pdf" </w:instrText>
      </w:r>
      <w:r>
        <w:fldChar w:fldCharType="separate"/>
      </w:r>
      <w:r w:rsidRPr="001C1B82">
        <w:rPr>
          <w:rFonts w:eastAsia="Calibri" w:cs="Calibri"/>
          <w:szCs w:val="16"/>
          <w:u w:val="single" w:color="000000"/>
        </w:rPr>
        <w:t>https://ico.org.uk/media/2259365/the-future-of-political-campaigning.pdf</w:t>
      </w:r>
      <w:r>
        <w:fldChar w:fldCharType="end"/>
      </w:r>
      <w:r>
        <w:fldChar w:fldCharType="begin"/>
      </w:r>
      <w:r>
        <w:instrText xml:space="preserve"> HYPERLINK "https://ico.org.uk/media/2259365/the-future-of-political-campaigning.pdf"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.39. </w:t>
      </w:r>
    </w:p>
  </w:footnote>
  <w:footnote w:id="103">
    <w:p w:rsidR="00673732" w:rsidRPr="001C1B82">
      <w:pPr>
        <w:pStyle w:val="footnotedescription"/>
        <w:spacing w:line="247" w:lineRule="auto"/>
        <w:ind w:left="1" w:right="223"/>
        <w:jc w:val="both"/>
        <w:rPr>
          <w:szCs w:val="16"/>
        </w:rPr>
      </w:pPr>
      <w:r w:rsidRPr="001C1B82">
        <w:rPr>
          <w:rStyle w:val="footnotemark"/>
          <w:szCs w:val="16"/>
        </w:rPr>
        <w:footnoteRef/>
      </w:r>
      <w:r w:rsidRPr="001C1B82">
        <w:rPr>
          <w:rFonts w:eastAsia="Calibri" w:cs="Calibri"/>
          <w:szCs w:val="16"/>
        </w:rPr>
        <w:t xml:space="preserve"> Cambridge Analytica/SCL Group. n.d. </w:t>
      </w:r>
      <w:r w:rsidRPr="001C1B82">
        <w:rPr>
          <w:rFonts w:eastAsia="Calibri" w:cs="Calibri"/>
          <w:i/>
          <w:szCs w:val="16"/>
        </w:rPr>
        <w:t>Leave.EU: profile raising and outreach</w:t>
      </w:r>
      <w:r w:rsidRPr="001C1B82">
        <w:rPr>
          <w:rFonts w:eastAsia="Calibri" w:cs="Calibri"/>
          <w:szCs w:val="16"/>
        </w:rPr>
        <w:t xml:space="preserve">. </w:t>
      </w:r>
      <w:r>
        <w:fldChar w:fldCharType="begin"/>
      </w:r>
      <w:r>
        <w:instrText xml:space="preserve"> HYPERLINK "https://www.parliament.uk/documents/commons-committees/culture-media-and-sport/Arron-Banks-appendix.pdf" </w:instrText>
      </w:r>
      <w:r>
        <w:fldChar w:fldCharType="separate"/>
      </w:r>
      <w:r w:rsidRPr="001C1B82">
        <w:rPr>
          <w:rFonts w:eastAsia="Calibri" w:cs="Calibri"/>
          <w:szCs w:val="16"/>
          <w:u w:val="single" w:color="000000"/>
        </w:rPr>
        <w:t>https://www.parliament.uk/documents/commons-committees/culture-media-and-sport/Arron-Banks-appendix.pdf</w:t>
      </w:r>
      <w:r>
        <w:fldChar w:fldCharType="end"/>
      </w:r>
      <w:r>
        <w:fldChar w:fldCharType="begin"/>
      </w:r>
      <w:r>
        <w:instrText xml:space="preserve"> HYPERLINK "https://www.parliament.uk/documents/commons-committees/culture-media-and-sport/Arron-Banks-appendix.pdf"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.3. </w:t>
      </w:r>
      <w:r w:rsidRPr="001C1B82">
        <w:rPr>
          <w:rFonts w:eastAsia="Calibri" w:cs="Calibri"/>
          <w:szCs w:val="16"/>
          <w:vertAlign w:val="superscript"/>
        </w:rPr>
        <w:t>107</w:t>
      </w:r>
      <w:r w:rsidRPr="001C1B82">
        <w:rPr>
          <w:rFonts w:eastAsia="Calibri" w:cs="Calibri"/>
          <w:szCs w:val="16"/>
        </w:rPr>
        <w:t xml:space="preserve"> Green, J. &amp; Issenberg, S. 2016. Inside the Trump bunker, with days to go. </w:t>
      </w:r>
      <w:r w:rsidRPr="001C1B82">
        <w:rPr>
          <w:rFonts w:eastAsia="Calibri" w:cs="Calibri"/>
          <w:i/>
          <w:szCs w:val="16"/>
        </w:rPr>
        <w:t>Bloomberg</w:t>
      </w:r>
      <w:r w:rsidRPr="001C1B82">
        <w:rPr>
          <w:rFonts w:eastAsia="Calibri" w:cs="Calibri"/>
          <w:szCs w:val="16"/>
        </w:rPr>
        <w:t xml:space="preserve">, 27 October. https://www.bloomberg.com/news/articles/2016-10-27/inside-the-trump-bunker-with-12-days-to-go </w:t>
      </w:r>
    </w:p>
  </w:footnote>
  <w:footnote w:id="104">
    <w:p w:rsidR="00673732" w:rsidRPr="001C1B82">
      <w:pPr>
        <w:pStyle w:val="footnotedescription"/>
        <w:spacing w:line="254" w:lineRule="auto"/>
        <w:ind w:left="1"/>
        <w:rPr>
          <w:szCs w:val="16"/>
        </w:rPr>
      </w:pPr>
      <w:r w:rsidRPr="001C1B82">
        <w:rPr>
          <w:rStyle w:val="footnotemark"/>
          <w:szCs w:val="16"/>
        </w:rPr>
        <w:footnoteRef/>
      </w:r>
      <w:r w:rsidRPr="001C1B82">
        <w:rPr>
          <w:rFonts w:eastAsia="Calibri" w:cs="Calibri"/>
          <w:szCs w:val="16"/>
        </w:rPr>
        <w:t xml:space="preserve"> Cadwalladr, C. 2018. Revealed: 50 million Facebook profiles harvested for Cambridge Analytica in major data breach. </w:t>
      </w:r>
      <w:r w:rsidRPr="001C1B82">
        <w:rPr>
          <w:rFonts w:eastAsia="Calibri" w:cs="Calibri"/>
          <w:i/>
          <w:szCs w:val="16"/>
        </w:rPr>
        <w:t>The</w:t>
      </w:r>
      <w:r w:rsidRPr="001C1B82">
        <w:rPr>
          <w:rFonts w:eastAsia="Calibri" w:cs="Calibri"/>
          <w:szCs w:val="16"/>
        </w:rPr>
        <w:t xml:space="preserve"> </w:t>
      </w:r>
      <w:r w:rsidRPr="001C1B82">
        <w:rPr>
          <w:rFonts w:eastAsia="Calibri" w:cs="Calibri"/>
          <w:i/>
          <w:szCs w:val="16"/>
        </w:rPr>
        <w:t>Guardian</w:t>
      </w:r>
      <w:r w:rsidRPr="001C1B82">
        <w:rPr>
          <w:rFonts w:eastAsia="Calibri" w:cs="Calibri"/>
          <w:szCs w:val="16"/>
        </w:rPr>
        <w:t>, 17 March</w:t>
      </w:r>
      <w:r>
        <w:fldChar w:fldCharType="begin"/>
      </w:r>
      <w:r>
        <w:instrText xml:space="preserve"> HYPERLINK "https://www.theguardian.com/news/2018/mar/17/cambridge-analytica-facebook-influence-us-election" </w:instrText>
      </w:r>
      <w:r>
        <w:fldChar w:fldCharType="separate"/>
      </w:r>
      <w:r w:rsidRPr="001C1B82">
        <w:rPr>
          <w:rFonts w:eastAsia="Calibri" w:cs="Calibri"/>
          <w:szCs w:val="16"/>
        </w:rPr>
        <w:t xml:space="preserve">. </w:t>
      </w:r>
      <w:r>
        <w:fldChar w:fldCharType="end"/>
      </w:r>
      <w:r>
        <w:fldChar w:fldCharType="begin"/>
      </w:r>
      <w:r>
        <w:instrText xml:space="preserve"> HYPERLINK "https://www.theguardian.com/news/2018/mar/17/cambridge-analytica-facebook-influence-us-election" </w:instrText>
      </w:r>
      <w:r>
        <w:fldChar w:fldCharType="separate"/>
      </w:r>
      <w:r w:rsidRPr="001C1B82">
        <w:rPr>
          <w:rFonts w:eastAsia="Calibri" w:cs="Calibri"/>
          <w:szCs w:val="16"/>
          <w:u w:val="single" w:color="000000"/>
        </w:rPr>
        <w:t>https://www.theguardian.com/news/2018/mar/17/cambridge-analytica-facebook-influence-us</w:t>
      </w:r>
      <w:r>
        <w:fldChar w:fldCharType="end"/>
      </w:r>
      <w:r>
        <w:fldChar w:fldCharType="begin"/>
      </w:r>
      <w:r>
        <w:instrText xml:space="preserve"> HYPERLINK "https://www.theguardian.com/news/2018/mar/17/cambridge-analytica-facebook-influence-us-election" </w:instrText>
      </w:r>
      <w:r>
        <w:fldChar w:fldCharType="separate"/>
      </w:r>
      <w:r w:rsidRPr="001C1B82">
        <w:rPr>
          <w:rFonts w:eastAsia="Calibri" w:cs="Calibri"/>
          <w:szCs w:val="16"/>
          <w:u w:val="single" w:color="000000"/>
        </w:rPr>
        <w:t>election</w:t>
      </w:r>
      <w:r>
        <w:fldChar w:fldCharType="end"/>
      </w:r>
      <w:r>
        <w:fldChar w:fldCharType="begin"/>
      </w:r>
      <w:r>
        <w:instrText xml:space="preserve"> HYPERLINK "https://www.theguardian.com/news/2018/mar/17/cambridge-analytica-facebook-influence-us-election" </w:instrText>
      </w:r>
      <w:r>
        <w:fldChar w:fldCharType="separate"/>
      </w:r>
      <w:r w:rsidRPr="001C1B82">
        <w:rPr>
          <w:rFonts w:eastAsia="Calibri" w:cs="Calibri"/>
          <w:szCs w:val="16"/>
        </w:rPr>
        <w:t xml:space="preserve"> </w:t>
      </w:r>
      <w:r>
        <w:fldChar w:fldCharType="end"/>
      </w:r>
    </w:p>
  </w:footnote>
  <w:footnote w:id="105">
    <w:p w:rsidR="00673732" w:rsidRPr="001C1B82">
      <w:pPr>
        <w:pStyle w:val="footnotedescription"/>
        <w:spacing w:line="249" w:lineRule="auto"/>
        <w:ind w:left="1" w:right="165"/>
        <w:jc w:val="both"/>
        <w:rPr>
          <w:szCs w:val="16"/>
        </w:rPr>
      </w:pPr>
      <w:r w:rsidRPr="001C1B82">
        <w:rPr>
          <w:rStyle w:val="footnotemark"/>
          <w:szCs w:val="16"/>
        </w:rPr>
        <w:footnoteRef/>
      </w:r>
      <w:r w:rsidRPr="001C1B82">
        <w:rPr>
          <w:rFonts w:eastAsia="Calibri" w:cs="Calibri"/>
          <w:szCs w:val="16"/>
        </w:rPr>
        <w:t xml:space="preserve"> Wylie, C. 2018. </w:t>
      </w:r>
      <w:r w:rsidRPr="001C1B82">
        <w:rPr>
          <w:rFonts w:eastAsia="Calibri" w:cs="Calibri"/>
          <w:i/>
          <w:szCs w:val="16"/>
        </w:rPr>
        <w:t>Oral evidence: fake news</w:t>
      </w:r>
      <w:r w:rsidRPr="001C1B82">
        <w:rPr>
          <w:rFonts w:eastAsia="Calibri" w:cs="Calibri"/>
          <w:szCs w:val="16"/>
        </w:rPr>
        <w:t xml:space="preserve">, HC 363, 27 March. </w:t>
      </w:r>
      <w:r>
        <w:fldChar w:fldCharType="begin"/>
      </w:r>
      <w:r>
        <w:instrText xml:space="preserve"> HYPERLINK "http://data.parliament.uk/writtenevidence/committeeevidence.svc/evidencedocument/digital-culture-media-and-sport-committee/disinformation-and-fake-news/oral/81022.pdf" </w:instrText>
      </w:r>
      <w:r>
        <w:fldChar w:fldCharType="separate"/>
      </w:r>
      <w:r w:rsidRPr="001C1B82">
        <w:rPr>
          <w:rFonts w:eastAsia="Calibri" w:cs="Calibri"/>
          <w:szCs w:val="16"/>
          <w:u w:val="single" w:color="000000"/>
        </w:rPr>
        <w:t>http://data.parliament.uk/writtenevidence/committeeevidence.svc/evidencedocument/digital-culture-media-and-sport</w:t>
      </w:r>
      <w:r>
        <w:fldChar w:fldCharType="end"/>
      </w:r>
      <w:r>
        <w:fldChar w:fldCharType="begin"/>
      </w:r>
      <w:r>
        <w:instrText xml:space="preserve"> HYPERLINK "http://data.parliament.uk/writtenevidence/committeeevidence.svc/evidencedocument/digital-culture-media-and-sport-committee/disinformation-and-fake-news/oral/81022.pdf" </w:instrText>
      </w:r>
      <w:r>
        <w:fldChar w:fldCharType="separate"/>
      </w:r>
      <w:r w:rsidRPr="001C1B82">
        <w:rPr>
          <w:rFonts w:eastAsia="Calibri" w:cs="Calibri"/>
          <w:szCs w:val="16"/>
          <w:u w:val="single" w:color="000000"/>
        </w:rPr>
        <w:t>committee/disinformation-and-fake-news/oral/81022.pdf</w:t>
      </w:r>
      <w:r>
        <w:fldChar w:fldCharType="end"/>
      </w:r>
      <w:r>
        <w:fldChar w:fldCharType="begin"/>
      </w:r>
      <w:r>
        <w:instrText xml:space="preserve"> HYPERLINK "http://data.parliament.uk/writtenevidence/committeeevidence.svc/evidencedocument/digital-culture-media-and-sport-committee/disinformation-and-fake-news/oral/81022.pdf"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pp.21-22. </w:t>
      </w:r>
    </w:p>
  </w:footnote>
  <w:footnote w:id="106">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Manthorpe, R. 2019. Teens exposed to highly charged political ads on Facebook and Instagram. </w:t>
      </w:r>
      <w:r w:rsidRPr="001C1B82">
        <w:rPr>
          <w:rFonts w:eastAsia="Calibri" w:cs="Calibri"/>
          <w:i/>
          <w:szCs w:val="16"/>
        </w:rPr>
        <w:t>Sky News</w:t>
      </w:r>
      <w:r w:rsidRPr="001C1B82">
        <w:rPr>
          <w:rFonts w:eastAsia="Calibri" w:cs="Calibri"/>
          <w:szCs w:val="16"/>
        </w:rPr>
        <w:t xml:space="preserve">, 15 August. </w:t>
      </w:r>
    </w:p>
    <w:p w:rsidR="00673732" w:rsidRPr="001C1B82">
      <w:pPr>
        <w:pStyle w:val="footnotedescription"/>
        <w:ind w:left="1"/>
        <w:rPr>
          <w:szCs w:val="16"/>
        </w:rPr>
      </w:pPr>
      <w:r w:rsidRPr="001C1B82">
        <w:rPr>
          <w:rFonts w:eastAsia="Calibri" w:cs="Calibri"/>
          <w:szCs w:val="16"/>
        </w:rPr>
        <w:t xml:space="preserve">https://news.sky.com/story/teens-exposed-to-highly-charged-political-ads-on-facebook-and-instagram-11786042 </w:t>
      </w:r>
    </w:p>
  </w:footnote>
  <w:footnote w:id="107">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Bartlett, J., Smith, J. &amp; Acton, R. 2018. </w:t>
      </w:r>
      <w:r w:rsidRPr="001C1B82">
        <w:rPr>
          <w:rFonts w:eastAsia="Calibri" w:cs="Calibri"/>
          <w:i/>
          <w:szCs w:val="16"/>
        </w:rPr>
        <w:t>The future of political campaigning</w:t>
      </w:r>
      <w:r w:rsidRPr="001C1B82">
        <w:rPr>
          <w:rFonts w:eastAsia="Calibri" w:cs="Calibri"/>
          <w:szCs w:val="16"/>
        </w:rPr>
        <w:t xml:space="preserve">. Demos. July. </w:t>
      </w:r>
    </w:p>
    <w:p w:rsidR="00673732" w:rsidRPr="001C1B82">
      <w:pPr>
        <w:pStyle w:val="footnotedescription"/>
        <w:ind w:left="1"/>
        <w:rPr>
          <w:szCs w:val="16"/>
        </w:rPr>
      </w:pPr>
      <w:r>
        <w:fldChar w:fldCharType="begin"/>
      </w:r>
      <w:r>
        <w:instrText xml:space="preserve"> HYPERLINK "https://ico.org.uk/media/2259365/the-future-of-political-campaigning.pdf" </w:instrText>
      </w:r>
      <w:r>
        <w:fldChar w:fldCharType="separate"/>
      </w:r>
      <w:r w:rsidRPr="001C1B82">
        <w:rPr>
          <w:rFonts w:eastAsia="Calibri" w:cs="Calibri"/>
          <w:szCs w:val="16"/>
          <w:u w:val="single" w:color="000000"/>
        </w:rPr>
        <w:t>https://ico.org.uk/media/2259365/the-future-of-political-campaigning.pdf</w:t>
      </w:r>
      <w:r>
        <w:fldChar w:fldCharType="end"/>
      </w:r>
      <w:r>
        <w:fldChar w:fldCharType="begin"/>
      </w:r>
      <w:r>
        <w:instrText xml:space="preserve"> HYPERLINK "https://ico.org.uk/media/2259365/the-future-of-political-campaigning.pdf" </w:instrText>
      </w:r>
      <w:r>
        <w:fldChar w:fldCharType="separate"/>
      </w:r>
      <w:r w:rsidRPr="001C1B82">
        <w:rPr>
          <w:rFonts w:eastAsia="Calibri" w:cs="Calibri"/>
          <w:szCs w:val="16"/>
        </w:rPr>
        <w:t xml:space="preserve"> </w:t>
      </w:r>
      <w:r>
        <w:fldChar w:fldCharType="end"/>
      </w:r>
    </w:p>
  </w:footnote>
  <w:footnote w:id="108">
    <w:p w:rsidR="00673732" w:rsidRPr="001C1B82">
      <w:pPr>
        <w:pStyle w:val="footnotedescription"/>
        <w:ind w:left="1"/>
        <w:rPr>
          <w:szCs w:val="16"/>
        </w:rPr>
      </w:pPr>
      <w:r w:rsidRPr="001C1B82">
        <w:rPr>
          <w:rStyle w:val="footnotemark"/>
          <w:szCs w:val="16"/>
        </w:rPr>
        <w:footnoteRef/>
      </w:r>
      <w:r w:rsidRPr="001C1B82">
        <w:rPr>
          <w:rFonts w:eastAsia="Calibri" w:cs="Calibri"/>
          <w:szCs w:val="16"/>
        </w:rPr>
        <w:t xml:space="preserve"> Tufekci, Z. 2014. Engineering the public: big data, surveillance and computational politics. </w:t>
      </w:r>
      <w:r w:rsidRPr="001C1B82">
        <w:rPr>
          <w:rFonts w:eastAsia="Calibri" w:cs="Calibri"/>
          <w:i/>
          <w:szCs w:val="16"/>
        </w:rPr>
        <w:t>First Monday</w:t>
      </w:r>
      <w:r w:rsidRPr="001C1B82">
        <w:rPr>
          <w:rFonts w:eastAsia="Calibri" w:cs="Calibri"/>
          <w:szCs w:val="16"/>
        </w:rPr>
        <w:t xml:space="preserve">, 19 (7). </w:t>
      </w:r>
    </w:p>
    <w:p w:rsidR="00673732" w:rsidRPr="001C1B82">
      <w:pPr>
        <w:pStyle w:val="footnotedescription"/>
        <w:ind w:left="1"/>
        <w:rPr>
          <w:szCs w:val="16"/>
        </w:rPr>
      </w:pPr>
      <w:r>
        <w:fldChar w:fldCharType="begin"/>
      </w:r>
      <w:r>
        <w:instrText xml:space="preserve"> HYPERLINK "https://firstmonday.org/ojs/index.php/fm/article/view/4901/4097" </w:instrText>
      </w:r>
      <w:r>
        <w:fldChar w:fldCharType="separate"/>
      </w:r>
      <w:r w:rsidRPr="001C1B82">
        <w:rPr>
          <w:rFonts w:eastAsia="Calibri" w:cs="Calibri"/>
          <w:szCs w:val="16"/>
          <w:u w:val="single" w:color="000000"/>
        </w:rPr>
        <w:t>https://firstmonday.org/ojs/index.php/fm/article/view/4901/4097</w:t>
      </w:r>
      <w:r>
        <w:fldChar w:fldCharType="end"/>
      </w:r>
      <w:r>
        <w:fldChar w:fldCharType="begin"/>
      </w:r>
      <w:r>
        <w:instrText xml:space="preserve"> HYPERLINK "https://firstmonday.org/ojs/index.php/fm/article/view/4901/4097" </w:instrText>
      </w:r>
      <w:r>
        <w:fldChar w:fldCharType="separate"/>
      </w:r>
      <w:r w:rsidRPr="001C1B82">
        <w:rPr>
          <w:rFonts w:eastAsia="Calibri" w:cs="Calibri"/>
          <w:szCs w:val="16"/>
        </w:rPr>
        <w:t xml:space="preserve"> </w:t>
      </w:r>
      <w:r>
        <w:fldChar w:fldCharType="end"/>
      </w:r>
    </w:p>
  </w:footnote>
  <w:footnote w:id="109">
    <w:p w:rsidR="00673732" w:rsidRPr="001C1B82">
      <w:pPr>
        <w:pStyle w:val="footnotedescription"/>
        <w:spacing w:line="268" w:lineRule="auto"/>
        <w:ind w:left="1"/>
        <w:rPr>
          <w:szCs w:val="16"/>
        </w:rPr>
      </w:pPr>
      <w:r w:rsidRPr="001C1B82">
        <w:rPr>
          <w:rStyle w:val="footnotemark"/>
          <w:szCs w:val="16"/>
        </w:rPr>
        <w:footnoteRef/>
      </w:r>
      <w:r w:rsidRPr="001C1B82">
        <w:rPr>
          <w:rFonts w:eastAsia="Calibri" w:cs="Calibri"/>
          <w:szCs w:val="16"/>
        </w:rPr>
        <w:t xml:space="preserve"> E.g content that uses divisive and inflammatory rhetoric, and presents faulty reasoning or misleading information to manipulate understanding of public issues and feed conspiracy theories. </w:t>
      </w:r>
    </w:p>
  </w:footnote>
  <w:footnote w:id="110">
    <w:p w:rsidR="00673732" w:rsidRPr="001C1B82">
      <w:pPr>
        <w:pStyle w:val="footnotedescription"/>
        <w:spacing w:line="254" w:lineRule="auto"/>
        <w:ind w:left="1"/>
        <w:rPr>
          <w:szCs w:val="16"/>
        </w:rPr>
      </w:pPr>
      <w:r w:rsidRPr="001C1B82">
        <w:rPr>
          <w:rStyle w:val="footnotemark"/>
          <w:szCs w:val="16"/>
        </w:rPr>
        <w:footnoteRef/>
      </w:r>
      <w:r w:rsidRPr="001C1B82">
        <w:rPr>
          <w:rFonts w:eastAsia="Calibri" w:cs="Calibri"/>
          <w:szCs w:val="16"/>
        </w:rPr>
        <w:t xml:space="preserve"> Howard, P.N., Kollanyi, B., Bradshaw, S. &amp; Neudert, L.-M. 2017. Social media, news and political information during the US Election: was polarizing content concentrated in swing states? </w:t>
      </w:r>
      <w:r w:rsidRPr="001C1B82">
        <w:rPr>
          <w:rFonts w:eastAsia="Calibri" w:cs="Calibri"/>
          <w:i/>
          <w:szCs w:val="16"/>
        </w:rPr>
        <w:t>COMPROP DATA MEMO</w:t>
      </w:r>
      <w:r w:rsidRPr="001C1B82">
        <w:rPr>
          <w:rFonts w:eastAsia="Calibri" w:cs="Calibri"/>
          <w:szCs w:val="16"/>
        </w:rPr>
        <w:t xml:space="preserve"> 28 September. </w:t>
      </w:r>
      <w:r>
        <w:fldChar w:fldCharType="begin"/>
      </w:r>
      <w:r>
        <w:instrText xml:space="preserve"> HYPERLINK "http://comprop.oii.ox.ac.uk/wp-content/uploads/sites/89/2017/09/Polarizing-Content-and-Swing-States.pdf" </w:instrText>
      </w:r>
      <w:r>
        <w:fldChar w:fldCharType="separate"/>
      </w:r>
      <w:r w:rsidRPr="001C1B82">
        <w:rPr>
          <w:rFonts w:eastAsia="Calibri" w:cs="Calibri"/>
          <w:szCs w:val="16"/>
          <w:u w:val="single" w:color="000000"/>
        </w:rPr>
        <w:t>http://comprop.oii.ox.ac.uk/wp-content/uploads/sites/89/2017/09/Polarizing-Content-and-Swing-States.pdf</w:t>
      </w:r>
      <w:r>
        <w:fldChar w:fldCharType="end"/>
      </w:r>
      <w:r>
        <w:fldChar w:fldCharType="begin"/>
      </w:r>
      <w:r>
        <w:instrText xml:space="preserve"> HYPERLINK "http://comprop.oii.ox.ac.uk/wp-content/uploads/sites/89/2017/09/Polarizing-Content-and-Swing-States.pdf" </w:instrText>
      </w:r>
      <w:r>
        <w:fldChar w:fldCharType="separate"/>
      </w:r>
      <w:r w:rsidRPr="001C1B82">
        <w:rPr>
          <w:rFonts w:eastAsia="Calibri" w:cs="Calibri"/>
          <w:szCs w:val="16"/>
        </w:rPr>
        <w:t xml:space="preserve"> </w:t>
      </w:r>
      <w:r>
        <w:fldChar w:fldCharType="end"/>
      </w:r>
    </w:p>
  </w:footnote>
  <w:footnote w:id="111">
    <w:p w:rsidR="00673732" w:rsidRPr="001C1B82">
      <w:pPr>
        <w:pStyle w:val="footnotedescription"/>
        <w:spacing w:line="261" w:lineRule="auto"/>
        <w:ind w:left="1"/>
        <w:rPr>
          <w:szCs w:val="16"/>
        </w:rPr>
      </w:pPr>
      <w:r w:rsidRPr="001C1B82">
        <w:rPr>
          <w:rStyle w:val="footnotemark"/>
          <w:szCs w:val="16"/>
        </w:rPr>
        <w:footnoteRef/>
      </w:r>
      <w:r w:rsidRPr="001C1B82">
        <w:rPr>
          <w:rFonts w:eastAsia="Calibri" w:cs="Calibri"/>
          <w:szCs w:val="16"/>
        </w:rPr>
        <w:t xml:space="preserve"> Lazarsfeld, P.F., Berelson, B. &amp; Gaudet, H. 1944. </w:t>
      </w:r>
      <w:r w:rsidRPr="001C1B82">
        <w:rPr>
          <w:rFonts w:eastAsia="Calibri" w:cs="Calibri"/>
          <w:i/>
          <w:szCs w:val="16"/>
        </w:rPr>
        <w:t>The people’s choice: how a voter makes up his mind in a presidential campaign</w:t>
      </w:r>
      <w:r w:rsidRPr="001C1B82">
        <w:rPr>
          <w:rFonts w:eastAsia="Calibri" w:cs="Calibri"/>
          <w:szCs w:val="16"/>
        </w:rPr>
        <w:t xml:space="preserve">. New York: Columbia University Press. </w:t>
      </w:r>
    </w:p>
  </w:footnote>
  <w:footnote w:id="112">
    <w:p w:rsidR="00673732" w:rsidRPr="001C1B82">
      <w:pPr>
        <w:pStyle w:val="footnotedescription"/>
        <w:spacing w:line="248" w:lineRule="auto"/>
        <w:ind w:left="1"/>
        <w:rPr>
          <w:szCs w:val="16"/>
        </w:rPr>
      </w:pPr>
      <w:r w:rsidRPr="001C1B82">
        <w:rPr>
          <w:rStyle w:val="footnotemark"/>
          <w:szCs w:val="16"/>
        </w:rPr>
        <w:footnoteRef/>
      </w:r>
      <w:r w:rsidRPr="001C1B82">
        <w:rPr>
          <w:rFonts w:eastAsia="Calibri" w:cs="Calibri"/>
          <w:szCs w:val="16"/>
        </w:rPr>
        <w:t xml:space="preserve"> Bessi A., Zollo F., Del Vicario M., Puliga M., Scala A., Caldarelli G. Uzzi, B. &amp; Quattrociocchi, W. 2016. Users polarization on Facebook and Youtube. </w:t>
      </w:r>
      <w:r w:rsidRPr="001C1B82">
        <w:rPr>
          <w:rFonts w:eastAsia="Calibri" w:cs="Calibri"/>
          <w:i/>
          <w:szCs w:val="16"/>
        </w:rPr>
        <w:t>PLoS ONE,</w:t>
      </w:r>
      <w:r w:rsidRPr="001C1B82">
        <w:rPr>
          <w:rFonts w:eastAsia="Calibri" w:cs="Calibri"/>
          <w:szCs w:val="16"/>
        </w:rPr>
        <w:t xml:space="preserve"> 11(8): e0159641. doi:10.1371/journal.pone.0159641;   del Vicario, M., Bessi, A., Zollo, F., Petroni, F., Scala, A., Caldarellia, G., Stanley, H. E. &amp; Quattrociocchi, W. 2016. The spreading of misinformation online. </w:t>
      </w:r>
      <w:r w:rsidRPr="001C1B82">
        <w:rPr>
          <w:rFonts w:eastAsia="Calibri" w:cs="Calibri"/>
          <w:i/>
          <w:szCs w:val="16"/>
        </w:rPr>
        <w:t>Proceedings of the National Academy of Sciences</w:t>
      </w:r>
      <w:r w:rsidRPr="001C1B82">
        <w:rPr>
          <w:rFonts w:eastAsia="Calibri" w:cs="Calibri"/>
          <w:szCs w:val="16"/>
        </w:rPr>
        <w:t xml:space="preserve">, 113(3): 554-559. </w:t>
      </w:r>
      <w:r>
        <w:fldChar w:fldCharType="begin"/>
      </w:r>
      <w:r>
        <w:instrText xml:space="preserve"> HYPERLINK "http://www.pnas.org/content/113/3/554.full.pdf" </w:instrText>
      </w:r>
      <w:r>
        <w:fldChar w:fldCharType="separate"/>
      </w:r>
      <w:r w:rsidRPr="001C1B82">
        <w:rPr>
          <w:rFonts w:eastAsia="Calibri" w:cs="Calibri"/>
          <w:szCs w:val="16"/>
          <w:u w:val="single" w:color="000000"/>
        </w:rPr>
        <w:t>http://www.pnas.org/content/113/3/554.full.pdf</w:t>
      </w:r>
      <w:r>
        <w:fldChar w:fldCharType="end"/>
      </w:r>
      <w:r>
        <w:fldChar w:fldCharType="begin"/>
      </w:r>
      <w:r>
        <w:instrText xml:space="preserve"> HYPERLINK "http://www.pnas.org/content/113/3/554.full.pdf"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113">
    <w:p w:rsidR="00673732" w:rsidRPr="001C1B82">
      <w:pPr>
        <w:pStyle w:val="footnotedescription"/>
        <w:spacing w:line="247" w:lineRule="auto"/>
        <w:ind w:left="1"/>
        <w:rPr>
          <w:szCs w:val="16"/>
        </w:rPr>
      </w:pPr>
      <w:r w:rsidRPr="001C1B82">
        <w:rPr>
          <w:rStyle w:val="footnotemark"/>
          <w:szCs w:val="16"/>
        </w:rPr>
        <w:footnoteRef/>
      </w:r>
      <w:r w:rsidRPr="001C1B82">
        <w:rPr>
          <w:rFonts w:eastAsia="Calibri" w:cs="Calibri"/>
          <w:szCs w:val="16"/>
        </w:rPr>
        <w:t xml:space="preserve"> Habermas, J. 1989. </w:t>
      </w:r>
      <w:r w:rsidRPr="001C1B82">
        <w:rPr>
          <w:rFonts w:eastAsia="Calibri" w:cs="Calibri"/>
          <w:i/>
          <w:szCs w:val="16"/>
        </w:rPr>
        <w:t>The structural transformation of the public sphere: an inquiry into a category of bourgeois society</w:t>
      </w:r>
      <w:r w:rsidRPr="001C1B82">
        <w:rPr>
          <w:rFonts w:eastAsia="Calibri" w:cs="Calibri"/>
          <w:szCs w:val="16"/>
        </w:rPr>
        <w:t xml:space="preserve">. Cambridge, MA: MIT Press. Scammell, M. 2014. </w:t>
      </w:r>
      <w:r w:rsidRPr="001C1B82">
        <w:rPr>
          <w:rFonts w:eastAsia="Calibri" w:cs="Calibri"/>
          <w:i/>
          <w:szCs w:val="16"/>
        </w:rPr>
        <w:t>Consumer democracy: the marketing of politics</w:t>
      </w:r>
      <w:r w:rsidRPr="001C1B82">
        <w:rPr>
          <w:rFonts w:eastAsia="Calibri" w:cs="Calibri"/>
          <w:szCs w:val="16"/>
        </w:rPr>
        <w:t xml:space="preserve">. New York: Cambridge University Press. </w:t>
      </w:r>
    </w:p>
  </w:footnote>
  <w:footnote w:id="114">
    <w:p w:rsidR="00673732" w:rsidRPr="001C1B82">
      <w:pPr>
        <w:pStyle w:val="footnotedescription"/>
        <w:spacing w:line="248" w:lineRule="auto"/>
        <w:ind w:left="1" w:right="297"/>
        <w:rPr>
          <w:szCs w:val="16"/>
        </w:rPr>
      </w:pPr>
      <w:r w:rsidRPr="001C1B82">
        <w:rPr>
          <w:rStyle w:val="footnotemark"/>
          <w:szCs w:val="16"/>
        </w:rPr>
        <w:footnoteRef/>
      </w:r>
      <w:r w:rsidRPr="001C1B82">
        <w:rPr>
          <w:rFonts w:eastAsia="Calibri" w:cs="Calibri"/>
          <w:szCs w:val="16"/>
        </w:rPr>
        <w:t xml:space="preserve"> DCMS. 2019. </w:t>
      </w:r>
      <w:r w:rsidRPr="001C1B82">
        <w:rPr>
          <w:rFonts w:eastAsia="Calibri" w:cs="Calibri"/>
          <w:i/>
          <w:szCs w:val="16"/>
        </w:rPr>
        <w:t>Disinformation and ‘fake news’: final report</w:t>
      </w:r>
      <w:r w:rsidRPr="001C1B82">
        <w:rPr>
          <w:rFonts w:eastAsia="Calibri" w:cs="Calibri"/>
          <w:szCs w:val="16"/>
        </w:rPr>
        <w:t>, 14 February. Digital, Culture, Media and Sport Committee, House of Commons 1791</w:t>
      </w:r>
      <w:r>
        <w:fldChar w:fldCharType="begin"/>
      </w:r>
      <w:r>
        <w:instrText xml:space="preserve"> HYPERLINK "https://publications.parliament.uk/pa/cm201719/cmselect/cmcumeds/1791/1791.pdf" </w:instrText>
      </w:r>
      <w:r>
        <w:fldChar w:fldCharType="separate"/>
      </w:r>
      <w:r w:rsidRPr="001C1B82">
        <w:rPr>
          <w:rFonts w:eastAsia="Calibri" w:cs="Calibri"/>
          <w:szCs w:val="16"/>
        </w:rPr>
        <w:t xml:space="preserve">. </w:t>
      </w:r>
      <w:r>
        <w:fldChar w:fldCharType="end"/>
      </w:r>
      <w:r>
        <w:fldChar w:fldCharType="begin"/>
      </w:r>
      <w:r>
        <w:instrText xml:space="preserve"> HYPERLINK "https://publications.parliament.uk/pa/cm201719/cmselect/cmcumeds/1791/1791.pdf" </w:instrText>
      </w:r>
      <w:r>
        <w:fldChar w:fldCharType="separate"/>
      </w:r>
      <w:r w:rsidRPr="001C1B82">
        <w:rPr>
          <w:rFonts w:eastAsia="Calibri" w:cs="Calibri"/>
          <w:szCs w:val="16"/>
          <w:u w:val="single" w:color="000000"/>
        </w:rPr>
        <w:t>https://publications.parliament.uk/pa/cm201719/cmselect/cmcumeds/1791/1791.pdf</w:t>
      </w:r>
      <w:r>
        <w:fldChar w:fldCharType="end"/>
      </w:r>
      <w:r>
        <w:fldChar w:fldCharType="begin"/>
      </w:r>
      <w:r>
        <w:instrText xml:space="preserve"> HYPERLINK "https://publications.parliament.uk/pa/cm201719/cmselect/cmcumeds/1791/1791.pdf" </w:instrText>
      </w:r>
      <w:r>
        <w:fldChar w:fldCharType="separate"/>
      </w:r>
      <w:r w:rsidRPr="001C1B82">
        <w:rPr>
          <w:rFonts w:eastAsia="Calibri" w:cs="Calibri"/>
          <w:szCs w:val="16"/>
        </w:rPr>
        <w:t xml:space="preserve"> </w:t>
      </w:r>
      <w:r>
        <w:fldChar w:fldCharType="end"/>
      </w:r>
      <w:r w:rsidRPr="001C1B82">
        <w:rPr>
          <w:rFonts w:eastAsia="Calibri" w:cs="Calibri"/>
          <w:szCs w:val="16"/>
          <w:vertAlign w:val="superscript"/>
        </w:rPr>
        <w:t>119</w:t>
      </w:r>
      <w:r w:rsidRPr="001C1B82">
        <w:rPr>
          <w:rFonts w:eastAsia="Calibri" w:cs="Calibri"/>
          <w:szCs w:val="16"/>
        </w:rPr>
        <w:t xml:space="preserve"> Cabinet Office &amp; Kevin Foster MP. 2019. </w:t>
      </w:r>
      <w:r w:rsidRPr="001C1B82">
        <w:rPr>
          <w:rFonts w:eastAsia="Calibri" w:cs="Calibri"/>
          <w:i/>
          <w:szCs w:val="16"/>
        </w:rPr>
        <w:t>Press release: Government safeguards UK elections</w:t>
      </w:r>
      <w:r w:rsidRPr="001C1B82">
        <w:rPr>
          <w:rFonts w:eastAsia="Calibri" w:cs="Calibri"/>
          <w:szCs w:val="16"/>
        </w:rPr>
        <w:t xml:space="preserve">, 5 May. </w:t>
      </w:r>
      <w:r>
        <w:fldChar w:fldCharType="begin"/>
      </w:r>
      <w:r>
        <w:instrText xml:space="preserve"> HYPERLINK "https://www.gov.uk/government/news/government-safeguards-uk-elections" </w:instrText>
      </w:r>
      <w:r>
        <w:fldChar w:fldCharType="separate"/>
      </w:r>
      <w:r w:rsidRPr="001C1B82">
        <w:rPr>
          <w:rFonts w:eastAsia="Calibri" w:cs="Calibri"/>
          <w:szCs w:val="16"/>
          <w:u w:val="single" w:color="000000"/>
        </w:rPr>
        <w:t>https://www.gov.uk/government/news/government-safeguards-uk-elections</w:t>
      </w:r>
      <w:r>
        <w:fldChar w:fldCharType="end"/>
      </w:r>
      <w:r>
        <w:fldChar w:fldCharType="begin"/>
      </w:r>
      <w:r>
        <w:instrText xml:space="preserve"> HYPERLINK "https://www.gov.uk/government/news/government-safeguards-uk-elections"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115">
    <w:p w:rsidR="00673732" w:rsidRPr="001C1B82">
      <w:pPr>
        <w:pStyle w:val="footnotedescription"/>
        <w:spacing w:line="248" w:lineRule="auto"/>
        <w:ind w:left="1"/>
        <w:rPr>
          <w:szCs w:val="16"/>
        </w:rPr>
      </w:pPr>
      <w:r w:rsidRPr="001C1B82">
        <w:rPr>
          <w:rStyle w:val="footnotemark"/>
          <w:szCs w:val="16"/>
        </w:rPr>
        <w:footnoteRef/>
      </w:r>
      <w:r w:rsidRPr="001C1B82">
        <w:rPr>
          <w:rFonts w:eastAsia="Calibri" w:cs="Calibri"/>
          <w:szCs w:val="16"/>
        </w:rPr>
        <w:t xml:space="preserve"> Bakir, V. &amp; McStay, A. 2017. Summary and analysis of all written submissions on how to combat fake news (up to April 2017). Written Submission to Inquiry into Disinformation and Fake News. DCMS. </w:t>
      </w:r>
      <w:r>
        <w:fldChar w:fldCharType="begin"/>
      </w:r>
      <w:r>
        <w:instrText xml:space="preserve"> HYPERLINK "http://data.parliament.uk/writtenevidence/committeeevidence.svc/evidencedocument/digital-culture-media-and-sport-committee/fake-news/written/71533.html" </w:instrText>
      </w:r>
      <w:r>
        <w:fldChar w:fldCharType="separate"/>
      </w:r>
      <w:r w:rsidRPr="001C1B82">
        <w:rPr>
          <w:rFonts w:eastAsia="Calibri" w:cs="Calibri"/>
          <w:szCs w:val="16"/>
          <w:u w:val="single" w:color="000000"/>
        </w:rPr>
        <w:t>http://data.parliament.uk/writtenevidence/committeeevidence.svc/evidencedocument/digital-culture-media-and-sport</w:t>
      </w:r>
      <w:r>
        <w:fldChar w:fldCharType="end"/>
      </w:r>
      <w:r>
        <w:fldChar w:fldCharType="begin"/>
      </w:r>
      <w:r>
        <w:instrText xml:space="preserve"> HYPERLINK "http://data.parliament.uk/writtenevidence/committeeevidence.svc/evidencedocument/digital-culture-media-and-sport-committee/fake-news/written/71533.html" </w:instrText>
      </w:r>
      <w:r>
        <w:fldChar w:fldCharType="separate"/>
      </w:r>
      <w:r w:rsidRPr="001C1B82">
        <w:rPr>
          <w:rFonts w:eastAsia="Calibri" w:cs="Calibri"/>
          <w:szCs w:val="16"/>
          <w:u w:val="single" w:color="000000"/>
        </w:rPr>
        <w:t>committee/fake-news/written/71533.html</w:t>
      </w:r>
      <w:r>
        <w:fldChar w:fldCharType="end"/>
      </w:r>
      <w:r>
        <w:fldChar w:fldCharType="begin"/>
      </w:r>
      <w:r>
        <w:instrText xml:space="preserve"> HYPERLINK "http://data.parliament.uk/writtenevidence/committeeevidence.svc/evidencedocument/digital-culture-media-and-sport-committee/fake-news/written/71533.html"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Bakir, V. &amp; McStay, A. 2018. Fake news and the economy of emotions: problems, causes, solutions. </w:t>
      </w:r>
      <w:r w:rsidRPr="001C1B82">
        <w:rPr>
          <w:rFonts w:eastAsia="Calibri" w:cs="Calibri"/>
          <w:i/>
          <w:szCs w:val="16"/>
        </w:rPr>
        <w:t>Digital Journalism</w:t>
      </w:r>
      <w:r w:rsidRPr="001C1B82">
        <w:rPr>
          <w:rFonts w:eastAsia="Calibri" w:cs="Calibri"/>
          <w:szCs w:val="16"/>
        </w:rPr>
        <w:t>, 1-22</w:t>
      </w:r>
      <w:r>
        <w:fldChar w:fldCharType="begin"/>
      </w:r>
      <w:r>
        <w:instrText xml:space="preserve"> HYPERLINK "http://dx.doi.org/10.1080/21670811.2017.1345645" </w:instrText>
      </w:r>
      <w:r>
        <w:fldChar w:fldCharType="separate"/>
      </w:r>
      <w:r w:rsidRPr="001C1B82">
        <w:rPr>
          <w:rFonts w:eastAsia="Calibri" w:cs="Calibri"/>
          <w:szCs w:val="16"/>
        </w:rPr>
        <w:t xml:space="preserve">. </w:t>
      </w:r>
      <w:r>
        <w:fldChar w:fldCharType="end"/>
      </w:r>
      <w:r>
        <w:fldChar w:fldCharType="begin"/>
      </w:r>
      <w:r>
        <w:instrText xml:space="preserve"> HYPERLINK "http://dx.doi.org/10.1080/21670811.2017.1345645" </w:instrText>
      </w:r>
      <w:r>
        <w:fldChar w:fldCharType="separate"/>
      </w:r>
      <w:r w:rsidRPr="001C1B82">
        <w:rPr>
          <w:rFonts w:eastAsia="Calibri" w:cs="Calibri"/>
          <w:szCs w:val="16"/>
          <w:u w:val="single" w:color="000000"/>
        </w:rPr>
        <w:t>http://dx.doi.org/10.1080/21670811.2017.1345645</w:t>
      </w:r>
      <w:r>
        <w:fldChar w:fldCharType="end"/>
      </w:r>
      <w:r>
        <w:fldChar w:fldCharType="begin"/>
      </w:r>
      <w:r>
        <w:instrText xml:space="preserve"> HYPERLINK "http://dx.doi.org/10.1080/21670811.2017.1345645" </w:instrText>
      </w:r>
      <w:r>
        <w:fldChar w:fldCharType="separate"/>
      </w:r>
      <w:r w:rsidRPr="001C1B82">
        <w:rPr>
          <w:rFonts w:eastAsia="Calibri" w:cs="Calibri"/>
          <w:szCs w:val="16"/>
        </w:rPr>
        <w:t xml:space="preserve"> </w:t>
      </w:r>
      <w:r>
        <w:fldChar w:fldCharType="end"/>
      </w:r>
    </w:p>
  </w:footnote>
  <w:footnote w:id="116">
    <w:p w:rsidR="00673732" w:rsidRPr="001C1B82">
      <w:pPr>
        <w:pStyle w:val="footnotedescription"/>
        <w:spacing w:line="249" w:lineRule="auto"/>
        <w:ind w:left="1" w:right="175"/>
        <w:rPr>
          <w:szCs w:val="16"/>
        </w:rPr>
      </w:pPr>
      <w:r w:rsidRPr="001C1B82">
        <w:rPr>
          <w:rStyle w:val="footnotemark"/>
          <w:szCs w:val="16"/>
        </w:rPr>
        <w:footnoteRef/>
      </w:r>
      <w:r w:rsidRPr="001C1B82">
        <w:rPr>
          <w:rFonts w:eastAsia="Calibri" w:cs="Calibri"/>
          <w:szCs w:val="16"/>
        </w:rPr>
        <w:t xml:space="preserve"> Chan, M.S., Jones, C. R., Jamieson, K.H. &amp; Albarracín, D. 2017. Debunking: a meta-analysis of the psychological efficacy of messages countering mis-information, </w:t>
      </w:r>
      <w:r w:rsidRPr="001C1B82">
        <w:rPr>
          <w:rFonts w:eastAsia="Calibri" w:cs="Calibri"/>
          <w:i/>
          <w:szCs w:val="16"/>
        </w:rPr>
        <w:t>Psychological Science</w:t>
      </w:r>
      <w:r w:rsidRPr="001C1B82">
        <w:rPr>
          <w:rFonts w:eastAsia="Calibri" w:cs="Calibri"/>
          <w:szCs w:val="16"/>
        </w:rPr>
        <w:t xml:space="preserve">, 1-16. Rubin, V.L., Conroy, N.J., Chen, Y. &amp; Cornwell, S. 2017. Fake news or truth? using satirical cues to detect potentially misleading news. </w:t>
      </w:r>
      <w:r w:rsidRPr="001C1B82">
        <w:rPr>
          <w:rFonts w:eastAsia="Calibri" w:cs="Calibri"/>
          <w:i/>
          <w:szCs w:val="16"/>
        </w:rPr>
        <w:t>Journal of Economic Perspectives,</w:t>
      </w:r>
      <w:r w:rsidRPr="001C1B82">
        <w:rPr>
          <w:rFonts w:eastAsia="Calibri" w:cs="Calibri"/>
          <w:szCs w:val="16"/>
        </w:rPr>
        <w:t xml:space="preserve"> 31 (2): 211-236. </w:t>
      </w:r>
    </w:p>
  </w:footnote>
  <w:footnote w:id="117">
    <w:p w:rsidR="00673732" w:rsidRPr="001C1B82">
      <w:pPr>
        <w:pStyle w:val="footnotedescription"/>
        <w:spacing w:line="248" w:lineRule="auto"/>
        <w:ind w:left="1"/>
        <w:rPr>
          <w:szCs w:val="16"/>
        </w:rPr>
      </w:pPr>
      <w:r w:rsidRPr="001C1B82">
        <w:rPr>
          <w:rStyle w:val="footnotemark"/>
          <w:szCs w:val="16"/>
        </w:rPr>
        <w:footnoteRef/>
      </w:r>
      <w:r w:rsidRPr="001C1B82">
        <w:rPr>
          <w:rFonts w:eastAsia="Calibri" w:cs="Calibri"/>
          <w:szCs w:val="16"/>
        </w:rPr>
        <w:t xml:space="preserve"> European Commission. 2018. </w:t>
      </w:r>
      <w:r w:rsidRPr="001C1B82">
        <w:rPr>
          <w:rFonts w:eastAsia="Calibri" w:cs="Calibri"/>
          <w:i/>
          <w:szCs w:val="16"/>
        </w:rPr>
        <w:t>A multi-dimensional approach to disinformation</w:t>
      </w:r>
      <w:r w:rsidRPr="001C1B82">
        <w:rPr>
          <w:rFonts w:eastAsia="Calibri" w:cs="Calibri"/>
          <w:szCs w:val="16"/>
        </w:rPr>
        <w:t>, 12 March. Directorate-General for Communication Networks, Content &amp; Technology</w:t>
      </w:r>
      <w:r>
        <w:fldChar w:fldCharType="begin"/>
      </w:r>
      <w:r>
        <w:instrText xml:space="preserve"> HYPERLINK "https://ec.europa.eu/digitalsingle-market/en/news/final-report-high-level-expert-group-fake-news-and-onlinedisinformation" </w:instrText>
      </w:r>
      <w:r>
        <w:fldChar w:fldCharType="separate"/>
      </w:r>
      <w:r w:rsidRPr="001C1B82">
        <w:rPr>
          <w:rFonts w:eastAsia="Calibri" w:cs="Calibri"/>
          <w:szCs w:val="16"/>
        </w:rPr>
        <w:t xml:space="preserve">, </w:t>
      </w:r>
      <w:r>
        <w:fldChar w:fldCharType="end"/>
      </w:r>
      <w:r>
        <w:fldChar w:fldCharType="begin"/>
      </w:r>
      <w:r>
        <w:instrText xml:space="preserve"> HYPERLINK "https://ec.europa.eu/digitalsingle-market/en/news/final-report-high-level-expert-group-fake-news-and-onlinedisinformation" </w:instrText>
      </w:r>
      <w:r>
        <w:fldChar w:fldCharType="separate"/>
      </w:r>
      <w:r w:rsidRPr="001C1B82">
        <w:rPr>
          <w:rFonts w:eastAsia="Calibri" w:cs="Calibri"/>
          <w:szCs w:val="16"/>
          <w:u w:val="single" w:color="000000"/>
        </w:rPr>
        <w:t>https://ec.europa.eu/digitalsingle-market/en/news/final-report-high</w:t>
      </w:r>
      <w:r>
        <w:fldChar w:fldCharType="end"/>
      </w:r>
      <w:r>
        <w:fldChar w:fldCharType="begin"/>
      </w:r>
      <w:r>
        <w:instrText xml:space="preserve"> HYPERLINK "https://ec.europa.eu/digitalsingle-market/en/news/final-report-high-level-expert-group-fake-news-and-onlinedisinformation" </w:instrText>
      </w:r>
      <w:r>
        <w:fldChar w:fldCharType="separate"/>
      </w:r>
      <w:r w:rsidRPr="001C1B82">
        <w:rPr>
          <w:rFonts w:eastAsia="Calibri" w:cs="Calibri"/>
          <w:szCs w:val="16"/>
          <w:u w:val="single" w:color="000000"/>
        </w:rPr>
        <w:t>level-expert-group-fake-news-and-onlinedisinformation</w:t>
      </w:r>
      <w:r>
        <w:fldChar w:fldCharType="end"/>
      </w:r>
      <w:r>
        <w:fldChar w:fldCharType="begin"/>
      </w:r>
      <w:r>
        <w:instrText xml:space="preserve"> HYPERLINK "https://ec.europa.eu/digitalsingle-market/en/news/final-report-high-level-expert-group-fake-news-and-onlinedisinformation"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.15. </w:t>
      </w:r>
    </w:p>
  </w:footnote>
  <w:footnote w:id="118">
    <w:p w:rsidR="00673732" w:rsidRPr="001C1B82">
      <w:pPr>
        <w:pStyle w:val="footnotedescription"/>
        <w:spacing w:line="248" w:lineRule="auto"/>
        <w:ind w:left="1"/>
        <w:rPr>
          <w:szCs w:val="16"/>
        </w:rPr>
      </w:pPr>
      <w:r w:rsidRPr="001C1B82">
        <w:rPr>
          <w:rStyle w:val="footnotemark"/>
          <w:szCs w:val="16"/>
        </w:rPr>
        <w:footnoteRef/>
      </w:r>
      <w:r w:rsidRPr="001C1B82">
        <w:rPr>
          <w:rFonts w:eastAsia="Calibri" w:cs="Calibri"/>
          <w:szCs w:val="16"/>
        </w:rPr>
        <w:t xml:space="preserve"> European Commission. 2018. </w:t>
      </w:r>
      <w:r w:rsidRPr="001C1B82">
        <w:rPr>
          <w:rFonts w:eastAsia="Calibri" w:cs="Calibri"/>
          <w:i/>
          <w:szCs w:val="16"/>
        </w:rPr>
        <w:t>A multi-dimensional approach to disinformation</w:t>
      </w:r>
      <w:r w:rsidRPr="001C1B82">
        <w:rPr>
          <w:rFonts w:eastAsia="Calibri" w:cs="Calibri"/>
          <w:szCs w:val="16"/>
        </w:rPr>
        <w:t>, 12 March. Directorate-General for Communication Networks, Content &amp; Technology</w:t>
      </w:r>
      <w:r>
        <w:fldChar w:fldCharType="begin"/>
      </w:r>
      <w:r>
        <w:instrText xml:space="preserve"> HYPERLINK "https://ec.europa.eu/digitalsingle-market/en/news/final-report-high-level-expert-group-fake-news-and-onlinedisinformation" </w:instrText>
      </w:r>
      <w:r>
        <w:fldChar w:fldCharType="separate"/>
      </w:r>
      <w:r w:rsidRPr="001C1B82">
        <w:rPr>
          <w:rFonts w:eastAsia="Calibri" w:cs="Calibri"/>
          <w:szCs w:val="16"/>
        </w:rPr>
        <w:t xml:space="preserve">, </w:t>
      </w:r>
      <w:r>
        <w:fldChar w:fldCharType="end"/>
      </w:r>
      <w:r>
        <w:fldChar w:fldCharType="begin"/>
      </w:r>
      <w:r>
        <w:instrText xml:space="preserve"> HYPERLINK "https://ec.europa.eu/digitalsingle-market/en/news/final-report-high-level-expert-group-fake-news-and-onlinedisinformation" </w:instrText>
      </w:r>
      <w:r>
        <w:fldChar w:fldCharType="separate"/>
      </w:r>
      <w:r w:rsidRPr="001C1B82">
        <w:rPr>
          <w:rFonts w:eastAsia="Calibri" w:cs="Calibri"/>
          <w:szCs w:val="16"/>
          <w:u w:val="single" w:color="000000"/>
        </w:rPr>
        <w:t>https://ec.europa.eu/digitalsingle-market/en/news/final-report-high</w:t>
      </w:r>
      <w:r>
        <w:fldChar w:fldCharType="end"/>
      </w:r>
      <w:r>
        <w:fldChar w:fldCharType="begin"/>
      </w:r>
      <w:r>
        <w:instrText xml:space="preserve"> HYPERLINK "https://ec.europa.eu/digitalsingle-market/en/news/final-report-high-level-expert-group-fake-news-and-onlinedisinformation" </w:instrText>
      </w:r>
      <w:r>
        <w:fldChar w:fldCharType="separate"/>
      </w:r>
      <w:r w:rsidRPr="001C1B82">
        <w:rPr>
          <w:rFonts w:eastAsia="Calibri" w:cs="Calibri"/>
          <w:szCs w:val="16"/>
          <w:u w:val="single" w:color="000000"/>
        </w:rPr>
        <w:t>level-expert-group-fake-news-and-onlinedisinformation</w:t>
      </w:r>
      <w:r>
        <w:fldChar w:fldCharType="end"/>
      </w:r>
      <w:r>
        <w:fldChar w:fldCharType="begin"/>
      </w:r>
      <w:r>
        <w:instrText xml:space="preserve"> HYPERLINK "https://ec.europa.eu/digitalsingle-market/en/news/final-report-high-level-expert-group-fake-news-and-onlinedisinformation" </w:instrText>
      </w:r>
      <w:r>
        <w:fldChar w:fldCharType="separate"/>
      </w:r>
      <w:r w:rsidRPr="001C1B82">
        <w:rPr>
          <w:rFonts w:eastAsia="Calibri" w:cs="Calibri"/>
          <w:szCs w:val="16"/>
        </w:rPr>
        <w:t xml:space="preserve">  </w:t>
      </w:r>
      <w:r>
        <w:fldChar w:fldCharType="end"/>
      </w:r>
    </w:p>
  </w:footnote>
  <w:footnote w:id="119">
    <w:p w:rsidR="00673732" w:rsidRPr="001C1B82">
      <w:pPr>
        <w:pStyle w:val="footnotedescription"/>
        <w:spacing w:line="258" w:lineRule="auto"/>
        <w:ind w:left="1" w:right="234"/>
        <w:rPr>
          <w:szCs w:val="16"/>
        </w:rPr>
      </w:pPr>
      <w:r w:rsidRPr="001C1B82">
        <w:rPr>
          <w:rStyle w:val="footnotemark"/>
          <w:szCs w:val="16"/>
        </w:rPr>
        <w:footnoteRef/>
      </w:r>
      <w:r w:rsidRPr="001C1B82">
        <w:rPr>
          <w:rFonts w:eastAsia="Calibri" w:cs="Calibri"/>
          <w:szCs w:val="16"/>
        </w:rPr>
        <w:t xml:space="preserve"> i.e. adverts that features political figures and parties, elections, legislation before Parliament or past referendums. </w:t>
      </w:r>
      <w:r w:rsidRPr="001C1B82">
        <w:rPr>
          <w:rFonts w:eastAsia="Calibri" w:cs="Calibri"/>
          <w:szCs w:val="16"/>
          <w:vertAlign w:val="superscript"/>
        </w:rPr>
        <w:t>125</w:t>
      </w:r>
      <w:r w:rsidRPr="001C1B82">
        <w:rPr>
          <w:rFonts w:eastAsia="Calibri" w:cs="Calibri"/>
          <w:szCs w:val="16"/>
        </w:rPr>
        <w:t xml:space="preserve"> DCMS. 2019. </w:t>
      </w:r>
      <w:r w:rsidRPr="001C1B82">
        <w:rPr>
          <w:rFonts w:eastAsia="Calibri" w:cs="Calibri"/>
          <w:i/>
          <w:szCs w:val="16"/>
        </w:rPr>
        <w:t>Disinformation and ‘fake news’: final report</w:t>
      </w:r>
      <w:r w:rsidRPr="001C1B82">
        <w:rPr>
          <w:rFonts w:eastAsia="Calibri" w:cs="Calibri"/>
          <w:szCs w:val="16"/>
        </w:rPr>
        <w:t xml:space="preserve">. 14 February. Digital, Culture, Media and Sport Committee, House of Commons 1791. Available at: </w:t>
      </w:r>
    </w:p>
    <w:p w:rsidR="00673732" w:rsidRPr="001C1B82">
      <w:pPr>
        <w:pStyle w:val="footnotedescription"/>
        <w:ind w:left="1"/>
        <w:rPr>
          <w:szCs w:val="16"/>
        </w:rPr>
      </w:pPr>
      <w:r>
        <w:fldChar w:fldCharType="begin"/>
      </w:r>
      <w:r>
        <w:instrText xml:space="preserve"> HYPERLINK "https://publications.parliament.uk/pa/cm201719/cmselect/cmcumeds/1791/1791.pdf" </w:instrText>
      </w:r>
      <w:r>
        <w:fldChar w:fldCharType="separate"/>
      </w:r>
      <w:r w:rsidRPr="001C1B82">
        <w:rPr>
          <w:rFonts w:eastAsia="Calibri" w:cs="Calibri"/>
          <w:szCs w:val="16"/>
          <w:u w:val="single" w:color="000000"/>
        </w:rPr>
        <w:t>https://publications.parliament.uk/pa/cm201719/cmselect/cmcumeds/1791/1791.pdf</w:t>
      </w:r>
      <w:r>
        <w:fldChar w:fldCharType="end"/>
      </w:r>
      <w:r>
        <w:fldChar w:fldCharType="begin"/>
      </w:r>
      <w:r>
        <w:instrText xml:space="preserve"> HYPERLINK "https://publications.parliament.uk/pa/cm201719/cmselect/cmcumeds/1791/1791.pdf"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p.62.  </w:t>
      </w:r>
    </w:p>
  </w:footnote>
  <w:footnote w:id="120">
    <w:p w:rsidR="00673732" w:rsidRPr="001C1B82">
      <w:pPr>
        <w:pStyle w:val="footnotedescription"/>
        <w:spacing w:line="270" w:lineRule="auto"/>
        <w:ind w:left="1"/>
        <w:rPr>
          <w:szCs w:val="16"/>
        </w:rPr>
      </w:pPr>
      <w:r w:rsidRPr="001C1B82">
        <w:rPr>
          <w:rStyle w:val="footnotemark"/>
          <w:szCs w:val="16"/>
        </w:rPr>
        <w:footnoteRef/>
      </w:r>
      <w:r w:rsidRPr="001C1B82">
        <w:rPr>
          <w:rFonts w:eastAsia="Calibri" w:cs="Calibri"/>
          <w:szCs w:val="16"/>
        </w:rPr>
        <w:t xml:space="preserve"> Astroturfing is where political campaigners and lobbying companies attempt to create the perception of an upswell of grassroots support for a cause. </w:t>
      </w:r>
    </w:p>
  </w:footnote>
  <w:footnote w:id="121">
    <w:p w:rsidR="00673732" w:rsidRPr="001C1B82">
      <w:pPr>
        <w:pStyle w:val="footnotedescription"/>
        <w:spacing w:line="245" w:lineRule="auto"/>
        <w:ind w:left="1"/>
        <w:rPr>
          <w:szCs w:val="16"/>
        </w:rPr>
      </w:pPr>
      <w:r w:rsidRPr="001C1B82">
        <w:rPr>
          <w:rStyle w:val="footnotemark"/>
          <w:szCs w:val="16"/>
        </w:rPr>
        <w:footnoteRef/>
      </w:r>
      <w:r w:rsidRPr="001C1B82">
        <w:rPr>
          <w:rFonts w:eastAsia="Calibri" w:cs="Calibri"/>
          <w:szCs w:val="16"/>
        </w:rPr>
        <w:t xml:space="preserve"> Waterson, J. 2019. Revealed: Johnson ally’s firm secretly ran Facebook propaganda network. </w:t>
      </w:r>
      <w:r w:rsidRPr="001C1B82">
        <w:rPr>
          <w:rFonts w:eastAsia="Calibri" w:cs="Calibri"/>
          <w:i/>
          <w:szCs w:val="16"/>
        </w:rPr>
        <w:t>The</w:t>
      </w:r>
      <w:r w:rsidRPr="001C1B82">
        <w:rPr>
          <w:rFonts w:eastAsia="Calibri" w:cs="Calibri"/>
          <w:szCs w:val="16"/>
        </w:rPr>
        <w:t xml:space="preserve"> </w:t>
      </w:r>
      <w:r w:rsidRPr="001C1B82">
        <w:rPr>
          <w:rFonts w:eastAsia="Calibri" w:cs="Calibri"/>
          <w:i/>
          <w:szCs w:val="16"/>
        </w:rPr>
        <w:t>Guardian</w:t>
      </w:r>
      <w:r w:rsidRPr="001C1B82">
        <w:rPr>
          <w:rFonts w:eastAsia="Calibri" w:cs="Calibri"/>
          <w:szCs w:val="16"/>
        </w:rPr>
        <w:t xml:space="preserve">, 1 August. </w:t>
      </w:r>
      <w:r>
        <w:fldChar w:fldCharType="begin"/>
      </w:r>
      <w:r>
        <w:instrText xml:space="preserve"> HYPERLINK "https://www.theguardian.com/politics/2019/aug/01/revealed-johnson-allys-firm-secretly-ran-facebook-propaganda-network?CMP=Share_iOSApp_Other" </w:instrText>
      </w:r>
      <w:r>
        <w:fldChar w:fldCharType="separate"/>
      </w:r>
      <w:r w:rsidRPr="001C1B82">
        <w:rPr>
          <w:rFonts w:eastAsia="Calibri" w:cs="Calibri"/>
          <w:szCs w:val="16"/>
          <w:u w:val="single" w:color="000000"/>
        </w:rPr>
        <w:t>https://www.theguardian.com/politics/2019/aug/01/revealed-johnson-allys-firm-secretly-ran-facebook-propaganda</w:t>
      </w:r>
      <w:r>
        <w:fldChar w:fldCharType="end"/>
      </w:r>
      <w:r>
        <w:fldChar w:fldCharType="begin"/>
      </w:r>
      <w:r>
        <w:instrText xml:space="preserve"> HYPERLINK "https://www.theguardian.com/politics/2019/aug/01/revealed-johnson-allys-firm-secretly-ran-facebook-propaganda-network?CMP=Share_iOSApp_Other" </w:instrText>
      </w:r>
      <w:r>
        <w:fldChar w:fldCharType="separate"/>
      </w:r>
      <w:r w:rsidRPr="001C1B82">
        <w:rPr>
          <w:rFonts w:eastAsia="Calibri" w:cs="Calibri"/>
          <w:szCs w:val="16"/>
          <w:u w:val="single" w:color="000000"/>
        </w:rPr>
        <w:t>network?CMP=Share_iOSApp_Other</w:t>
      </w:r>
      <w:r>
        <w:fldChar w:fldCharType="end"/>
      </w:r>
      <w:r>
        <w:fldChar w:fldCharType="begin"/>
      </w:r>
      <w:r>
        <w:instrText xml:space="preserve"> HYPERLINK "https://www.theguardian.com/politics/2019/aug/01/revealed-johnson-allys-firm-secretly-ran-facebook-propaganda-network?CMP=Share_iOSApp_Other" </w:instrText>
      </w:r>
      <w:r>
        <w:fldChar w:fldCharType="separate"/>
      </w:r>
      <w:r w:rsidRPr="001C1B82">
        <w:rPr>
          <w:rFonts w:eastAsia="Calibri" w:cs="Calibri"/>
          <w:szCs w:val="16"/>
        </w:rPr>
        <w:t xml:space="preserve">  </w:t>
      </w:r>
      <w:r>
        <w:fldChar w:fldCharType="end"/>
      </w:r>
    </w:p>
  </w:footnote>
  <w:footnote w:id="122">
    <w:p w:rsidR="00673732" w:rsidRPr="001C1B82">
      <w:pPr>
        <w:pStyle w:val="footnotedescription"/>
        <w:spacing w:line="254" w:lineRule="auto"/>
        <w:ind w:left="1"/>
        <w:rPr>
          <w:szCs w:val="16"/>
        </w:rPr>
      </w:pPr>
      <w:r w:rsidRPr="001C1B82">
        <w:rPr>
          <w:rStyle w:val="footnotemark"/>
          <w:szCs w:val="16"/>
        </w:rPr>
        <w:footnoteRef/>
      </w:r>
      <w:r w:rsidRPr="001C1B82">
        <w:rPr>
          <w:rFonts w:eastAsia="Calibri" w:cs="Calibri"/>
          <w:szCs w:val="16"/>
        </w:rPr>
        <w:t xml:space="preserve"> Cabinet Office &amp; Kevin Foster MP. 2019. </w:t>
      </w:r>
      <w:r w:rsidRPr="001C1B82">
        <w:rPr>
          <w:rFonts w:eastAsia="Calibri" w:cs="Calibri"/>
          <w:i/>
          <w:szCs w:val="16"/>
        </w:rPr>
        <w:t>Press release: Government safeguards UK elections</w:t>
      </w:r>
      <w:r w:rsidRPr="001C1B82">
        <w:rPr>
          <w:rFonts w:eastAsia="Calibri" w:cs="Calibri"/>
          <w:szCs w:val="16"/>
        </w:rPr>
        <w:t xml:space="preserve">, 5 May </w:t>
      </w:r>
      <w:r>
        <w:fldChar w:fldCharType="begin"/>
      </w:r>
      <w:r>
        <w:instrText xml:space="preserve"> HYPERLINK "https://www.gov.uk/government/news/government-safeguards-uk-elections" </w:instrText>
      </w:r>
      <w:r>
        <w:fldChar w:fldCharType="separate"/>
      </w:r>
      <w:r w:rsidRPr="001C1B82">
        <w:rPr>
          <w:rFonts w:eastAsia="Calibri" w:cs="Calibri"/>
          <w:szCs w:val="16"/>
          <w:u w:val="single" w:color="000000"/>
        </w:rPr>
        <w:t>https://www.gov.uk/government/news/government-safeguards-uk-elections</w:t>
      </w:r>
      <w:r>
        <w:fldChar w:fldCharType="end"/>
      </w:r>
      <w:r>
        <w:fldChar w:fldCharType="begin"/>
      </w:r>
      <w:r>
        <w:instrText xml:space="preserve"> HYPERLINK "https://www.gov.uk/government/news/government-safeguards-uk-elections" </w:instrText>
      </w:r>
      <w:r>
        <w:fldChar w:fldCharType="separate"/>
      </w:r>
      <w:r w:rsidRPr="001C1B82">
        <w:rPr>
          <w:rFonts w:eastAsia="Calibri" w:cs="Calibri"/>
          <w:szCs w:val="16"/>
        </w:rPr>
        <w:t xml:space="preserve">  </w:t>
      </w:r>
      <w:r>
        <w:fldChar w:fldCharType="end"/>
      </w:r>
    </w:p>
  </w:footnote>
  <w:footnote w:id="123">
    <w:p w:rsidR="00673732" w:rsidRPr="001C1B82">
      <w:pPr>
        <w:pStyle w:val="footnotedescription"/>
        <w:spacing w:line="248" w:lineRule="auto"/>
        <w:ind w:left="1"/>
        <w:rPr>
          <w:szCs w:val="16"/>
        </w:rPr>
      </w:pPr>
      <w:r w:rsidRPr="001C1B82">
        <w:rPr>
          <w:rStyle w:val="footnotemark"/>
          <w:szCs w:val="16"/>
        </w:rPr>
        <w:footnoteRef/>
      </w:r>
      <w:r w:rsidRPr="001C1B82">
        <w:rPr>
          <w:rFonts w:eastAsia="Calibri" w:cs="Calibri"/>
          <w:szCs w:val="16"/>
        </w:rPr>
        <w:t xml:space="preserve"> The Electoral Commission. 2018. </w:t>
      </w:r>
      <w:r w:rsidRPr="001C1B82">
        <w:rPr>
          <w:rFonts w:eastAsia="Calibri" w:cs="Calibri"/>
          <w:i/>
          <w:szCs w:val="16"/>
        </w:rPr>
        <w:t>Digital campaigning: increasing transparency for voters</w:t>
      </w:r>
      <w:r w:rsidRPr="001C1B82">
        <w:rPr>
          <w:rFonts w:eastAsia="Calibri" w:cs="Calibri"/>
          <w:szCs w:val="16"/>
        </w:rPr>
        <w:t xml:space="preserve">, June. </w:t>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https://www.electoralcommission.org.uk/sites/default/files/pdf_file/Digital-campaigning-improving-transparency-for</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voters.pdf</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.14. </w:t>
      </w:r>
    </w:p>
  </w:footnote>
  <w:footnote w:id="124">
    <w:p w:rsidR="00673732" w:rsidRPr="001C1B82">
      <w:pPr>
        <w:pStyle w:val="footnotedescription"/>
        <w:spacing w:line="248" w:lineRule="auto"/>
        <w:ind w:left="1"/>
        <w:rPr>
          <w:szCs w:val="16"/>
        </w:rPr>
      </w:pPr>
      <w:r w:rsidRPr="001C1B82">
        <w:rPr>
          <w:rStyle w:val="footnotemark"/>
          <w:szCs w:val="16"/>
        </w:rPr>
        <w:footnoteRef/>
      </w:r>
      <w:r w:rsidRPr="001C1B82">
        <w:rPr>
          <w:rFonts w:eastAsia="Calibri" w:cs="Calibri"/>
          <w:szCs w:val="16"/>
        </w:rPr>
        <w:t xml:space="preserve"> The Electoral Commission. 2018. </w:t>
      </w:r>
      <w:r w:rsidRPr="001C1B82">
        <w:rPr>
          <w:rFonts w:eastAsia="Calibri" w:cs="Calibri"/>
          <w:i/>
          <w:szCs w:val="16"/>
        </w:rPr>
        <w:t>Digital campaigning: increasing transparency for voters</w:t>
      </w:r>
      <w:r w:rsidRPr="001C1B82">
        <w:rPr>
          <w:rFonts w:eastAsia="Calibri" w:cs="Calibri"/>
          <w:szCs w:val="16"/>
        </w:rPr>
        <w:t xml:space="preserve">, June. </w:t>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https://www.electoralcommission.org.uk/sites/default/files/pdf_file/Digital-campaigning-improving-transparency-for</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voters.pdf</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.11. </w:t>
      </w:r>
    </w:p>
  </w:footnote>
  <w:footnote w:id="125">
    <w:p w:rsidR="00673732" w:rsidRPr="001C1B82">
      <w:pPr>
        <w:pStyle w:val="footnotedescription"/>
        <w:spacing w:line="268" w:lineRule="auto"/>
        <w:ind w:left="1"/>
        <w:rPr>
          <w:szCs w:val="16"/>
        </w:rPr>
      </w:pPr>
      <w:r w:rsidRPr="001C1B82">
        <w:rPr>
          <w:rStyle w:val="footnotemark"/>
          <w:szCs w:val="16"/>
        </w:rPr>
        <w:footnoteRef/>
      </w:r>
      <w:r w:rsidRPr="001C1B82">
        <w:rPr>
          <w:rFonts w:eastAsia="Calibri" w:cs="Calibri"/>
          <w:szCs w:val="16"/>
        </w:rPr>
        <w:t xml:space="preserve"> Goodman, B. &amp; Flaxman, S. 2017. European Union regulations on algorithmic decision-making and a 'right to explanation'. </w:t>
      </w:r>
      <w:r w:rsidRPr="001C1B82">
        <w:rPr>
          <w:rFonts w:eastAsia="Calibri" w:cs="Calibri"/>
          <w:i/>
          <w:szCs w:val="16"/>
        </w:rPr>
        <w:t>AI Magazine</w:t>
      </w:r>
      <w:r w:rsidRPr="001C1B82">
        <w:rPr>
          <w:rFonts w:eastAsia="Calibri" w:cs="Calibri"/>
          <w:szCs w:val="16"/>
        </w:rPr>
        <w:t>, 38(3).  doi</w:t>
      </w:r>
      <w:r w:rsidRPr="001C1B82">
        <w:rPr>
          <w:rFonts w:eastAsia="Calibri" w:cs="Calibri"/>
          <w:i/>
          <w:szCs w:val="16"/>
        </w:rPr>
        <w:t>:</w:t>
      </w:r>
      <w:r w:rsidRPr="001C1B82">
        <w:rPr>
          <w:rFonts w:eastAsia="Calibri" w:cs="Calibri"/>
          <w:szCs w:val="16"/>
        </w:rPr>
        <w:t xml:space="preserve"> 10.1609/aimag.v38i3.2741. </w:t>
      </w:r>
    </w:p>
  </w:footnote>
  <w:footnote w:id="126">
    <w:p w:rsidR="00673732" w:rsidRPr="001C1B82">
      <w:pPr>
        <w:pStyle w:val="footnotedescription"/>
        <w:spacing w:line="248" w:lineRule="auto"/>
        <w:ind w:left="1"/>
        <w:rPr>
          <w:szCs w:val="16"/>
        </w:rPr>
      </w:pPr>
      <w:r w:rsidRPr="001C1B82">
        <w:rPr>
          <w:rStyle w:val="footnotemark"/>
          <w:szCs w:val="16"/>
        </w:rPr>
        <w:footnoteRef/>
      </w:r>
      <w:r w:rsidRPr="001C1B82">
        <w:rPr>
          <w:rFonts w:eastAsia="Calibri" w:cs="Calibri"/>
          <w:szCs w:val="16"/>
        </w:rPr>
        <w:t xml:space="preserve"> The Electoral Commission. 2018. </w:t>
      </w:r>
      <w:r w:rsidRPr="001C1B82">
        <w:rPr>
          <w:rFonts w:eastAsia="Calibri" w:cs="Calibri"/>
          <w:i/>
          <w:szCs w:val="16"/>
        </w:rPr>
        <w:t>Digital campaigning: increasing transparency for voters</w:t>
      </w:r>
      <w:r w:rsidRPr="001C1B82">
        <w:rPr>
          <w:rFonts w:eastAsia="Calibri" w:cs="Calibri"/>
          <w:szCs w:val="16"/>
        </w:rPr>
        <w:t xml:space="preserve">, June. </w:t>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https://www.electoralcommission.org.uk/sites/default/files/pdf_file/Digital-campaigning-improving-transparency-for</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voters.pdf</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.9. </w:t>
      </w:r>
    </w:p>
  </w:footnote>
  <w:footnote w:id="127">
    <w:p w:rsidR="00673732" w:rsidRPr="001C1B82">
      <w:pPr>
        <w:pStyle w:val="footnotedescription"/>
        <w:spacing w:line="261" w:lineRule="auto"/>
        <w:ind w:left="1"/>
        <w:rPr>
          <w:szCs w:val="16"/>
        </w:rPr>
      </w:pPr>
      <w:r w:rsidRPr="001C1B82">
        <w:rPr>
          <w:rStyle w:val="footnotemark"/>
          <w:szCs w:val="16"/>
        </w:rPr>
        <w:footnoteRef/>
      </w:r>
      <w:r w:rsidRPr="001C1B82">
        <w:rPr>
          <w:rFonts w:eastAsia="Calibri" w:cs="Calibri"/>
          <w:szCs w:val="16"/>
        </w:rPr>
        <w:t xml:space="preserve"> Committee on Standards in Public Life. 2018. </w:t>
      </w:r>
      <w:r w:rsidRPr="001C1B82">
        <w:rPr>
          <w:rFonts w:eastAsia="Calibri" w:cs="Calibri"/>
          <w:i/>
          <w:szCs w:val="16"/>
        </w:rPr>
        <w:t>Intimidation in public life: a review by the Committee on Standards in Public Life</w:t>
      </w:r>
      <w:r w:rsidRPr="001C1B82">
        <w:rPr>
          <w:rFonts w:eastAsia="Calibri" w:cs="Calibri"/>
          <w:szCs w:val="16"/>
        </w:rPr>
        <w:t xml:space="preserve">, March. </w:t>
      </w:r>
    </w:p>
    <w:p w:rsidR="00673732" w:rsidRPr="001C1B82">
      <w:pPr>
        <w:pStyle w:val="footnotedescription"/>
        <w:spacing w:line="241" w:lineRule="auto"/>
        <w:ind w:left="1"/>
        <w:rPr>
          <w:szCs w:val="16"/>
        </w:rPr>
      </w:pPr>
      <w:r>
        <w:fldChar w:fldCharType="begin"/>
      </w:r>
      <w:r>
        <w:instrText xml:space="preserve"> HYPERLINK "https://assets.publishing.service.gov.uk/government/uploads/system/uploads/attachment_data/file/666927/6.3637_CO_v6_061217_Web3.1__2_.pdf" </w:instrText>
      </w:r>
      <w:r>
        <w:fldChar w:fldCharType="separate"/>
      </w:r>
      <w:r w:rsidRPr="001C1B82">
        <w:rPr>
          <w:rFonts w:eastAsia="Calibri" w:cs="Calibri"/>
          <w:szCs w:val="16"/>
          <w:u w:val="single" w:color="000000"/>
        </w:rPr>
        <w:t xml:space="preserve">https://assets.publishing.service.gov.uk/government/uploads/system/uploads/attachment_data/file/666927/6.3637_CO_ </w:t>
      </w:r>
      <w:r>
        <w:fldChar w:fldCharType="end"/>
      </w:r>
      <w:r>
        <w:fldChar w:fldCharType="begin"/>
      </w:r>
      <w:r>
        <w:instrText xml:space="preserve"> HYPERLINK "https://assets.publishing.service.gov.uk/government/uploads/system/uploads/attachment_data/file/666927/6.3637_CO_v6_061217_Web3.1__2_.pdf" </w:instrText>
      </w:r>
      <w:r>
        <w:fldChar w:fldCharType="separate"/>
      </w:r>
      <w:r w:rsidRPr="001C1B82">
        <w:rPr>
          <w:rFonts w:eastAsia="Calibri" w:cs="Calibri"/>
          <w:szCs w:val="16"/>
          <w:u w:val="single" w:color="000000"/>
        </w:rPr>
        <w:t>v6_061217_Web3.1__2_.pdf</w:t>
      </w:r>
      <w:r>
        <w:fldChar w:fldCharType="end"/>
      </w:r>
      <w:r>
        <w:fldChar w:fldCharType="begin"/>
      </w:r>
      <w:r>
        <w:instrText xml:space="preserve"> HYPERLINK "https://assets.publishing.service.gov.uk/government/uploads/system/uploads/attachment_data/file/666927/6.3637_CO_v6_061217_Web3.1__2_.pdf" </w:instrText>
      </w:r>
      <w:r>
        <w:fldChar w:fldCharType="separate"/>
      </w:r>
      <w:r w:rsidRPr="001C1B82">
        <w:rPr>
          <w:rFonts w:eastAsia="Calibri" w:cs="Calibri"/>
          <w:szCs w:val="16"/>
        </w:rPr>
        <w:t xml:space="preserve"> </w:t>
      </w:r>
      <w:r>
        <w:fldChar w:fldCharType="end"/>
      </w:r>
    </w:p>
  </w:footnote>
  <w:footnote w:id="128">
    <w:p w:rsidR="00673732" w:rsidRPr="001C1B82">
      <w:pPr>
        <w:pStyle w:val="footnotedescription"/>
        <w:spacing w:line="248" w:lineRule="auto"/>
        <w:ind w:left="1"/>
        <w:rPr>
          <w:szCs w:val="16"/>
        </w:rPr>
      </w:pPr>
      <w:r w:rsidRPr="001C1B82">
        <w:rPr>
          <w:rStyle w:val="footnotemark"/>
          <w:szCs w:val="16"/>
        </w:rPr>
        <w:footnoteRef/>
      </w:r>
      <w:r w:rsidRPr="001C1B82">
        <w:rPr>
          <w:rFonts w:eastAsia="Calibri" w:cs="Calibri"/>
          <w:szCs w:val="16"/>
        </w:rPr>
        <w:t xml:space="preserve"> The Electoral Commission. 2018. </w:t>
      </w:r>
      <w:r w:rsidRPr="001C1B82">
        <w:rPr>
          <w:rFonts w:eastAsia="Calibri" w:cs="Calibri"/>
          <w:i/>
          <w:szCs w:val="16"/>
        </w:rPr>
        <w:t>Digital campaigning: increasing transparency for voters</w:t>
      </w:r>
      <w:r w:rsidRPr="001C1B82">
        <w:rPr>
          <w:rFonts w:eastAsia="Calibri" w:cs="Calibri"/>
          <w:szCs w:val="16"/>
        </w:rPr>
        <w:t xml:space="preserve">, June. </w:t>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https://www.electoralcommission.org.uk/sites/default/files/pdf_file/Digital-campaigning-improving-transparency-for</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u w:val="single" w:color="000000"/>
        </w:rPr>
        <w:t>voters.pdf</w:t>
      </w:r>
      <w:r>
        <w:fldChar w:fldCharType="end"/>
      </w:r>
      <w:r>
        <w:fldChar w:fldCharType="begin"/>
      </w:r>
      <w:r>
        <w:instrText xml:space="preserve"> HYPERLINK "https://www.electoralcommission.org.uk/sites/default/files/pdf_file/Digital-campaigning-improving-transparency-for-voters.pdf" </w:instrText>
      </w:r>
      <w:r>
        <w:fldChar w:fldCharType="separate"/>
      </w:r>
      <w:r w:rsidRPr="001C1B82">
        <w:rPr>
          <w:rFonts w:eastAsia="Calibri" w:cs="Calibri"/>
          <w:szCs w:val="16"/>
        </w:rPr>
        <w:t xml:space="preserve"> p</w:t>
      </w:r>
      <w:r>
        <w:fldChar w:fldCharType="end"/>
      </w:r>
      <w:r w:rsidRPr="001C1B82">
        <w:rPr>
          <w:rFonts w:eastAsia="Calibri" w:cs="Calibri"/>
          <w:szCs w:val="16"/>
        </w:rPr>
        <w:t xml:space="preserve">.10. </w:t>
      </w:r>
    </w:p>
  </w:footnote>
  <w:footnote w:id="129">
    <w:p w:rsidR="00673732" w:rsidRPr="001C1B82">
      <w:pPr>
        <w:pStyle w:val="footnotedescription"/>
        <w:spacing w:line="251" w:lineRule="auto"/>
        <w:ind w:left="1"/>
        <w:rPr>
          <w:szCs w:val="16"/>
        </w:rPr>
      </w:pPr>
      <w:r w:rsidRPr="001C1B82">
        <w:rPr>
          <w:rStyle w:val="footnotemark"/>
          <w:szCs w:val="16"/>
        </w:rPr>
        <w:footnoteRef/>
      </w:r>
      <w:r w:rsidRPr="001C1B82">
        <w:rPr>
          <w:rFonts w:eastAsia="Calibri" w:cs="Calibri"/>
          <w:szCs w:val="16"/>
        </w:rPr>
        <w:t xml:space="preserve"> McGuire, W. J. 1964. Some contemporary approaches. </w:t>
      </w:r>
      <w:r w:rsidRPr="001C1B82">
        <w:rPr>
          <w:rFonts w:eastAsia="Calibri" w:cs="Calibri"/>
          <w:i/>
          <w:szCs w:val="16"/>
        </w:rPr>
        <w:t xml:space="preserve">Advances in Experimental Social Psychology, </w:t>
      </w:r>
      <w:r w:rsidRPr="001C1B82">
        <w:rPr>
          <w:rFonts w:eastAsia="Calibri" w:cs="Calibri"/>
          <w:szCs w:val="16"/>
        </w:rPr>
        <w:t xml:space="preserve">1: 191–229. doi:10.1016/ S0065-2601(08)60052-0.   </w:t>
      </w:r>
    </w:p>
  </w:footnote>
  <w:footnote w:id="130">
    <w:p w:rsidR="00673732" w:rsidRPr="001C1B82">
      <w:pPr>
        <w:pStyle w:val="footnotedescription"/>
        <w:spacing w:line="244" w:lineRule="auto"/>
        <w:ind w:left="1"/>
        <w:rPr>
          <w:szCs w:val="16"/>
        </w:rPr>
      </w:pPr>
      <w:r w:rsidRPr="001C1B82">
        <w:rPr>
          <w:rStyle w:val="footnotemark"/>
          <w:szCs w:val="16"/>
        </w:rPr>
        <w:footnoteRef/>
      </w:r>
      <w:r w:rsidRPr="001C1B82">
        <w:rPr>
          <w:rFonts w:eastAsia="Calibri" w:cs="Calibri"/>
          <w:szCs w:val="16"/>
        </w:rPr>
        <w:t xml:space="preserve"> Banas, J. A. &amp; Rains, S. A. 2010. A meta-analysis of research on inoculation theory. </w:t>
      </w:r>
      <w:r w:rsidRPr="001C1B82">
        <w:rPr>
          <w:rFonts w:eastAsia="Calibri" w:cs="Calibri"/>
          <w:i/>
          <w:szCs w:val="16"/>
        </w:rPr>
        <w:t xml:space="preserve">Communication Monographs, </w:t>
      </w:r>
      <w:r w:rsidRPr="001C1B82">
        <w:rPr>
          <w:rFonts w:eastAsia="Calibri" w:cs="Calibri"/>
          <w:szCs w:val="16"/>
        </w:rPr>
        <w:t xml:space="preserve">77 (3): 281–311. doi:10.1080/03637751003758193. Also see: Cook, J., Lewandowsky, S.  &amp; Ecker, U.K.H. 2017. Neutralizing misinformation through inoculation: exposing misleading argumentation techniques reduces their influence. </w:t>
      </w:r>
      <w:r w:rsidRPr="001C1B82">
        <w:rPr>
          <w:rFonts w:eastAsia="Calibri" w:cs="Calibri"/>
          <w:i/>
          <w:szCs w:val="16"/>
        </w:rPr>
        <w:t xml:space="preserve">PLOS ONE, </w:t>
      </w:r>
      <w:r w:rsidRPr="001C1B82">
        <w:rPr>
          <w:rFonts w:eastAsia="Calibri" w:cs="Calibri"/>
          <w:szCs w:val="16"/>
        </w:rPr>
        <w:t xml:space="preserve">12(5): 1–21. doi:10.1371/journal.pone.0175799.  </w:t>
      </w:r>
    </w:p>
  </w:footnote>
  <w:footnote w:id="131">
    <w:p w:rsidR="00673732" w:rsidRPr="001C1B82">
      <w:pPr>
        <w:pStyle w:val="footnotedescription"/>
        <w:spacing w:line="270" w:lineRule="auto"/>
        <w:ind w:left="1"/>
        <w:rPr>
          <w:szCs w:val="16"/>
        </w:rPr>
      </w:pPr>
      <w:r w:rsidRPr="001C1B82">
        <w:rPr>
          <w:rStyle w:val="footnotemark"/>
          <w:szCs w:val="16"/>
        </w:rPr>
        <w:footnoteRef/>
      </w:r>
      <w:r w:rsidRPr="001C1B82">
        <w:rPr>
          <w:rFonts w:eastAsia="Calibri" w:cs="Calibri"/>
          <w:szCs w:val="16"/>
        </w:rPr>
        <w:t xml:space="preserve"> Roozenbeek, J. &amp; van der Linden, S. 2019. The fake news game: actively inoculating against the risk of misinformation, </w:t>
      </w:r>
      <w:r w:rsidRPr="001C1B82">
        <w:rPr>
          <w:rFonts w:eastAsia="Calibri" w:cs="Calibri"/>
          <w:i/>
          <w:szCs w:val="16"/>
        </w:rPr>
        <w:t>Journal of Risk Research</w:t>
      </w:r>
      <w:r w:rsidRPr="001C1B82">
        <w:rPr>
          <w:rFonts w:eastAsia="Calibri" w:cs="Calibri"/>
          <w:szCs w:val="16"/>
        </w:rPr>
        <w:t xml:space="preserve">, 22(5): 570-580, DOI: 10.1080/13669877.2018.1443491. </w:t>
      </w:r>
    </w:p>
  </w:footnote>
  <w:footnote w:id="132">
    <w:p w:rsidR="00673732" w:rsidRPr="001C1B82">
      <w:pPr>
        <w:pStyle w:val="footnotedescription"/>
        <w:spacing w:line="244" w:lineRule="auto"/>
        <w:ind w:left="1"/>
        <w:rPr>
          <w:szCs w:val="16"/>
        </w:rPr>
      </w:pPr>
      <w:r w:rsidRPr="001C1B82">
        <w:rPr>
          <w:rStyle w:val="footnotemark"/>
          <w:szCs w:val="16"/>
        </w:rPr>
        <w:footnoteRef/>
      </w:r>
      <w:r w:rsidRPr="001C1B82">
        <w:rPr>
          <w:rFonts w:eastAsia="Calibri" w:cs="Calibri"/>
          <w:szCs w:val="16"/>
        </w:rPr>
        <w:t xml:space="preserve"> Who Targets Me, a citizen-led initiative, monitors political advertising on social media, but only gathers information via volunteers installing software to track political ads on their social media accounts. Their sample is therefore limited to a self-selecting group of concerned people (se</w:t>
      </w:r>
      <w:r>
        <w:fldChar w:fldCharType="begin"/>
      </w:r>
      <w:r>
        <w:instrText xml:space="preserve"> HYPERLINK "https://whotargets.me/" </w:instrText>
      </w:r>
      <w:r>
        <w:fldChar w:fldCharType="separate"/>
      </w:r>
      <w:r w:rsidRPr="001C1B82">
        <w:rPr>
          <w:rFonts w:eastAsia="Calibri" w:cs="Calibri"/>
          <w:szCs w:val="16"/>
        </w:rPr>
        <w:t xml:space="preserve">e </w:t>
      </w:r>
      <w:r>
        <w:fldChar w:fldCharType="end"/>
      </w:r>
      <w:r>
        <w:fldChar w:fldCharType="begin"/>
      </w:r>
      <w:r>
        <w:instrText xml:space="preserve"> HYPERLINK "https://whotargets.me/" </w:instrText>
      </w:r>
      <w:r>
        <w:fldChar w:fldCharType="separate"/>
      </w:r>
      <w:r w:rsidRPr="001C1B82">
        <w:rPr>
          <w:rFonts w:eastAsia="Calibri" w:cs="Calibri"/>
          <w:szCs w:val="16"/>
          <w:u w:val="single" w:color="000000"/>
        </w:rPr>
        <w:t>https://whotargets.me</w:t>
      </w:r>
      <w:r>
        <w:fldChar w:fldCharType="end"/>
      </w:r>
      <w:r>
        <w:fldChar w:fldCharType="begin"/>
      </w:r>
      <w:r>
        <w:instrText xml:space="preserve"> HYPERLINK "https://whotargets.me/"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 In October 2018, Facebook announced in the UK that it will publish its own online databases of the political adverts that it has been paid to run, including information such as the targeting, actual reach and amount spent on those adverts. (See: Cellan-Jones, R. 2018. Facebook tool makes UK political ads 'transparent'. </w:t>
      </w:r>
      <w:r w:rsidRPr="001C1B82">
        <w:rPr>
          <w:rFonts w:eastAsia="Calibri" w:cs="Calibri"/>
          <w:i/>
          <w:szCs w:val="16"/>
        </w:rPr>
        <w:t>BBC News,</w:t>
      </w:r>
      <w:r w:rsidRPr="001C1B82">
        <w:rPr>
          <w:rFonts w:eastAsia="Calibri" w:cs="Calibri"/>
          <w:szCs w:val="16"/>
        </w:rPr>
        <w:t xml:space="preserve"> 16 October</w:t>
      </w:r>
      <w:r>
        <w:fldChar w:fldCharType="begin"/>
      </w:r>
      <w:r>
        <w:instrText xml:space="preserve"> HYPERLINK "https://www.bbc.co.uk/news/technology-45866129" </w:instrText>
      </w:r>
      <w:r>
        <w:fldChar w:fldCharType="separate"/>
      </w:r>
      <w:r w:rsidRPr="001C1B82">
        <w:rPr>
          <w:rFonts w:eastAsia="Calibri" w:cs="Calibri"/>
          <w:szCs w:val="16"/>
        </w:rPr>
        <w:t xml:space="preserve">. </w:t>
      </w:r>
      <w:r>
        <w:fldChar w:fldCharType="end"/>
      </w:r>
      <w:r>
        <w:fldChar w:fldCharType="begin"/>
      </w:r>
      <w:r>
        <w:instrText xml:space="preserve"> HYPERLINK "https://www.bbc.co.uk/news/technology-45866129" </w:instrText>
      </w:r>
      <w:r>
        <w:fldChar w:fldCharType="separate"/>
      </w:r>
      <w:r w:rsidRPr="001C1B82">
        <w:rPr>
          <w:rFonts w:eastAsia="Calibri" w:cs="Calibri"/>
          <w:szCs w:val="16"/>
          <w:u w:val="single" w:color="000000"/>
        </w:rPr>
        <w:t>https://www.bbc.co.uk/news/technology-45866129</w:t>
      </w:r>
      <w:r>
        <w:fldChar w:fldCharType="end"/>
      </w:r>
      <w:r>
        <w:fldChar w:fldCharType="begin"/>
      </w:r>
      <w:r>
        <w:instrText xml:space="preserve"> HYPERLINK "https://www.bbc.co.uk/news/technology-45866129"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However, for greater trustworthiness, and to enable analysis across all social media platforms used by a campaign, creating an </w:t>
      </w:r>
      <w:r w:rsidRPr="001C1B82">
        <w:rPr>
          <w:rFonts w:eastAsia="Calibri" w:cs="Calibri"/>
          <w:i/>
          <w:szCs w:val="16"/>
        </w:rPr>
        <w:t>independent</w:t>
      </w:r>
      <w:r w:rsidRPr="001C1B82">
        <w:rPr>
          <w:rFonts w:eastAsia="Calibri" w:cs="Calibri"/>
          <w:szCs w:val="16"/>
        </w:rPr>
        <w:t xml:space="preserve">, </w:t>
      </w:r>
      <w:r w:rsidRPr="001C1B82">
        <w:rPr>
          <w:rFonts w:eastAsia="Calibri" w:cs="Calibri"/>
          <w:i/>
          <w:szCs w:val="16"/>
        </w:rPr>
        <w:t>searchable,</w:t>
      </w:r>
      <w:r w:rsidRPr="001C1B82">
        <w:rPr>
          <w:rFonts w:eastAsia="Calibri" w:cs="Calibri"/>
          <w:szCs w:val="16"/>
        </w:rPr>
        <w:t xml:space="preserve"> </w:t>
      </w:r>
      <w:r w:rsidRPr="001C1B82">
        <w:rPr>
          <w:rFonts w:eastAsia="Calibri" w:cs="Calibri"/>
          <w:i/>
          <w:szCs w:val="16"/>
        </w:rPr>
        <w:t>public</w:t>
      </w:r>
      <w:r w:rsidRPr="001C1B82">
        <w:rPr>
          <w:rFonts w:eastAsia="Calibri" w:cs="Calibri"/>
          <w:szCs w:val="16"/>
        </w:rPr>
        <w:t xml:space="preserve"> register of online political adverts is preferable.  </w:t>
      </w:r>
    </w:p>
    <w:p w:rsidR="00673732" w:rsidRPr="001C1B82">
      <w:pPr>
        <w:pStyle w:val="footnotedescription"/>
        <w:ind w:left="1"/>
        <w:rPr>
          <w:szCs w:val="16"/>
        </w:rPr>
      </w:pPr>
      <w:r w:rsidRPr="001C1B82">
        <w:rPr>
          <w:rFonts w:eastAsia="Calibri" w:cs="Calibri"/>
          <w:szCs w:val="16"/>
        </w:rPr>
        <w:t xml:space="preserve"> </w:t>
      </w:r>
    </w:p>
    <w:p w:rsidR="00673732" w:rsidRPr="001C1B82">
      <w:pPr>
        <w:pStyle w:val="footnotedescription"/>
        <w:ind w:left="1"/>
        <w:rPr>
          <w:szCs w:val="16"/>
        </w:rPr>
      </w:pPr>
      <w:r w:rsidRPr="001C1B82">
        <w:rPr>
          <w:rFonts w:eastAsia="Calibri" w:cs="Calibri"/>
          <w:szCs w:val="16"/>
        </w:rPr>
        <w:t xml:space="preserve"> </w:t>
      </w:r>
    </w:p>
  </w:footnote>
  <w:footnote w:id="133">
    <w:p w:rsidR="00673732" w:rsidRPr="001C1B82">
      <w:pPr>
        <w:pStyle w:val="footnotedescription"/>
        <w:ind w:left="1"/>
        <w:rPr>
          <w:szCs w:val="16"/>
        </w:rPr>
      </w:pPr>
      <w:r w:rsidRPr="001C1B82">
        <w:rPr>
          <w:rStyle w:val="footnotemark"/>
          <w:szCs w:val="16"/>
        </w:rPr>
        <w:footnoteRef/>
      </w:r>
      <w:r w:rsidRPr="001C1B82">
        <w:rPr>
          <w:szCs w:val="16"/>
        </w:rPr>
        <w:t xml:space="preserve"> James Craske.  </w:t>
      </w:r>
      <w:r w:rsidRPr="001C1B82">
        <w:rPr>
          <w:color w:val="1F497D"/>
          <w:szCs w:val="16"/>
        </w:rPr>
        <w:t>j.craske@uea.ac.uk</w:t>
      </w:r>
      <w:r w:rsidRPr="001C1B82">
        <w:rPr>
          <w:szCs w:val="16"/>
        </w:rPr>
        <w:t xml:space="preserve"> </w:t>
      </w:r>
    </w:p>
  </w:footnote>
  <w:footnote w:id="134">
    <w:p w:rsidR="00673732" w:rsidRPr="001C1B82">
      <w:pPr>
        <w:pStyle w:val="footnotedescription"/>
        <w:spacing w:line="276" w:lineRule="auto"/>
        <w:ind w:left="1" w:right="502"/>
        <w:rPr>
          <w:szCs w:val="16"/>
        </w:rPr>
      </w:pPr>
      <w:r w:rsidRPr="001C1B82">
        <w:rPr>
          <w:rStyle w:val="footnotemark"/>
          <w:szCs w:val="16"/>
        </w:rPr>
        <w:footnoteRef/>
      </w:r>
      <w:r w:rsidRPr="001C1B82">
        <w:rPr>
          <w:szCs w:val="16"/>
        </w:rPr>
        <w:t xml:space="preserve"> Teaching children to recognise ‘what is true from what is not’ has been brought up by the OECD (Andreas Schleicher quoted in Siddique, 2017).   </w:t>
      </w:r>
    </w:p>
  </w:footnote>
  <w:footnote w:id="135">
    <w:p w:rsidR="00673732" w:rsidRPr="001C1B82">
      <w:pPr>
        <w:pStyle w:val="footnotedescription"/>
        <w:spacing w:line="276" w:lineRule="auto"/>
        <w:rPr>
          <w:szCs w:val="16"/>
        </w:rPr>
      </w:pPr>
      <w:r w:rsidRPr="001C1B82">
        <w:rPr>
          <w:rStyle w:val="footnotemark"/>
          <w:szCs w:val="16"/>
        </w:rPr>
        <w:footnoteRef/>
      </w:r>
      <w:r w:rsidRPr="001C1B82">
        <w:rPr>
          <w:szCs w:val="16"/>
        </w:rPr>
        <w:t xml:space="preserve"> https://www.parliament.uk/business/publications/written-questions-answers-statements/writtenstatement/Commons/2019-04-24/HCWS1522/ </w:t>
      </w:r>
    </w:p>
  </w:footnote>
  <w:footnote w:id="136">
    <w:p w:rsidR="00673732" w:rsidRPr="001C1B82">
      <w:pPr>
        <w:pStyle w:val="footnotedescription"/>
        <w:spacing w:line="253" w:lineRule="auto"/>
        <w:rPr>
          <w:szCs w:val="16"/>
        </w:rPr>
      </w:pPr>
      <w:r w:rsidRPr="001C1B82">
        <w:rPr>
          <w:rStyle w:val="footnotemark"/>
          <w:szCs w:val="16"/>
        </w:rPr>
        <w:footnoteRef/>
      </w:r>
      <w:r w:rsidRPr="001C1B82">
        <w:rPr>
          <w:rFonts w:eastAsia="Calibri" w:cs="Calibri"/>
          <w:szCs w:val="16"/>
        </w:rPr>
        <w:t xml:space="preserve"> See for example Committee of experts on human rights dimensions of automated data processing and different forms of artificial intelligence (MSI-AUT, </w:t>
      </w:r>
      <w:r w:rsidRPr="001C1B82">
        <w:rPr>
          <w:rFonts w:eastAsia="Calibri" w:cs="Calibri"/>
          <w:i/>
          <w:szCs w:val="16"/>
        </w:rPr>
        <w:t>Draft Recommendation of the Committee of Ministers to member States on the human rights impacts of algorithmic systems</w:t>
      </w:r>
      <w:r w:rsidRPr="001C1B82">
        <w:rPr>
          <w:rFonts w:eastAsia="Calibri" w:cs="Calibri"/>
          <w:szCs w:val="16"/>
        </w:rPr>
        <w:t xml:space="preserve"> MSI-AUT(2018)06rev1, Council of Europe, 26 June 2019. </w:t>
      </w:r>
    </w:p>
  </w:footnote>
  <w:footnote w:id="137">
    <w:p w:rsidR="00673732" w:rsidRPr="001C1B82">
      <w:pPr>
        <w:pStyle w:val="footnotedescription"/>
        <w:spacing w:line="253" w:lineRule="auto"/>
        <w:rPr>
          <w:szCs w:val="16"/>
        </w:rPr>
      </w:pPr>
      <w:r w:rsidRPr="001C1B82">
        <w:rPr>
          <w:rStyle w:val="footnotemark"/>
          <w:szCs w:val="16"/>
        </w:rPr>
        <w:footnoteRef/>
      </w:r>
      <w:r w:rsidRPr="001C1B82">
        <w:rPr>
          <w:rFonts w:eastAsia="Calibri" w:cs="Calibri"/>
          <w:szCs w:val="16"/>
        </w:rPr>
        <w:t xml:space="preserve"> See for example Jillian C. York, David Greene, and Gennie Gebhart </w:t>
      </w:r>
      <w:r w:rsidRPr="001C1B82">
        <w:rPr>
          <w:rFonts w:eastAsia="Calibri" w:cs="Calibri"/>
          <w:i/>
          <w:szCs w:val="16"/>
        </w:rPr>
        <w:t>Censorship Can't Be The Only Answer to Disinformation Online</w:t>
      </w:r>
      <w:r w:rsidRPr="001C1B82">
        <w:rPr>
          <w:rFonts w:eastAsia="Calibri" w:cs="Calibri"/>
          <w:szCs w:val="16"/>
        </w:rPr>
        <w:t xml:space="preserve"> May 1, 2019 at </w:t>
      </w:r>
      <w:r>
        <w:fldChar w:fldCharType="begin"/>
      </w:r>
      <w:r>
        <w:instrText xml:space="preserve"> HYPERLINK "https://www.eff.org/deeplinks/2019/05/censorship-cant-be-only-answer-disinformation-online" </w:instrText>
      </w:r>
      <w:r>
        <w:fldChar w:fldCharType="separate"/>
      </w:r>
      <w:r w:rsidRPr="001C1B82">
        <w:rPr>
          <w:rFonts w:eastAsia="Calibri" w:cs="Calibri"/>
          <w:color w:val="0563C1"/>
          <w:szCs w:val="16"/>
          <w:u w:val="single" w:color="0563C1"/>
        </w:rPr>
        <w:t>https://www.eff.org/deeplinks/2019/05/censorship-cant-be-only</w:t>
      </w:r>
      <w:r>
        <w:fldChar w:fldCharType="end"/>
      </w:r>
      <w:r>
        <w:fldChar w:fldCharType="begin"/>
      </w:r>
      <w:r>
        <w:instrText xml:space="preserve"> HYPERLINK "https://www.eff.org/deeplinks/2019/05/censorship-cant-be-only-answer-disinformation-online" </w:instrText>
      </w:r>
      <w:r>
        <w:fldChar w:fldCharType="separate"/>
      </w:r>
      <w:r w:rsidRPr="001C1B82">
        <w:rPr>
          <w:rFonts w:eastAsia="Calibri" w:cs="Calibri"/>
          <w:color w:val="0563C1"/>
          <w:szCs w:val="16"/>
          <w:u w:val="single" w:color="0563C1"/>
        </w:rPr>
        <w:t>answer-disinformation-online</w:t>
      </w:r>
      <w:r>
        <w:fldChar w:fldCharType="end"/>
      </w:r>
      <w:r>
        <w:fldChar w:fldCharType="begin"/>
      </w:r>
      <w:r>
        <w:instrText xml:space="preserve"> HYPERLINK "https://www.eff.org/deeplinks/2019/05/censorship-cant-be-only-answer-disinformation-online"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138">
    <w:p w:rsidR="00673732" w:rsidRPr="001C1B82">
      <w:pPr>
        <w:pStyle w:val="footnotedescription"/>
        <w:spacing w:line="265" w:lineRule="auto"/>
        <w:rPr>
          <w:szCs w:val="16"/>
        </w:rPr>
      </w:pPr>
      <w:r w:rsidRPr="001C1B82">
        <w:rPr>
          <w:rStyle w:val="footnotemark"/>
          <w:szCs w:val="16"/>
        </w:rPr>
        <w:footnoteRef/>
      </w:r>
      <w:r w:rsidRPr="001C1B82">
        <w:rPr>
          <w:rFonts w:eastAsia="Calibri" w:cs="Calibri"/>
          <w:szCs w:val="16"/>
        </w:rPr>
        <w:t xml:space="preserve"> Andrew Guess, Jonathan Nagler and Joshua Tucker, </w:t>
      </w:r>
      <w:r w:rsidRPr="001C1B82">
        <w:rPr>
          <w:rFonts w:eastAsia="Calibri" w:cs="Calibri"/>
          <w:i/>
          <w:szCs w:val="16"/>
        </w:rPr>
        <w:t>Less than you think: Prevalence and predictors of fake news dissemination on Facebook</w:t>
      </w:r>
      <w:r w:rsidRPr="001C1B82">
        <w:rPr>
          <w:rFonts w:eastAsia="Calibri" w:cs="Calibri"/>
          <w:szCs w:val="16"/>
        </w:rPr>
        <w:t xml:space="preserve">, Science Advances 09 Jan 2019: Vol. 5, no. 1, eaau4586 </w:t>
      </w:r>
    </w:p>
  </w:footnote>
  <w:footnote w:id="139">
    <w:p w:rsidR="00673732" w:rsidRPr="001C1B82">
      <w:pPr>
        <w:pStyle w:val="footnotedescription"/>
        <w:spacing w:line="275" w:lineRule="auto"/>
        <w:rPr>
          <w:szCs w:val="16"/>
        </w:rPr>
      </w:pPr>
      <w:r w:rsidRPr="001C1B82">
        <w:rPr>
          <w:rStyle w:val="footnotemark"/>
          <w:szCs w:val="16"/>
        </w:rPr>
        <w:footnoteRef/>
      </w:r>
      <w:r w:rsidRPr="001C1B82">
        <w:rPr>
          <w:rFonts w:eastAsia="Calibri" w:cs="Calibri"/>
          <w:szCs w:val="16"/>
        </w:rPr>
        <w:t xml:space="preserve"> Rachael Jolley, Anonymity: worth defending, 19 September 2016, at </w:t>
      </w:r>
      <w:r>
        <w:fldChar w:fldCharType="begin"/>
      </w:r>
      <w:r>
        <w:instrText xml:space="preserve"> HYPERLINK "https://www.indexoncensorship.org/2016/09/anonymity-worth-defending/" </w:instrText>
      </w:r>
      <w:r>
        <w:fldChar w:fldCharType="separate"/>
      </w:r>
      <w:r w:rsidRPr="001C1B82">
        <w:rPr>
          <w:rFonts w:eastAsia="Calibri" w:cs="Calibri"/>
          <w:color w:val="0563C1"/>
          <w:szCs w:val="16"/>
          <w:u w:val="single" w:color="0563C1"/>
        </w:rPr>
        <w:t>https://www.indexoncensorship.org/2016/09/anonymity-worth-defending/</w:t>
      </w:r>
      <w:r>
        <w:fldChar w:fldCharType="end"/>
      </w:r>
      <w:r>
        <w:fldChar w:fldCharType="begin"/>
      </w:r>
      <w:r>
        <w:instrText xml:space="preserve"> HYPERLINK "https://www.indexoncensorship.org/2016/09/anonymity-worth-defending/"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140">
    <w:p w:rsidR="00673732" w:rsidRPr="001C1B82">
      <w:pPr>
        <w:pStyle w:val="footnotedescription"/>
        <w:spacing w:line="277" w:lineRule="auto"/>
        <w:rPr>
          <w:szCs w:val="16"/>
        </w:rPr>
      </w:pPr>
      <w:r w:rsidRPr="001C1B82">
        <w:rPr>
          <w:rStyle w:val="footnotemark"/>
          <w:szCs w:val="16"/>
        </w:rPr>
        <w:footnoteRef/>
      </w:r>
      <w:r w:rsidRPr="001C1B82">
        <w:rPr>
          <w:rFonts w:eastAsia="Calibri" w:cs="Calibri"/>
          <w:szCs w:val="16"/>
        </w:rPr>
        <w:t xml:space="preserve"> Report of the Special Rapporteur on the promotion and protection of the right to freedom of opinion and expression, UN Doc. A/HRC/38/35 6 April 2018, para. 30. </w:t>
      </w:r>
    </w:p>
  </w:footnote>
  <w:footnote w:id="141">
    <w:p w:rsidR="00673732" w:rsidRPr="001C1B82">
      <w:pPr>
        <w:pStyle w:val="footnotedescription"/>
        <w:spacing w:after="38" w:line="239" w:lineRule="auto"/>
        <w:ind w:right="1406"/>
        <w:rPr>
          <w:szCs w:val="16"/>
        </w:rPr>
      </w:pPr>
      <w:r w:rsidRPr="001C1B82">
        <w:rPr>
          <w:rStyle w:val="footnotemark"/>
          <w:szCs w:val="16"/>
        </w:rPr>
        <w:footnoteRef/>
      </w:r>
      <w:r w:rsidRPr="001C1B82">
        <w:rPr>
          <w:rFonts w:eastAsia="Calibri" w:cs="Calibri"/>
          <w:szCs w:val="16"/>
        </w:rPr>
        <w:t xml:space="preserve"> Index on Censorship statement, </w:t>
      </w:r>
      <w:r w:rsidRPr="001C1B82">
        <w:rPr>
          <w:rFonts w:eastAsia="Calibri" w:cs="Calibri"/>
          <w:i/>
          <w:szCs w:val="16"/>
        </w:rPr>
        <w:t xml:space="preserve">Alex Jones, Infowars and the internet, </w:t>
      </w:r>
      <w:r w:rsidRPr="001C1B82">
        <w:rPr>
          <w:rFonts w:eastAsia="Calibri" w:cs="Calibri"/>
          <w:szCs w:val="16"/>
        </w:rPr>
        <w:t xml:space="preserve">4 August 2018, at </w:t>
      </w:r>
      <w:r>
        <w:fldChar w:fldCharType="begin"/>
      </w:r>
      <w:r>
        <w:instrText xml:space="preserve"> HYPERLINK "https://www.indexoncensorship.org/2018/08/alex-jones-infowars-and-the-internet/" </w:instrText>
      </w:r>
      <w:r>
        <w:fldChar w:fldCharType="separate"/>
      </w:r>
      <w:r w:rsidRPr="001C1B82">
        <w:rPr>
          <w:rFonts w:eastAsia="Calibri" w:cs="Calibri"/>
          <w:color w:val="0563C1"/>
          <w:szCs w:val="16"/>
          <w:u w:val="single" w:color="0563C1"/>
        </w:rPr>
        <w:t>https://www.indexoncensorship.org/2018/08/alex-jones-infowars-and-the-internet/</w:t>
      </w:r>
      <w:r>
        <w:fldChar w:fldCharType="end"/>
      </w:r>
      <w:r>
        <w:fldChar w:fldCharType="begin"/>
      </w:r>
      <w:r>
        <w:instrText xml:space="preserve"> HYPERLINK "https://www.indexoncensorship.org/2018/08/alex-jones-infowars-and-the-internet/" </w:instrText>
      </w:r>
      <w:r>
        <w:fldChar w:fldCharType="separate"/>
      </w:r>
      <w:r w:rsidRPr="001C1B82">
        <w:rPr>
          <w:rFonts w:eastAsia="Calibri" w:cs="Calibri"/>
          <w:szCs w:val="16"/>
        </w:rPr>
        <w:t xml:space="preserve">  </w:t>
      </w:r>
      <w:r>
        <w:fldChar w:fldCharType="end"/>
      </w:r>
      <w:r w:rsidRPr="001C1B82">
        <w:rPr>
          <w:rFonts w:eastAsia="Calibri" w:cs="Calibri"/>
          <w:szCs w:val="16"/>
          <w:vertAlign w:val="superscript"/>
        </w:rPr>
        <w:t>7</w:t>
      </w:r>
      <w:r w:rsidRPr="001C1B82">
        <w:rPr>
          <w:rFonts w:eastAsia="Calibri" w:cs="Calibri"/>
          <w:szCs w:val="16"/>
        </w:rPr>
        <w:t xml:space="preserve"> Jillian C. York and Corynne McSherry, Content Moderation is Broken. Let Us Count the Ways. </w:t>
      </w:r>
    </w:p>
    <w:p w:rsidR="00673732" w:rsidRPr="001C1B82">
      <w:pPr>
        <w:pStyle w:val="footnotedescription"/>
        <w:rPr>
          <w:szCs w:val="16"/>
        </w:rPr>
      </w:pPr>
      <w:r w:rsidRPr="001C1B82">
        <w:rPr>
          <w:rFonts w:eastAsia="Calibri" w:cs="Calibri"/>
          <w:szCs w:val="16"/>
        </w:rPr>
        <w:t xml:space="preserve">April 29, 2019, at </w:t>
      </w:r>
      <w:r>
        <w:fldChar w:fldCharType="begin"/>
      </w:r>
      <w:r>
        <w:instrText xml:space="preserve"> HYPERLINK "https://www.eff.org/deeplinks/2019/04/content-moderation-broken-let-us-count-ways" </w:instrText>
      </w:r>
      <w:r>
        <w:fldChar w:fldCharType="separate"/>
      </w:r>
      <w:r w:rsidRPr="001C1B82">
        <w:rPr>
          <w:rFonts w:eastAsia="Calibri" w:cs="Calibri"/>
          <w:color w:val="0563C1"/>
          <w:szCs w:val="16"/>
          <w:u w:val="single" w:color="0563C1"/>
        </w:rPr>
        <w:t>https://www.eff.org/deeplinks/2019/04/content-moderation-broken-let-us-count-ways</w:t>
      </w:r>
      <w:r>
        <w:fldChar w:fldCharType="end"/>
      </w:r>
      <w:r>
        <w:fldChar w:fldCharType="begin"/>
      </w:r>
      <w:r>
        <w:instrText xml:space="preserve"> HYPERLINK "https://www.eff.org/deeplinks/2019/04/content-moderation-broken-let-us-count-ways" </w:instrText>
      </w:r>
      <w:r>
        <w:fldChar w:fldCharType="separate"/>
      </w:r>
      <w:r w:rsidRPr="001C1B82">
        <w:rPr>
          <w:rFonts w:eastAsia="Calibri" w:cs="Calibri"/>
          <w:szCs w:val="16"/>
        </w:rPr>
        <w:t xml:space="preserve">  </w:t>
      </w:r>
      <w:r>
        <w:fldChar w:fldCharType="end"/>
      </w:r>
    </w:p>
  </w:footnote>
  <w:footnote w:id="142">
    <w:p w:rsidR="00673732" w:rsidRPr="001C1B82">
      <w:pPr>
        <w:pStyle w:val="footnotedescription"/>
        <w:rPr>
          <w:szCs w:val="16"/>
        </w:rPr>
      </w:pPr>
      <w:r w:rsidRPr="001C1B82">
        <w:rPr>
          <w:rStyle w:val="footnotemark"/>
          <w:szCs w:val="16"/>
        </w:rPr>
        <w:footnoteRef/>
      </w:r>
      <w:r w:rsidRPr="001C1B82">
        <w:rPr>
          <w:rFonts w:eastAsia="Calibri" w:cs="Calibri"/>
          <w:szCs w:val="16"/>
        </w:rPr>
        <w:t xml:space="preserve"> Available at </w:t>
      </w:r>
      <w:r>
        <w:fldChar w:fldCharType="begin"/>
      </w:r>
      <w:r>
        <w:instrText xml:space="preserve"> HYPERLINK "https://www.manilaprinciples.org/" </w:instrText>
      </w:r>
      <w:r>
        <w:fldChar w:fldCharType="separate"/>
      </w:r>
      <w:r w:rsidRPr="001C1B82">
        <w:rPr>
          <w:rFonts w:eastAsia="Calibri" w:cs="Calibri"/>
          <w:color w:val="0563C1"/>
          <w:szCs w:val="16"/>
          <w:u w:val="single" w:color="0563C1"/>
        </w:rPr>
        <w:t>https://www.manilaprinciples.org/</w:t>
      </w:r>
      <w:r>
        <w:fldChar w:fldCharType="end"/>
      </w:r>
      <w:r>
        <w:fldChar w:fldCharType="begin"/>
      </w:r>
      <w:r>
        <w:instrText xml:space="preserve"> HYPERLINK "https://www.manilaprinciples.org/" </w:instrText>
      </w:r>
      <w:r>
        <w:fldChar w:fldCharType="separate"/>
      </w:r>
      <w:r w:rsidRPr="001C1B82">
        <w:rPr>
          <w:rFonts w:eastAsia="Calibri" w:cs="Calibri"/>
          <w:szCs w:val="16"/>
        </w:rPr>
        <w:t xml:space="preserve">  </w:t>
      </w:r>
      <w:r>
        <w:fldChar w:fldCharType="end"/>
      </w:r>
    </w:p>
  </w:footnote>
  <w:footnote w:id="143">
    <w:p w:rsidR="00673732" w:rsidRPr="001C1B82">
      <w:pPr>
        <w:pStyle w:val="footnotedescription"/>
        <w:spacing w:line="289" w:lineRule="auto"/>
        <w:rPr>
          <w:szCs w:val="16"/>
        </w:rPr>
      </w:pPr>
      <w:r w:rsidRPr="001C1B82">
        <w:rPr>
          <w:rStyle w:val="footnotemark"/>
          <w:szCs w:val="16"/>
        </w:rPr>
        <w:footnoteRef/>
      </w:r>
      <w:r w:rsidRPr="001C1B82">
        <w:rPr>
          <w:rFonts w:eastAsia="Arial" w:cs="Arial"/>
          <w:szCs w:val="16"/>
        </w:rPr>
        <w:t xml:space="preserve"> The Cairncross Review (2019). A sustainable future for journalism. Available at: </w:t>
      </w:r>
      <w:r>
        <w:fldChar w:fldCharType="begin"/>
      </w:r>
      <w:r>
        <w:instrText xml:space="preserve"> HYPERLINK "https://assets.publishing.service.gov.uk/government/uploads/system/uploads/attachment_data/file/779882/021919_DCMS_Cairncross_Review_.pdf" </w:instrText>
      </w:r>
      <w:r>
        <w:fldChar w:fldCharType="separate"/>
      </w:r>
      <w:r w:rsidRPr="001C1B82">
        <w:rPr>
          <w:rFonts w:eastAsia="Arial" w:cs="Arial"/>
          <w:color w:val="1155CC"/>
          <w:szCs w:val="16"/>
          <w:u w:val="single" w:color="1155CC"/>
        </w:rPr>
        <w:t>https://assets.publishing.service.gov.</w:t>
      </w:r>
      <w:r>
        <w:fldChar w:fldCharType="end"/>
      </w:r>
      <w:r>
        <w:fldChar w:fldCharType="begin"/>
      </w:r>
      <w:r>
        <w:instrText xml:space="preserve"> HYPERLINK "https://assets.publishing.service.gov.uk/government/uploads/system/uploads/attachment_data/file/779882/021919_DCMS_Cairncross_Review_.pdf" </w:instrText>
      </w:r>
      <w:r>
        <w:fldChar w:fldCharType="separate"/>
      </w:r>
      <w:r w:rsidRPr="001C1B82">
        <w:rPr>
          <w:rFonts w:eastAsia="Arial" w:cs="Arial"/>
          <w:color w:val="1155CC"/>
          <w:szCs w:val="16"/>
        </w:rPr>
        <w:t xml:space="preserve"> </w:t>
      </w:r>
      <w:r>
        <w:fldChar w:fldCharType="end"/>
      </w:r>
    </w:p>
    <w:p w:rsidR="00673732" w:rsidRPr="001C1B82">
      <w:pPr>
        <w:pStyle w:val="footnotedescription"/>
        <w:spacing w:line="229" w:lineRule="auto"/>
        <w:jc w:val="both"/>
        <w:rPr>
          <w:szCs w:val="16"/>
        </w:rPr>
      </w:pPr>
      <w:r>
        <w:fldChar w:fldCharType="begin"/>
      </w:r>
      <w:r>
        <w:instrText xml:space="preserve"> HYPERLINK "https://assets.publishing.service.gov.uk/government/uploads/system/uploads/attachment_data/file/779882/021919_DCMS_Cairncross_Review_.pdf" </w:instrText>
      </w:r>
      <w:r>
        <w:fldChar w:fldCharType="separate"/>
      </w:r>
      <w:r w:rsidRPr="001C1B82">
        <w:rPr>
          <w:rFonts w:eastAsia="Arial" w:cs="Arial"/>
          <w:color w:val="1155CC"/>
          <w:szCs w:val="16"/>
          <w:u w:val="single" w:color="1155CC"/>
        </w:rPr>
        <w:t xml:space="preserve">uk/government/uploads/system/uploads/attachment_data/file/779882/021919_DCMS_Cairncross_Re </w:t>
      </w:r>
      <w:r>
        <w:fldChar w:fldCharType="end"/>
      </w:r>
      <w:r>
        <w:fldChar w:fldCharType="begin"/>
      </w:r>
      <w:r>
        <w:instrText xml:space="preserve"> HYPERLINK "https://assets.publishing.service.gov.uk/government/uploads/system/uploads/attachment_data/file/779882/021919_DCMS_Cairncross_Review_.pdf" </w:instrText>
      </w:r>
      <w:r>
        <w:fldChar w:fldCharType="separate"/>
      </w:r>
      <w:r w:rsidRPr="001C1B82">
        <w:rPr>
          <w:rFonts w:eastAsia="Arial" w:cs="Arial"/>
          <w:color w:val="1155CC"/>
          <w:szCs w:val="16"/>
          <w:u w:val="single" w:color="1155CC"/>
        </w:rPr>
        <w:t>view_.pdf</w:t>
      </w:r>
      <w:r>
        <w:fldChar w:fldCharType="end"/>
      </w:r>
      <w:r>
        <w:fldChar w:fldCharType="begin"/>
      </w:r>
      <w:r>
        <w:instrText xml:space="preserve"> HYPERLINK "https://assets.publishing.service.gov.uk/government/uploads/system/uploads/attachment_data/file/779882/021919_DCMS_Cairncross_Review_.pdf" </w:instrText>
      </w:r>
      <w:r>
        <w:fldChar w:fldCharType="separate"/>
      </w:r>
      <w:r w:rsidRPr="001C1B82">
        <w:rPr>
          <w:rFonts w:eastAsia="Arial" w:cs="Arial"/>
          <w:szCs w:val="16"/>
        </w:rPr>
        <w:t xml:space="preserve"> </w:t>
      </w:r>
      <w:r>
        <w:fldChar w:fldCharType="end"/>
      </w:r>
    </w:p>
    <w:p w:rsidR="00673732" w:rsidRPr="001C1B82">
      <w:pPr>
        <w:pStyle w:val="footnotedescription"/>
        <w:rPr>
          <w:szCs w:val="16"/>
        </w:rPr>
      </w:pPr>
      <w:r w:rsidRPr="001C1B82">
        <w:rPr>
          <w:rFonts w:eastAsia="Arial" w:cs="Arial"/>
          <w:szCs w:val="16"/>
        </w:rPr>
        <w:t xml:space="preserve"> </w:t>
      </w:r>
    </w:p>
  </w:footnote>
  <w:footnote w:id="144">
    <w:p w:rsidR="00673732" w:rsidRPr="001C1B82">
      <w:pPr>
        <w:pStyle w:val="footnotedescription"/>
        <w:spacing w:line="286" w:lineRule="auto"/>
        <w:rPr>
          <w:szCs w:val="16"/>
        </w:rPr>
      </w:pPr>
      <w:r w:rsidRPr="001C1B82">
        <w:rPr>
          <w:rStyle w:val="footnotemark"/>
          <w:szCs w:val="16"/>
        </w:rPr>
        <w:footnoteRef/>
      </w:r>
      <w:r w:rsidRPr="001C1B82">
        <w:rPr>
          <w:rFonts w:eastAsia="Arial" w:cs="Arial"/>
          <w:szCs w:val="16"/>
        </w:rPr>
        <w:t xml:space="preserve"> The Cairncross Review (2019). A sustainable future for journalism. Available at: </w:t>
      </w:r>
      <w:r>
        <w:fldChar w:fldCharType="begin"/>
      </w:r>
      <w:r>
        <w:instrText xml:space="preserve"> HYPERLINK "https://assets.publishing.service.gov.uk/government/uploads/system/uploads/attachment_data/file/779882/021919_DCMS_Cairncross_Review_.pdf" </w:instrText>
      </w:r>
      <w:r>
        <w:fldChar w:fldCharType="separate"/>
      </w:r>
      <w:r w:rsidRPr="001C1B82">
        <w:rPr>
          <w:rFonts w:eastAsia="Arial" w:cs="Arial"/>
          <w:color w:val="1155CC"/>
          <w:szCs w:val="16"/>
          <w:u w:val="single" w:color="1155CC"/>
        </w:rPr>
        <w:t>https://assets.publishing.service.gov.</w:t>
      </w:r>
      <w:r>
        <w:fldChar w:fldCharType="end"/>
      </w:r>
      <w:r>
        <w:fldChar w:fldCharType="begin"/>
      </w:r>
      <w:r>
        <w:instrText xml:space="preserve"> HYPERLINK "https://assets.publishing.service.gov.uk/government/uploads/system/uploads/attachment_data/file/779882/021919_DCMS_Cairncross_Review_.pdf" </w:instrText>
      </w:r>
      <w:r>
        <w:fldChar w:fldCharType="separate"/>
      </w:r>
      <w:r w:rsidRPr="001C1B82">
        <w:rPr>
          <w:rFonts w:eastAsia="Arial" w:cs="Arial"/>
          <w:color w:val="1155CC"/>
          <w:szCs w:val="16"/>
        </w:rPr>
        <w:t xml:space="preserve"> </w:t>
      </w:r>
      <w:r>
        <w:fldChar w:fldCharType="end"/>
      </w:r>
    </w:p>
    <w:p w:rsidR="00673732" w:rsidRPr="001C1B82">
      <w:pPr>
        <w:pStyle w:val="footnotedescription"/>
        <w:spacing w:after="15" w:line="241" w:lineRule="auto"/>
        <w:jc w:val="both"/>
        <w:rPr>
          <w:szCs w:val="16"/>
        </w:rPr>
      </w:pPr>
      <w:r>
        <w:fldChar w:fldCharType="begin"/>
      </w:r>
      <w:r>
        <w:instrText xml:space="preserve"> HYPERLINK "https://assets.publishing.service.gov.uk/government/uploads/system/uploads/attachment_data/file/779882/021919_DCMS_Cairncross_Review_.pdf" </w:instrText>
      </w:r>
      <w:r>
        <w:fldChar w:fldCharType="separate"/>
      </w:r>
      <w:r w:rsidRPr="001C1B82">
        <w:rPr>
          <w:rFonts w:eastAsia="Arial" w:cs="Arial"/>
          <w:color w:val="1155CC"/>
          <w:szCs w:val="16"/>
          <w:u w:val="single" w:color="1155CC"/>
        </w:rPr>
        <w:t xml:space="preserve">uk/government/uploads/system/uploads/attachment_data/file/779882/021919_DCMS_Cairncross_Re </w:t>
      </w:r>
      <w:r>
        <w:fldChar w:fldCharType="end"/>
      </w:r>
      <w:r>
        <w:fldChar w:fldCharType="begin"/>
      </w:r>
      <w:r>
        <w:instrText xml:space="preserve"> HYPERLINK "https://assets.publishing.service.gov.uk/government/uploads/system/uploads/attachment_data/file/779882/021919_DCMS_Cairncross_Review_.pdf" </w:instrText>
      </w:r>
      <w:r>
        <w:fldChar w:fldCharType="separate"/>
      </w:r>
      <w:r w:rsidRPr="001C1B82">
        <w:rPr>
          <w:rFonts w:eastAsia="Arial" w:cs="Arial"/>
          <w:color w:val="1155CC"/>
          <w:szCs w:val="16"/>
          <w:u w:val="single" w:color="1155CC"/>
        </w:rPr>
        <w:t>view_.pdf</w:t>
      </w:r>
      <w:r>
        <w:fldChar w:fldCharType="end"/>
      </w:r>
      <w:r>
        <w:fldChar w:fldCharType="begin"/>
      </w:r>
      <w:r>
        <w:instrText xml:space="preserve"> HYPERLINK "https://assets.publishing.service.gov.uk/government/uploads/system/uploads/attachment_data/file/779882/021919_DCMS_Cairncross_Review_.pdf" </w:instrText>
      </w:r>
      <w:r>
        <w:fldChar w:fldCharType="separate"/>
      </w:r>
      <w:r w:rsidRPr="001C1B82">
        <w:rPr>
          <w:rFonts w:eastAsia="Arial" w:cs="Arial"/>
          <w:szCs w:val="16"/>
        </w:rPr>
        <w:t xml:space="preserve"> </w:t>
      </w:r>
      <w:r>
        <w:fldChar w:fldCharType="end"/>
      </w:r>
    </w:p>
  </w:footnote>
  <w:footnote w:id="145">
    <w:p w:rsidR="00673732" w:rsidRPr="001C1B82">
      <w:pPr>
        <w:pStyle w:val="footnotedescription"/>
        <w:spacing w:after="26"/>
        <w:rPr>
          <w:szCs w:val="16"/>
        </w:rPr>
      </w:pPr>
      <w:r w:rsidRPr="001C1B82">
        <w:rPr>
          <w:rStyle w:val="footnotemark"/>
          <w:szCs w:val="16"/>
        </w:rPr>
        <w:footnoteRef/>
      </w:r>
      <w:r w:rsidRPr="001C1B82">
        <w:rPr>
          <w:rFonts w:eastAsia="Arial" w:cs="Arial"/>
          <w:szCs w:val="16"/>
        </w:rPr>
        <w:t xml:space="preserve">  The House of Lords Select Committee on Political Polling and Digital Media (2018). Available at: </w:t>
      </w:r>
    </w:p>
    <w:p w:rsidR="00673732" w:rsidRPr="001C1B82">
      <w:pPr>
        <w:pStyle w:val="footnotedescription"/>
        <w:rPr>
          <w:szCs w:val="16"/>
        </w:rPr>
      </w:pPr>
      <w:r>
        <w:fldChar w:fldCharType="begin"/>
      </w:r>
      <w:r>
        <w:instrText xml:space="preserve"> HYPERLINK "https://publications.parliament.uk/pa/ld201719/ldselect/ldppdm/106/106.pdf" </w:instrText>
      </w:r>
      <w:r>
        <w:fldChar w:fldCharType="separate"/>
      </w:r>
      <w:r w:rsidRPr="001C1B82">
        <w:rPr>
          <w:rFonts w:eastAsia="Arial" w:cs="Arial"/>
          <w:color w:val="1155CC"/>
          <w:szCs w:val="16"/>
          <w:u w:val="single" w:color="1155CC"/>
        </w:rPr>
        <w:t>https://publications.parliament.uk/pa/ld201719/ldselect/ldppdm/106/106.pdf</w:t>
      </w:r>
      <w:r>
        <w:fldChar w:fldCharType="end"/>
      </w:r>
      <w:r>
        <w:fldChar w:fldCharType="begin"/>
      </w:r>
      <w:r>
        <w:instrText xml:space="preserve"> HYPERLINK "https://publications.parliament.uk/pa/ld201719/ldselect/ldppdm/106/106.pdf" </w:instrText>
      </w:r>
      <w:r>
        <w:fldChar w:fldCharType="separate"/>
      </w:r>
      <w:r w:rsidRPr="001C1B82">
        <w:rPr>
          <w:rFonts w:eastAsia="Arial" w:cs="Arial"/>
          <w:szCs w:val="16"/>
        </w:rPr>
        <w:t xml:space="preserve"> </w:t>
      </w:r>
      <w:r>
        <w:fldChar w:fldCharType="end"/>
      </w:r>
    </w:p>
  </w:footnote>
  <w:footnote w:id="146">
    <w:p w:rsidR="00673732" w:rsidRPr="001C1B82">
      <w:pPr>
        <w:pStyle w:val="footnotedescription"/>
        <w:spacing w:after="26"/>
        <w:rPr>
          <w:szCs w:val="16"/>
        </w:rPr>
      </w:pPr>
      <w:r w:rsidRPr="001C1B82">
        <w:rPr>
          <w:rStyle w:val="footnotemark"/>
          <w:szCs w:val="16"/>
        </w:rPr>
        <w:footnoteRef/>
      </w:r>
      <w:r w:rsidRPr="001C1B82">
        <w:rPr>
          <w:rFonts w:eastAsia="Arial" w:cs="Arial"/>
          <w:szCs w:val="16"/>
        </w:rPr>
        <w:t xml:space="preserve"> Digital, Culture, Media and Sport Committee (2019). Disinformation and ‘fake news’: Final Report. </w:t>
      </w:r>
    </w:p>
    <w:p w:rsidR="00673732" w:rsidRPr="001C1B82">
      <w:pPr>
        <w:pStyle w:val="footnotedescription"/>
        <w:rPr>
          <w:szCs w:val="16"/>
        </w:rPr>
      </w:pPr>
      <w:r w:rsidRPr="001C1B82">
        <w:rPr>
          <w:rFonts w:eastAsia="Arial" w:cs="Arial"/>
          <w:szCs w:val="16"/>
        </w:rPr>
        <w:t>Available at:</w:t>
      </w:r>
      <w:r>
        <w:fldChar w:fldCharType="begin"/>
      </w:r>
      <w:r>
        <w:instrText xml:space="preserve"> HYPERLINK "https://publications.parliament.uk/pa/cm201719/cmselect/cmcumeds/1791/1791.pdf" </w:instrText>
      </w:r>
      <w:r>
        <w:fldChar w:fldCharType="separate"/>
      </w:r>
      <w:r w:rsidRPr="001C1B82">
        <w:rPr>
          <w:rFonts w:eastAsia="Arial" w:cs="Arial"/>
          <w:color w:val="1155CC"/>
          <w:szCs w:val="16"/>
          <w:u w:val="single" w:color="1155CC"/>
        </w:rPr>
        <w:t xml:space="preserve"> https://publications.parliament.uk/pa/cm201719/cmselect/cmcumeds/1791/1791.pdf</w:t>
      </w:r>
      <w:r>
        <w:fldChar w:fldCharType="end"/>
      </w:r>
      <w:r>
        <w:fldChar w:fldCharType="begin"/>
      </w:r>
      <w:r>
        <w:instrText xml:space="preserve"> HYPERLINK "https://publications.parliament.uk/pa/cm201719/cmselect/cmcumeds/1791/1791.pdf" </w:instrText>
      </w:r>
      <w:r>
        <w:fldChar w:fldCharType="separate"/>
      </w:r>
      <w:r w:rsidRPr="001C1B82">
        <w:rPr>
          <w:rFonts w:eastAsia="Arial" w:cs="Arial"/>
          <w:szCs w:val="16"/>
        </w:rPr>
        <w:t xml:space="preserve"> </w:t>
      </w:r>
      <w:r>
        <w:fldChar w:fldCharType="end"/>
      </w:r>
    </w:p>
  </w:footnote>
  <w:footnote w:id="147">
    <w:p w:rsidR="00673732" w:rsidRPr="001C1B82">
      <w:pPr>
        <w:pStyle w:val="footnotedescription"/>
        <w:spacing w:line="270" w:lineRule="auto"/>
        <w:ind w:left="1"/>
        <w:rPr>
          <w:szCs w:val="16"/>
        </w:rPr>
      </w:pPr>
      <w:r w:rsidRPr="001C1B82">
        <w:rPr>
          <w:rStyle w:val="footnotemark"/>
          <w:szCs w:val="16"/>
        </w:rPr>
        <w:footnoteRef/>
      </w:r>
      <w:r w:rsidRPr="001C1B82">
        <w:rPr>
          <w:szCs w:val="16"/>
        </w:rPr>
        <w:t xml:space="preserve"> The Democracy Perception Index (DPI) is a research project conducted by Dalia Research, in collaboration with the Alliance of Democracies and Rasmussen Global, to measure citizens’ trust in government. Available at </w:t>
      </w:r>
      <w:r>
        <w:fldChar w:fldCharType="begin"/>
      </w:r>
      <w:r>
        <w:instrText xml:space="preserve"> HYPERLINK "https://gallery.mailchimp.com/acb575d592ca8c83bb76a5328/files/635a6160-5259-4079-a01b-ddef9de748af/Democracy_Perception_Index_2018.pdf" </w:instrText>
      </w:r>
      <w:r>
        <w:fldChar w:fldCharType="separate"/>
      </w:r>
      <w:r w:rsidRPr="001C1B82">
        <w:rPr>
          <w:color w:val="0563C1"/>
          <w:szCs w:val="16"/>
          <w:u w:val="single" w:color="0563C1"/>
        </w:rPr>
        <w:t>https://gallery.mailchimp.com/acb575d592ca8c83bb76a5328/files/635a6160-5259-4079-a01b</w:t>
      </w:r>
      <w:r>
        <w:fldChar w:fldCharType="end"/>
      </w:r>
      <w:r>
        <w:fldChar w:fldCharType="begin"/>
      </w:r>
      <w:r>
        <w:instrText xml:space="preserve"> HYPERLINK "https://gallery.mailchimp.com/acb575d592ca8c83bb76a5328/files/635a6160-5259-4079-a01b-ddef9de748af/Democracy_Perception_Index_2018.pdf" </w:instrText>
      </w:r>
      <w:r>
        <w:fldChar w:fldCharType="separate"/>
      </w:r>
      <w:r w:rsidRPr="001C1B82">
        <w:rPr>
          <w:color w:val="0563C1"/>
          <w:szCs w:val="16"/>
          <w:u w:val="single" w:color="0563C1"/>
        </w:rPr>
        <w:t>ddef9de748af/Democracy_Perception_Index_2018.pdf</w:t>
      </w:r>
      <w:r>
        <w:fldChar w:fldCharType="end"/>
      </w:r>
      <w:r>
        <w:fldChar w:fldCharType="begin"/>
      </w:r>
      <w:r>
        <w:instrText xml:space="preserve"> HYPERLINK "https://gallery.mailchimp.com/acb575d592ca8c83bb76a5328/files/635a6160-5259-4079-a01b-ddef9de748af/Democracy_Perception_Index_2018.pdf" </w:instrText>
      </w:r>
      <w:r>
        <w:fldChar w:fldCharType="separate"/>
      </w:r>
      <w:r w:rsidRPr="001C1B82">
        <w:rPr>
          <w:szCs w:val="16"/>
        </w:rPr>
        <w:t xml:space="preserve"> </w:t>
      </w:r>
      <w:r>
        <w:fldChar w:fldCharType="end"/>
      </w:r>
    </w:p>
  </w:footnote>
  <w:footnote w:id="148">
    <w:p w:rsidR="00673732" w:rsidRPr="001C1B82">
      <w:pPr>
        <w:pStyle w:val="footnotedescription"/>
        <w:spacing w:line="276" w:lineRule="auto"/>
        <w:ind w:left="1"/>
        <w:rPr>
          <w:szCs w:val="16"/>
        </w:rPr>
      </w:pPr>
      <w:r w:rsidRPr="001C1B82">
        <w:rPr>
          <w:rStyle w:val="footnotemark"/>
          <w:szCs w:val="16"/>
        </w:rPr>
        <w:footnoteRef/>
      </w:r>
      <w:r w:rsidRPr="001C1B82">
        <w:rPr>
          <w:szCs w:val="16"/>
        </w:rPr>
        <w:t xml:space="preserve"> This does not suggest anything on the politics and/or legality of such held referenda, which in itself is beyond the scope of this article, but it merely gives an indication of failed democracy that has led to a trust deficit and disbelief towards the state. </w:t>
      </w:r>
    </w:p>
  </w:footnote>
  <w:footnote w:id="149">
    <w:p w:rsidR="00673732" w:rsidRPr="001C1B82">
      <w:pPr>
        <w:pStyle w:val="footnotedescription"/>
        <w:spacing w:after="28"/>
        <w:ind w:left="1"/>
        <w:rPr>
          <w:szCs w:val="16"/>
        </w:rPr>
      </w:pPr>
      <w:r w:rsidRPr="001C1B82">
        <w:rPr>
          <w:rStyle w:val="footnotemark"/>
          <w:szCs w:val="16"/>
        </w:rPr>
        <w:footnoteRef/>
      </w:r>
      <w:r w:rsidRPr="001C1B82">
        <w:rPr>
          <w:szCs w:val="16"/>
        </w:rPr>
        <w:t xml:space="preserve"> For more see, European Commission and Content and Technology Directorate-General for Communication </w:t>
      </w:r>
    </w:p>
    <w:p w:rsidR="00673732" w:rsidRPr="001C1B82">
      <w:pPr>
        <w:pStyle w:val="footnotedescription"/>
        <w:rPr>
          <w:szCs w:val="16"/>
        </w:rPr>
      </w:pPr>
      <w:r w:rsidRPr="001C1B82">
        <w:rPr>
          <w:szCs w:val="16"/>
        </w:rPr>
        <w:t xml:space="preserve">Networks, A Multidimensional Approach to Disinformation: Report of the Independent High-Level Group on Fake </w:t>
      </w:r>
    </w:p>
    <w:p w:rsidR="00673732" w:rsidRPr="001C1B82">
      <w:pPr>
        <w:pStyle w:val="footnotedescription"/>
        <w:rPr>
          <w:szCs w:val="16"/>
        </w:rPr>
      </w:pPr>
      <w:r w:rsidRPr="001C1B82">
        <w:rPr>
          <w:szCs w:val="16"/>
        </w:rPr>
        <w:t xml:space="preserve">News and Online Disinformation. (2018) 12 </w:t>
      </w:r>
    </w:p>
  </w:footnote>
  <w:footnote w:id="150">
    <w:p w:rsidR="00673732" w:rsidRPr="001C1B82">
      <w:pPr>
        <w:pStyle w:val="footnotedescription"/>
        <w:ind w:left="1"/>
        <w:rPr>
          <w:szCs w:val="16"/>
        </w:rPr>
      </w:pPr>
      <w:r w:rsidRPr="001C1B82">
        <w:rPr>
          <w:rStyle w:val="footnotemark"/>
          <w:szCs w:val="16"/>
        </w:rPr>
        <w:footnoteRef/>
      </w:r>
      <w:r w:rsidRPr="001C1B82">
        <w:rPr>
          <w:szCs w:val="16"/>
        </w:rPr>
        <w:t xml:space="preserve"> </w:t>
      </w:r>
      <w:r>
        <w:fldChar w:fldCharType="begin"/>
      </w:r>
      <w:r>
        <w:instrText xml:space="preserve"> HYPERLINK "https://www.deloitte.co.uk/mobileuk2017/assets/img/download/global-mobile-consumer-survey-2017_uk-cut.pdf" </w:instrText>
      </w:r>
      <w:r>
        <w:fldChar w:fldCharType="separate"/>
      </w:r>
      <w:r w:rsidRPr="001C1B82">
        <w:rPr>
          <w:color w:val="0563C1"/>
          <w:szCs w:val="16"/>
          <w:u w:val="single" w:color="0563C1"/>
        </w:rPr>
        <w:t>https://www.deloitte.co.uk/mobileuk2017/assets/img/download/global-mobile-consumer-survey-2017_uk-cut.pdf</w:t>
      </w:r>
      <w:r>
        <w:fldChar w:fldCharType="end"/>
      </w:r>
      <w:r>
        <w:fldChar w:fldCharType="begin"/>
      </w:r>
      <w:r>
        <w:instrText xml:space="preserve"> HYPERLINK "https://www.deloitte.co.uk/mobileuk2017/assets/img/download/global-mobile-consumer-survey-2017_uk-cut.pdf" </w:instrText>
      </w:r>
      <w:r>
        <w:fldChar w:fldCharType="separate"/>
      </w:r>
      <w:r w:rsidRPr="001C1B82">
        <w:rPr>
          <w:szCs w:val="16"/>
        </w:rPr>
        <w:t xml:space="preserve"> </w:t>
      </w:r>
      <w:r>
        <w:fldChar w:fldCharType="end"/>
      </w:r>
    </w:p>
  </w:footnote>
  <w:footnote w:id="151">
    <w:p w:rsidR="00673732" w:rsidRPr="001C1B82">
      <w:pPr>
        <w:pStyle w:val="footnotedescription"/>
        <w:rPr>
          <w:szCs w:val="16"/>
        </w:rPr>
      </w:pPr>
      <w:r w:rsidRPr="001C1B82">
        <w:rPr>
          <w:rStyle w:val="footnotemark"/>
          <w:szCs w:val="16"/>
        </w:rPr>
        <w:footnoteRef/>
      </w:r>
      <w:r w:rsidRPr="001C1B82">
        <w:rPr>
          <w:szCs w:val="16"/>
        </w:rPr>
        <w:t xml:space="preserve"> Lloyds Bank UK Consumer Digital Index (2019), p.4 </w:t>
      </w:r>
    </w:p>
  </w:footnote>
  <w:footnote w:id="152">
    <w:p w:rsidR="00673732" w:rsidRPr="001C1B82">
      <w:pPr>
        <w:pStyle w:val="footnotedescription"/>
        <w:rPr>
          <w:szCs w:val="16"/>
        </w:rPr>
      </w:pPr>
      <w:r w:rsidRPr="001C1B82">
        <w:rPr>
          <w:rStyle w:val="footnotemark"/>
          <w:szCs w:val="16"/>
        </w:rPr>
        <w:footnoteRef/>
      </w:r>
      <w:r w:rsidRPr="001C1B82">
        <w:rPr>
          <w:szCs w:val="16"/>
        </w:rPr>
        <w:t xml:space="preserve"> Lloyds Bank UK Consumer Digital Index (2019), p.19 </w:t>
      </w:r>
    </w:p>
  </w:footnote>
  <w:footnote w:id="153">
    <w:p w:rsidR="00673732" w:rsidRPr="001C1B82">
      <w:pPr>
        <w:pStyle w:val="footnotedescription"/>
        <w:rPr>
          <w:szCs w:val="16"/>
        </w:rPr>
      </w:pPr>
      <w:r w:rsidRPr="001C1B82">
        <w:rPr>
          <w:rStyle w:val="footnotemark"/>
          <w:szCs w:val="16"/>
        </w:rPr>
        <w:footnoteRef/>
      </w:r>
      <w:r w:rsidRPr="001C1B82">
        <w:rPr>
          <w:szCs w:val="16"/>
        </w:rPr>
        <w:t xml:space="preserve"> Ofcom Adults’ Media Use and Attitudes Report 2019, p.4 </w:t>
      </w:r>
    </w:p>
  </w:footnote>
  <w:footnote w:id="154">
    <w:p w:rsidR="00673732" w:rsidRPr="001C1B82">
      <w:pPr>
        <w:pStyle w:val="footnotedescription"/>
        <w:spacing w:after="16"/>
        <w:rPr>
          <w:szCs w:val="16"/>
        </w:rPr>
      </w:pPr>
      <w:r w:rsidRPr="001C1B82">
        <w:rPr>
          <w:rStyle w:val="footnotemark"/>
          <w:szCs w:val="16"/>
        </w:rPr>
        <w:footnoteRef/>
      </w:r>
      <w:r w:rsidRPr="001C1B82">
        <w:rPr>
          <w:szCs w:val="16"/>
        </w:rPr>
        <w:t xml:space="preserve"> Lloyds Bank UK Consumer Digital Index (2019), pp.4-24 </w:t>
      </w:r>
    </w:p>
  </w:footnote>
  <w:footnote w:id="155">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"https://helenmilner.com/2015/01/26/open-up-digital-democracy-commission-report-launched/" </w:instrText>
      </w:r>
      <w:r>
        <w:fldChar w:fldCharType="separate"/>
      </w:r>
      <w:r w:rsidRPr="001C1B82">
        <w:rPr>
          <w:color w:val="1155CC"/>
          <w:szCs w:val="16"/>
          <w:u w:val="single" w:color="1155CC"/>
        </w:rPr>
        <w:t>Helen Milner, 'Open Up! Digital Democracy Commission Report Launched' (2015)</w:t>
      </w:r>
      <w:r>
        <w:fldChar w:fldCharType="end"/>
      </w:r>
      <w:r>
        <w:fldChar w:fldCharType="begin"/>
      </w:r>
      <w:r>
        <w:instrText xml:space="preserve"> HYPERLINK "https://helenmilner.com/2015/01/26/open-up-digital-democracy-commission-report-launched/" </w:instrText>
      </w:r>
      <w:r>
        <w:fldChar w:fldCharType="separate"/>
      </w:r>
      <w:r w:rsidRPr="001C1B82">
        <w:rPr>
          <w:szCs w:val="16"/>
        </w:rPr>
        <w:t xml:space="preserve"> </w:t>
      </w:r>
      <w:r>
        <w:fldChar w:fldCharType="end"/>
      </w:r>
    </w:p>
  </w:footnote>
  <w:footnote w:id="156">
    <w:p w:rsidR="00673732" w:rsidRPr="001C1B82">
      <w:pPr>
        <w:pStyle w:val="footnotedescription"/>
        <w:spacing w:line="276" w:lineRule="auto"/>
        <w:jc w:val="both"/>
        <w:rPr>
          <w:szCs w:val="16"/>
        </w:rPr>
      </w:pPr>
      <w:r w:rsidRPr="001C1B82">
        <w:rPr>
          <w:rStyle w:val="footnotemark"/>
          <w:szCs w:val="16"/>
        </w:rPr>
        <w:footnoteRef/>
      </w:r>
      <w:r w:rsidRPr="001C1B82">
        <w:rPr>
          <w:szCs w:val="16"/>
        </w:rPr>
        <w:t xml:space="preserve"> Digital Democracy Commission, Open Up! Report of the Speaker’s Commission on Digital Democracy (2015), p.31 </w:t>
      </w:r>
    </w:p>
  </w:footnote>
  <w:footnote w:id="157">
    <w:p w:rsidR="00673732" w:rsidRPr="001C1B82">
      <w:pPr>
        <w:pStyle w:val="footnotedescription"/>
        <w:rPr>
          <w:szCs w:val="16"/>
        </w:rPr>
      </w:pPr>
      <w:r w:rsidRPr="001C1B82">
        <w:rPr>
          <w:rStyle w:val="footnotemark"/>
          <w:szCs w:val="16"/>
        </w:rPr>
        <w:footnoteRef/>
      </w:r>
      <w:r w:rsidRPr="001C1B82">
        <w:rPr>
          <w:szCs w:val="16"/>
        </w:rPr>
        <w:t xml:space="preserve"> OxIS, Oxford Internet Survey (2019), pp.2-6 </w:t>
      </w:r>
    </w:p>
  </w:footnote>
  <w:footnote w:id="158">
    <w:p w:rsidR="00673732" w:rsidRPr="001C1B82">
      <w:pPr>
        <w:pStyle w:val="footnotedescription"/>
        <w:rPr>
          <w:szCs w:val="16"/>
        </w:rPr>
      </w:pPr>
      <w:r w:rsidRPr="001C1B82">
        <w:rPr>
          <w:rStyle w:val="footnotemark"/>
          <w:szCs w:val="16"/>
        </w:rPr>
        <w:footnoteRef/>
      </w:r>
      <w:r w:rsidRPr="001C1B82">
        <w:rPr>
          <w:szCs w:val="16"/>
        </w:rPr>
        <w:t xml:space="preserve"> DCMS, Online Harms White Paper (2019) </w:t>
      </w:r>
    </w:p>
  </w:footnote>
  <w:footnote w:id="159">
    <w:p w:rsidR="00673732" w:rsidRPr="001C1B82">
      <w:pPr>
        <w:pStyle w:val="footnotedescription"/>
        <w:rPr>
          <w:szCs w:val="16"/>
        </w:rPr>
      </w:pPr>
      <w:r w:rsidRPr="001C1B82">
        <w:rPr>
          <w:rStyle w:val="footnotemark"/>
          <w:szCs w:val="16"/>
        </w:rPr>
        <w:footnoteRef/>
      </w:r>
      <w:r w:rsidRPr="001C1B82">
        <w:rPr>
          <w:szCs w:val="16"/>
        </w:rPr>
        <w:t xml:space="preserve"> Lloyds Bank UK Consumer Digital Index (2019), p.22 </w:t>
      </w:r>
    </w:p>
  </w:footnote>
  <w:footnote w:id="160">
    <w:p w:rsidR="00673732" w:rsidRPr="001C1B82">
      <w:pPr>
        <w:pStyle w:val="footnotedescription"/>
        <w:rPr>
          <w:szCs w:val="16"/>
        </w:rPr>
      </w:pPr>
      <w:r w:rsidRPr="001C1B82">
        <w:rPr>
          <w:rStyle w:val="footnotemark"/>
          <w:szCs w:val="16"/>
        </w:rPr>
        <w:footnoteRef/>
      </w:r>
      <w:r w:rsidRPr="001C1B82">
        <w:rPr>
          <w:szCs w:val="16"/>
        </w:rPr>
        <w:t xml:space="preserve"> Good Things Foundation, Voicebox Cafés: An Evaluation (2019), p.12 </w:t>
      </w:r>
    </w:p>
  </w:footnote>
  <w:footnote w:id="161">
    <w:p w:rsidR="00673732" w:rsidRPr="001C1B82">
      <w:pPr>
        <w:pStyle w:val="footnotedescription"/>
        <w:rPr>
          <w:szCs w:val="16"/>
        </w:rPr>
      </w:pPr>
      <w:r w:rsidRPr="001C1B82">
        <w:rPr>
          <w:rStyle w:val="footnotemark"/>
          <w:szCs w:val="16"/>
        </w:rPr>
        <w:footnoteRef/>
      </w:r>
      <w:r w:rsidRPr="001C1B82">
        <w:rPr>
          <w:szCs w:val="16"/>
        </w:rPr>
        <w:t xml:space="preserve"> Good Things Foundation, Voicebox Cafés: An Evaluation (2019), p.12 </w:t>
      </w:r>
    </w:p>
  </w:footnote>
  <w:footnote w:id="162">
    <w:p w:rsidR="00673732" w:rsidRPr="001C1B82">
      <w:pPr>
        <w:pStyle w:val="footnotedescription"/>
        <w:spacing w:after="3"/>
        <w:ind w:left="358"/>
        <w:rPr>
          <w:szCs w:val="16"/>
        </w:rPr>
      </w:pPr>
      <w:r w:rsidRPr="001C1B82">
        <w:rPr>
          <w:rStyle w:val="footnotemark"/>
          <w:szCs w:val="16"/>
        </w:rPr>
        <w:footnoteRef/>
      </w:r>
      <w:r w:rsidRPr="001C1B82">
        <w:rPr>
          <w:szCs w:val="16"/>
        </w:rPr>
        <w:t xml:space="preserve"> </w:t>
      </w:r>
      <w:r>
        <w:fldChar w:fldCharType="begin"/>
      </w:r>
      <w:r>
        <w:instrText xml:space="preserve"> HYPERLINK "http://www.horizon.ac.uk/" </w:instrText>
      </w:r>
      <w:r>
        <w:fldChar w:fldCharType="separate"/>
      </w:r>
      <w:r w:rsidRPr="001C1B82">
        <w:rPr>
          <w:color w:val="0000FF"/>
          <w:szCs w:val="16"/>
          <w:u w:val="single" w:color="0000FF"/>
        </w:rPr>
        <w:t>http://www.horizon.ac.uk</w:t>
      </w:r>
      <w:r>
        <w:fldChar w:fldCharType="end"/>
      </w:r>
      <w:r>
        <w:fldChar w:fldCharType="begin"/>
      </w:r>
      <w:r>
        <w:instrText xml:space="preserve"> HYPERLINK "http://www.horizon.ac.uk/" </w:instrText>
      </w:r>
      <w:r>
        <w:fldChar w:fldCharType="separate"/>
      </w:r>
      <w:r w:rsidRPr="001C1B82">
        <w:rPr>
          <w:szCs w:val="16"/>
        </w:rPr>
        <w:t xml:space="preserve"> </w:t>
      </w:r>
      <w:r>
        <w:fldChar w:fldCharType="end"/>
      </w:r>
    </w:p>
  </w:footnote>
  <w:footnote w:id="163">
    <w:p w:rsidR="00673732" w:rsidRPr="001C1B82">
      <w:pPr>
        <w:pStyle w:val="footnotedescription"/>
        <w:ind w:left="358"/>
        <w:rPr>
          <w:szCs w:val="16"/>
        </w:rPr>
      </w:pPr>
      <w:r w:rsidRPr="001C1B82">
        <w:rPr>
          <w:rStyle w:val="footnotemark"/>
          <w:szCs w:val="16"/>
        </w:rPr>
        <w:footnoteRef/>
      </w:r>
      <w:r w:rsidRPr="001C1B82">
        <w:rPr>
          <w:szCs w:val="16"/>
        </w:rPr>
        <w:t xml:space="preserve"> </w:t>
      </w:r>
      <w:r>
        <w:fldChar w:fldCharType="begin"/>
      </w:r>
      <w:r>
        <w:instrText xml:space="preserve"> HYPERLINK "https://epsrc.ukri.org/research/ourportfolio/themes/digitaleconomy/" </w:instrText>
      </w:r>
      <w:r>
        <w:fldChar w:fldCharType="separate"/>
      </w:r>
      <w:r w:rsidRPr="001C1B82">
        <w:rPr>
          <w:color w:val="0000FF"/>
          <w:szCs w:val="16"/>
          <w:u w:val="single" w:color="0000FF"/>
        </w:rPr>
        <w:t>https://epsrc.ukri.org/research/ourportfolio/themes/digitaleconomy/</w:t>
      </w:r>
      <w:r>
        <w:fldChar w:fldCharType="end"/>
      </w:r>
      <w:r>
        <w:fldChar w:fldCharType="begin"/>
      </w:r>
      <w:r>
        <w:instrText xml:space="preserve"> HYPERLINK "https://epsrc.ukri.org/research/ourportfolio/themes/digitaleconomy/" </w:instrText>
      </w:r>
      <w:r>
        <w:fldChar w:fldCharType="separate"/>
      </w:r>
      <w:r w:rsidRPr="001C1B82">
        <w:rPr>
          <w:szCs w:val="16"/>
        </w:rPr>
        <w:t xml:space="preserve"> </w:t>
      </w:r>
      <w:r>
        <w:fldChar w:fldCharType="end"/>
      </w:r>
      <w:r w:rsidRPr="001C1B82">
        <w:rPr>
          <w:szCs w:val="16"/>
        </w:rPr>
        <w:t xml:space="preserve">  </w:t>
      </w:r>
    </w:p>
  </w:footnote>
  <w:footnote w:id="164">
    <w:p w:rsidR="00673732" w:rsidRPr="001C1B82">
      <w:pPr>
        <w:pStyle w:val="footnotedescription"/>
        <w:ind w:left="358"/>
        <w:rPr>
          <w:szCs w:val="16"/>
        </w:rPr>
      </w:pPr>
      <w:r w:rsidRPr="001C1B82">
        <w:rPr>
          <w:rStyle w:val="footnotemark"/>
          <w:szCs w:val="16"/>
        </w:rPr>
        <w:footnoteRef/>
      </w:r>
      <w:r w:rsidRPr="001C1B82">
        <w:rPr>
          <w:szCs w:val="16"/>
        </w:rPr>
        <w:t xml:space="preserve"> </w:t>
      </w:r>
      <w:r>
        <w:fldChar w:fldCharType="begin"/>
      </w:r>
      <w:r>
        <w:instrText xml:space="preserve"> HYPERLINK "http://casma.wp.horizon.ac.uk/" </w:instrText>
      </w:r>
      <w:r>
        <w:fldChar w:fldCharType="separate"/>
      </w:r>
      <w:r w:rsidRPr="001C1B82">
        <w:rPr>
          <w:color w:val="0000FF"/>
          <w:szCs w:val="16"/>
          <w:u w:val="single" w:color="0000FF"/>
        </w:rPr>
        <w:t>http://casma.wp.horizon.ac.uk</w:t>
      </w:r>
      <w:r>
        <w:fldChar w:fldCharType="end"/>
      </w:r>
      <w:r>
        <w:fldChar w:fldCharType="begin"/>
      </w:r>
      <w:r>
        <w:instrText xml:space="preserve"> HYPERLINK "http://casma.wp.horizon.ac.uk/" </w:instrText>
      </w:r>
      <w:r>
        <w:fldChar w:fldCharType="separate"/>
      </w:r>
      <w:r w:rsidRPr="001C1B82">
        <w:rPr>
          <w:szCs w:val="16"/>
        </w:rPr>
        <w:t xml:space="preserve"> </w:t>
      </w:r>
      <w:r>
        <w:fldChar w:fldCharType="end"/>
      </w:r>
    </w:p>
  </w:footnote>
  <w:footnote w:id="165">
    <w:p w:rsidR="00673732" w:rsidRPr="001C1B82">
      <w:pPr>
        <w:pStyle w:val="footnotedescription"/>
        <w:spacing w:line="260" w:lineRule="auto"/>
        <w:ind w:left="358" w:right="6270"/>
        <w:rPr>
          <w:szCs w:val="16"/>
        </w:rPr>
      </w:pPr>
      <w:r w:rsidRPr="001C1B82">
        <w:rPr>
          <w:rStyle w:val="footnotemark"/>
          <w:szCs w:val="16"/>
        </w:rPr>
        <w:footnoteRef/>
      </w:r>
      <w:r w:rsidRPr="001C1B82">
        <w:rPr>
          <w:szCs w:val="16"/>
        </w:rPr>
        <w:t xml:space="preserve"> </w:t>
      </w:r>
      <w:r>
        <w:fldChar w:fldCharType="begin"/>
      </w:r>
      <w:r>
        <w:instrText xml:space="preserve"> HYPERLINK "http://unbias.wp.horizon.ac.uk/" </w:instrText>
      </w:r>
      <w:r>
        <w:fldChar w:fldCharType="separate"/>
      </w:r>
      <w:r w:rsidRPr="001C1B82">
        <w:rPr>
          <w:color w:val="0000FF"/>
          <w:szCs w:val="16"/>
          <w:u w:val="single" w:color="0000FF"/>
        </w:rPr>
        <w:t>http://unbias.wp.horizon.ac.uk</w:t>
      </w:r>
      <w:r>
        <w:fldChar w:fldCharType="end"/>
      </w:r>
      <w:r>
        <w:fldChar w:fldCharType="begin"/>
      </w:r>
      <w:r>
        <w:instrText xml:space="preserve"> HYPERLINK "http://unbias.wp.horizon.ac.uk/" </w:instrText>
      </w:r>
      <w:r>
        <w:fldChar w:fldCharType="separate"/>
      </w:r>
      <w:r w:rsidRPr="001C1B82">
        <w:rPr>
          <w:szCs w:val="16"/>
        </w:rPr>
        <w:t xml:space="preserve"> </w:t>
      </w:r>
      <w:r>
        <w:fldChar w:fldCharType="end"/>
      </w:r>
      <w:r w:rsidRPr="001C1B82">
        <w:rPr>
          <w:szCs w:val="16"/>
          <w:vertAlign w:val="superscript"/>
        </w:rPr>
        <w:t>5</w:t>
      </w:r>
      <w:r>
        <w:fldChar w:fldCharType="begin"/>
      </w:r>
      <w:r>
        <w:instrText xml:space="preserve"> HYPERLINK "https://reentrust.org/" </w:instrText>
      </w:r>
      <w:r>
        <w:fldChar w:fldCharType="separate"/>
      </w:r>
      <w:r w:rsidRPr="001C1B82">
        <w:rPr>
          <w:szCs w:val="16"/>
        </w:rPr>
        <w:t xml:space="preserve"> </w:t>
      </w:r>
      <w:r>
        <w:fldChar w:fldCharType="end"/>
      </w:r>
      <w:r>
        <w:fldChar w:fldCharType="begin"/>
      </w:r>
      <w:r>
        <w:instrText xml:space="preserve"> HYPERLINK "https://reentrust.org/" </w:instrText>
      </w:r>
      <w:r>
        <w:fldChar w:fldCharType="separate"/>
      </w:r>
      <w:r w:rsidRPr="001C1B82">
        <w:rPr>
          <w:color w:val="0000FF"/>
          <w:szCs w:val="16"/>
          <w:u w:val="single" w:color="0000FF"/>
        </w:rPr>
        <w:t>https://ReEnTrust.org</w:t>
      </w:r>
      <w:r>
        <w:fldChar w:fldCharType="end"/>
      </w:r>
      <w:r>
        <w:fldChar w:fldCharType="begin"/>
      </w:r>
      <w:r>
        <w:instrText xml:space="preserve"> HYPERLINK "https://reentrust.org/" </w:instrText>
      </w:r>
      <w:r>
        <w:fldChar w:fldCharType="separate"/>
      </w:r>
      <w:r w:rsidRPr="001C1B82">
        <w:rPr>
          <w:szCs w:val="16"/>
        </w:rPr>
        <w:t xml:space="preserve"> </w:t>
      </w:r>
      <w:r>
        <w:fldChar w:fldCharType="end"/>
      </w:r>
      <w:r w:rsidRPr="001C1B82">
        <w:rPr>
          <w:szCs w:val="16"/>
        </w:rPr>
        <w:t xml:space="preserve"> </w:t>
      </w:r>
    </w:p>
  </w:footnote>
  <w:footnote w:id="166">
    <w:p w:rsidR="00673732" w:rsidRPr="001C1B82">
      <w:pPr>
        <w:pStyle w:val="footnotedescription"/>
        <w:spacing w:after="16"/>
        <w:ind w:left="358"/>
        <w:rPr>
          <w:szCs w:val="16"/>
        </w:rPr>
      </w:pPr>
      <w:r w:rsidRPr="001C1B82">
        <w:rPr>
          <w:rStyle w:val="footnotemark"/>
          <w:szCs w:val="16"/>
        </w:rPr>
        <w:footnoteRef/>
      </w:r>
      <w:r w:rsidRPr="001C1B82">
        <w:rPr>
          <w:szCs w:val="16"/>
        </w:rPr>
        <w:t xml:space="preserve"> See DPA 2018, sec 10; sch 1, para 22; GDPR, art 9(1). </w:t>
      </w:r>
    </w:p>
  </w:footnote>
  <w:footnote w:id="167">
    <w:p w:rsidR="00673732" w:rsidRPr="001C1B82">
      <w:pPr>
        <w:pStyle w:val="footnotedescription"/>
        <w:ind w:left="358"/>
        <w:rPr>
          <w:szCs w:val="16"/>
        </w:rPr>
      </w:pPr>
      <w:r w:rsidRPr="001C1B82">
        <w:rPr>
          <w:rStyle w:val="footnotemark"/>
          <w:szCs w:val="16"/>
        </w:rPr>
        <w:footnoteRef/>
      </w:r>
      <w:r w:rsidRPr="001C1B82">
        <w:rPr>
          <w:szCs w:val="16"/>
        </w:rPr>
        <w:t xml:space="preserve"> For empirical evidence, see </w:t>
      </w:r>
      <w:r>
        <w:fldChar w:fldCharType="begin"/>
      </w:r>
      <w:r>
        <w:instrText xml:space="preserve"> HYPERLINK "https://papers.ssrn.com/sol3/papers.cfm?abstract_id=1989092" </w:instrText>
      </w:r>
      <w:r>
        <w:fldChar w:fldCharType="separate"/>
      </w:r>
      <w:r w:rsidRPr="001C1B82">
        <w:rPr>
          <w:color w:val="0000FF"/>
          <w:szCs w:val="16"/>
          <w:u w:val="single" w:color="0000FF"/>
        </w:rPr>
        <w:t>https://papers.ssrn.com/sol3/papers.cfm?abstract_id=1989092</w:t>
      </w:r>
      <w:r>
        <w:fldChar w:fldCharType="end"/>
      </w:r>
      <w:r>
        <w:fldChar w:fldCharType="begin"/>
      </w:r>
      <w:r>
        <w:instrText xml:space="preserve"> HYPERLINK "https://papers.ssrn.com/sol3/papers.cfm?abstract_id=1989092" </w:instrText>
      </w:r>
      <w:r>
        <w:fldChar w:fldCharType="separate"/>
      </w:r>
      <w:r w:rsidRPr="001C1B82">
        <w:rPr>
          <w:szCs w:val="16"/>
        </w:rPr>
        <w:t xml:space="preserve"> </w:t>
      </w:r>
      <w:r>
        <w:fldChar w:fldCharType="end"/>
      </w:r>
    </w:p>
  </w:footnote>
  <w:footnote w:id="168">
    <w:p w:rsidR="00673732" w:rsidRPr="001C1B82">
      <w:pPr>
        <w:pStyle w:val="footnotedescription"/>
        <w:spacing w:line="276" w:lineRule="auto"/>
        <w:ind w:left="358"/>
        <w:rPr>
          <w:szCs w:val="16"/>
        </w:rPr>
      </w:pPr>
      <w:r w:rsidRPr="001C1B82">
        <w:rPr>
          <w:rStyle w:val="footnotemark"/>
          <w:szCs w:val="16"/>
        </w:rPr>
        <w:footnoteRef/>
      </w:r>
      <w:r w:rsidRPr="001C1B82">
        <w:rPr>
          <w:szCs w:val="16"/>
        </w:rPr>
        <w:t xml:space="preserve"> Cambridge Analytica, for example, has been accused of unduly influencing voters in the UK’s Brexit Referendum. See </w:t>
      </w:r>
      <w:r>
        <w:fldChar w:fldCharType="begin"/>
      </w:r>
      <w:r>
        <w:instrText xml:space="preserve"> HYPERLINK "https://www.bbc.co.uk/news/uk-politics-43558876" </w:instrText>
      </w:r>
      <w:r>
        <w:fldChar w:fldCharType="separate"/>
      </w:r>
      <w:r w:rsidRPr="001C1B82">
        <w:rPr>
          <w:color w:val="0000FF"/>
          <w:szCs w:val="16"/>
          <w:u w:val="single" w:color="0000FF"/>
        </w:rPr>
        <w:t>https://www.bbc.co.uk/news/uk-politics-43558876</w:t>
      </w:r>
      <w:r>
        <w:fldChar w:fldCharType="end"/>
      </w:r>
      <w:r>
        <w:fldChar w:fldCharType="begin"/>
      </w:r>
      <w:r>
        <w:instrText xml:space="preserve"> HYPERLINK "https://www.bbc.co.uk/news/uk-politics-43558876" </w:instrText>
      </w:r>
      <w:r>
        <w:fldChar w:fldCharType="separate"/>
      </w:r>
      <w:r w:rsidRPr="001C1B82">
        <w:rPr>
          <w:szCs w:val="16"/>
        </w:rPr>
        <w:t xml:space="preserve"> </w:t>
      </w:r>
      <w:r>
        <w:fldChar w:fldCharType="end"/>
      </w:r>
    </w:p>
  </w:footnote>
  <w:footnote w:id="169">
    <w:p w:rsidR="00673732" w:rsidRPr="001C1B82">
      <w:pPr>
        <w:pStyle w:val="footnotedescription"/>
        <w:spacing w:line="252" w:lineRule="auto"/>
        <w:ind w:left="358"/>
        <w:rPr>
          <w:szCs w:val="16"/>
        </w:rPr>
      </w:pPr>
      <w:r w:rsidRPr="001C1B82">
        <w:rPr>
          <w:rStyle w:val="footnotemark"/>
          <w:szCs w:val="16"/>
        </w:rPr>
        <w:footnoteRef/>
      </w:r>
      <w:r w:rsidRPr="001C1B82">
        <w:rPr>
          <w:szCs w:val="16"/>
        </w:rPr>
        <w:t xml:space="preserve"> See, for example, </w:t>
      </w:r>
      <w:r>
        <w:fldChar w:fldCharType="begin"/>
      </w:r>
      <w:r>
        <w:instrText xml:space="preserve"> HYPERLINK "http://www.europarl.europa.eu/RegData/etudes/STUD/2019/634414/EPRS_STU(2019)634414_EN.pdf" </w:instrText>
      </w:r>
      <w:r>
        <w:fldChar w:fldCharType="separate"/>
      </w:r>
      <w:r w:rsidRPr="001C1B82">
        <w:rPr>
          <w:color w:val="0000FF"/>
          <w:szCs w:val="16"/>
          <w:u w:val="single" w:color="0000FF"/>
        </w:rPr>
        <w:t>http://www.europarl.europa.eu/RegData/etudes/STUD/2019/634414/EPRS_STU(2019)634414_EN.pdf</w:t>
      </w:r>
      <w:r>
        <w:fldChar w:fldCharType="end"/>
      </w:r>
      <w:r>
        <w:fldChar w:fldCharType="begin"/>
      </w:r>
      <w:r>
        <w:instrText xml:space="preserve"> HYPERLINK "http://www.europarl.europa.eu/RegData/etudes/STUD/2019/634414/EPRS_STU(2019)634414_EN.pdf" </w:instrText>
      </w:r>
      <w:r>
        <w:fldChar w:fldCharType="separate"/>
      </w:r>
      <w:r w:rsidRPr="001C1B82">
        <w:rPr>
          <w:szCs w:val="16"/>
        </w:rPr>
        <w:t>;</w:t>
      </w:r>
      <w:r>
        <w:fldChar w:fldCharType="end"/>
      </w:r>
      <w:r w:rsidRPr="001C1B82">
        <w:rPr>
          <w:szCs w:val="16"/>
        </w:rPr>
        <w:t xml:space="preserve"> </w:t>
      </w:r>
      <w:r>
        <w:fldChar w:fldCharType="begin"/>
      </w:r>
      <w:r>
        <w:instrText xml:space="preserve"> HYPERLINK "https://www.theverge.com/2017/10/11/16449976/facebook-political-ads-trump-russia-election-news-feed" </w:instrText>
      </w:r>
      <w:r>
        <w:fldChar w:fldCharType="separate"/>
      </w:r>
      <w:r w:rsidRPr="001C1B82">
        <w:rPr>
          <w:color w:val="0000FF"/>
          <w:szCs w:val="16"/>
          <w:u w:val="single" w:color="0000FF"/>
        </w:rPr>
        <w:t>https://www.theverge.com/2017/10/11/16449976/facebook-political-ads-trump-russia-election-news-feed</w:t>
      </w:r>
      <w:r>
        <w:fldChar w:fldCharType="end"/>
      </w:r>
      <w:r>
        <w:fldChar w:fldCharType="begin"/>
      </w:r>
      <w:r>
        <w:instrText xml:space="preserve"> HYPERLINK "https://www.theverge.com/2017/10/11/16449976/facebook-political-ads-trump-russia-election-news-feed" </w:instrText>
      </w:r>
      <w:r>
        <w:fldChar w:fldCharType="separate"/>
      </w:r>
      <w:r w:rsidRPr="001C1B82">
        <w:rPr>
          <w:szCs w:val="16"/>
        </w:rPr>
        <w:t>;</w:t>
      </w:r>
      <w:r>
        <w:fldChar w:fldCharType="end"/>
      </w:r>
      <w:r w:rsidRPr="001C1B82">
        <w:rPr>
          <w:szCs w:val="16"/>
        </w:rPr>
        <w:t xml:space="preserve"> </w:t>
      </w:r>
      <w:r>
        <w:fldChar w:fldCharType="begin"/>
      </w:r>
      <w:r>
        <w:instrText xml:space="preserve"> HYPERLINK "https://greatergood.berkeley.edu/article/item/is_social_media_driving_political_polarization" </w:instrText>
      </w:r>
      <w:r>
        <w:fldChar w:fldCharType="separate"/>
      </w:r>
      <w:r w:rsidRPr="001C1B82">
        <w:rPr>
          <w:color w:val="0000FF"/>
          <w:szCs w:val="16"/>
          <w:u w:val="single" w:color="0000FF"/>
        </w:rPr>
        <w:t>https://greatergood.berkeley.edu/article/item/is_social_media_driving_political_polarization</w:t>
      </w:r>
      <w:r>
        <w:fldChar w:fldCharType="end"/>
      </w:r>
      <w:r>
        <w:fldChar w:fldCharType="begin"/>
      </w:r>
      <w:r>
        <w:instrText xml:space="preserve"> HYPERLINK "https://greatergood.berkeley.edu/article/item/is_social_media_driving_political_polarization" </w:instrText>
      </w:r>
      <w:r>
        <w:fldChar w:fldCharType="separate"/>
      </w:r>
      <w:r w:rsidRPr="001C1B82">
        <w:rPr>
          <w:szCs w:val="16"/>
        </w:rPr>
        <w:t xml:space="preserve"> </w:t>
      </w:r>
      <w:r>
        <w:fldChar w:fldCharType="end"/>
      </w:r>
    </w:p>
  </w:footnote>
  <w:footnote w:id="170">
    <w:p w:rsidR="00673732" w:rsidRPr="001C1B82">
      <w:pPr>
        <w:pStyle w:val="footnotedescription"/>
        <w:spacing w:line="258" w:lineRule="auto"/>
        <w:ind w:left="358"/>
        <w:rPr>
          <w:szCs w:val="16"/>
        </w:rPr>
      </w:pPr>
      <w:r w:rsidRPr="001C1B82">
        <w:rPr>
          <w:rStyle w:val="footnotemark"/>
          <w:szCs w:val="16"/>
        </w:rPr>
        <w:footnoteRef/>
      </w:r>
      <w:r w:rsidRPr="001C1B82">
        <w:rPr>
          <w:szCs w:val="16"/>
        </w:rPr>
        <w:t xml:space="preserve"> </w:t>
      </w:r>
      <w:r>
        <w:fldChar w:fldCharType="begin"/>
      </w:r>
      <w:r>
        <w:instrText xml:space="preserve"> HYPERLINK "https://www.computerweekly.com/news/252469043/Security-pros-reiterate-warning-against-encryption-backdoors" </w:instrText>
      </w:r>
      <w:r>
        <w:fldChar w:fldCharType="separate"/>
      </w:r>
      <w:r w:rsidRPr="001C1B82">
        <w:rPr>
          <w:color w:val="0000FF"/>
          <w:szCs w:val="16"/>
          <w:u w:val="single" w:color="0000FF"/>
        </w:rPr>
        <w:t>https://www.computerweekly.com/news/252469043/Security-pros-reiterate-warning-against-encryption</w:t>
      </w:r>
      <w:r>
        <w:fldChar w:fldCharType="end"/>
      </w:r>
      <w:r>
        <w:fldChar w:fldCharType="begin"/>
      </w:r>
      <w:r>
        <w:instrText xml:space="preserve"> HYPERLINK "https://www.computerweekly.com/news/252469043/Security-pros-reiterate-warning-against-encryption-backdoors" </w:instrText>
      </w:r>
      <w:r>
        <w:fldChar w:fldCharType="separate"/>
      </w:r>
      <w:r w:rsidRPr="001C1B82">
        <w:rPr>
          <w:color w:val="0000FF"/>
          <w:szCs w:val="16"/>
          <w:u w:val="single" w:color="0000FF"/>
        </w:rPr>
        <w:t>backdoors</w:t>
      </w:r>
      <w:r>
        <w:fldChar w:fldCharType="end"/>
      </w:r>
      <w:r>
        <w:fldChar w:fldCharType="begin"/>
      </w:r>
      <w:r>
        <w:instrText xml:space="preserve"> HYPERLINK "https://www.computerweekly.com/news/252469043/Security-pros-reiterate-warning-against-encryption-backdoors" </w:instrText>
      </w:r>
      <w:r>
        <w:fldChar w:fldCharType="separate"/>
      </w:r>
      <w:r w:rsidRPr="001C1B82">
        <w:rPr>
          <w:szCs w:val="16"/>
        </w:rPr>
        <w:t xml:space="preserve"> </w:t>
      </w:r>
      <w:r>
        <w:fldChar w:fldCharType="end"/>
      </w:r>
    </w:p>
  </w:footnote>
  <w:footnote w:id="171">
    <w:p w:rsidR="00673732" w:rsidRPr="001C1B82">
      <w:pPr>
        <w:pStyle w:val="footnotedescription"/>
        <w:ind w:left="358"/>
        <w:rPr>
          <w:szCs w:val="16"/>
        </w:rPr>
      </w:pPr>
      <w:r w:rsidRPr="001C1B82">
        <w:rPr>
          <w:rStyle w:val="footnotemark"/>
          <w:szCs w:val="16"/>
        </w:rPr>
        <w:footnoteRef/>
      </w:r>
      <w:r w:rsidRPr="001C1B82">
        <w:rPr>
          <w:szCs w:val="16"/>
        </w:rPr>
        <w:t xml:space="preserve"> </w:t>
      </w:r>
      <w:r>
        <w:fldChar w:fldCharType="begin"/>
      </w:r>
      <w:r>
        <w:instrText xml:space="preserve"> HYPERLINK "https://www.bbc.com/worklife/article/20150309-the-danger-of-online-anonymity" </w:instrText>
      </w:r>
      <w:r>
        <w:fldChar w:fldCharType="separate"/>
      </w:r>
      <w:r w:rsidRPr="001C1B82">
        <w:rPr>
          <w:color w:val="0000FF"/>
          <w:szCs w:val="16"/>
          <w:u w:val="single" w:color="0000FF"/>
        </w:rPr>
        <w:t>https://www.bbc.com/worklife/article/20150309-the-danger-of-online-anonymity</w:t>
      </w:r>
      <w:r>
        <w:fldChar w:fldCharType="end"/>
      </w:r>
      <w:r>
        <w:fldChar w:fldCharType="begin"/>
      </w:r>
      <w:r>
        <w:instrText xml:space="preserve"> HYPERLINK "https://www.bbc.com/worklife/article/20150309-the-danger-of-online-anonymity" </w:instrText>
      </w:r>
      <w:r>
        <w:fldChar w:fldCharType="separate"/>
      </w:r>
      <w:r w:rsidRPr="001C1B82">
        <w:rPr>
          <w:szCs w:val="16"/>
        </w:rPr>
        <w:t xml:space="preserve"> </w:t>
      </w:r>
      <w:r>
        <w:fldChar w:fldCharType="end"/>
      </w:r>
    </w:p>
  </w:footnote>
  <w:footnote w:id="172">
    <w:p w:rsidR="00673732" w:rsidRPr="001C1B82">
      <w:pPr>
        <w:pStyle w:val="footnotedescription"/>
        <w:spacing w:line="258" w:lineRule="auto"/>
        <w:ind w:left="358"/>
        <w:rPr>
          <w:szCs w:val="16"/>
        </w:rPr>
      </w:pPr>
      <w:r w:rsidRPr="001C1B82">
        <w:rPr>
          <w:rStyle w:val="footnotemark"/>
          <w:szCs w:val="16"/>
        </w:rPr>
        <w:footnoteRef/>
      </w:r>
      <w:r w:rsidRPr="001C1B82">
        <w:rPr>
          <w:szCs w:val="16"/>
        </w:rPr>
        <w:t xml:space="preserve"> </w:t>
      </w:r>
      <w:r>
        <w:fldChar w:fldCharType="begin"/>
      </w:r>
      <w:r>
        <w:instrText xml:space="preserve"> HYPERLINK "https://www.theguardian.com/commentisfree/2015/jun/03/facebook-real-name-policy-hurts-people-creates-new-digital-divide" </w:instrText>
      </w:r>
      <w:r>
        <w:fldChar w:fldCharType="separate"/>
      </w:r>
      <w:r w:rsidRPr="001C1B82">
        <w:rPr>
          <w:color w:val="0000FF"/>
          <w:szCs w:val="16"/>
          <w:u w:val="single" w:color="0000FF"/>
        </w:rPr>
        <w:t>https://www.theguardian.com/commentisfree/2015/jun/03/facebook-real-name-policy-hurts-people</w:t>
      </w:r>
      <w:r>
        <w:fldChar w:fldCharType="end"/>
      </w:r>
      <w:r>
        <w:fldChar w:fldCharType="begin"/>
      </w:r>
      <w:r>
        <w:instrText xml:space="preserve"> HYPERLINK "https://www.theguardian.com/commentisfree/2015/jun/03/facebook-real-name-policy-hurts-people-creates-new-digital-divide" </w:instrText>
      </w:r>
      <w:r>
        <w:fldChar w:fldCharType="separate"/>
      </w:r>
      <w:r w:rsidRPr="001C1B82">
        <w:rPr>
          <w:color w:val="0000FF"/>
          <w:szCs w:val="16"/>
          <w:u w:val="single" w:color="0000FF"/>
        </w:rPr>
        <w:t>creates-new-digital-divide</w:t>
      </w:r>
      <w:r>
        <w:fldChar w:fldCharType="end"/>
      </w:r>
      <w:r>
        <w:fldChar w:fldCharType="begin"/>
      </w:r>
      <w:r>
        <w:instrText xml:space="preserve"> HYPERLINK "https://www.theguardian.com/commentisfree/2015/jun/03/facebook-real-name-policy-hurts-people-creates-new-digital-divide" </w:instrText>
      </w:r>
      <w:r>
        <w:fldChar w:fldCharType="separate"/>
      </w:r>
      <w:r w:rsidRPr="001C1B82">
        <w:rPr>
          <w:szCs w:val="16"/>
        </w:rPr>
        <w:t xml:space="preserve"> </w:t>
      </w:r>
      <w:r>
        <w:fldChar w:fldCharType="end"/>
      </w:r>
    </w:p>
  </w:footnote>
  <w:footnote w:id="173">
    <w:p w:rsidR="00673732" w:rsidRPr="001C1B82">
      <w:pPr>
        <w:pStyle w:val="footnotedescription"/>
        <w:spacing w:line="258" w:lineRule="auto"/>
        <w:ind w:left="358"/>
        <w:rPr>
          <w:szCs w:val="16"/>
        </w:rPr>
      </w:pPr>
      <w:r w:rsidRPr="001C1B82">
        <w:rPr>
          <w:rStyle w:val="footnotemark"/>
          <w:szCs w:val="16"/>
        </w:rPr>
        <w:footnoteRef/>
      </w:r>
      <w:r w:rsidRPr="001C1B82">
        <w:rPr>
          <w:szCs w:val="16"/>
        </w:rPr>
        <w:t xml:space="preserve"> </w:t>
      </w:r>
      <w:r>
        <w:fldChar w:fldCharType="begin"/>
      </w:r>
      <w:r>
        <w:instrText xml:space="preserve"> HYPERLINK "https://www.parliament.uk/business/committees/committees-a-z/commons-select/science-and-technology-committee/news/report-responsible-use-of-data/" </w:instrText>
      </w:r>
      <w:r>
        <w:fldChar w:fldCharType="separate"/>
      </w:r>
      <w:r w:rsidRPr="001C1B82">
        <w:rPr>
          <w:color w:val="0000FF"/>
          <w:szCs w:val="16"/>
          <w:u w:val="single" w:color="0000FF"/>
        </w:rPr>
        <w:t>https://www.parliament.uk/business/committees/committees-a-z/commons-select/science-and-technology</w:t>
      </w:r>
      <w:r>
        <w:fldChar w:fldCharType="end"/>
      </w:r>
      <w:r>
        <w:fldChar w:fldCharType="begin"/>
      </w:r>
      <w:r>
        <w:instrText xml:space="preserve"> HYPERLINK "https://www.parliament.uk/business/committees/committees-a-z/commons-select/science-and-technology-committee/news/report-responsible-use-of-data/" </w:instrText>
      </w:r>
      <w:r>
        <w:fldChar w:fldCharType="separate"/>
      </w:r>
      <w:r w:rsidRPr="001C1B82">
        <w:rPr>
          <w:color w:val="0000FF"/>
          <w:szCs w:val="16"/>
          <w:u w:val="single" w:color="0000FF"/>
        </w:rPr>
        <w:t>committee/news/report-responsible-use-of-data/</w:t>
      </w:r>
      <w:r>
        <w:fldChar w:fldCharType="end"/>
      </w:r>
      <w:r>
        <w:fldChar w:fldCharType="begin"/>
      </w:r>
      <w:r>
        <w:instrText xml:space="preserve"> HYPERLINK "https://www.parliament.uk/business/committees/committees-a-z/commons-select/science-and-technology-committee/news/report-responsible-use-of-data/" </w:instrText>
      </w:r>
      <w:r>
        <w:fldChar w:fldCharType="separate"/>
      </w:r>
      <w:r w:rsidRPr="001C1B82">
        <w:rPr>
          <w:szCs w:val="16"/>
        </w:rPr>
        <w:t xml:space="preserve"> </w:t>
      </w:r>
      <w:r>
        <w:fldChar w:fldCharType="end"/>
      </w:r>
    </w:p>
  </w:footnote>
  <w:footnote w:id="174">
    <w:p w:rsidR="00673732" w:rsidRPr="001C1B82">
      <w:pPr>
        <w:pStyle w:val="footnotedescription"/>
        <w:spacing w:line="249" w:lineRule="auto"/>
        <w:ind w:left="358"/>
        <w:rPr>
          <w:szCs w:val="16"/>
        </w:rPr>
      </w:pPr>
      <w:r w:rsidRPr="001C1B82">
        <w:rPr>
          <w:rStyle w:val="footnotemark"/>
          <w:szCs w:val="16"/>
        </w:rPr>
        <w:footnoteRef/>
      </w:r>
      <w:r w:rsidRPr="001C1B82">
        <w:rPr>
          <w:szCs w:val="16"/>
        </w:rPr>
        <w:t xml:space="preserve"> See </w:t>
      </w:r>
      <w:r>
        <w:fldChar w:fldCharType="begin"/>
      </w:r>
      <w:r>
        <w:instrText xml:space="preserve"> HYPERLINK "https://en.wikipedia.org/wiki/G0v" </w:instrText>
      </w:r>
      <w:r>
        <w:fldChar w:fldCharType="separate"/>
      </w:r>
      <w:r w:rsidRPr="001C1B82">
        <w:rPr>
          <w:color w:val="0000FF"/>
          <w:szCs w:val="16"/>
          <w:u w:val="single" w:color="0000FF"/>
        </w:rPr>
        <w:t>https://en.wikipedia.org/wiki/G0v</w:t>
      </w:r>
      <w:r>
        <w:fldChar w:fldCharType="end"/>
      </w:r>
      <w:r>
        <w:fldChar w:fldCharType="begin"/>
      </w:r>
      <w:r>
        <w:instrText xml:space="preserve"> HYPERLINK "https://en.wikipedia.org/wiki/G0v" </w:instrText>
      </w:r>
      <w:r>
        <w:fldChar w:fldCharType="separate"/>
      </w:r>
      <w:r w:rsidRPr="001C1B82">
        <w:rPr>
          <w:szCs w:val="16"/>
        </w:rPr>
        <w:t>;</w:t>
      </w:r>
      <w:r>
        <w:fldChar w:fldCharType="end"/>
      </w:r>
      <w:r>
        <w:fldChar w:fldCharType="begin"/>
      </w:r>
      <w:r>
        <w:instrText xml:space="preserve"> HYPERLINK "https://apolitical.co/solution_article/reprogramming-power-audrey-tang-is-bringing-hacker-culture-to-the-state/" </w:instrText>
      </w:r>
      <w:r>
        <w:fldChar w:fldCharType="separate"/>
      </w:r>
      <w:r w:rsidRPr="001C1B82">
        <w:rPr>
          <w:szCs w:val="16"/>
        </w:rPr>
        <w:t xml:space="preserve"> </w:t>
      </w:r>
      <w:r>
        <w:fldChar w:fldCharType="end"/>
      </w:r>
      <w:r>
        <w:fldChar w:fldCharType="begin"/>
      </w:r>
      <w:r>
        <w:instrText xml:space="preserve"> HYPERLINK "https://apolitical.co/solution_article/reprogramming-power-audrey-tang-is-bringing-hacker-culture-to-the-state/" </w:instrText>
      </w:r>
      <w:r>
        <w:fldChar w:fldCharType="separate"/>
      </w:r>
      <w:r w:rsidRPr="001C1B82">
        <w:rPr>
          <w:color w:val="0000FF"/>
          <w:szCs w:val="16"/>
          <w:u w:val="single" w:color="0000FF"/>
        </w:rPr>
        <w:t>https://apolitical.co/solution_article/reprogramming-power-audrey</w:t>
      </w:r>
      <w:r>
        <w:fldChar w:fldCharType="end"/>
      </w:r>
      <w:r>
        <w:fldChar w:fldCharType="begin"/>
      </w:r>
      <w:r>
        <w:instrText xml:space="preserve"> HYPERLINK "https://apolitical.co/solution_article/reprogramming-power-audrey-tang-is-bringing-hacker-culture-to-the-state/" </w:instrText>
      </w:r>
      <w:r>
        <w:fldChar w:fldCharType="separate"/>
      </w:r>
      <w:r w:rsidRPr="001C1B82">
        <w:rPr>
          <w:color w:val="0000FF"/>
          <w:szCs w:val="16"/>
          <w:u w:val="single" w:color="0000FF"/>
        </w:rPr>
        <w:t>tang-is-bringing-hacker-culture-to-the-state/</w:t>
      </w:r>
      <w:r>
        <w:fldChar w:fldCharType="end"/>
      </w:r>
      <w:r>
        <w:fldChar w:fldCharType="begin"/>
      </w:r>
      <w:r>
        <w:instrText xml:space="preserve"> HYPERLINK "https://apolitical.co/solution_article/reprogramming-power-audrey-tang-is-bringing-hacker-culture-to-the-state/" </w:instrText>
      </w:r>
      <w:r>
        <w:fldChar w:fldCharType="separate"/>
      </w:r>
      <w:r w:rsidRPr="001C1B82">
        <w:rPr>
          <w:szCs w:val="16"/>
        </w:rPr>
        <w:t xml:space="preserve"> </w:t>
      </w:r>
      <w:r>
        <w:fldChar w:fldCharType="end"/>
      </w:r>
      <w:r w:rsidRPr="001C1B82">
        <w:rPr>
          <w:szCs w:val="16"/>
        </w:rPr>
        <w:t xml:space="preserve"> </w:t>
      </w:r>
    </w:p>
  </w:footnote>
  <w:footnote w:id="175">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"https://privacyinternational.org/strategic-areas/defending-democracy-and-dissent" </w:instrText>
      </w:r>
      <w:r>
        <w:fldChar w:fldCharType="separate"/>
      </w:r>
      <w:r w:rsidRPr="001C1B82">
        <w:rPr>
          <w:color w:val="0563C1"/>
          <w:szCs w:val="16"/>
          <w:u w:val="single" w:color="0563C1"/>
        </w:rPr>
        <w:t>https://privacyinternational.org/strategic-areas/defending-democracy-and-dissent</w:t>
      </w:r>
      <w:r>
        <w:fldChar w:fldCharType="end"/>
      </w:r>
      <w:r>
        <w:fldChar w:fldCharType="begin"/>
      </w:r>
      <w:r>
        <w:instrText xml:space="preserve"> HYPERLINK "https://privacyinternational.org/strategic-areas/defending-democracy-and-dissent" </w:instrText>
      </w:r>
      <w:r>
        <w:fldChar w:fldCharType="separate"/>
      </w:r>
      <w:r w:rsidRPr="001C1B82">
        <w:rPr>
          <w:szCs w:val="16"/>
        </w:rPr>
        <w:t xml:space="preserve"> </w:t>
      </w:r>
      <w:r>
        <w:fldChar w:fldCharType="end"/>
      </w:r>
      <w:r w:rsidRPr="001C1B82">
        <w:rPr>
          <w:szCs w:val="16"/>
        </w:rPr>
        <w:t xml:space="preserve"> </w:t>
      </w:r>
    </w:p>
  </w:footnote>
  <w:footnote w:id="176">
    <w:p w:rsidR="00673732" w:rsidRPr="001C1B82">
      <w:pPr>
        <w:pStyle w:val="footnotedescription"/>
        <w:spacing w:after="14"/>
        <w:rPr>
          <w:szCs w:val="16"/>
        </w:rPr>
      </w:pPr>
      <w:r w:rsidRPr="001C1B82">
        <w:rPr>
          <w:rStyle w:val="footnotemark"/>
          <w:szCs w:val="16"/>
        </w:rPr>
        <w:footnoteRef/>
      </w:r>
      <w:r w:rsidRPr="001C1B82">
        <w:rPr>
          <w:szCs w:val="16"/>
        </w:rPr>
        <w:t xml:space="preserve"> See for example, the list of over 300 companies compiled by Tactical Tech: </w:t>
      </w:r>
    </w:p>
    <w:p w:rsidR="00673732" w:rsidRPr="001C1B82">
      <w:pPr>
        <w:pStyle w:val="footnotedescription"/>
        <w:rPr>
          <w:szCs w:val="16"/>
        </w:rPr>
      </w:pPr>
      <w:r>
        <w:fldChar w:fldCharType="begin"/>
      </w:r>
      <w:r>
        <w:instrText xml:space="preserve"> HYPERLINK "https://ourdataourselves.tacticaltech.org/posts/whos-working-for-vote" </w:instrText>
      </w:r>
      <w:r>
        <w:fldChar w:fldCharType="separate"/>
      </w:r>
      <w:r w:rsidRPr="001C1B82">
        <w:rPr>
          <w:color w:val="0563C1"/>
          <w:szCs w:val="16"/>
          <w:u w:val="single" w:color="0563C1"/>
        </w:rPr>
        <w:t>https://ourdataourselves.tacticaltech.org/posts/whos-working-for-vote</w:t>
      </w:r>
      <w:r>
        <w:fldChar w:fldCharType="end"/>
      </w:r>
      <w:r>
        <w:fldChar w:fldCharType="begin"/>
      </w:r>
      <w:r>
        <w:instrText xml:space="preserve"> HYPERLINK "https://ourdataourselves.tacticaltech.org/posts/whos-working-for-vote" </w:instrText>
      </w:r>
      <w:r>
        <w:fldChar w:fldCharType="separate"/>
      </w:r>
      <w:r w:rsidRPr="001C1B82">
        <w:rPr>
          <w:szCs w:val="16"/>
        </w:rPr>
        <w:t xml:space="preserve"> </w:t>
      </w:r>
      <w:r>
        <w:fldChar w:fldCharType="end"/>
      </w:r>
      <w:r w:rsidRPr="001C1B82">
        <w:rPr>
          <w:szCs w:val="16"/>
        </w:rPr>
        <w:t xml:space="preserve"> </w:t>
      </w:r>
    </w:p>
  </w:footnote>
  <w:footnote w:id="177">
    <w:p w:rsidR="00673732" w:rsidRPr="001C1B82">
      <w:pPr>
        <w:pStyle w:val="footnotedescription"/>
        <w:spacing w:line="247" w:lineRule="auto"/>
        <w:rPr>
          <w:szCs w:val="16"/>
        </w:rPr>
      </w:pPr>
      <w:r w:rsidRPr="001C1B82">
        <w:rPr>
          <w:rStyle w:val="footnotemark"/>
          <w:szCs w:val="16"/>
        </w:rPr>
        <w:footnoteRef/>
      </w:r>
      <w:r w:rsidRPr="001C1B82">
        <w:rPr>
          <w:szCs w:val="16"/>
        </w:rPr>
        <w:t xml:space="preserve"> Personal data as defined in the EU General Data Protection Regulation, which applies in the UK together with the Data Protection Act 2019, means “means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 </w:t>
      </w:r>
    </w:p>
    <w:p w:rsidR="00673732" w:rsidRPr="001C1B82">
      <w:pPr>
        <w:pStyle w:val="footnotedescription"/>
        <w:rPr>
          <w:szCs w:val="16"/>
        </w:rPr>
      </w:pPr>
      <w:r w:rsidRPr="001C1B82">
        <w:rPr>
          <w:szCs w:val="16"/>
        </w:rPr>
        <w:t xml:space="preserve"> </w:t>
      </w:r>
    </w:p>
  </w:footnote>
  <w:footnote w:id="178">
    <w:p w:rsidR="00673732" w:rsidRPr="001C1B82">
      <w:pPr>
        <w:pStyle w:val="footnotedescription"/>
        <w:spacing w:after="14"/>
        <w:rPr>
          <w:szCs w:val="16"/>
        </w:rPr>
      </w:pPr>
      <w:r w:rsidRPr="001C1B82">
        <w:rPr>
          <w:rStyle w:val="footnotemark"/>
          <w:szCs w:val="16"/>
        </w:rPr>
        <w:footnoteRef/>
      </w:r>
      <w:r w:rsidRPr="001C1B82">
        <w:rPr>
          <w:szCs w:val="16"/>
        </w:rPr>
        <w:t xml:space="preserve"> These techniques and examples of them are explained in detail here; together with the tools they use: </w:t>
      </w:r>
    </w:p>
    <w:p w:rsidR="00673732" w:rsidRPr="001C1B82">
      <w:pPr>
        <w:pStyle w:val="footnotedescription"/>
        <w:rPr>
          <w:szCs w:val="16"/>
        </w:rPr>
      </w:pPr>
      <w:r>
        <w:fldChar w:fldCharType="begin"/>
      </w:r>
      <w:r>
        <w:instrText xml:space="preserve"> HYPERLINK "https://ourdataourselves.tacticaltech.org/posts/inside-the-influence-industry" </w:instrText>
      </w:r>
      <w:r>
        <w:fldChar w:fldCharType="separate"/>
      </w:r>
      <w:r w:rsidRPr="001C1B82">
        <w:rPr>
          <w:color w:val="0563C1"/>
          <w:szCs w:val="16"/>
          <w:u w:val="single" w:color="0563C1"/>
        </w:rPr>
        <w:t>https://ourdataourselves.tacticaltech.org/posts/inside-the-influence-industry</w:t>
      </w:r>
      <w:r>
        <w:fldChar w:fldCharType="end"/>
      </w:r>
      <w:r>
        <w:fldChar w:fldCharType="begin"/>
      </w:r>
      <w:r>
        <w:instrText xml:space="preserve"> HYPERLINK "https://ourdataourselves.tacticaltech.org/posts/inside-the-influence-industry" </w:instrText>
      </w:r>
      <w:r>
        <w:fldChar w:fldCharType="separate"/>
      </w:r>
      <w:r w:rsidRPr="001C1B82">
        <w:rPr>
          <w:szCs w:val="16"/>
        </w:rPr>
        <w:t xml:space="preserve"> </w:t>
      </w:r>
      <w:r>
        <w:fldChar w:fldCharType="end"/>
      </w:r>
    </w:p>
  </w:footnote>
  <w:footnote w:id="179">
    <w:p w:rsidR="00673732" w:rsidRPr="001C1B82">
      <w:pPr>
        <w:pStyle w:val="footnotedescription"/>
        <w:spacing w:line="256" w:lineRule="auto"/>
        <w:rPr>
          <w:szCs w:val="16"/>
        </w:rPr>
      </w:pPr>
      <w:r w:rsidRPr="001C1B82">
        <w:rPr>
          <w:rStyle w:val="footnotemark"/>
          <w:szCs w:val="16"/>
        </w:rPr>
        <w:footnoteRef/>
      </w:r>
      <w:r w:rsidRPr="001C1B82">
        <w:rPr>
          <w:szCs w:val="16"/>
        </w:rPr>
        <w:t xml:space="preserve"> </w:t>
      </w:r>
      <w:r>
        <w:fldChar w:fldCharType="begin"/>
      </w:r>
      <w:r>
        <w:instrText xml:space="preserve"> HYPERLINK "https://www.politico.eu/article/general-election-boris-johnson-uk-facebook-digital-campaign-disinformation/" </w:instrText>
      </w:r>
      <w:r>
        <w:fldChar w:fldCharType="separate"/>
      </w:r>
      <w:r w:rsidRPr="001C1B82">
        <w:rPr>
          <w:color w:val="0563C1"/>
          <w:szCs w:val="16"/>
          <w:u w:val="single" w:color="0563C1"/>
        </w:rPr>
        <w:t>https://www.politico.eu/article/general-election-boris-johnson-uk-facebook-digital-campaign-disinformation/</w:t>
      </w:r>
      <w:r>
        <w:fldChar w:fldCharType="end"/>
      </w:r>
      <w:r>
        <w:fldChar w:fldCharType="begin"/>
      </w:r>
      <w:r>
        <w:instrText xml:space="preserve"> HYPERLINK "https://www.politico.eu/article/general-election-boris-johnson-uk-facebook-digital-campaign-disinformation/" </w:instrText>
      </w:r>
      <w:r>
        <w:fldChar w:fldCharType="separate"/>
      </w:r>
      <w:r w:rsidRPr="001C1B82">
        <w:rPr>
          <w:szCs w:val="16"/>
        </w:rPr>
        <w:t xml:space="preserve"> </w:t>
      </w:r>
      <w:r>
        <w:fldChar w:fldCharType="end"/>
      </w:r>
      <w:r w:rsidRPr="001C1B82">
        <w:rPr>
          <w:szCs w:val="16"/>
        </w:rPr>
        <w:t xml:space="preserve"> </w:t>
      </w:r>
      <w:r w:rsidRPr="001C1B82">
        <w:rPr>
          <w:szCs w:val="16"/>
          <w:vertAlign w:val="superscript"/>
        </w:rPr>
        <w:t>6</w:t>
      </w:r>
      <w:r>
        <w:fldChar w:fldCharType="begin"/>
      </w:r>
      <w:r>
        <w:instrText xml:space="preserve"> HYPERLINK "https://www.google.com/intl/en_uk/search/howsearchworks/algorithms/" </w:instrText>
      </w:r>
      <w:r>
        <w:fldChar w:fldCharType="separate"/>
      </w:r>
      <w:r w:rsidRPr="001C1B82">
        <w:rPr>
          <w:szCs w:val="16"/>
        </w:rPr>
        <w:t xml:space="preserve"> </w:t>
      </w:r>
      <w:r>
        <w:fldChar w:fldCharType="end"/>
      </w:r>
      <w:r>
        <w:fldChar w:fldCharType="begin"/>
      </w:r>
      <w:r>
        <w:instrText xml:space="preserve"> HYPERLINK "https://www.google.com/intl/en_uk/search/howsearchworks/algorithms/" </w:instrText>
      </w:r>
      <w:r>
        <w:fldChar w:fldCharType="separate"/>
      </w:r>
      <w:r w:rsidRPr="001C1B82">
        <w:rPr>
          <w:color w:val="0563C1"/>
          <w:szCs w:val="16"/>
          <w:u w:val="single" w:color="0563C1"/>
        </w:rPr>
        <w:t>https://www.google.com/intl/en_uk/search/howsearchworks/algorithms/</w:t>
      </w:r>
      <w:r>
        <w:fldChar w:fldCharType="end"/>
      </w:r>
      <w:r>
        <w:fldChar w:fldCharType="begin"/>
      </w:r>
      <w:r>
        <w:instrText xml:space="preserve"> HYPERLINK "https://www.google.com/intl/en_uk/search/howsearchworks/algorithms/" </w:instrText>
      </w:r>
      <w:r>
        <w:fldChar w:fldCharType="separate"/>
      </w:r>
      <w:r w:rsidRPr="001C1B82">
        <w:rPr>
          <w:szCs w:val="16"/>
        </w:rPr>
        <w:t xml:space="preserve"> </w:t>
      </w:r>
      <w:r>
        <w:fldChar w:fldCharType="end"/>
      </w:r>
      <w:r w:rsidRPr="001C1B82">
        <w:rPr>
          <w:szCs w:val="16"/>
        </w:rPr>
        <w:t xml:space="preserve"> </w:t>
      </w:r>
    </w:p>
  </w:footnote>
  <w:footnote w:id="180">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"https://www.facebook.com/help/1155510281178725" </w:instrText>
      </w:r>
      <w:r>
        <w:fldChar w:fldCharType="separate"/>
      </w:r>
      <w:r w:rsidRPr="001C1B82">
        <w:rPr>
          <w:color w:val="0563C1"/>
          <w:szCs w:val="16"/>
          <w:u w:val="single" w:color="0563C1"/>
        </w:rPr>
        <w:t>https://www.facebook.com/help/1155510281178725</w:t>
      </w:r>
      <w:r>
        <w:fldChar w:fldCharType="end"/>
      </w:r>
      <w:r>
        <w:fldChar w:fldCharType="begin"/>
      </w:r>
      <w:r>
        <w:instrText xml:space="preserve"> HYPERLINK "https://www.facebook.com/help/1155510281178725" </w:instrText>
      </w:r>
      <w:r>
        <w:fldChar w:fldCharType="separate"/>
      </w:r>
      <w:r w:rsidRPr="001C1B82">
        <w:rPr>
          <w:szCs w:val="16"/>
        </w:rPr>
        <w:t xml:space="preserve"> </w:t>
      </w:r>
      <w:r>
        <w:fldChar w:fldCharType="end"/>
      </w:r>
      <w:r w:rsidRPr="001C1B82">
        <w:rPr>
          <w:szCs w:val="16"/>
        </w:rPr>
        <w:t xml:space="preserve"> </w:t>
      </w:r>
    </w:p>
  </w:footnote>
  <w:footnote w:id="181">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"https://www.nytimes.com/2018/03/10/opinion/sunday/youtube-politics-radical.html" </w:instrText>
      </w:r>
      <w:r>
        <w:fldChar w:fldCharType="separate"/>
      </w:r>
      <w:r w:rsidRPr="001C1B82">
        <w:rPr>
          <w:color w:val="0563C1"/>
          <w:szCs w:val="16"/>
          <w:u w:val="single" w:color="0563C1"/>
        </w:rPr>
        <w:t>https://www.nytimes.com/2018/03/10/opinion/sunday/youtube-politics-radical.html</w:t>
      </w:r>
      <w:r>
        <w:fldChar w:fldCharType="end"/>
      </w:r>
      <w:r>
        <w:fldChar w:fldCharType="begin"/>
      </w:r>
      <w:r>
        <w:instrText xml:space="preserve"> HYPERLINK "https://www.nytimes.com/2018/03/10/opinion/sunday/youtube-politics-radical.html" </w:instrText>
      </w:r>
      <w:r>
        <w:fldChar w:fldCharType="separate"/>
      </w:r>
      <w:r w:rsidRPr="001C1B82">
        <w:rPr>
          <w:szCs w:val="16"/>
        </w:rPr>
        <w:t xml:space="preserve"> </w:t>
      </w:r>
      <w:r>
        <w:fldChar w:fldCharType="end"/>
      </w:r>
      <w:r w:rsidRPr="001C1B82">
        <w:rPr>
          <w:szCs w:val="16"/>
        </w:rPr>
        <w:t xml:space="preserve"> </w:t>
      </w:r>
    </w:p>
  </w:footnote>
  <w:footnote w:id="182">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fldChar w:fldCharType="begin"/>
      </w:r>
      <w:r>
        <w:instrText xml:space="preserve"> HYPERLINK "https://privacyinternational.org/advocacy/3027/privacy-internationals-response-uks-open-consultation-online-harms-white-paper" </w:instrText>
      </w:r>
      <w:r>
        <w:fldChar w:fldCharType="separate"/>
      </w:r>
      <w:r w:rsidRPr="001C1B82">
        <w:rPr>
          <w:color w:val="0563C1"/>
          <w:szCs w:val="16"/>
          <w:u w:val="single" w:color="0563C1"/>
        </w:rPr>
        <w:t>https://privacyinternational.org/advocacy/3027/privacy-internationals-response-uks-open-consultation</w:t>
      </w:r>
      <w:r>
        <w:fldChar w:fldCharType="end"/>
      </w:r>
      <w:r>
        <w:fldChar w:fldCharType="begin"/>
      </w:r>
      <w:r>
        <w:instrText xml:space="preserve"> HYPERLINK "https://privacyinternational.org/advocacy/3027/privacy-internationals-response-uks-open-consultation-online-harms-white-paper" </w:instrText>
      </w:r>
      <w:r>
        <w:fldChar w:fldCharType="separate"/>
      </w:r>
      <w:r w:rsidRPr="001C1B82">
        <w:rPr>
          <w:color w:val="0563C1"/>
          <w:szCs w:val="16"/>
          <w:u w:val="single" w:color="0563C1"/>
        </w:rPr>
        <w:t>online-harms-white-paper</w:t>
      </w:r>
      <w:r>
        <w:fldChar w:fldCharType="end"/>
      </w:r>
      <w:r>
        <w:fldChar w:fldCharType="begin"/>
      </w:r>
      <w:r>
        <w:instrText xml:space="preserve"> HYPERLINK "https://privacyinternational.org/advocacy/3027/privacy-internationals-response-uks-open-consultation-online-harms-white-paper" </w:instrText>
      </w:r>
      <w:r>
        <w:fldChar w:fldCharType="separate"/>
      </w:r>
      <w:r w:rsidRPr="001C1B82">
        <w:rPr>
          <w:szCs w:val="16"/>
        </w:rPr>
        <w:t xml:space="preserve"> </w:t>
      </w:r>
      <w:r>
        <w:fldChar w:fldCharType="end"/>
      </w:r>
      <w:r w:rsidRPr="001C1B82">
        <w:rPr>
          <w:szCs w:val="16"/>
        </w:rPr>
        <w:t xml:space="preserve"> </w:t>
      </w:r>
    </w:p>
  </w:footnote>
  <w:footnote w:id="183">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"https://edps.europa.eu/sites/edp/files/publication/18-03-19_online_manipulation_en.pdf" </w:instrText>
      </w:r>
      <w:r>
        <w:fldChar w:fldCharType="separate"/>
      </w:r>
      <w:r w:rsidRPr="001C1B82">
        <w:rPr>
          <w:color w:val="0563C1"/>
          <w:szCs w:val="16"/>
          <w:u w:val="single" w:color="0563C1"/>
        </w:rPr>
        <w:t>https://edps.europa.eu/sites/edp/files/publication/18-03-19_online_manipulation_en.pdf</w:t>
      </w:r>
      <w:r>
        <w:fldChar w:fldCharType="end"/>
      </w:r>
      <w:r>
        <w:fldChar w:fldCharType="begin"/>
      </w:r>
      <w:r>
        <w:instrText xml:space="preserve"> HYPERLINK "https://edps.europa.eu/sites/edp/files/publication/18-03-19_online_manipulation_en.pdf" </w:instrText>
      </w:r>
      <w:r>
        <w:fldChar w:fldCharType="separate"/>
      </w:r>
      <w:r w:rsidRPr="001C1B82">
        <w:rPr>
          <w:szCs w:val="16"/>
        </w:rPr>
        <w:t xml:space="preserve"> </w:t>
      </w:r>
      <w:r>
        <w:fldChar w:fldCharType="end"/>
      </w:r>
      <w:r w:rsidRPr="001C1B82">
        <w:rPr>
          <w:szCs w:val="16"/>
        </w:rPr>
        <w:t xml:space="preserve"> </w:t>
      </w:r>
    </w:p>
  </w:footnote>
  <w:footnote w:id="184">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"https://www.google.com/search/howsearchworks/algorithms/" </w:instrText>
      </w:r>
      <w:r>
        <w:fldChar w:fldCharType="separate"/>
      </w:r>
      <w:r w:rsidRPr="001C1B82">
        <w:rPr>
          <w:color w:val="0563C1"/>
          <w:szCs w:val="16"/>
          <w:u w:val="single" w:color="0563C1"/>
        </w:rPr>
        <w:t>https://www.google.com/search/howsearchworks/algorithms/</w:t>
      </w:r>
      <w:r>
        <w:fldChar w:fldCharType="end"/>
      </w:r>
      <w:r>
        <w:fldChar w:fldCharType="begin"/>
      </w:r>
      <w:r>
        <w:instrText xml:space="preserve"> HYPERLINK "https://www.google.com/search/howsearchworks/algorithms/" </w:instrText>
      </w:r>
      <w:r>
        <w:fldChar w:fldCharType="separate"/>
      </w:r>
      <w:r w:rsidRPr="001C1B82">
        <w:rPr>
          <w:szCs w:val="16"/>
        </w:rPr>
        <w:t xml:space="preserve"> </w:t>
      </w:r>
      <w:r>
        <w:fldChar w:fldCharType="end"/>
      </w:r>
      <w:r w:rsidRPr="001C1B82">
        <w:rPr>
          <w:szCs w:val="16"/>
        </w:rPr>
        <w:t xml:space="preserve"> </w:t>
      </w:r>
    </w:p>
  </w:footnote>
  <w:footnote w:id="185">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"https://www.facebook.com/help/1155510281178725" </w:instrText>
      </w:r>
      <w:r>
        <w:fldChar w:fldCharType="separate"/>
      </w:r>
      <w:r w:rsidRPr="001C1B82">
        <w:rPr>
          <w:color w:val="0563C1"/>
          <w:szCs w:val="16"/>
          <w:u w:val="single" w:color="0563C1"/>
        </w:rPr>
        <w:t>https://www.facebook.com/help/1155510281178725</w:t>
      </w:r>
      <w:r>
        <w:fldChar w:fldCharType="end"/>
      </w:r>
      <w:r>
        <w:fldChar w:fldCharType="begin"/>
      </w:r>
      <w:r>
        <w:instrText xml:space="preserve"> HYPERLINK "https://www.facebook.com/help/1155510281178725" </w:instrText>
      </w:r>
      <w:r>
        <w:fldChar w:fldCharType="separate"/>
      </w:r>
      <w:r w:rsidRPr="001C1B82">
        <w:rPr>
          <w:szCs w:val="16"/>
        </w:rPr>
        <w:t xml:space="preserve"> </w:t>
      </w:r>
      <w:r>
        <w:fldChar w:fldCharType="end"/>
      </w:r>
      <w:r w:rsidRPr="001C1B82">
        <w:rPr>
          <w:szCs w:val="16"/>
        </w:rPr>
        <w:t xml:space="preserve"> </w:t>
      </w:r>
    </w:p>
  </w:footnote>
  <w:footnote w:id="186">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"https://www.nytimes.com/2018/03/10/opinion/sunday/youtube-politics-radical.html)" </w:instrText>
      </w:r>
      <w:r>
        <w:fldChar w:fldCharType="separate"/>
      </w:r>
      <w:r w:rsidRPr="001C1B82">
        <w:rPr>
          <w:color w:val="0563C1"/>
          <w:szCs w:val="16"/>
          <w:u w:val="single" w:color="0563C1"/>
        </w:rPr>
        <w:t>https://www.nytimes.com/2018/03/10/opinion/sunday/youtube-politics-radical.html</w:t>
      </w:r>
      <w:r>
        <w:fldChar w:fldCharType="end"/>
      </w:r>
      <w:r>
        <w:fldChar w:fldCharType="begin"/>
      </w:r>
      <w:r>
        <w:instrText xml:space="preserve"> HYPERLINK "https://www.nytimes.com/2018/03/10/opinion/sunday/youtube-politics-radical.html)" </w:instrText>
      </w:r>
      <w:r>
        <w:fldChar w:fldCharType="separate"/>
      </w:r>
      <w:r w:rsidRPr="001C1B82">
        <w:rPr>
          <w:szCs w:val="16"/>
        </w:rPr>
        <w:t xml:space="preserve"> </w:t>
      </w:r>
      <w:r>
        <w:fldChar w:fldCharType="end"/>
      </w:r>
      <w:r w:rsidRPr="001C1B82">
        <w:rPr>
          <w:szCs w:val="16"/>
        </w:rPr>
        <w:t xml:space="preserve"> </w:t>
      </w:r>
    </w:p>
  </w:footnote>
  <w:footnote w:id="187">
    <w:p w:rsidR="00673732" w:rsidRPr="001C1B82">
      <w:pPr>
        <w:pStyle w:val="footnotedescription"/>
        <w:spacing w:line="251" w:lineRule="auto"/>
        <w:rPr>
          <w:szCs w:val="16"/>
        </w:rPr>
      </w:pPr>
      <w:r w:rsidRPr="001C1B82">
        <w:rPr>
          <w:rStyle w:val="footnotemark"/>
          <w:szCs w:val="16"/>
        </w:rPr>
        <w:footnoteRef/>
      </w:r>
      <w:r w:rsidRPr="001C1B82">
        <w:rPr>
          <w:szCs w:val="16"/>
        </w:rPr>
        <w:t xml:space="preserve"> See Privacy Internationals submissions complaining to data protection authorities in the UK, France and Ireland, setting out in detail why the practices of at least seven data brokers, credit reference agencies and ad tech companies fall below the requirements of GDPR: </w:t>
      </w:r>
      <w:r>
        <w:fldChar w:fldCharType="begin"/>
      </w:r>
      <w:r>
        <w:instrText xml:space="preserve"> HYPERLINK "https://privacyinternational.org/legal-action/challenge-hidden-data-ecosystem" </w:instrText>
      </w:r>
      <w:r>
        <w:fldChar w:fldCharType="separate"/>
      </w:r>
      <w:r w:rsidRPr="001C1B82">
        <w:rPr>
          <w:color w:val="0563C1"/>
          <w:szCs w:val="16"/>
          <w:u w:val="single" w:color="0563C1"/>
        </w:rPr>
        <w:t>https://privacyinternational.org/legal-action/challenge</w:t>
      </w:r>
      <w:r>
        <w:fldChar w:fldCharType="end"/>
      </w:r>
      <w:r>
        <w:fldChar w:fldCharType="begin"/>
      </w:r>
      <w:r>
        <w:instrText xml:space="preserve"> HYPERLINK "https://privacyinternational.org/legal-action/challenge-hidden-data-ecosystem" </w:instrText>
      </w:r>
      <w:r>
        <w:fldChar w:fldCharType="separate"/>
      </w:r>
      <w:r w:rsidRPr="001C1B82">
        <w:rPr>
          <w:color w:val="0563C1"/>
          <w:szCs w:val="16"/>
          <w:u w:val="single" w:color="0563C1"/>
        </w:rPr>
        <w:t>hidden-data-ecosystem</w:t>
      </w:r>
      <w:r>
        <w:fldChar w:fldCharType="end"/>
      </w:r>
      <w:r>
        <w:fldChar w:fldCharType="begin"/>
      </w:r>
      <w:r>
        <w:instrText xml:space="preserve"> HYPERLINK "https://privacyinternational.org/legal-action/challenge-hidden-data-ecosystem" </w:instrText>
      </w:r>
      <w:r>
        <w:fldChar w:fldCharType="separate"/>
      </w:r>
      <w:r w:rsidRPr="001C1B82">
        <w:rPr>
          <w:szCs w:val="16"/>
        </w:rPr>
        <w:t xml:space="preserve"> </w:t>
      </w:r>
      <w:r>
        <w:fldChar w:fldCharType="end"/>
      </w:r>
      <w:r w:rsidRPr="001C1B82">
        <w:rPr>
          <w:szCs w:val="16"/>
        </w:rPr>
        <w:t xml:space="preserve"> </w:t>
      </w:r>
    </w:p>
  </w:footnote>
  <w:footnote w:id="188">
    <w:p w:rsidR="00673732" w:rsidRPr="001C1B82">
      <w:pPr>
        <w:pStyle w:val="footnotedescription"/>
        <w:spacing w:after="24" w:line="248" w:lineRule="auto"/>
        <w:ind w:right="695"/>
        <w:rPr>
          <w:szCs w:val="16"/>
        </w:rPr>
      </w:pPr>
      <w:r w:rsidRPr="001C1B82">
        <w:rPr>
          <w:rStyle w:val="footnotemark"/>
          <w:szCs w:val="16"/>
        </w:rPr>
        <w:footnoteRef/>
      </w:r>
      <w:r w:rsidRPr="001C1B82">
        <w:rPr>
          <w:szCs w:val="16"/>
        </w:rPr>
        <w:t xml:space="preserve"> Report by the Norwegian Consumer Council in June 2018, ‘Deceived by Design’ </w:t>
      </w:r>
      <w:r>
        <w:fldChar w:fldCharType="begin"/>
      </w:r>
      <w:r>
        <w:instrText xml:space="preserve"> HYPERLINK "https://fil.forbrukerradet.no/wp-content/uploads/2018/06/2018-06-27-deceived-by-design-final.pdf" </w:instrText>
      </w:r>
      <w:r>
        <w:fldChar w:fldCharType="separate"/>
      </w:r>
      <w:r w:rsidRPr="001C1B82">
        <w:rPr>
          <w:color w:val="0563C1"/>
          <w:szCs w:val="16"/>
          <w:u w:val="single" w:color="0563C1"/>
        </w:rPr>
        <w:t>https://fil.forbrukerradet.no/wp-content/uploads/2018/06/2018-06-27-deceived-by-design-final.pdf</w:t>
      </w:r>
      <w:r>
        <w:fldChar w:fldCharType="end"/>
      </w:r>
      <w:r>
        <w:fldChar w:fldCharType="begin"/>
      </w:r>
      <w:r>
        <w:instrText xml:space="preserve"> HYPERLINK "https://fil.forbrukerradet.no/wp-content/uploads/2018/06/2018-06-27-deceived-by-design-final.pdf" </w:instrText>
      </w:r>
      <w:r>
        <w:fldChar w:fldCharType="separate"/>
      </w:r>
      <w:r w:rsidRPr="001C1B82">
        <w:rPr>
          <w:szCs w:val="16"/>
        </w:rPr>
        <w:t xml:space="preserve"> </w:t>
      </w:r>
      <w:r>
        <w:fldChar w:fldCharType="end"/>
      </w:r>
      <w:r w:rsidRPr="001C1B82">
        <w:rPr>
          <w:szCs w:val="16"/>
        </w:rPr>
        <w:t xml:space="preserve"> </w:t>
      </w:r>
      <w:r w:rsidRPr="001C1B82">
        <w:rPr>
          <w:szCs w:val="16"/>
          <w:vertAlign w:val="superscript"/>
        </w:rPr>
        <w:t>16</w:t>
      </w:r>
      <w:r w:rsidRPr="001C1B82">
        <w:rPr>
          <w:szCs w:val="16"/>
        </w:rPr>
        <w:t xml:space="preserve"> See for example our complaints against data broker and AdTech companies (November 2018) </w:t>
      </w:r>
    </w:p>
    <w:p w:rsidR="00673732" w:rsidRPr="001C1B82">
      <w:pPr>
        <w:pStyle w:val="footnotedescription"/>
        <w:spacing w:after="1" w:line="239" w:lineRule="auto"/>
        <w:rPr>
          <w:szCs w:val="16"/>
        </w:rPr>
      </w:pPr>
      <w:r>
        <w:fldChar w:fldCharType="begin"/>
      </w:r>
      <w:r>
        <w:instrText xml:space="preserve"> HYPERLINK "https://privacyinternational.org/legal-action/challenge-hidden-data-ecosystem" </w:instrText>
      </w:r>
      <w:r>
        <w:fldChar w:fldCharType="separate"/>
      </w:r>
      <w:r w:rsidRPr="001C1B82">
        <w:rPr>
          <w:color w:val="0563C1"/>
          <w:szCs w:val="16"/>
          <w:u w:val="single" w:color="0563C1"/>
        </w:rPr>
        <w:t>https://privacyinternational.org/legal-action/challenge-hidden-data-ecosystem</w:t>
      </w:r>
      <w:r>
        <w:fldChar w:fldCharType="end"/>
      </w:r>
      <w:r>
        <w:fldChar w:fldCharType="begin"/>
      </w:r>
      <w:r>
        <w:instrText xml:space="preserve"> HYPERLINK "https://privacyinternational.org/legal-action/challenge-hidden-data-ecosystem" </w:instrText>
      </w:r>
      <w:r>
        <w:fldChar w:fldCharType="separate"/>
      </w:r>
      <w:r w:rsidRPr="001C1B82">
        <w:rPr>
          <w:szCs w:val="16"/>
        </w:rPr>
        <w:t xml:space="preserve"> </w:t>
      </w:r>
      <w:r>
        <w:fldChar w:fldCharType="end"/>
      </w:r>
      <w:r w:rsidRPr="001C1B82">
        <w:rPr>
          <w:szCs w:val="16"/>
        </w:rPr>
        <w:t xml:space="preserve">and recent reports (September 2019) on the sharing of data by mental health websites </w:t>
      </w:r>
      <w:r>
        <w:fldChar w:fldCharType="begin"/>
      </w:r>
      <w:r>
        <w:instrText xml:space="preserve"> HYPERLINK "https://privacyinternational.org/campaigns/your-mental-health-sale" </w:instrText>
      </w:r>
      <w:r>
        <w:fldChar w:fldCharType="separate"/>
      </w:r>
      <w:r w:rsidRPr="001C1B82">
        <w:rPr>
          <w:color w:val="0563C1"/>
          <w:szCs w:val="16"/>
          <w:u w:val="single" w:color="0563C1"/>
        </w:rPr>
        <w:t>https://privacyinternational.org/campaigns/your</w:t>
      </w:r>
      <w:r>
        <w:fldChar w:fldCharType="end"/>
      </w:r>
      <w:r>
        <w:fldChar w:fldCharType="begin"/>
      </w:r>
      <w:r>
        <w:instrText xml:space="preserve"> HYPERLINK "https://privacyinternational.org/campaigns/your-mental-health-sale" </w:instrText>
      </w:r>
      <w:r>
        <w:fldChar w:fldCharType="separate"/>
      </w:r>
      <w:r w:rsidRPr="001C1B82">
        <w:rPr>
          <w:color w:val="0563C1"/>
          <w:szCs w:val="16"/>
          <w:u w:val="single" w:color="0563C1"/>
        </w:rPr>
        <w:t>mental-health-sale</w:t>
      </w:r>
      <w:r>
        <w:fldChar w:fldCharType="end"/>
      </w:r>
      <w:r>
        <w:fldChar w:fldCharType="begin"/>
      </w:r>
      <w:r>
        <w:instrText xml:space="preserve"> HYPERLINK "https://privacyinternational.org/campaigns/your-mental-health-sale" </w:instrText>
      </w:r>
      <w:r>
        <w:fldChar w:fldCharType="separate"/>
      </w:r>
      <w:r w:rsidRPr="001C1B82">
        <w:rPr>
          <w:szCs w:val="16"/>
        </w:rPr>
        <w:t xml:space="preserve"> </w:t>
      </w:r>
      <w:r>
        <w:fldChar w:fldCharType="end"/>
      </w:r>
      <w:r w:rsidRPr="001C1B82">
        <w:rPr>
          <w:szCs w:val="16"/>
        </w:rPr>
        <w:t xml:space="preserve"> and menstruation apps </w:t>
      </w:r>
      <w:r>
        <w:fldChar w:fldCharType="begin"/>
      </w:r>
      <w:r>
        <w:instrText xml:space="preserve"> HYPERLINK "https://privacyinternational.org/long-read/3196/no-bodys-business-mine-how-menstruation-apps-are-sharing-your-data" </w:instrText>
      </w:r>
      <w:r>
        <w:fldChar w:fldCharType="separate"/>
      </w:r>
      <w:r w:rsidRPr="001C1B82">
        <w:rPr>
          <w:color w:val="0563C1"/>
          <w:szCs w:val="16"/>
          <w:u w:val="single" w:color="0563C1"/>
        </w:rPr>
        <w:t>https://privacyinternational.org/long-read/3196/no-bodys</w:t>
      </w:r>
      <w:r>
        <w:fldChar w:fldCharType="end"/>
      </w:r>
      <w:r>
        <w:fldChar w:fldCharType="begin"/>
      </w:r>
      <w:r>
        <w:instrText xml:space="preserve"> HYPERLINK "https://privacyinternational.org/long-read/3196/no-bodys-business-mine-how-menstruation-apps-are-sharing-your-data" </w:instrText>
      </w:r>
      <w:r>
        <w:fldChar w:fldCharType="separate"/>
      </w:r>
      <w:r w:rsidRPr="001C1B82">
        <w:rPr>
          <w:color w:val="0563C1"/>
          <w:szCs w:val="16"/>
          <w:u w:val="single" w:color="0563C1"/>
        </w:rPr>
        <w:t>business-mine-how-menstruation-apps-are-sharing-your-data</w:t>
      </w:r>
      <w:r>
        <w:fldChar w:fldCharType="end"/>
      </w:r>
      <w:r>
        <w:fldChar w:fldCharType="begin"/>
      </w:r>
      <w:r>
        <w:instrText xml:space="preserve"> HYPERLINK "https://privacyinternational.org/long-read/3196/no-bodys-business-mine-how-menstruation-apps-are-sharing-your-data" </w:instrText>
      </w:r>
      <w:r>
        <w:fldChar w:fldCharType="separate"/>
      </w:r>
      <w:r w:rsidRPr="001C1B82">
        <w:rPr>
          <w:szCs w:val="16"/>
        </w:rPr>
        <w:t xml:space="preserve"> </w:t>
      </w:r>
      <w:r>
        <w:fldChar w:fldCharType="end"/>
      </w:r>
      <w:r w:rsidRPr="001C1B82">
        <w:rPr>
          <w:szCs w:val="16"/>
        </w:rPr>
        <w:t xml:space="preserve"> </w:t>
      </w:r>
    </w:p>
  </w:footnote>
  <w:footnote w:id="189">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"https://ico.org.uk/media/action-weve-taken/2259369/democracy-disrupted-110718.pdf)" </w:instrText>
      </w:r>
      <w:r>
        <w:fldChar w:fldCharType="separate"/>
      </w:r>
      <w:r w:rsidRPr="001C1B82">
        <w:rPr>
          <w:color w:val="0563C1"/>
          <w:szCs w:val="16"/>
          <w:u w:val="single" w:color="0563C1"/>
        </w:rPr>
        <w:t>https://ico.org.uk/media/action-weve-taken/2259369/democracy-disrupted-110718.pdf</w:t>
      </w:r>
      <w:r>
        <w:fldChar w:fldCharType="end"/>
      </w:r>
      <w:r>
        <w:fldChar w:fldCharType="begin"/>
      </w:r>
      <w:r>
        <w:instrText xml:space="preserve"> HYPERLINK "https://ico.org.uk/media/action-weve-taken/2259369/democracy-disrupted-110718.pdf)" </w:instrText>
      </w:r>
      <w:r>
        <w:fldChar w:fldCharType="separate"/>
      </w:r>
      <w:r w:rsidRPr="001C1B82">
        <w:rPr>
          <w:szCs w:val="16"/>
        </w:rPr>
        <w:t xml:space="preserve"> </w:t>
      </w:r>
      <w:r>
        <w:fldChar w:fldCharType="end"/>
      </w:r>
    </w:p>
  </w:footnote>
  <w:footnote w:id="190">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fldChar w:fldCharType="begin"/>
      </w:r>
      <w:r>
        <w:instrText xml:space="preserve"> HYPERLINK "https://ico.org.uk/media/action-weve-taken/2259371/investigation-into-data-analytics-for-political-purposes-update.pdf)" </w:instrText>
      </w:r>
      <w:r>
        <w:fldChar w:fldCharType="separate"/>
      </w:r>
      <w:r w:rsidRPr="001C1B82">
        <w:rPr>
          <w:color w:val="0563C1"/>
          <w:szCs w:val="16"/>
          <w:u w:val="single" w:color="0563C1"/>
        </w:rPr>
        <w:t>https://ico.org.uk/media/action-weve-taken/2259371/investigation-into-data-analytics-for-political</w:t>
      </w:r>
      <w:r>
        <w:fldChar w:fldCharType="end"/>
      </w:r>
      <w:r>
        <w:fldChar w:fldCharType="begin"/>
      </w:r>
      <w:r>
        <w:instrText xml:space="preserve"> HYPERLINK "https://ico.org.uk/media/action-weve-taken/2259371/investigation-into-data-analytics-for-political-purposes-update.pdf)" </w:instrText>
      </w:r>
      <w:r>
        <w:fldChar w:fldCharType="separate"/>
      </w:r>
      <w:r w:rsidRPr="001C1B82">
        <w:rPr>
          <w:color w:val="0563C1"/>
          <w:szCs w:val="16"/>
          <w:u w:val="single" w:color="0563C1"/>
        </w:rPr>
        <w:t>purposes-update.pdf</w:t>
      </w:r>
      <w:r>
        <w:fldChar w:fldCharType="end"/>
      </w:r>
      <w:r>
        <w:fldChar w:fldCharType="begin"/>
      </w:r>
      <w:r>
        <w:instrText xml:space="preserve"> HYPERLINK "https://ico.org.uk/media/action-weve-taken/2259371/investigation-into-data-analytics-for-political-purposes-update.pdf)" </w:instrText>
      </w:r>
      <w:r>
        <w:fldChar w:fldCharType="separate"/>
      </w:r>
      <w:r w:rsidRPr="001C1B82">
        <w:rPr>
          <w:szCs w:val="16"/>
        </w:rPr>
        <w:t xml:space="preserve"> </w:t>
      </w:r>
      <w:r>
        <w:fldChar w:fldCharType="end"/>
      </w:r>
    </w:p>
  </w:footnote>
  <w:footnote w:id="191">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fldChar w:fldCharType="begin"/>
      </w:r>
      <w:r>
        <w:instrText xml:space="preserve"> HYPERLINK "https://ico.org.uk/media/action-weve-taken/2260271/investigation-into-the-use-of-data-analytics-in-political-campaigns-final-20181105.pdf)" </w:instrText>
      </w:r>
      <w:r>
        <w:fldChar w:fldCharType="separate"/>
      </w:r>
      <w:r w:rsidRPr="001C1B82">
        <w:rPr>
          <w:color w:val="0563C1"/>
          <w:szCs w:val="16"/>
          <w:u w:val="single" w:color="0563C1"/>
        </w:rPr>
        <w:t>https://ico.org.uk/media/action-weve-taken/2260271/investigation-into-the-use-of-data-analytics-in</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color w:val="0563C1"/>
          <w:szCs w:val="16"/>
          <w:u w:val="single" w:color="0563C1"/>
        </w:rPr>
        <w:t>political-campaigns-final-20181105.pdf</w:t>
      </w:r>
      <w:r>
        <w:fldChar w:fldCharType="end"/>
      </w:r>
      <w:r>
        <w:fldChar w:fldCharType="begin"/>
      </w:r>
      <w:r>
        <w:instrText xml:space="preserve"> HYPERLINK "https://ico.org.uk/media/action-weve-taken/2260271/investigation-into-the-use-of-data-analytics-in-political-campaigns-final-20181105.pdf)" </w:instrText>
      </w:r>
      <w:r>
        <w:fldChar w:fldCharType="separate"/>
      </w:r>
      <w:r w:rsidRPr="001C1B82">
        <w:rPr>
          <w:szCs w:val="16"/>
        </w:rPr>
        <w:t xml:space="preserve"> </w:t>
      </w:r>
      <w:r>
        <w:fldChar w:fldCharType="end"/>
      </w:r>
      <w:r w:rsidRPr="001C1B82">
        <w:rPr>
          <w:szCs w:val="16"/>
        </w:rPr>
        <w:t xml:space="preserve"> </w:t>
      </w:r>
    </w:p>
  </w:footnote>
  <w:footnote w:id="192">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fldChar w:fldCharType="begin"/>
      </w:r>
      <w:r>
        <w:instrText xml:space="preserve"> HYPERLINK "https://privacyinternational.org/advocacy/2426/our-complaints-against-acxiom-criteo-equifax-experian-oracle-quantcast-tapad" </w:instrText>
      </w:r>
      <w:r>
        <w:fldChar w:fldCharType="separate"/>
      </w:r>
      <w:r w:rsidRPr="001C1B82">
        <w:rPr>
          <w:color w:val="0563C1"/>
          <w:szCs w:val="16"/>
          <w:u w:val="single" w:color="0563C1"/>
        </w:rPr>
        <w:t>https://privacyinternational.org/advocacy/2426/our-complaints-against-acxiom-criteo-equifax-experian</w:t>
      </w:r>
      <w:r>
        <w:fldChar w:fldCharType="end"/>
      </w:r>
      <w:r>
        <w:fldChar w:fldCharType="begin"/>
      </w:r>
      <w:r>
        <w:instrText xml:space="preserve"> HYPERLINK "https://privacyinternational.org/advocacy/2426/our-complaints-against-acxiom-criteo-equifax-experian-oracle-quantcast-tapad" </w:instrText>
      </w:r>
      <w:r>
        <w:fldChar w:fldCharType="separate"/>
      </w:r>
      <w:r w:rsidRPr="001C1B82">
        <w:rPr>
          <w:color w:val="0563C1"/>
          <w:szCs w:val="16"/>
          <w:u w:val="single" w:color="0563C1"/>
        </w:rPr>
        <w:t>oracle-quantcast-tapad</w:t>
      </w:r>
      <w:r>
        <w:fldChar w:fldCharType="end"/>
      </w:r>
      <w:r>
        <w:fldChar w:fldCharType="begin"/>
      </w:r>
      <w:r>
        <w:instrText xml:space="preserve"> HYPERLINK "https://privacyinternational.org/advocacy/2426/our-complaints-against-acxiom-criteo-equifax-experian-oracle-quantcast-tapad" </w:instrText>
      </w:r>
      <w:r>
        <w:fldChar w:fldCharType="separate"/>
      </w:r>
      <w:r w:rsidRPr="001C1B82">
        <w:rPr>
          <w:szCs w:val="16"/>
        </w:rPr>
        <w:t xml:space="preserve"> </w:t>
      </w:r>
      <w:r>
        <w:fldChar w:fldCharType="end"/>
      </w:r>
    </w:p>
  </w:footnote>
  <w:footnote w:id="193">
    <w:p w:rsidR="00673732" w:rsidRPr="001C1B82">
      <w:pPr>
        <w:pStyle w:val="footnotedescription"/>
        <w:spacing w:line="242" w:lineRule="auto"/>
        <w:rPr>
          <w:szCs w:val="16"/>
        </w:rPr>
      </w:pPr>
      <w:r w:rsidRPr="001C1B82">
        <w:rPr>
          <w:rStyle w:val="footnotemark"/>
          <w:szCs w:val="16"/>
        </w:rPr>
        <w:footnoteRef/>
      </w:r>
      <w:r w:rsidRPr="001C1B82">
        <w:rPr>
          <w:szCs w:val="16"/>
        </w:rPr>
        <w:t xml:space="preserve"> For example, the onboarding of Acxiom data to Facebook was credited with “Accurate targeting…essential to the [Conservative Party] campaign’s success” in the UK General Election in 2015. “Partner segments were used for geographical targeting along constituency boundary lined, minimising wasted impressions and cousin ad delivery on adults who lived in … the most competitive constituencies. Custom Audiences (created from research and polling during the early days of the campaign) and Lookalike Audience were used to target messages to those with whom they would resonate” </w:t>
      </w:r>
      <w:r>
        <w:fldChar w:fldCharType="begin"/>
      </w:r>
      <w:r>
        <w:instrText xml:space="preserve"> HYPERLINK "https://en-gb.facebook.com/business/success/conservative-party" \l "u_0_0" </w:instrText>
      </w:r>
      <w:r>
        <w:fldChar w:fldCharType="separate"/>
      </w:r>
      <w:r w:rsidRPr="001C1B82">
        <w:rPr>
          <w:color w:val="0563C1"/>
          <w:szCs w:val="16"/>
          <w:u w:val="single" w:color="0563C1"/>
        </w:rPr>
        <w:t>https://en</w:t>
      </w:r>
      <w:r>
        <w:fldChar w:fldCharType="end"/>
      </w:r>
      <w:r>
        <w:fldChar w:fldCharType="begin"/>
      </w:r>
      <w:r>
        <w:instrText xml:space="preserve"> HYPERLINK "https://en-gb.facebook.com/business/success/conservative-party" \l "u_0_0" </w:instrText>
      </w:r>
      <w:r>
        <w:fldChar w:fldCharType="separate"/>
      </w:r>
      <w:r w:rsidRPr="001C1B82">
        <w:rPr>
          <w:color w:val="0563C1"/>
          <w:szCs w:val="16"/>
          <w:u w:val="single" w:color="0563C1"/>
        </w:rPr>
        <w:t>gb.facebook.com/business/success/conservative-party#u_0_0</w:t>
      </w:r>
      <w:r>
        <w:fldChar w:fldCharType="end"/>
      </w:r>
      <w:r>
        <w:fldChar w:fldCharType="begin"/>
      </w:r>
      <w:r>
        <w:instrText xml:space="preserve"> HYPERLINK "https://en-gb.facebook.com/business/success/conservative-party" \l "u_0_0" </w:instrText>
      </w:r>
      <w:r>
        <w:fldChar w:fldCharType="separate"/>
      </w:r>
      <w:r w:rsidRPr="001C1B82">
        <w:rPr>
          <w:szCs w:val="16"/>
        </w:rPr>
        <w:t xml:space="preserve"> </w:t>
      </w:r>
      <w:r>
        <w:fldChar w:fldCharType="end"/>
      </w:r>
      <w:r w:rsidRPr="001C1B82">
        <w:rPr>
          <w:szCs w:val="16"/>
        </w:rPr>
        <w:t xml:space="preserve"> and in relation to Experian, the example of a data broker company ‘Emma’s Diary’ which provides advice on pregnancy and childcare, sold data to Experian specifically for use by the Labour Party, and was subsequently fined by the ICO : </w:t>
      </w:r>
      <w:r>
        <w:fldChar w:fldCharType="begin"/>
      </w:r>
      <w:r>
        <w:instrText xml:space="preserve"> HYPERLINK "https://ico.org.uk/about-the-ico/news-and-events/news-and-blogs/2018/08/emma-s-diary-fined-140-000-for-selling-personal-information-for-political-campaigning/" </w:instrText>
      </w:r>
      <w:r>
        <w:fldChar w:fldCharType="separate"/>
      </w:r>
      <w:r w:rsidRPr="001C1B82">
        <w:rPr>
          <w:color w:val="0563C1"/>
          <w:szCs w:val="16"/>
          <w:u w:val="single" w:color="0563C1"/>
        </w:rPr>
        <w:t>https://ico.org.uk/about-the</w:t>
      </w:r>
      <w:r>
        <w:fldChar w:fldCharType="end"/>
      </w:r>
      <w:r>
        <w:fldChar w:fldCharType="begin"/>
      </w:r>
      <w:r>
        <w:instrText xml:space="preserve"> HYPERLINK "https://ico.org.uk/about-the-ico/news-and-events/news-and-blogs/2018/08/emma-s-diary-fined-140-000-for-selling-personal-information-for-political-campaigning/" </w:instrText>
      </w:r>
      <w:r>
        <w:fldChar w:fldCharType="separate"/>
      </w:r>
      <w:r w:rsidRPr="001C1B82">
        <w:rPr>
          <w:color w:val="0563C1"/>
          <w:szCs w:val="16"/>
          <w:u w:val="single" w:color="0563C1"/>
        </w:rPr>
        <w:t>ico/news-and-events/news-and-blogs/2018/08/emma-s-diary-fined-140-000-for-selling-personal-information</w:t>
      </w:r>
      <w:r>
        <w:fldChar w:fldCharType="end"/>
      </w:r>
      <w:r>
        <w:fldChar w:fldCharType="begin"/>
      </w:r>
      <w:r>
        <w:instrText xml:space="preserve"> HYPERLINK "https://ico.org.uk/about-the-ico/news-and-events/news-and-blogs/2018/08/emma-s-diary-fined-140-000-for-selling-personal-information-for-political-campaigning/" </w:instrText>
      </w:r>
      <w:r>
        <w:fldChar w:fldCharType="separate"/>
      </w:r>
      <w:r w:rsidRPr="001C1B82">
        <w:rPr>
          <w:color w:val="0563C1"/>
          <w:szCs w:val="16"/>
          <w:u w:val="single" w:color="0563C1"/>
        </w:rPr>
        <w:t>for-political-campaigning/</w:t>
      </w:r>
      <w:r>
        <w:fldChar w:fldCharType="end"/>
      </w:r>
      <w:r>
        <w:fldChar w:fldCharType="begin"/>
      </w:r>
      <w:r>
        <w:instrText xml:space="preserve"> HYPERLINK "https://ico.org.uk/about-the-ico/news-and-events/news-and-blogs/2018/08/emma-s-diary-fined-140-000-for-selling-personal-information-for-political-campaigning/" </w:instrText>
      </w:r>
      <w:r>
        <w:fldChar w:fldCharType="separate"/>
      </w:r>
      <w:r w:rsidRPr="001C1B82">
        <w:rPr>
          <w:szCs w:val="16"/>
        </w:rPr>
        <w:t xml:space="preserve"> </w:t>
      </w:r>
      <w:r>
        <w:fldChar w:fldCharType="end"/>
      </w:r>
      <w:r w:rsidRPr="001C1B82">
        <w:rPr>
          <w:szCs w:val="16"/>
        </w:rPr>
        <w:t xml:space="preserve"> </w:t>
      </w:r>
    </w:p>
  </w:footnote>
  <w:footnote w:id="194">
    <w:p w:rsidR="00673732" w:rsidRPr="001C1B82">
      <w:pPr>
        <w:pStyle w:val="footnotedescription"/>
        <w:spacing w:line="245" w:lineRule="auto"/>
        <w:rPr>
          <w:szCs w:val="16"/>
        </w:rPr>
      </w:pPr>
      <w:r w:rsidRPr="001C1B82">
        <w:rPr>
          <w:rStyle w:val="footnotemark"/>
          <w:szCs w:val="16"/>
        </w:rPr>
        <w:footnoteRef/>
      </w:r>
      <w:r w:rsidRPr="001C1B82">
        <w:rPr>
          <w:szCs w:val="16"/>
        </w:rPr>
        <w:t xml:space="preserve"> For example, Experian marketing material noting that Experian’s Mosaic is used by the main political parties to profile the electorate, see for example, Experian’s own marketing </w:t>
      </w:r>
      <w:r>
        <w:fldChar w:fldCharType="begin"/>
      </w:r>
      <w:r>
        <w:instrText xml:space="preserve"> HYPERLINK "https://www.experianplc.com/media/news/2009/mosaic-uk-2009-experian-reveals-the-changing-face-of-uk-society" </w:instrText>
      </w:r>
      <w:r>
        <w:fldChar w:fldCharType="separate"/>
      </w:r>
      <w:r w:rsidRPr="001C1B82">
        <w:rPr>
          <w:color w:val="0563C1"/>
          <w:szCs w:val="16"/>
          <w:u w:val="single" w:color="0563C1"/>
        </w:rPr>
        <w:t>https://www.experianplc.com/media/news/2009/mosaic-uk-2009-experian-reveals-the-changing-face-of-uk</w:t>
      </w:r>
      <w:r>
        <w:fldChar w:fldCharType="end"/>
      </w:r>
      <w:r>
        <w:fldChar w:fldCharType="begin"/>
      </w:r>
      <w:r>
        <w:instrText xml:space="preserve"> HYPERLINK "https://www.experianplc.com/media/news/2009/mosaic-uk-2009-experian-reveals-the-changing-face-of-uk-society" </w:instrText>
      </w:r>
      <w:r>
        <w:fldChar w:fldCharType="separate"/>
      </w:r>
      <w:r w:rsidRPr="001C1B82">
        <w:rPr>
          <w:color w:val="0563C1"/>
          <w:szCs w:val="16"/>
          <w:u w:val="single" w:color="0563C1"/>
        </w:rPr>
        <w:t>society</w:t>
      </w:r>
      <w:r>
        <w:fldChar w:fldCharType="end"/>
      </w:r>
      <w:r>
        <w:fldChar w:fldCharType="begin"/>
      </w:r>
      <w:r>
        <w:instrText xml:space="preserve"> HYPERLINK "https://www.experianplc.com/media/news/2009/mosaic-uk-2009-experian-reveals-the-changing-face-of-uk-society" </w:instrText>
      </w:r>
      <w:r>
        <w:fldChar w:fldCharType="separate"/>
      </w:r>
      <w:r w:rsidRPr="001C1B82">
        <w:rPr>
          <w:szCs w:val="16"/>
        </w:rPr>
        <w:t xml:space="preserve"> </w:t>
      </w:r>
      <w:r>
        <w:fldChar w:fldCharType="end"/>
      </w:r>
      <w:r w:rsidRPr="001C1B82">
        <w:rPr>
          <w:szCs w:val="16"/>
        </w:rPr>
        <w:t xml:space="preserve">or Oracle’s 2019 Data Directory, for example advertises its i360 data for the US political and advocacy community, “of 190+ million active voters and 250+ million US consumers, with hundreds of data points on American adults”, including categories such as “Swing Voters”, “Likely Pro-Choice and Likely Pro-Life” </w:t>
      </w:r>
      <w:r>
        <w:fldChar w:fldCharType="begin"/>
      </w:r>
      <w:r>
        <w:instrText xml:space="preserve"> HYPERLINK "http://www.oracle.com/us/solutions/cloud/data-directory-2810741.pdf" </w:instrText>
      </w:r>
      <w:r>
        <w:fldChar w:fldCharType="separate"/>
      </w:r>
      <w:r w:rsidRPr="001C1B82">
        <w:rPr>
          <w:color w:val="0563C1"/>
          <w:szCs w:val="16"/>
          <w:u w:val="single" w:color="0563C1"/>
        </w:rPr>
        <w:t>http://www.oracle.com/us/solutions/cloud/data-directory-2810741.pdf</w:t>
      </w:r>
      <w:r>
        <w:fldChar w:fldCharType="end"/>
      </w:r>
      <w:r>
        <w:fldChar w:fldCharType="begin"/>
      </w:r>
      <w:r>
        <w:instrText xml:space="preserve"> HYPERLINK "http://www.oracle.com/us/solutions/cloud/data-directory-2810741.pdf" </w:instrText>
      </w:r>
      <w:r>
        <w:fldChar w:fldCharType="separate"/>
      </w:r>
      <w:r w:rsidRPr="001C1B82">
        <w:rPr>
          <w:szCs w:val="16"/>
        </w:rPr>
        <w:t xml:space="preserve"> </w:t>
      </w:r>
      <w:r>
        <w:fldChar w:fldCharType="end"/>
      </w:r>
      <w:r w:rsidRPr="001C1B82">
        <w:rPr>
          <w:szCs w:val="16"/>
        </w:rPr>
        <w:t xml:space="preserve"> </w:t>
      </w:r>
    </w:p>
  </w:footnote>
  <w:footnote w:id="195">
    <w:p w:rsidR="00673732" w:rsidRPr="001C1B82">
      <w:pPr>
        <w:pStyle w:val="footnotedescription"/>
        <w:spacing w:line="258" w:lineRule="auto"/>
        <w:jc w:val="both"/>
        <w:rPr>
          <w:szCs w:val="16"/>
        </w:rPr>
      </w:pPr>
      <w:r w:rsidRPr="001C1B82">
        <w:rPr>
          <w:rStyle w:val="footnotemark"/>
          <w:szCs w:val="16"/>
        </w:rPr>
        <w:footnoteRef/>
      </w:r>
      <w:r w:rsidRPr="001C1B82">
        <w:rPr>
          <w:szCs w:val="16"/>
        </w:rPr>
        <w:t xml:space="preserve"> </w:t>
      </w:r>
      <w:r>
        <w:fldChar w:fldCharType="begin"/>
      </w:r>
      <w:r>
        <w:instrText xml:space="preserve"> HYPERLINK "https://privacyinternational.org/long-read/3207/how-difficult-it-understand-why-youre-seeing-political-ad-social-media" </w:instrText>
      </w:r>
      <w:r>
        <w:fldChar w:fldCharType="separate"/>
      </w:r>
      <w:r w:rsidRPr="001C1B82">
        <w:rPr>
          <w:color w:val="0563C1"/>
          <w:szCs w:val="16"/>
          <w:u w:val="single" w:color="0563C1"/>
        </w:rPr>
        <w:t>https://privacyinternational.org/long-read/3207/how-difficult-it-understand-why-youre-seeing-political-ad</w:t>
      </w:r>
      <w:r>
        <w:fldChar w:fldCharType="end"/>
      </w:r>
      <w:r>
        <w:fldChar w:fldCharType="begin"/>
      </w:r>
      <w:r>
        <w:instrText xml:space="preserve"> HYPERLINK "https://privacyinternational.org/long-read/3207/how-difficult-it-understand-why-youre-seeing-political-ad-social-media" </w:instrText>
      </w:r>
      <w:r>
        <w:fldChar w:fldCharType="separate"/>
      </w:r>
      <w:r w:rsidRPr="001C1B82">
        <w:rPr>
          <w:color w:val="0563C1"/>
          <w:szCs w:val="16"/>
          <w:u w:val="single" w:color="0563C1"/>
        </w:rPr>
        <w:t>social-media</w:t>
      </w:r>
      <w:r>
        <w:fldChar w:fldCharType="end"/>
      </w:r>
      <w:r>
        <w:fldChar w:fldCharType="begin"/>
      </w:r>
      <w:r>
        <w:instrText xml:space="preserve"> HYPERLINK "https://privacyinternational.org/long-read/3207/how-difficult-it-understand-why-youre-seeing-political-ad-social-media" </w:instrText>
      </w:r>
      <w:r>
        <w:fldChar w:fldCharType="separate"/>
      </w:r>
      <w:r w:rsidRPr="001C1B82">
        <w:rPr>
          <w:szCs w:val="16"/>
        </w:rPr>
        <w:t xml:space="preserve"> </w:t>
      </w:r>
      <w:r>
        <w:fldChar w:fldCharType="end"/>
      </w:r>
      <w:r w:rsidRPr="001C1B82">
        <w:rPr>
          <w:szCs w:val="16"/>
        </w:rPr>
        <w:t xml:space="preserve"> </w:t>
      </w:r>
    </w:p>
  </w:footnote>
  <w:footnote w:id="196">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"https://whotargets.me/en/" </w:instrText>
      </w:r>
      <w:r>
        <w:fldChar w:fldCharType="separate"/>
      </w:r>
      <w:r w:rsidRPr="001C1B82">
        <w:rPr>
          <w:color w:val="0563C1"/>
          <w:szCs w:val="16"/>
          <w:u w:val="single" w:color="0563C1"/>
        </w:rPr>
        <w:t>https://whotargets.me/en/</w:t>
      </w:r>
      <w:r>
        <w:fldChar w:fldCharType="end"/>
      </w:r>
      <w:r>
        <w:fldChar w:fldCharType="begin"/>
      </w:r>
      <w:r>
        <w:instrText xml:space="preserve"> HYPERLINK "https://whotargets.me/en/" </w:instrText>
      </w:r>
      <w:r>
        <w:fldChar w:fldCharType="separate"/>
      </w:r>
      <w:r w:rsidRPr="001C1B82">
        <w:rPr>
          <w:szCs w:val="16"/>
        </w:rPr>
        <w:t xml:space="preserve"> </w:t>
      </w:r>
      <w:r>
        <w:fldChar w:fldCharType="end"/>
      </w:r>
      <w:r w:rsidRPr="001C1B82">
        <w:rPr>
          <w:szCs w:val="16"/>
        </w:rPr>
        <w:t xml:space="preserve"> </w:t>
      </w:r>
    </w:p>
  </w:footnote>
  <w:footnote w:id="197">
    <w:p w:rsidR="00673732" w:rsidRPr="001C1B82">
      <w:pPr>
        <w:pStyle w:val="footnotedescription"/>
        <w:spacing w:after="2"/>
        <w:rPr>
          <w:szCs w:val="16"/>
        </w:rPr>
      </w:pPr>
      <w:r w:rsidRPr="001C1B82">
        <w:rPr>
          <w:rStyle w:val="footnotemark"/>
          <w:szCs w:val="16"/>
        </w:rPr>
        <w:footnoteRef/>
      </w:r>
      <w:r w:rsidRPr="001C1B82">
        <w:rPr>
          <w:szCs w:val="16"/>
        </w:rPr>
        <w:t xml:space="preserve"> </w:t>
      </w:r>
      <w:r>
        <w:fldChar w:fldCharType="begin"/>
      </w:r>
      <w:r>
        <w:instrText xml:space="preserve"> HYPERLINK "https://publielectoral.adc.org.ar/)" </w:instrText>
      </w:r>
      <w:r>
        <w:fldChar w:fldCharType="separate"/>
      </w:r>
      <w:r w:rsidRPr="001C1B82">
        <w:rPr>
          <w:color w:val="0563C1"/>
          <w:szCs w:val="16"/>
          <w:u w:val="single" w:color="0563C1"/>
        </w:rPr>
        <w:t>https://publielectoral.adc.org.ar/</w:t>
      </w:r>
      <w:r>
        <w:fldChar w:fldCharType="end"/>
      </w:r>
      <w:r>
        <w:fldChar w:fldCharType="begin"/>
      </w:r>
      <w:r>
        <w:instrText xml:space="preserve"> HYPERLINK "https://publielectoral.adc.org.ar/)" </w:instrText>
      </w:r>
      <w:r>
        <w:fldChar w:fldCharType="separate"/>
      </w:r>
      <w:r w:rsidRPr="001C1B82">
        <w:rPr>
          <w:szCs w:val="16"/>
        </w:rPr>
        <w:t xml:space="preserve"> </w:t>
      </w:r>
      <w:r>
        <w:fldChar w:fldCharType="end"/>
      </w:r>
    </w:p>
  </w:footnote>
  <w:footnote w:id="198">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"https://blog.mozilla.org/blog/2019/04/29/facebooks-ad-archive-api-is-inadequate/)" </w:instrText>
      </w:r>
      <w:r>
        <w:fldChar w:fldCharType="separate"/>
      </w:r>
      <w:r w:rsidRPr="001C1B82">
        <w:rPr>
          <w:color w:val="0563C1"/>
          <w:szCs w:val="16"/>
          <w:u w:val="single" w:color="0563C1"/>
        </w:rPr>
        <w:t>https://blog.mozilla.org/blog/2019/04/29/facebooks-ad-archive-api-is-inadequate/</w:t>
      </w:r>
      <w:r>
        <w:fldChar w:fldCharType="end"/>
      </w:r>
      <w:r>
        <w:fldChar w:fldCharType="begin"/>
      </w:r>
      <w:r>
        <w:instrText xml:space="preserve"> HYPERLINK "https://blog.mozilla.org/blog/2019/04/29/facebooks-ad-archive-api-is-inadequate/)" </w:instrText>
      </w:r>
      <w:r>
        <w:fldChar w:fldCharType="separate"/>
      </w:r>
      <w:r w:rsidRPr="001C1B82">
        <w:rPr>
          <w:szCs w:val="16"/>
        </w:rPr>
        <w:t xml:space="preserve"> </w:t>
      </w:r>
      <w:r>
        <w:fldChar w:fldCharType="end"/>
      </w:r>
      <w:r w:rsidRPr="001C1B82">
        <w:rPr>
          <w:szCs w:val="16"/>
        </w:rPr>
        <w:t xml:space="preserve"> </w:t>
      </w:r>
    </w:p>
  </w:footnote>
  <w:footnote w:id="199">
    <w:p w:rsidR="00673732" w:rsidRPr="001C1B82">
      <w:pPr>
        <w:pStyle w:val="footnotedescription"/>
        <w:spacing w:line="258" w:lineRule="auto"/>
        <w:jc w:val="both"/>
        <w:rPr>
          <w:szCs w:val="16"/>
        </w:rPr>
      </w:pPr>
      <w:r w:rsidRPr="001C1B82">
        <w:rPr>
          <w:rStyle w:val="footnotemark"/>
          <w:szCs w:val="16"/>
        </w:rPr>
        <w:footnoteRef/>
      </w:r>
      <w:r w:rsidRPr="001C1B82">
        <w:rPr>
          <w:szCs w:val="16"/>
        </w:rPr>
        <w:t xml:space="preserve"> </w:t>
      </w:r>
      <w:r>
        <w:fldChar w:fldCharType="begin"/>
      </w:r>
      <w:r>
        <w:instrText xml:space="preserve"> HYPERLINK "https://blog.mozilla.org/blog/2019/03/27/facebook-and-google-this-is-what-an-effective-ad-archive-api-looks-like/)" </w:instrText>
      </w:r>
      <w:r>
        <w:fldChar w:fldCharType="separate"/>
      </w:r>
      <w:r w:rsidRPr="001C1B82">
        <w:rPr>
          <w:color w:val="0563C1"/>
          <w:szCs w:val="16"/>
          <w:u w:val="single" w:color="0563C1"/>
        </w:rPr>
        <w:t>https://blog.mozilla.org/blog/2019/03/27/facebook-and-google-this-is-what-an-effective-ad-archive-api</w:t>
      </w:r>
      <w:r>
        <w:fldChar w:fldCharType="end"/>
      </w:r>
      <w:r>
        <w:fldChar w:fldCharType="begin"/>
      </w:r>
      <w:r>
        <w:instrText xml:space="preserve"> HYPERLINK "https://blog.mozilla.org/blog/2019/03/27/facebook-and-google-this-is-what-an-effective-ad-archive-api-looks-like/)" </w:instrText>
      </w:r>
      <w:r>
        <w:fldChar w:fldCharType="separate"/>
      </w:r>
      <w:r w:rsidRPr="001C1B82">
        <w:rPr>
          <w:color w:val="0563C1"/>
          <w:szCs w:val="16"/>
          <w:u w:val="single" w:color="0563C1"/>
        </w:rPr>
        <w:t>looks-like/</w:t>
      </w:r>
      <w:r>
        <w:fldChar w:fldCharType="end"/>
      </w:r>
      <w:r>
        <w:fldChar w:fldCharType="begin"/>
      </w:r>
      <w:r>
        <w:instrText xml:space="preserve"> HYPERLINK "https://blog.mozilla.org/blog/2019/03/27/facebook-and-google-this-is-what-an-effective-ad-archive-api-looks-like/)" </w:instrText>
      </w:r>
      <w:r>
        <w:fldChar w:fldCharType="separate"/>
      </w:r>
      <w:r w:rsidRPr="001C1B82">
        <w:rPr>
          <w:szCs w:val="16"/>
        </w:rPr>
        <w:t xml:space="preserve"> </w:t>
      </w:r>
      <w:r>
        <w:fldChar w:fldCharType="end"/>
      </w:r>
      <w:r w:rsidRPr="001C1B82">
        <w:rPr>
          <w:szCs w:val="16"/>
        </w:rPr>
        <w:t xml:space="preserve"> </w:t>
      </w:r>
    </w:p>
  </w:footnote>
  <w:footnote w:id="200">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fldChar w:fldCharType="begin"/>
      </w:r>
      <w:r>
        <w:instrText xml:space="preserve"> HYPERLINK "https://privacyinternational.org/long-read/3019/how-uk-conservative-leadership-race-latest-example-political-data-exploitation)" </w:instrText>
      </w:r>
      <w:r>
        <w:fldChar w:fldCharType="separate"/>
      </w:r>
      <w:r w:rsidRPr="001C1B82">
        <w:rPr>
          <w:color w:val="0563C1"/>
          <w:szCs w:val="16"/>
          <w:u w:val="single" w:color="0563C1"/>
        </w:rPr>
        <w:t>https://privacyinternational.org/long-read/3019/how-uk-conservative-leadership-race-latest-example</w:t>
      </w:r>
      <w:r>
        <w:fldChar w:fldCharType="end"/>
      </w:r>
      <w:r>
        <w:fldChar w:fldCharType="begin"/>
      </w:r>
      <w:r>
        <w:instrText xml:space="preserve"> HYPERLINK "https://privacyinternational.org/long-read/3019/how-uk-conservative-leadership-race-latest-example-political-data-exploitation)" </w:instrText>
      </w:r>
      <w:r>
        <w:fldChar w:fldCharType="separate"/>
      </w:r>
      <w:r w:rsidRPr="001C1B82">
        <w:rPr>
          <w:color w:val="0563C1"/>
          <w:szCs w:val="16"/>
          <w:u w:val="single" w:color="0563C1"/>
        </w:rPr>
        <w:t>political-data-exploitation</w:t>
      </w:r>
      <w:r>
        <w:fldChar w:fldCharType="end"/>
      </w:r>
      <w:r>
        <w:fldChar w:fldCharType="begin"/>
      </w:r>
      <w:r>
        <w:instrText xml:space="preserve"> HYPERLINK "https://privacyinternational.org/long-read/3019/how-uk-conservative-leadership-race-latest-example-political-data-exploitation)" </w:instrText>
      </w:r>
      <w:r>
        <w:fldChar w:fldCharType="separate"/>
      </w:r>
      <w:r w:rsidRPr="001C1B82">
        <w:rPr>
          <w:szCs w:val="16"/>
        </w:rPr>
        <w:t xml:space="preserve"> </w:t>
      </w:r>
      <w:r>
        <w:fldChar w:fldCharType="end"/>
      </w:r>
    </w:p>
  </w:footnote>
  <w:footnote w:id="201">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fldChar w:fldCharType="begin"/>
      </w:r>
      <w:r>
        <w:instrText xml:space="preserve"> HYPERLINK "https://privacyinternational.org/news-analysis/2824/european-parliament-elections-protecting-our-data-protect-us-against" </w:instrText>
      </w:r>
      <w:r>
        <w:fldChar w:fldCharType="separate"/>
      </w:r>
      <w:r w:rsidRPr="001C1B82">
        <w:rPr>
          <w:color w:val="0563C1"/>
          <w:szCs w:val="16"/>
          <w:u w:val="single" w:color="0563C1"/>
        </w:rPr>
        <w:t>https://privacyinternational.org/news-analysis/2824/european-parliament-elections-protecting-our-data</w:t>
      </w:r>
      <w:r>
        <w:fldChar w:fldCharType="end"/>
      </w:r>
      <w:r>
        <w:fldChar w:fldCharType="begin"/>
      </w:r>
      <w:r>
        <w:instrText xml:space="preserve"> HYPERLINK "https://privacyinternational.org/news-analysis/2824/european-parliament-elections-protecting-our-data-protect-us-against" </w:instrText>
      </w:r>
      <w:r>
        <w:fldChar w:fldCharType="separate"/>
      </w:r>
      <w:r w:rsidRPr="001C1B82">
        <w:rPr>
          <w:color w:val="0563C1"/>
          <w:szCs w:val="16"/>
          <w:u w:val="single" w:color="0563C1"/>
        </w:rPr>
        <w:t>protect-us-against</w:t>
      </w:r>
      <w:r>
        <w:fldChar w:fldCharType="end"/>
      </w:r>
      <w:r>
        <w:fldChar w:fldCharType="begin"/>
      </w:r>
      <w:r>
        <w:instrText xml:space="preserve"> HYPERLINK "https://privacyinternational.org/news-analysis/2824/european-parliament-elections-protecting-our-data-protect-us-against" </w:instrText>
      </w:r>
      <w:r>
        <w:fldChar w:fldCharType="separate"/>
      </w:r>
      <w:r w:rsidRPr="001C1B82">
        <w:rPr>
          <w:szCs w:val="16"/>
        </w:rPr>
        <w:t xml:space="preserve"> </w:t>
      </w:r>
      <w:r>
        <w:fldChar w:fldCharType="end"/>
      </w:r>
    </w:p>
  </w:footnote>
  <w:footnote w:id="202">
    <w:p w:rsidR="00673732" w:rsidRPr="001C1B82">
      <w:pPr>
        <w:pStyle w:val="footnotedescription"/>
        <w:spacing w:line="255" w:lineRule="auto"/>
        <w:ind w:right="755"/>
        <w:rPr>
          <w:szCs w:val="16"/>
        </w:rPr>
      </w:pPr>
      <w:r w:rsidRPr="001C1B82">
        <w:rPr>
          <w:rStyle w:val="footnotemark"/>
          <w:szCs w:val="16"/>
        </w:rPr>
        <w:footnoteRef/>
      </w:r>
      <w:r w:rsidRPr="001C1B82">
        <w:rPr>
          <w:szCs w:val="16"/>
        </w:rPr>
        <w:t xml:space="preserve"> </w:t>
      </w:r>
      <w:r>
        <w:fldChar w:fldCharType="begin"/>
      </w:r>
      <w:r>
        <w:instrText xml:space="preserve"> HYPERLINK "https://edps.europa.eu/sites/edp/files/publication/18-03-19_online_manipulation_en.pdf" </w:instrText>
      </w:r>
      <w:r>
        <w:fldChar w:fldCharType="separate"/>
      </w:r>
      <w:r w:rsidRPr="001C1B82">
        <w:rPr>
          <w:color w:val="0563C1"/>
          <w:szCs w:val="16"/>
          <w:u w:val="single" w:color="0563C1"/>
        </w:rPr>
        <w:t>https://edps.europa.eu/sites/edp/files/publication/18-03-19_online_manipulation_en.pdf</w:t>
      </w:r>
      <w:r>
        <w:fldChar w:fldCharType="end"/>
      </w:r>
      <w:r>
        <w:fldChar w:fldCharType="begin"/>
      </w:r>
      <w:r>
        <w:instrText xml:space="preserve"> HYPERLINK "https://edps.europa.eu/sites/edp/files/publication/18-03-19_online_manipulation_en.pdf" </w:instrText>
      </w:r>
      <w:r>
        <w:fldChar w:fldCharType="separate"/>
      </w:r>
      <w:r w:rsidRPr="001C1B82">
        <w:rPr>
          <w:szCs w:val="16"/>
        </w:rPr>
        <w:t xml:space="preserve"> </w:t>
      </w:r>
      <w:r>
        <w:fldChar w:fldCharType="end"/>
      </w:r>
      <w:r w:rsidRPr="001C1B82">
        <w:rPr>
          <w:szCs w:val="16"/>
        </w:rPr>
        <w:t xml:space="preserve"> </w:t>
      </w:r>
      <w:r w:rsidRPr="001C1B82">
        <w:rPr>
          <w:szCs w:val="16"/>
          <w:vertAlign w:val="superscript"/>
        </w:rPr>
        <w:t>31</w:t>
      </w:r>
      <w:r>
        <w:fldChar w:fldCharType="begin"/>
      </w:r>
      <w:r>
        <w:instrText xml:space="preserve"> HYPERLINK "https://www.electoralcommission.org.uk/__data/assets/pdf_file/0010/244594/Digital-campaigning-improving-transparency-for-voters.pdf" </w:instrText>
      </w:r>
      <w:r>
        <w:fldChar w:fldCharType="separate"/>
      </w:r>
      <w:r w:rsidRPr="001C1B82">
        <w:rPr>
          <w:szCs w:val="16"/>
        </w:rPr>
        <w:t xml:space="preserve"> </w:t>
      </w:r>
      <w:r>
        <w:fldChar w:fldCharType="end"/>
      </w:r>
      <w:r>
        <w:fldChar w:fldCharType="begin"/>
      </w:r>
      <w:r>
        <w:instrText xml:space="preserve"> HYPERLINK "https://www.electoralcommission.org.uk/__data/assets/pdf_file/0010/244594/Digital-campaigning-improving-transparency-for-voters.pdf" </w:instrText>
      </w:r>
      <w:r>
        <w:fldChar w:fldCharType="separate"/>
      </w:r>
      <w:r w:rsidRPr="001C1B82">
        <w:rPr>
          <w:color w:val="0563C1"/>
          <w:szCs w:val="16"/>
          <w:u w:val="single" w:color="0563C1"/>
        </w:rPr>
        <w:t>https://www.electoralcommission.org.uk/__data/assets/pdf_file/0010/244594/Digital-campaigning</w:t>
      </w:r>
      <w:r>
        <w:fldChar w:fldCharType="end"/>
      </w:r>
      <w:r>
        <w:fldChar w:fldCharType="begin"/>
      </w:r>
      <w:r>
        <w:instrText xml:space="preserve"> HYPERLINK "https://www.electoralcommission.org.uk/__data/assets/pdf_file/0010/244594/Digital-campaigning-improving-transparency-for-voters.pdf" </w:instrText>
      </w:r>
      <w:r>
        <w:fldChar w:fldCharType="separate"/>
      </w:r>
      <w:r w:rsidRPr="001C1B82">
        <w:rPr>
          <w:color w:val="0563C1"/>
          <w:szCs w:val="16"/>
          <w:u w:val="single" w:color="0563C1"/>
        </w:rPr>
        <w:t>improving-transparency-for-voters.pdf</w:t>
      </w:r>
      <w:r>
        <w:fldChar w:fldCharType="end"/>
      </w:r>
      <w:r>
        <w:fldChar w:fldCharType="begin"/>
      </w:r>
      <w:r>
        <w:instrText xml:space="preserve"> HYPERLINK "https://www.electoralcommission.org.uk/__data/assets/pdf_file/0010/244594/Digital-campaigning-improving-transparency-for-voters.pdf" </w:instrText>
      </w:r>
      <w:r>
        <w:fldChar w:fldCharType="separate"/>
      </w:r>
      <w:r w:rsidRPr="001C1B82">
        <w:rPr>
          <w:szCs w:val="16"/>
        </w:rPr>
        <w:t xml:space="preserve"> </w:t>
      </w:r>
      <w:r>
        <w:fldChar w:fldCharType="end"/>
      </w:r>
      <w:r w:rsidRPr="001C1B82">
        <w:rPr>
          <w:szCs w:val="16"/>
        </w:rPr>
        <w:t xml:space="preserve"> </w:t>
      </w:r>
    </w:p>
  </w:footnote>
  <w:footnote w:id="203">
    <w:p w:rsidR="00673732" w:rsidRPr="001C1B82">
      <w:pPr>
        <w:pStyle w:val="footnotedescription"/>
        <w:spacing w:line="277" w:lineRule="auto"/>
        <w:rPr>
          <w:szCs w:val="16"/>
        </w:rPr>
      </w:pPr>
      <w:r w:rsidRPr="001C1B82">
        <w:rPr>
          <w:rStyle w:val="footnotemark"/>
          <w:szCs w:val="16"/>
        </w:rPr>
        <w:footnoteRef/>
      </w:r>
      <w:r w:rsidRPr="001C1B82">
        <w:rPr>
          <w:szCs w:val="16"/>
        </w:rPr>
        <w:t xml:space="preserve"> This can be measured, for example, by scrolling through and counting the number of ads per post on an Instagram account. </w:t>
      </w:r>
    </w:p>
  </w:footnote>
  <w:footnote w:id="204">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fldChar w:fldCharType="begin"/>
      </w:r>
      <w:r>
        <w:instrText xml:space="preserve"> HYPERLINK "https://privacyinternational.org/long-read/2967/ad-supported-internet-broken-inefficient-and-privacy-nightmare-lets-fix-it" </w:instrText>
      </w:r>
      <w:r>
        <w:fldChar w:fldCharType="separate"/>
      </w:r>
      <w:r w:rsidRPr="001C1B82">
        <w:rPr>
          <w:color w:val="0563C1"/>
          <w:szCs w:val="16"/>
          <w:u w:val="single" w:color="0563C1"/>
        </w:rPr>
        <w:t>https://privacyinternational.org/long-read/2967/ad-supported-internet-broken-inefficient-and-privacy</w:t>
      </w:r>
      <w:r>
        <w:fldChar w:fldCharType="end"/>
      </w:r>
      <w:r>
        <w:fldChar w:fldCharType="begin"/>
      </w:r>
      <w:r>
        <w:instrText xml:space="preserve"> HYPERLINK "https://privacyinternational.org/long-read/2967/ad-supported-internet-broken-inefficient-and-privacy-nightmare-lets-fix-it" </w:instrText>
      </w:r>
      <w:r>
        <w:fldChar w:fldCharType="separate"/>
      </w:r>
      <w:r w:rsidRPr="001C1B82">
        <w:rPr>
          <w:color w:val="0563C1"/>
          <w:szCs w:val="16"/>
          <w:u w:val="single" w:color="0563C1"/>
        </w:rPr>
        <w:t>nightmare-lets-fix-it</w:t>
      </w:r>
      <w:r>
        <w:fldChar w:fldCharType="end"/>
      </w:r>
      <w:r>
        <w:fldChar w:fldCharType="begin"/>
      </w:r>
      <w:r>
        <w:instrText xml:space="preserve"> HYPERLINK "https://privacyinternational.org/long-read/2967/ad-supported-internet-broken-inefficient-and-privacy-nightmare-lets-fix-it" </w:instrText>
      </w:r>
      <w:r>
        <w:fldChar w:fldCharType="separate"/>
      </w:r>
      <w:r w:rsidRPr="001C1B82">
        <w:rPr>
          <w:szCs w:val="16"/>
        </w:rPr>
        <w:t xml:space="preserve"> </w:t>
      </w:r>
      <w:r>
        <w:fldChar w:fldCharType="end"/>
      </w:r>
      <w:r w:rsidRPr="001C1B82">
        <w:rPr>
          <w:szCs w:val="16"/>
        </w:rPr>
        <w:t xml:space="preserve"> </w:t>
      </w:r>
    </w:p>
  </w:footnote>
  <w:footnote w:id="205">
    <w:p w:rsidR="00673732" w:rsidRPr="001C1B82">
      <w:pPr>
        <w:pStyle w:val="footnotedescription"/>
        <w:spacing w:line="245" w:lineRule="auto"/>
        <w:rPr>
          <w:szCs w:val="16"/>
        </w:rPr>
      </w:pPr>
      <w:r w:rsidRPr="001C1B82">
        <w:rPr>
          <w:rStyle w:val="footnotemark"/>
          <w:szCs w:val="16"/>
        </w:rPr>
        <w:footnoteRef/>
      </w:r>
      <w:r w:rsidRPr="001C1B82">
        <w:rPr>
          <w:szCs w:val="16"/>
        </w:rPr>
        <w:t xml:space="preserve"> </w:t>
      </w:r>
      <w:r>
        <w:fldChar w:fldCharType="begin"/>
      </w:r>
      <w:r>
        <w:instrText xml:space="preserve"> HYPERLINK "https://ico.org.uk/media/action-wevetaken/2259369/democracy-disrupted-110718.pdf" </w:instrText>
      </w:r>
      <w:r>
        <w:fldChar w:fldCharType="separate"/>
      </w:r>
      <w:r w:rsidRPr="001C1B82">
        <w:rPr>
          <w:color w:val="0563C1"/>
          <w:szCs w:val="16"/>
          <w:u w:val="single" w:color="0563C1"/>
        </w:rPr>
        <w:t>https://ico.org.uk/media/action-wevetaken/2259369/democracy-disrupted-110718.pdf</w:t>
      </w:r>
      <w:r>
        <w:fldChar w:fldCharType="end"/>
      </w:r>
      <w:r>
        <w:fldChar w:fldCharType="begin"/>
      </w:r>
      <w:r>
        <w:instrText xml:space="preserve"> HYPERLINK "https://ico.org.uk/media/action-wevetaken/2259369/democracy-disrupted-110718.pdf" </w:instrText>
      </w:r>
      <w:r>
        <w:fldChar w:fldCharType="separate"/>
      </w:r>
      <w:r w:rsidRPr="001C1B82">
        <w:rPr>
          <w:szCs w:val="16"/>
        </w:rPr>
        <w:t xml:space="preserve"> </w:t>
      </w:r>
      <w:r>
        <w:fldChar w:fldCharType="end"/>
      </w:r>
      <w:r w:rsidRPr="001C1B82">
        <w:rPr>
          <w:szCs w:val="16"/>
        </w:rPr>
        <w:t xml:space="preserve">; </w:t>
      </w:r>
      <w:r>
        <w:fldChar w:fldCharType="begin"/>
      </w:r>
      <w:r>
        <w:instrText xml:space="preserve"> HYPERLINK "https://ico.org.uk/media/action-weve-taken/2259371/investigation-into-data-analyticsfor-political-purposes-update.pdf" </w:instrText>
      </w:r>
      <w:r>
        <w:fldChar w:fldCharType="separate"/>
      </w:r>
      <w:r w:rsidRPr="001C1B82">
        <w:rPr>
          <w:color w:val="0563C1"/>
          <w:szCs w:val="16"/>
          <w:u w:val="single" w:color="0563C1"/>
        </w:rPr>
        <w:t>https://ico.org.uk/media/action-weve-taken/2259371/investigation-into-data-analyticsfor-political-purposes</w:t>
      </w:r>
      <w:r>
        <w:fldChar w:fldCharType="end"/>
      </w:r>
      <w:r>
        <w:fldChar w:fldCharType="begin"/>
      </w:r>
      <w:r>
        <w:instrText xml:space="preserve"> HYPERLINK "https://ico.org.uk/media/action-weve-taken/2259371/investigation-into-data-analyticsfor-political-purposes-update.pdf" </w:instrText>
      </w:r>
      <w:r>
        <w:fldChar w:fldCharType="separate"/>
      </w:r>
      <w:r w:rsidRPr="001C1B82">
        <w:rPr>
          <w:color w:val="0563C1"/>
          <w:szCs w:val="16"/>
          <w:u w:val="single" w:color="0563C1"/>
        </w:rPr>
        <w:t>update.pdf</w:t>
      </w:r>
      <w:r>
        <w:fldChar w:fldCharType="end"/>
      </w:r>
      <w:r>
        <w:fldChar w:fldCharType="begin"/>
      </w:r>
      <w:r>
        <w:instrText xml:space="preserve"> HYPERLINK "https://ico.org.uk/media/action-weve-taken/2259371/investigation-into-data-analyticsfor-political-purposes-update.pdf" </w:instrText>
      </w:r>
      <w:r>
        <w:fldChar w:fldCharType="separate"/>
      </w:r>
      <w:r w:rsidRPr="001C1B82">
        <w:rPr>
          <w:szCs w:val="16"/>
        </w:rPr>
        <w:t xml:space="preserve"> </w:t>
      </w:r>
      <w:r>
        <w:fldChar w:fldCharType="end"/>
      </w:r>
      <w:r w:rsidRPr="001C1B82">
        <w:rPr>
          <w:szCs w:val="16"/>
        </w:rPr>
        <w:t xml:space="preserve"> </w:t>
      </w:r>
    </w:p>
  </w:footnote>
  <w:footnote w:id="206">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fldChar w:fldCharType="begin"/>
      </w:r>
      <w:r>
        <w:instrText xml:space="preserve"> HYPERLINK "https://ico.org.uk/about-the-ico/news-and-events/news-and-blogs/2018/08/emma-s-diary-fined-140-000-for-selling-personal-information-for-political-campaigning" </w:instrText>
      </w:r>
      <w:r>
        <w:fldChar w:fldCharType="separate"/>
      </w:r>
      <w:r w:rsidRPr="001C1B82">
        <w:rPr>
          <w:color w:val="0563C1"/>
          <w:szCs w:val="16"/>
          <w:u w:val="single" w:color="0563C1"/>
        </w:rPr>
        <w:t>https://ico.org.uk/about-the-ico/news-and-events/news-and-blogs/2018/08/emma-s-diary-fined-140-000</w:t>
      </w:r>
      <w:r>
        <w:fldChar w:fldCharType="end"/>
      </w:r>
      <w:r>
        <w:fldChar w:fldCharType="begin"/>
      </w:r>
      <w:r>
        <w:instrText xml:space="preserve"> HYPERLINK "https://ico.org.uk/about-the-ico/news-and-events/news-and-blogs/2018/08/emma-s-diary-fined-140-000-for-selling-personal-information-for-political-campaigning" </w:instrText>
      </w:r>
      <w:r>
        <w:fldChar w:fldCharType="separate"/>
      </w:r>
      <w:r w:rsidRPr="001C1B82">
        <w:rPr>
          <w:color w:val="0563C1"/>
          <w:szCs w:val="16"/>
          <w:u w:val="single" w:color="0563C1"/>
        </w:rPr>
        <w:t>for-selling-personal-information-for-political-campaigning</w:t>
      </w:r>
      <w:r>
        <w:fldChar w:fldCharType="end"/>
      </w:r>
      <w:r>
        <w:fldChar w:fldCharType="begin"/>
      </w:r>
      <w:r>
        <w:instrText xml:space="preserve"> HYPERLINK "https://ico.org.uk/about-the-ico/news-and-events/news-and-blogs/2018/08/emma-s-diary-fined-140-000-for-selling-personal-information-for-political-campaigning" </w:instrText>
      </w:r>
      <w:r>
        <w:fldChar w:fldCharType="separate"/>
      </w:r>
      <w:r w:rsidRPr="001C1B82">
        <w:rPr>
          <w:szCs w:val="16"/>
        </w:rPr>
        <w:t xml:space="preserve"> </w:t>
      </w:r>
      <w:r>
        <w:fldChar w:fldCharType="end"/>
      </w:r>
      <w:r w:rsidRPr="001C1B82">
        <w:rPr>
          <w:szCs w:val="16"/>
        </w:rPr>
        <w:t xml:space="preserve"> </w:t>
      </w:r>
    </w:p>
  </w:footnote>
  <w:footnote w:id="207">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Here are just a few collated by Privacy International: </w:t>
      </w:r>
      <w:r>
        <w:fldChar w:fldCharType="begin"/>
      </w:r>
      <w:r>
        <w:instrText xml:space="preserve"> HYPERLINK "https://privacyinternational.org/examples/political-advertising" </w:instrText>
      </w:r>
      <w:r>
        <w:fldChar w:fldCharType="separate"/>
      </w:r>
      <w:r w:rsidRPr="001C1B82">
        <w:rPr>
          <w:color w:val="0563C1"/>
          <w:szCs w:val="16"/>
          <w:u w:val="single" w:color="0563C1"/>
        </w:rPr>
        <w:t>https://privacyinternational.org/examples/political</w:t>
      </w:r>
      <w:r>
        <w:fldChar w:fldCharType="end"/>
      </w:r>
      <w:r>
        <w:fldChar w:fldCharType="begin"/>
      </w:r>
      <w:r>
        <w:instrText xml:space="preserve"> HYPERLINK "https://privacyinternational.org/examples/political-advertising" </w:instrText>
      </w:r>
      <w:r>
        <w:fldChar w:fldCharType="separate"/>
      </w:r>
      <w:r w:rsidRPr="001C1B82">
        <w:rPr>
          <w:color w:val="0563C1"/>
          <w:szCs w:val="16"/>
          <w:u w:val="single" w:color="0563C1"/>
        </w:rPr>
        <w:t>advertising</w:t>
      </w:r>
      <w:r>
        <w:fldChar w:fldCharType="end"/>
      </w:r>
      <w:r>
        <w:fldChar w:fldCharType="begin"/>
      </w:r>
      <w:r>
        <w:instrText xml:space="preserve"> HYPERLINK "https://privacyinternational.org/examples/political-advertising" </w:instrText>
      </w:r>
      <w:r>
        <w:fldChar w:fldCharType="separate"/>
      </w:r>
      <w:r w:rsidRPr="001C1B82">
        <w:rPr>
          <w:szCs w:val="16"/>
        </w:rPr>
        <w:t xml:space="preserve"> </w:t>
      </w:r>
      <w:r>
        <w:fldChar w:fldCharType="end"/>
      </w:r>
      <w:r w:rsidRPr="001C1B82">
        <w:rPr>
          <w:szCs w:val="16"/>
        </w:rPr>
        <w:t xml:space="preserve"> </w:t>
      </w:r>
    </w:p>
  </w:footnote>
  <w:footnote w:id="208">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fldChar w:fldCharType="begin"/>
      </w:r>
      <w:r>
        <w:instrText xml:space="preserve"> HYPERLINK "https://privacyinternational.org/press-release/2032/privacy-international-asks-major-uk-political-parties-commit-not-using-legal" </w:instrText>
      </w:r>
      <w:r>
        <w:fldChar w:fldCharType="separate"/>
      </w:r>
      <w:r w:rsidRPr="001C1B82">
        <w:rPr>
          <w:color w:val="0563C1"/>
          <w:szCs w:val="16"/>
          <w:u w:val="single" w:color="0563C1"/>
        </w:rPr>
        <w:t>https://privacyinternational.org/press-release/2032/privacy-international-asks-major-uk-political-parties</w:t>
      </w:r>
      <w:r>
        <w:fldChar w:fldCharType="end"/>
      </w:r>
      <w:r>
        <w:fldChar w:fldCharType="begin"/>
      </w:r>
      <w:r>
        <w:instrText xml:space="preserve"> HYPERLINK "https://privacyinternational.org/press-release/2032/privacy-international-asks-major-uk-political-parties-commit-not-using-legal" </w:instrText>
      </w:r>
      <w:r>
        <w:fldChar w:fldCharType="separate"/>
      </w:r>
      <w:r w:rsidRPr="001C1B82">
        <w:rPr>
          <w:color w:val="0563C1"/>
          <w:szCs w:val="16"/>
          <w:u w:val="single" w:color="0563C1"/>
        </w:rPr>
        <w:t>commit-not-using-legal</w:t>
      </w:r>
      <w:r>
        <w:fldChar w:fldCharType="end"/>
      </w:r>
      <w:r>
        <w:fldChar w:fldCharType="begin"/>
      </w:r>
      <w:r>
        <w:instrText xml:space="preserve"> HYPERLINK "https://privacyinternational.org/press-release/2032/privacy-international-asks-major-uk-political-parties-commit-not-using-legal" </w:instrText>
      </w:r>
      <w:r>
        <w:fldChar w:fldCharType="separate"/>
      </w:r>
      <w:r w:rsidRPr="001C1B82">
        <w:rPr>
          <w:szCs w:val="16"/>
        </w:rPr>
        <w:t xml:space="preserve"> </w:t>
      </w:r>
      <w:r>
        <w:fldChar w:fldCharType="end"/>
      </w:r>
    </w:p>
  </w:footnote>
  <w:footnote w:id="209">
    <w:p w:rsidR="00673732" w:rsidRPr="001C1B82">
      <w:pPr>
        <w:pStyle w:val="footnotedescription"/>
        <w:spacing w:line="264" w:lineRule="auto"/>
        <w:rPr>
          <w:szCs w:val="16"/>
        </w:rPr>
      </w:pPr>
      <w:r w:rsidRPr="001C1B82">
        <w:rPr>
          <w:rStyle w:val="footnotemark"/>
          <w:szCs w:val="16"/>
        </w:rPr>
        <w:footnoteRef/>
      </w:r>
      <w:r w:rsidRPr="001C1B82">
        <w:rPr>
          <w:szCs w:val="16"/>
        </w:rPr>
        <w:t xml:space="preserve"> </w:t>
      </w:r>
      <w:r>
        <w:fldChar w:fldCharType="begin"/>
      </w:r>
      <w:r>
        <w:instrText xml:space="preserve"> HYPERLINK "https://www.tribunalconstitucional.es/NotasDePrensaDocumentos/NP_2019_076/Press%20Release%20No.%2076.2019.pdf" </w:instrText>
      </w:r>
      <w:r>
        <w:fldChar w:fldCharType="separate"/>
      </w:r>
      <w:r w:rsidRPr="001C1B82">
        <w:rPr>
          <w:color w:val="0563C1"/>
          <w:szCs w:val="16"/>
          <w:u w:val="single" w:color="0563C1"/>
        </w:rPr>
        <w:t xml:space="preserve">https://www.tribunalconstitucional.es/NotasDePrensaDocumentos/NP_2019_076/Press%20Release%20No.% </w:t>
      </w:r>
      <w:r>
        <w:fldChar w:fldCharType="end"/>
      </w:r>
      <w:r>
        <w:fldChar w:fldCharType="begin"/>
      </w:r>
      <w:r>
        <w:instrText xml:space="preserve"> HYPERLINK "https://www.tribunalconstitucional.es/NotasDePrensaDocumentos/NP_2019_076/Press%20Release%20No.%2076.2019.pdf" </w:instrText>
      </w:r>
      <w:r>
        <w:fldChar w:fldCharType="separate"/>
      </w:r>
      <w:r w:rsidRPr="001C1B82">
        <w:rPr>
          <w:color w:val="0563C1"/>
          <w:szCs w:val="16"/>
          <w:u w:val="single" w:color="0563C1"/>
        </w:rPr>
        <w:t>2076.2019.pdf</w:t>
      </w:r>
      <w:r>
        <w:fldChar w:fldCharType="end"/>
      </w:r>
      <w:r>
        <w:fldChar w:fldCharType="begin"/>
      </w:r>
      <w:r>
        <w:instrText xml:space="preserve"> HYPERLINK "https://www.tribunalconstitucional.es/NotasDePrensaDocumentos/NP_2019_076/Press%20Release%20No.%2076.2019.pdf" </w:instrText>
      </w:r>
      <w:r>
        <w:fldChar w:fldCharType="separate"/>
      </w:r>
      <w:r w:rsidRPr="001C1B82">
        <w:rPr>
          <w:color w:val="DCA10D"/>
          <w:szCs w:val="16"/>
        </w:rPr>
        <w:t xml:space="preserve"> </w:t>
      </w:r>
      <w:r>
        <w:fldChar w:fldCharType="end"/>
      </w:r>
      <w:r w:rsidRPr="001C1B82">
        <w:rPr>
          <w:szCs w:val="16"/>
        </w:rPr>
        <w:t xml:space="preserve"> </w:t>
      </w:r>
    </w:p>
  </w:footnote>
  <w:footnote w:id="210">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fldChar w:fldCharType="begin"/>
      </w:r>
      <w:r>
        <w:instrText xml:space="preserve"> HYPERLINK "https://privacyinternational.org/news/2735/romanian-ngo-files-complaint-european-commission-national-implementation-gdpr" </w:instrText>
      </w:r>
      <w:r>
        <w:fldChar w:fldCharType="separate"/>
      </w:r>
      <w:r w:rsidRPr="001C1B82">
        <w:rPr>
          <w:color w:val="0563C1"/>
          <w:szCs w:val="16"/>
          <w:u w:val="single" w:color="0563C1"/>
        </w:rPr>
        <w:t>https://privacyinternational.org/news/2735/romanian-ngo-files-complaint-european-commission-national</w:t>
      </w:r>
      <w:r>
        <w:fldChar w:fldCharType="end"/>
      </w:r>
      <w:r>
        <w:fldChar w:fldCharType="begin"/>
      </w:r>
      <w:r>
        <w:instrText xml:space="preserve"> HYPERLINK "https://privacyinternational.org/news/2735/romanian-ngo-files-complaint-european-commission-national-implementation-gdpr" </w:instrText>
      </w:r>
      <w:r>
        <w:fldChar w:fldCharType="separate"/>
      </w:r>
      <w:r w:rsidRPr="001C1B82">
        <w:rPr>
          <w:color w:val="0563C1"/>
          <w:szCs w:val="16"/>
          <w:u w:val="single" w:color="0563C1"/>
        </w:rPr>
        <w:t>implementation-gdpr</w:t>
      </w:r>
      <w:r>
        <w:fldChar w:fldCharType="end"/>
      </w:r>
      <w:r>
        <w:fldChar w:fldCharType="begin"/>
      </w:r>
      <w:r>
        <w:instrText xml:space="preserve"> HYPERLINK "https://privacyinternational.org/news/2735/romanian-ngo-files-complaint-european-commission-national-implementation-gdpr" </w:instrText>
      </w:r>
      <w:r>
        <w:fldChar w:fldCharType="separate"/>
      </w:r>
      <w:r w:rsidRPr="001C1B82">
        <w:rPr>
          <w:szCs w:val="16"/>
        </w:rPr>
        <w:t xml:space="preserve"> </w:t>
      </w:r>
      <w:r>
        <w:fldChar w:fldCharType="end"/>
      </w:r>
      <w:r w:rsidRPr="001C1B82">
        <w:rPr>
          <w:szCs w:val="16"/>
        </w:rPr>
        <w:t xml:space="preserve">  </w:t>
      </w:r>
    </w:p>
  </w:footnote>
  <w:footnote w:id="211">
    <w:p w:rsidR="00673732" w:rsidRPr="001C1B82">
      <w:pPr>
        <w:pStyle w:val="footnotedescription"/>
        <w:spacing w:line="251" w:lineRule="auto"/>
        <w:rPr>
          <w:szCs w:val="16"/>
        </w:rPr>
      </w:pPr>
      <w:r w:rsidRPr="001C1B82">
        <w:rPr>
          <w:rStyle w:val="footnotemark"/>
          <w:szCs w:val="16"/>
        </w:rPr>
        <w:footnoteRef/>
      </w:r>
      <w:r w:rsidRPr="001C1B82">
        <w:rPr>
          <w:szCs w:val="16"/>
        </w:rPr>
        <w:t xml:space="preserve"> </w:t>
      </w:r>
      <w:r>
        <w:fldChar w:fldCharType="begin"/>
      </w:r>
      <w:r>
        <w:instrText xml:space="preserve"> HYPERLINK "https://www.ohchr.org/EN/HRBodies/HRC/RegularSessions/Session29/_layouts/15/WopiFrame.aspx?sourcedoc=%2FEN%2FHRBodies%2FHRC%2FRegularSessions%2FSession29%2FDocuments%2FA.HRC.29.32_AEV.doc&amp;action=interactivepreview" </w:instrText>
      </w:r>
      <w:r>
        <w:fldChar w:fldCharType="separate"/>
      </w:r>
      <w:r w:rsidRPr="001C1B82">
        <w:rPr>
          <w:color w:val="0563C1"/>
          <w:szCs w:val="16"/>
          <w:u w:val="single" w:color="0563C1"/>
        </w:rPr>
        <w:t xml:space="preserve">https://www.ohchr.org/EN/HRBodies/HRC/RegularSessions/Session29/_layouts/15/WopiFrame.aspx?sourced </w:t>
      </w:r>
      <w:r>
        <w:fldChar w:fldCharType="end"/>
      </w:r>
      <w:r>
        <w:fldChar w:fldCharType="begin"/>
      </w:r>
      <w:r>
        <w:instrText xml:space="preserve"> HYPERLINK "https://www.ohchr.org/EN/HRBodies/HRC/RegularSessions/Session29/_layouts/15/WopiFrame.aspx?sourcedoc=%2FEN%2FHRBodies%2FHRC%2FRegularSessions%2FSession29%2FDocuments%2FA.HRC.29.32_AEV.doc&amp;action=interactivepreview" </w:instrText>
      </w:r>
      <w:r>
        <w:fldChar w:fldCharType="separate"/>
      </w:r>
      <w:r w:rsidRPr="001C1B82">
        <w:rPr>
          <w:color w:val="0563C1"/>
          <w:szCs w:val="16"/>
          <w:u w:val="single" w:color="0563C1"/>
        </w:rPr>
        <w:t xml:space="preserve">oc=%2FEN%2FHRBodies%2FHRC%2FRegularSessions%2FSession29%2FDocuments%2FA.HRC.29.32_AEV.do </w:t>
      </w:r>
      <w:r>
        <w:fldChar w:fldCharType="end"/>
      </w:r>
      <w:r>
        <w:fldChar w:fldCharType="begin"/>
      </w:r>
      <w:r>
        <w:instrText xml:space="preserve"> HYPERLINK "https://www.ohchr.org/EN/HRBodies/HRC/RegularSessions/Session29/_layouts/15/WopiFrame.aspx?sourcedoc=%2FEN%2FHRBodies%2FHRC%2FRegularSessions%2FSession29%2FDocuments%2FA.HRC.29.32_AEV.doc&amp;action=interactivepreview" </w:instrText>
      </w:r>
      <w:r>
        <w:fldChar w:fldCharType="separate"/>
      </w:r>
      <w:r w:rsidRPr="001C1B82">
        <w:rPr>
          <w:color w:val="0563C1"/>
          <w:szCs w:val="16"/>
          <w:u w:val="single" w:color="0563C1"/>
        </w:rPr>
        <w:t>c&amp;action=interactivepreview</w:t>
      </w:r>
      <w:r>
        <w:fldChar w:fldCharType="end"/>
      </w:r>
      <w:r>
        <w:fldChar w:fldCharType="begin"/>
      </w:r>
      <w:r>
        <w:instrText xml:space="preserve"> HYPERLINK "https://www.ohchr.org/EN/HRBodies/HRC/RegularSessions/Session29/_layouts/15/WopiFrame.aspx?sourcedoc=%2FEN%2FHRBodies%2FHRC%2FRegularSessions%2FSession29%2FDocuments%2FA.HRC.29.32_AEV.doc&amp;action=interactivepreview" </w:instrText>
      </w:r>
      <w:r>
        <w:fldChar w:fldCharType="separate"/>
      </w:r>
      <w:r w:rsidRPr="001C1B82">
        <w:rPr>
          <w:szCs w:val="16"/>
        </w:rPr>
        <w:t xml:space="preserve"> </w:t>
      </w:r>
      <w:r>
        <w:fldChar w:fldCharType="end"/>
      </w:r>
      <w:r w:rsidRPr="001C1B82">
        <w:rPr>
          <w:szCs w:val="16"/>
        </w:rPr>
        <w:t xml:space="preserve"> </w:t>
      </w:r>
    </w:p>
  </w:footnote>
  <w:footnote w:id="212">
    <w:p w:rsidR="00673732" w:rsidRPr="001C1B82">
      <w:pPr>
        <w:pStyle w:val="footnotedescription"/>
        <w:spacing w:line="245" w:lineRule="auto"/>
        <w:jc w:val="both"/>
        <w:rPr>
          <w:szCs w:val="16"/>
        </w:rPr>
      </w:pPr>
      <w:r w:rsidRPr="001C1B82">
        <w:rPr>
          <w:rStyle w:val="footnotemark"/>
          <w:szCs w:val="16"/>
        </w:rPr>
        <w:footnoteRef/>
      </w:r>
      <w:r w:rsidRPr="001C1B82">
        <w:rPr>
          <w:szCs w:val="16"/>
        </w:rPr>
        <w:t xml:space="preserve"> </w:t>
      </w:r>
      <w:r>
        <w:fldChar w:fldCharType="begin"/>
      </w:r>
      <w:r>
        <w:instrText xml:space="preserve"> HYPERLINK "https://www.ohchr.org/Documents/Issues/PublicAffairs/GuidelinesRightParticipatePublicAffairs_web.pdf" </w:instrText>
      </w:r>
      <w:r>
        <w:fldChar w:fldCharType="separate"/>
      </w:r>
      <w:r w:rsidRPr="001C1B82">
        <w:rPr>
          <w:color w:val="0563C1"/>
          <w:szCs w:val="16"/>
          <w:u w:val="single" w:color="0563C1"/>
        </w:rPr>
        <w:t>https://www.ohchr.org/Documents/Issues/PublicAffairs/GuidelinesRightParticipatePublicAffairs_web.pdf</w:t>
      </w:r>
      <w:r>
        <w:fldChar w:fldCharType="end"/>
      </w:r>
      <w:r>
        <w:fldChar w:fldCharType="begin"/>
      </w:r>
      <w:r>
        <w:instrText xml:space="preserve"> HYPERLINK "https://www.ohchr.org/Documents/Issues/PublicAffairs/GuidelinesRightParticipatePublicAffairs_web.pdf" </w:instrText>
      </w:r>
      <w:r>
        <w:fldChar w:fldCharType="separate"/>
      </w:r>
      <w:r w:rsidRPr="001C1B82">
        <w:rPr>
          <w:szCs w:val="16"/>
        </w:rPr>
        <w:t xml:space="preserve"> </w:t>
      </w:r>
      <w:r>
        <w:fldChar w:fldCharType="end"/>
      </w:r>
      <w:r w:rsidRPr="001C1B82">
        <w:rPr>
          <w:szCs w:val="16"/>
          <w:vertAlign w:val="superscript"/>
        </w:rPr>
        <w:t>42</w:t>
      </w:r>
      <w:r w:rsidRPr="001C1B82">
        <w:rPr>
          <w:szCs w:val="16"/>
        </w:rPr>
        <w:t xml:space="preserve"> Human Rights Committee, General Comment No. 25: The Right to Participate in Public Affairs, Voting Rights and the Right of Equal Access to Public Service (Art. 25), vol. CCPR/C/21/Rev.1/Add.7, 12 July 1996. </w:t>
      </w:r>
      <w:r w:rsidRPr="001C1B82">
        <w:rPr>
          <w:szCs w:val="16"/>
          <w:vertAlign w:val="superscript"/>
        </w:rPr>
        <w:t>43</w:t>
      </w:r>
      <w:r w:rsidRPr="001C1B82">
        <w:rPr>
          <w:szCs w:val="16"/>
        </w:rPr>
        <w:t xml:space="preserve"> Report of the UN Special Rapporteur on freedom of expression, UN Doc. A/HRC/29/32. </w:t>
      </w:r>
    </w:p>
  </w:footnote>
  <w:footnote w:id="213">
    <w:p w:rsidR="00673732" w:rsidRPr="001C1B82">
      <w:pPr>
        <w:pStyle w:val="footnotedescription"/>
        <w:spacing w:line="258" w:lineRule="auto"/>
        <w:jc w:val="both"/>
        <w:rPr>
          <w:szCs w:val="16"/>
        </w:rPr>
      </w:pPr>
      <w:r w:rsidRPr="001C1B82">
        <w:rPr>
          <w:rStyle w:val="footnotemark"/>
          <w:szCs w:val="16"/>
        </w:rPr>
        <w:footnoteRef/>
      </w:r>
      <w:r w:rsidRPr="001C1B82">
        <w:rPr>
          <w:szCs w:val="16"/>
        </w:rPr>
        <w:t xml:space="preserve"> </w:t>
      </w:r>
      <w:r>
        <w:fldChar w:fldCharType="begin"/>
      </w:r>
      <w:r>
        <w:instrText xml:space="preserve"> HYPERLINK "https://privacyinternational.org/long-read/3207/how-difficult-it-understand-why-youre-seeing-political-ad-social-media" </w:instrText>
      </w:r>
      <w:r>
        <w:fldChar w:fldCharType="separate"/>
      </w:r>
      <w:r w:rsidRPr="001C1B82">
        <w:rPr>
          <w:color w:val="0563C1"/>
          <w:szCs w:val="16"/>
          <w:u w:val="single" w:color="0563C1"/>
        </w:rPr>
        <w:t>https://privacyinternational.org/long-read/3207/how-difficult-it-understand-why-youre-seeing-political-ad</w:t>
      </w:r>
      <w:r>
        <w:fldChar w:fldCharType="end"/>
      </w:r>
      <w:r>
        <w:fldChar w:fldCharType="begin"/>
      </w:r>
      <w:r>
        <w:instrText xml:space="preserve"> HYPERLINK "https://privacyinternational.org/long-read/3207/how-difficult-it-understand-why-youre-seeing-political-ad-social-media" </w:instrText>
      </w:r>
      <w:r>
        <w:fldChar w:fldCharType="separate"/>
      </w:r>
      <w:r w:rsidRPr="001C1B82">
        <w:rPr>
          <w:color w:val="0563C1"/>
          <w:szCs w:val="16"/>
          <w:u w:val="single" w:color="0563C1"/>
        </w:rPr>
        <w:t>social-media</w:t>
      </w:r>
      <w:r>
        <w:fldChar w:fldCharType="end"/>
      </w:r>
      <w:r>
        <w:fldChar w:fldCharType="begin"/>
      </w:r>
      <w:r>
        <w:instrText xml:space="preserve"> HYPERLINK "https://privacyinternational.org/long-read/3207/how-difficult-it-understand-why-youre-seeing-political-ad-social-media" </w:instrText>
      </w:r>
      <w:r>
        <w:fldChar w:fldCharType="separate"/>
      </w:r>
      <w:r w:rsidRPr="001C1B82">
        <w:rPr>
          <w:szCs w:val="16"/>
        </w:rPr>
        <w:t xml:space="preserve"> </w:t>
      </w:r>
      <w:r>
        <w:fldChar w:fldCharType="end"/>
      </w:r>
      <w:r w:rsidRPr="001C1B82">
        <w:rPr>
          <w:szCs w:val="16"/>
        </w:rPr>
        <w:t xml:space="preserve"> </w:t>
      </w:r>
    </w:p>
  </w:footnote>
  <w:footnote w:id="214">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"https://www.gov.uk/government/collections/police-super-complaints" </w:instrText>
      </w:r>
      <w:r>
        <w:fldChar w:fldCharType="separate"/>
      </w:r>
      <w:r w:rsidRPr="001C1B82">
        <w:rPr>
          <w:color w:val="0563C1"/>
          <w:szCs w:val="16"/>
          <w:u w:val="single" w:color="0563C1"/>
        </w:rPr>
        <w:t>https://www.gov.uk/government/collections/police-super-complaints</w:t>
      </w:r>
      <w:r>
        <w:fldChar w:fldCharType="end"/>
      </w:r>
      <w:r>
        <w:fldChar w:fldCharType="begin"/>
      </w:r>
      <w:r>
        <w:instrText xml:space="preserve"> HYPERLINK "https://www.gov.uk/government/collections/police-super-complaints" </w:instrText>
      </w:r>
      <w:r>
        <w:fldChar w:fldCharType="separate"/>
      </w:r>
      <w:r w:rsidRPr="001C1B82">
        <w:rPr>
          <w:szCs w:val="16"/>
        </w:rPr>
        <w:t xml:space="preserve"> </w:t>
      </w:r>
      <w:r>
        <w:fldChar w:fldCharType="end"/>
      </w:r>
    </w:p>
  </w:footnote>
  <w:footnote w:id="215">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fldChar w:fldCharType="begin"/>
      </w:r>
      <w:r>
        <w:instrText xml:space="preserve"> HYPERLINK "https://www.gov.uk/government/publications/police-data-sharing-for-immigration-purposes-a-super-complaint" </w:instrText>
      </w:r>
      <w:r>
        <w:fldChar w:fldCharType="separate"/>
      </w:r>
      <w:r w:rsidRPr="001C1B82">
        <w:rPr>
          <w:color w:val="0563C1"/>
          <w:szCs w:val="16"/>
          <w:u w:val="single" w:color="0563C1"/>
        </w:rPr>
        <w:t>https://www.gov.uk/government/publications/police-data-sharing-for-immigration-purposes-a-super</w:t>
      </w:r>
      <w:r>
        <w:fldChar w:fldCharType="end"/>
      </w:r>
      <w:r>
        <w:fldChar w:fldCharType="begin"/>
      </w:r>
      <w:r>
        <w:instrText xml:space="preserve"> HYPERLINK "https://www.gov.uk/government/publications/police-data-sharing-for-immigration-purposes-a-super-complaint" </w:instrText>
      </w:r>
      <w:r>
        <w:fldChar w:fldCharType="separate"/>
      </w:r>
      <w:r w:rsidRPr="001C1B82">
        <w:rPr>
          <w:color w:val="0563C1"/>
          <w:szCs w:val="16"/>
          <w:u w:val="single" w:color="0563C1"/>
        </w:rPr>
        <w:t>complaint</w:t>
      </w:r>
      <w:r>
        <w:fldChar w:fldCharType="end"/>
      </w:r>
      <w:r>
        <w:fldChar w:fldCharType="begin"/>
      </w:r>
      <w:r>
        <w:instrText xml:space="preserve"> HYPERLINK "https://www.gov.uk/government/publications/police-data-sharing-for-immigration-purposes-a-super-complaint" </w:instrText>
      </w:r>
      <w:r>
        <w:fldChar w:fldCharType="separate"/>
      </w:r>
      <w:r w:rsidRPr="001C1B82">
        <w:rPr>
          <w:szCs w:val="16"/>
        </w:rPr>
        <w:t xml:space="preserve"> </w:t>
      </w:r>
      <w:r>
        <w:fldChar w:fldCharType="end"/>
      </w:r>
      <w:r w:rsidRPr="001C1B82">
        <w:rPr>
          <w:szCs w:val="16"/>
        </w:rPr>
        <w:t xml:space="preserve"> </w:t>
      </w:r>
    </w:p>
  </w:footnote>
  <w:footnote w:id="216">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fldChar w:fldCharType="begin"/>
      </w:r>
      <w:r>
        <w:instrText xml:space="preserve"> HYPERLINK "https://edps.europa.eu/press-publications/press-news/blog/civil-society-organisations-natural-allies-data-protection_en" </w:instrText>
      </w:r>
      <w:r>
        <w:fldChar w:fldCharType="separate"/>
      </w:r>
      <w:r w:rsidRPr="001C1B82">
        <w:rPr>
          <w:color w:val="0563C1"/>
          <w:szCs w:val="16"/>
          <w:u w:val="single" w:color="0563C1"/>
        </w:rPr>
        <w:t>https://edps.europa.eu/press-publications/press-news/blog/civil-society-organisations-natural-allies-data</w:t>
      </w:r>
      <w:r>
        <w:fldChar w:fldCharType="end"/>
      </w:r>
      <w:r>
        <w:fldChar w:fldCharType="begin"/>
      </w:r>
      <w:r>
        <w:instrText xml:space="preserve"> HYPERLINK "https://edps.europa.eu/press-publications/press-news/blog/civil-society-organisations-natural-allies-data-protection_en" </w:instrText>
      </w:r>
      <w:r>
        <w:fldChar w:fldCharType="separate"/>
      </w:r>
      <w:r w:rsidRPr="001C1B82">
        <w:rPr>
          <w:color w:val="0563C1"/>
          <w:szCs w:val="16"/>
          <w:u w:val="single" w:color="0563C1"/>
        </w:rPr>
        <w:t>protection_en</w:t>
      </w:r>
      <w:r>
        <w:fldChar w:fldCharType="end"/>
      </w:r>
      <w:r>
        <w:fldChar w:fldCharType="begin"/>
      </w:r>
      <w:r>
        <w:instrText xml:space="preserve"> HYPERLINK "https://edps.europa.eu/press-publications/press-news/blog/civil-society-organisations-natural-allies-data-protection_en" </w:instrText>
      </w:r>
      <w:r>
        <w:fldChar w:fldCharType="separate"/>
      </w:r>
      <w:r w:rsidRPr="001C1B82">
        <w:rPr>
          <w:szCs w:val="16"/>
        </w:rPr>
        <w:t xml:space="preserve"> </w:t>
      </w:r>
      <w:r>
        <w:fldChar w:fldCharType="end"/>
      </w:r>
    </w:p>
  </w:footnote>
  <w:footnote w:id="217">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"https://privacyinternational.org/blog/1050/why-we-need-collective-redress-data-protection" </w:instrText>
      </w:r>
      <w:r>
        <w:fldChar w:fldCharType="separate"/>
      </w:r>
      <w:r w:rsidRPr="001C1B82">
        <w:rPr>
          <w:color w:val="0563C1"/>
          <w:szCs w:val="16"/>
          <w:u w:val="single" w:color="0563C1"/>
        </w:rPr>
        <w:t>https://privacyinternational.org/blog/1050/why-we-need-collective-redress-data-protection</w:t>
      </w:r>
      <w:r>
        <w:fldChar w:fldCharType="end"/>
      </w:r>
      <w:r>
        <w:fldChar w:fldCharType="begin"/>
      </w:r>
      <w:r>
        <w:instrText xml:space="preserve"> HYPERLINK "https://privacyinternational.org/blog/1050/why-we-need-collective-redress-data-protection" </w:instrText>
      </w:r>
      <w:r>
        <w:fldChar w:fldCharType="separate"/>
      </w:r>
      <w:r w:rsidRPr="001C1B82">
        <w:rPr>
          <w:szCs w:val="16"/>
        </w:rPr>
        <w:t xml:space="preserve"> </w:t>
      </w:r>
      <w:r>
        <w:fldChar w:fldCharType="end"/>
      </w:r>
      <w:r w:rsidRPr="001C1B82">
        <w:rPr>
          <w:szCs w:val="16"/>
        </w:rPr>
        <w:t xml:space="preserve"> </w:t>
      </w:r>
    </w:p>
  </w:footnote>
  <w:footnote w:id="218">
    <w:p w:rsidR="00673732" w:rsidRPr="001C1B82">
      <w:pPr>
        <w:pStyle w:val="footnotedescription"/>
        <w:spacing w:line="257" w:lineRule="auto"/>
        <w:ind w:left="1"/>
        <w:jc w:val="both"/>
        <w:rPr>
          <w:szCs w:val="16"/>
        </w:rPr>
      </w:pPr>
      <w:r w:rsidRPr="001C1B82">
        <w:rPr>
          <w:rStyle w:val="footnotemark"/>
          <w:szCs w:val="16"/>
        </w:rPr>
        <w:footnoteRef/>
      </w:r>
      <w:r w:rsidRPr="001C1B82">
        <w:rPr>
          <w:szCs w:val="16"/>
        </w:rPr>
        <w:t xml:space="preserve"> </w:t>
      </w:r>
      <w:r>
        <w:fldChar w:fldCharType="begin"/>
      </w:r>
      <w:r>
        <w:instrText xml:space="preserve"> HYPERLINK "https://www.ofcom.org.uk/tv-radio-and-on-demand/broadcast-codes/broadcast-code/section-six-elections-referendums" </w:instrText>
      </w:r>
      <w:r>
        <w:fldChar w:fldCharType="separate"/>
      </w:r>
      <w:r w:rsidRPr="001C1B82">
        <w:rPr>
          <w:szCs w:val="16"/>
          <w:u w:val="single" w:color="000000"/>
        </w:rPr>
        <w:t>https://www.ofcom.org.uk/tv-radio-and-on-demand/broadcast-codes/broadcast-code/section-six-elections</w:t>
      </w:r>
      <w:r>
        <w:fldChar w:fldCharType="end"/>
      </w:r>
      <w:r>
        <w:fldChar w:fldCharType="begin"/>
      </w:r>
      <w:r>
        <w:instrText xml:space="preserve"> HYPERLINK "https://www.ofcom.org.uk/tv-radio-and-on-demand/broadcast-codes/broadcast-code/section-six-elections-referendums" </w:instrText>
      </w:r>
      <w:r>
        <w:fldChar w:fldCharType="separate"/>
      </w:r>
      <w:r w:rsidRPr="001C1B82">
        <w:rPr>
          <w:szCs w:val="16"/>
          <w:u w:val="single" w:color="000000"/>
        </w:rPr>
        <w:t>referendums</w:t>
      </w:r>
      <w:r>
        <w:fldChar w:fldCharType="end"/>
      </w:r>
      <w:r>
        <w:fldChar w:fldCharType="begin"/>
      </w:r>
      <w:r>
        <w:instrText xml:space="preserve"> HYPERLINK "https://www.ofcom.org.uk/tv-radio-and-on-demand/broadcast-codes/broadcast-code/section-six-elections-referendums" </w:instrText>
      </w:r>
      <w:r>
        <w:fldChar w:fldCharType="separate"/>
      </w:r>
      <w:r w:rsidRPr="001C1B82">
        <w:rPr>
          <w:szCs w:val="16"/>
        </w:rPr>
        <w:t xml:space="preserve"> </w:t>
      </w:r>
      <w:r>
        <w:fldChar w:fldCharType="end"/>
      </w:r>
    </w:p>
  </w:footnote>
  <w:footnote w:id="219">
    <w:p w:rsidR="00673732" w:rsidRPr="001C1B82">
      <w:pPr>
        <w:pStyle w:val="footnotedescription"/>
        <w:ind w:left="1"/>
        <w:rPr>
          <w:szCs w:val="16"/>
        </w:rPr>
      </w:pPr>
      <w:r w:rsidRPr="001C1B82">
        <w:rPr>
          <w:rStyle w:val="footnotemark"/>
          <w:szCs w:val="16"/>
        </w:rPr>
        <w:footnoteRef/>
      </w:r>
      <w:r w:rsidRPr="001C1B82">
        <w:rPr>
          <w:szCs w:val="16"/>
        </w:rPr>
        <w:t xml:space="preserve"> </w:t>
      </w:r>
      <w:r>
        <w:fldChar w:fldCharType="begin"/>
      </w:r>
      <w:r>
        <w:instrText xml:space="preserve"> HYPERLINK "https://www.ofcom.org.uk/__data/assets/pdf_file/0014/132080/Broadcast-Code-Section-5.pdf" </w:instrText>
      </w:r>
      <w:r>
        <w:fldChar w:fldCharType="separate"/>
      </w:r>
      <w:r w:rsidRPr="001C1B82">
        <w:rPr>
          <w:szCs w:val="16"/>
          <w:u w:val="single" w:color="000000"/>
        </w:rPr>
        <w:t>https://www.ofcom.org.uk/__data/assets/pdf_file/0014/132080/Broadcast-Code-Section-5.pdf</w:t>
      </w:r>
      <w:r>
        <w:fldChar w:fldCharType="end"/>
      </w:r>
      <w:r>
        <w:fldChar w:fldCharType="begin"/>
      </w:r>
      <w:r>
        <w:instrText xml:space="preserve"> HYPERLINK "https://www.ofcom.org.uk/__data/assets/pdf_file/0014/132080/Broadcast-Code-Section-5.pdf" </w:instrText>
      </w:r>
      <w:r>
        <w:fldChar w:fldCharType="separate"/>
      </w:r>
      <w:r w:rsidRPr="001C1B82">
        <w:rPr>
          <w:szCs w:val="16"/>
        </w:rPr>
        <w:t xml:space="preserve"> </w:t>
      </w:r>
      <w:r>
        <w:fldChar w:fldCharType="end"/>
      </w:r>
    </w:p>
  </w:footnote>
  <w:footnote w:id="220">
    <w:p w:rsidR="00673732" w:rsidRPr="001C1B82">
      <w:pPr>
        <w:pStyle w:val="footnotedescription"/>
        <w:ind w:left="1"/>
        <w:rPr>
          <w:szCs w:val="16"/>
        </w:rPr>
      </w:pPr>
      <w:r w:rsidRPr="001C1B82">
        <w:rPr>
          <w:rStyle w:val="footnotemark"/>
          <w:szCs w:val="16"/>
        </w:rPr>
        <w:footnoteRef/>
      </w:r>
      <w:r w:rsidRPr="001C1B82">
        <w:rPr>
          <w:szCs w:val="16"/>
        </w:rPr>
        <w:t xml:space="preserve"> </w:t>
      </w:r>
      <w:r>
        <w:fldChar w:fldCharType="begin"/>
      </w:r>
      <w:r>
        <w:instrText xml:space="preserve"> HYPERLINK "https://www.ofcom.org.uk/__data/assets/pdf_file/0026/157913/uk-news-consumption-2019-overview.pdf" </w:instrText>
      </w:r>
      <w:r>
        <w:fldChar w:fldCharType="separate"/>
      </w:r>
      <w:r w:rsidRPr="001C1B82">
        <w:rPr>
          <w:szCs w:val="16"/>
          <w:u w:val="single" w:color="000000"/>
        </w:rPr>
        <w:t>https://www.ofcom.org.uk/__data/assets/pdf_file/0026/157913/uk-news-consumption-2019-overview.pdf</w:t>
      </w:r>
      <w:r>
        <w:fldChar w:fldCharType="end"/>
      </w:r>
      <w:r>
        <w:fldChar w:fldCharType="begin"/>
      </w:r>
      <w:r>
        <w:instrText xml:space="preserve"> HYPERLINK "https://www.ofcom.org.uk/__data/assets/pdf_file/0026/157913/uk-news-consumption-2019-overview.pdf" </w:instrText>
      </w:r>
      <w:r>
        <w:fldChar w:fldCharType="separate"/>
      </w:r>
      <w:r w:rsidRPr="001C1B82">
        <w:rPr>
          <w:szCs w:val="16"/>
        </w:rPr>
        <w:t xml:space="preserve"> </w:t>
      </w:r>
      <w:r>
        <w:fldChar w:fldCharType="end"/>
      </w:r>
      <w:r w:rsidRPr="001C1B82">
        <w:rPr>
          <w:szCs w:val="16"/>
        </w:rPr>
        <w:t xml:space="preserve"> </w:t>
      </w:r>
    </w:p>
  </w:footnote>
  <w:footnote w:id="221">
    <w:p w:rsidR="00673732" w:rsidRPr="001C1B82">
      <w:pPr>
        <w:pStyle w:val="footnotedescription"/>
        <w:ind w:left="1"/>
        <w:rPr>
          <w:szCs w:val="16"/>
        </w:rPr>
      </w:pPr>
      <w:r w:rsidRPr="001C1B82">
        <w:rPr>
          <w:rStyle w:val="footnotemark"/>
          <w:szCs w:val="16"/>
        </w:rPr>
        <w:footnoteRef/>
      </w:r>
      <w:r w:rsidRPr="001C1B82">
        <w:rPr>
          <w:szCs w:val="16"/>
        </w:rPr>
        <w:t xml:space="preserve"> </w:t>
      </w:r>
      <w:r>
        <w:fldChar w:fldCharType="begin"/>
      </w:r>
      <w:r>
        <w:instrText xml:space="preserve"> HYPERLINK "https://www.ofcom.org.uk/research-and-data/internet-and-on-demand-research/online-nation" </w:instrText>
      </w:r>
      <w:r>
        <w:fldChar w:fldCharType="separate"/>
      </w:r>
      <w:r w:rsidRPr="001C1B82">
        <w:rPr>
          <w:szCs w:val="16"/>
          <w:u w:val="single" w:color="000000"/>
        </w:rPr>
        <w:t>https://www.ofcom.org.uk/research-and-data/internet-and-on-demand-research/online-nation</w:t>
      </w:r>
      <w:r>
        <w:fldChar w:fldCharType="end"/>
      </w:r>
      <w:r>
        <w:fldChar w:fldCharType="begin"/>
      </w:r>
      <w:r>
        <w:instrText xml:space="preserve"> HYPERLINK "https://www.ofcom.org.uk/research-and-data/internet-and-on-demand-research/online-nation" </w:instrText>
      </w:r>
      <w:r>
        <w:fldChar w:fldCharType="separate"/>
      </w:r>
      <w:r w:rsidRPr="001C1B82">
        <w:rPr>
          <w:szCs w:val="16"/>
        </w:rPr>
        <w:t xml:space="preserve"> </w:t>
      </w:r>
      <w:r>
        <w:fldChar w:fldCharType="end"/>
      </w:r>
      <w:r w:rsidRPr="001C1B82">
        <w:rPr>
          <w:szCs w:val="16"/>
        </w:rPr>
        <w:t xml:space="preserve"> </w:t>
      </w:r>
    </w:p>
  </w:footnote>
  <w:footnote w:id="222">
    <w:p w:rsidR="00673732" w:rsidRPr="001C1B82">
      <w:pPr>
        <w:pStyle w:val="footnotedescription"/>
        <w:ind w:left="1"/>
        <w:rPr>
          <w:szCs w:val="16"/>
        </w:rPr>
      </w:pPr>
      <w:r w:rsidRPr="001C1B82">
        <w:rPr>
          <w:rStyle w:val="footnotemark"/>
          <w:szCs w:val="16"/>
        </w:rPr>
        <w:footnoteRef/>
      </w:r>
      <w:r w:rsidRPr="001C1B82">
        <w:rPr>
          <w:szCs w:val="16"/>
        </w:rPr>
        <w:t xml:space="preserve"> </w:t>
      </w:r>
      <w:r>
        <w:fldChar w:fldCharType="begin"/>
      </w:r>
      <w:r>
        <w:instrText xml:space="preserve"> HYPERLINK "https://www.ofcom.org.uk/__data/assets/pdf_file/0021/149124/adults-media-use-and-attitudes-report.pdf" </w:instrText>
      </w:r>
      <w:r>
        <w:fldChar w:fldCharType="separate"/>
      </w:r>
      <w:r w:rsidRPr="001C1B82">
        <w:rPr>
          <w:szCs w:val="16"/>
          <w:u w:val="single" w:color="000000"/>
        </w:rPr>
        <w:t>https://www.ofcom.org.uk/__data/assets/pdf_file/0021/149124/adults-media-use-and-attitudes-report.pdf</w:t>
      </w:r>
      <w:r>
        <w:fldChar w:fldCharType="end"/>
      </w:r>
      <w:r>
        <w:fldChar w:fldCharType="begin"/>
      </w:r>
      <w:r>
        <w:instrText xml:space="preserve"> HYPERLINK "https://www.ofcom.org.uk/__data/assets/pdf_file/0021/149124/adults-media-use-and-attitudes-report.pdf" </w:instrText>
      </w:r>
      <w:r>
        <w:fldChar w:fldCharType="separate"/>
      </w:r>
      <w:r w:rsidRPr="001C1B82">
        <w:rPr>
          <w:szCs w:val="16"/>
        </w:rPr>
        <w:t xml:space="preserve"> </w:t>
      </w:r>
      <w:r>
        <w:fldChar w:fldCharType="end"/>
      </w:r>
      <w:r w:rsidRPr="001C1B82">
        <w:rPr>
          <w:szCs w:val="16"/>
        </w:rPr>
        <w:t xml:space="preserve"> </w:t>
      </w:r>
    </w:p>
  </w:footnote>
  <w:footnote w:id="223">
    <w:p w:rsidR="00673732" w:rsidRPr="001C1B82">
      <w:pPr>
        <w:pStyle w:val="footnotedescription"/>
        <w:ind w:left="1"/>
        <w:rPr>
          <w:szCs w:val="16"/>
        </w:rPr>
      </w:pPr>
      <w:r w:rsidRPr="001C1B82">
        <w:rPr>
          <w:rStyle w:val="footnotemark"/>
          <w:szCs w:val="16"/>
        </w:rPr>
        <w:footnoteRef/>
      </w:r>
      <w:r w:rsidRPr="001C1B82">
        <w:rPr>
          <w:szCs w:val="16"/>
        </w:rPr>
        <w:t xml:space="preserve"> </w:t>
      </w:r>
      <w:r>
        <w:fldChar w:fldCharType="begin"/>
      </w:r>
      <w:r>
        <w:instrText xml:space="preserve"> HYPERLINK "https://www.ofcom.org.uk/__data/assets/pdf_file/0028/149068/online-harms-chart-pack.pdf" </w:instrText>
      </w:r>
      <w:r>
        <w:fldChar w:fldCharType="separate"/>
      </w:r>
      <w:r w:rsidRPr="001C1B82">
        <w:rPr>
          <w:szCs w:val="16"/>
          <w:u w:val="single" w:color="000000"/>
        </w:rPr>
        <w:t>https://www.ofcom.org.uk/__data/assets/pdf_file/0028/149068/online-harms-chart-pack.pdf</w:t>
      </w:r>
      <w:r>
        <w:fldChar w:fldCharType="end"/>
      </w:r>
      <w:r>
        <w:fldChar w:fldCharType="begin"/>
      </w:r>
      <w:r>
        <w:instrText xml:space="preserve"> HYPERLINK "https://www.ofcom.org.uk/__data/assets/pdf_file/0028/149068/online-harms-chart-pack.pdf" </w:instrText>
      </w:r>
      <w:r>
        <w:fldChar w:fldCharType="separate"/>
      </w:r>
      <w:r w:rsidRPr="001C1B82">
        <w:rPr>
          <w:szCs w:val="16"/>
        </w:rPr>
        <w:t xml:space="preserve"> </w:t>
      </w:r>
      <w:r>
        <w:fldChar w:fldCharType="end"/>
      </w:r>
      <w:r w:rsidRPr="001C1B82">
        <w:rPr>
          <w:szCs w:val="16"/>
        </w:rPr>
        <w:t xml:space="preserve"> </w:t>
      </w:r>
    </w:p>
  </w:footnote>
  <w:footnote w:id="224">
    <w:p w:rsidR="00673732" w:rsidRPr="001C1B82">
      <w:pPr>
        <w:pStyle w:val="footnotedescription"/>
        <w:spacing w:line="258" w:lineRule="auto"/>
        <w:ind w:left="1"/>
        <w:rPr>
          <w:szCs w:val="16"/>
        </w:rPr>
      </w:pPr>
      <w:r w:rsidRPr="001C1B82">
        <w:rPr>
          <w:rStyle w:val="footnotemark"/>
          <w:szCs w:val="16"/>
        </w:rPr>
        <w:footnoteRef/>
      </w:r>
      <w:r w:rsidRPr="001C1B82">
        <w:rPr>
          <w:szCs w:val="16"/>
        </w:rPr>
        <w:t xml:space="preserve"> </w:t>
      </w:r>
      <w:r>
        <w:fldChar w:fldCharType="begin"/>
      </w:r>
      <w:r>
        <w:instrText xml:space="preserve"> HYPERLINK "https://www.ofcom.org.uk/__data/assets/pdf_file/0022/157153/online-experiences-attitudes-qualitative-summary-report.pdf" </w:instrText>
      </w:r>
      <w:r>
        <w:fldChar w:fldCharType="separate"/>
      </w:r>
      <w:r w:rsidRPr="001C1B82">
        <w:rPr>
          <w:szCs w:val="16"/>
          <w:u w:val="single" w:color="000000"/>
        </w:rPr>
        <w:t>https://www.ofcom.org.uk/__data/assets/pdf_file/0022/157153/online-experiences-attitudes-qualitative</w:t>
      </w:r>
      <w:r>
        <w:fldChar w:fldCharType="end"/>
      </w:r>
      <w:r>
        <w:fldChar w:fldCharType="begin"/>
      </w:r>
      <w:r>
        <w:instrText xml:space="preserve"> HYPERLINK "https://www.ofcom.org.uk/__data/assets/pdf_file/0022/157153/online-experiences-attitudes-qualitative-summary-report.pdf" </w:instrText>
      </w:r>
      <w:r>
        <w:fldChar w:fldCharType="separate"/>
      </w:r>
      <w:r w:rsidRPr="001C1B82">
        <w:rPr>
          <w:szCs w:val="16"/>
          <w:u w:val="single" w:color="000000"/>
        </w:rPr>
        <w:t>summary-report.pdf</w:t>
      </w:r>
      <w:r>
        <w:fldChar w:fldCharType="end"/>
      </w:r>
      <w:r>
        <w:fldChar w:fldCharType="begin"/>
      </w:r>
      <w:r>
        <w:instrText xml:space="preserve"> HYPERLINK "https://www.ofcom.org.uk/__data/assets/pdf_file/0022/157153/online-experiences-attitudes-qualitative-summary-report.pdf" </w:instrText>
      </w:r>
      <w:r>
        <w:fldChar w:fldCharType="separate"/>
      </w:r>
      <w:r w:rsidRPr="001C1B82">
        <w:rPr>
          <w:szCs w:val="16"/>
        </w:rPr>
        <w:t xml:space="preserve"> </w:t>
      </w:r>
      <w:r>
        <w:fldChar w:fldCharType="end"/>
      </w:r>
      <w:r w:rsidRPr="001C1B82">
        <w:rPr>
          <w:szCs w:val="16"/>
        </w:rPr>
        <w:t xml:space="preserve"> </w:t>
      </w:r>
    </w:p>
  </w:footnote>
  <w:footnote w:id="225">
    <w:p w:rsidR="00673732" w:rsidRPr="001C1B82">
      <w:pPr>
        <w:pStyle w:val="footnotedescription"/>
        <w:spacing w:line="258" w:lineRule="auto"/>
        <w:ind w:left="1"/>
        <w:rPr>
          <w:szCs w:val="16"/>
        </w:rPr>
      </w:pPr>
      <w:r w:rsidRPr="001C1B82">
        <w:rPr>
          <w:rStyle w:val="footnotemark"/>
          <w:szCs w:val="16"/>
        </w:rPr>
        <w:footnoteRef/>
      </w:r>
      <w:r w:rsidRPr="001C1B82">
        <w:rPr>
          <w:szCs w:val="16"/>
        </w:rPr>
        <w:t xml:space="preserve"> </w:t>
      </w:r>
      <w:r>
        <w:fldChar w:fldCharType="begin"/>
      </w:r>
      <w:r>
        <w:instrText xml:space="preserve"> HYPERLINK "https://www.ofcom.org.uk/__data/assets/pdf_file/0028/157249/cambridge-consultants-ai-content-moderation.pdf" </w:instrText>
      </w:r>
      <w:r>
        <w:fldChar w:fldCharType="separate"/>
      </w:r>
      <w:r w:rsidRPr="001C1B82">
        <w:rPr>
          <w:szCs w:val="16"/>
          <w:u w:val="single" w:color="000000"/>
        </w:rPr>
        <w:t>https://www.ofcom.org.uk/__data/assets/pdf_file/0028/157249/cambridge-consultants-ai-content</w:t>
      </w:r>
      <w:r>
        <w:fldChar w:fldCharType="end"/>
      </w:r>
      <w:r>
        <w:fldChar w:fldCharType="begin"/>
      </w:r>
      <w:r>
        <w:instrText xml:space="preserve"> HYPERLINK "https://www.ofcom.org.uk/__data/assets/pdf_file/0028/157249/cambridge-consultants-ai-content-moderation.pdf" </w:instrText>
      </w:r>
      <w:r>
        <w:fldChar w:fldCharType="separate"/>
      </w:r>
      <w:r w:rsidRPr="001C1B82">
        <w:rPr>
          <w:szCs w:val="16"/>
          <w:u w:val="single" w:color="000000"/>
        </w:rPr>
        <w:t>moderation.pdf</w:t>
      </w:r>
      <w:r>
        <w:fldChar w:fldCharType="end"/>
      </w:r>
      <w:r>
        <w:fldChar w:fldCharType="begin"/>
      </w:r>
      <w:r>
        <w:instrText xml:space="preserve"> HYPERLINK "https://www.ofcom.org.uk/__data/assets/pdf_file/0028/157249/cambridge-consultants-ai-content-moderation.pdf" </w:instrText>
      </w:r>
      <w:r>
        <w:fldChar w:fldCharType="separate"/>
      </w:r>
      <w:r w:rsidRPr="001C1B82">
        <w:rPr>
          <w:szCs w:val="16"/>
        </w:rPr>
        <w:t xml:space="preserve"> </w:t>
      </w:r>
      <w:r>
        <w:fldChar w:fldCharType="end"/>
      </w:r>
      <w:r w:rsidRPr="001C1B82">
        <w:rPr>
          <w:szCs w:val="16"/>
        </w:rPr>
        <w:t xml:space="preserve"> </w:t>
      </w:r>
    </w:p>
  </w:footnote>
  <w:footnote w:id="226">
    <w:p w:rsidR="00673732" w:rsidRPr="001C1B82">
      <w:pPr>
        <w:pStyle w:val="footnotedescription"/>
        <w:spacing w:line="269" w:lineRule="auto"/>
        <w:rPr>
          <w:szCs w:val="16"/>
        </w:rPr>
      </w:pPr>
      <w:r w:rsidRPr="001C1B82">
        <w:rPr>
          <w:rStyle w:val="footnotemark"/>
          <w:szCs w:val="16"/>
        </w:rPr>
        <w:footnoteRef/>
      </w:r>
      <w:r w:rsidRPr="001C1B82">
        <w:rPr>
          <w:rFonts w:eastAsia="Calibri" w:cs="Calibri"/>
          <w:szCs w:val="16"/>
        </w:rPr>
        <w:t xml:space="preserve"> See Dommett, K., &amp; Rye, D. (2017). Taking up the baton? New campaigning organisations and the enactment of representative functions. </w:t>
      </w:r>
      <w:r w:rsidRPr="001C1B82">
        <w:rPr>
          <w:rFonts w:eastAsia="Calibri" w:cs="Calibri"/>
          <w:i/>
          <w:szCs w:val="16"/>
        </w:rPr>
        <w:t>Politics</w:t>
      </w:r>
      <w:r w:rsidRPr="001C1B82">
        <w:rPr>
          <w:rFonts w:eastAsia="Calibri" w:cs="Calibri"/>
          <w:szCs w:val="16"/>
        </w:rPr>
        <w:t xml:space="preserve">, 0263395717725934.  </w:t>
      </w:r>
    </w:p>
  </w:footnote>
  <w:footnote w:id="227">
    <w:p w:rsidR="00673732" w:rsidRPr="001C1B82">
      <w:pPr>
        <w:pStyle w:val="footnotedescription"/>
        <w:spacing w:line="248" w:lineRule="auto"/>
        <w:rPr>
          <w:szCs w:val="16"/>
        </w:rPr>
      </w:pPr>
      <w:r w:rsidRPr="001C1B82">
        <w:rPr>
          <w:rStyle w:val="footnotemark"/>
          <w:szCs w:val="16"/>
        </w:rPr>
        <w:footnoteRef/>
      </w:r>
      <w:r w:rsidRPr="001C1B82">
        <w:rPr>
          <w:rFonts w:eastAsia="Calibri" w:cs="Calibri"/>
          <w:szCs w:val="16"/>
        </w:rPr>
        <w:t xml:space="preserve"> See Bruno, I., Didier, E., and Vitale, T. (2014) ‘Statactivism: Forms of Action between Disclosure and Affirmation’. </w:t>
      </w:r>
      <w:r w:rsidRPr="001C1B82">
        <w:rPr>
          <w:rFonts w:eastAsia="Calibri" w:cs="Calibri"/>
          <w:i/>
          <w:szCs w:val="16"/>
        </w:rPr>
        <w:t>Partecipazione e conflitto: The Open Journal of Sociopolitical Studies</w:t>
      </w:r>
      <w:r w:rsidRPr="001C1B82">
        <w:rPr>
          <w:rFonts w:eastAsia="Calibri" w:cs="Calibri"/>
          <w:szCs w:val="16"/>
        </w:rPr>
        <w:t xml:space="preserve">, 7 (2): 198–220 and Gibson, R., &amp; Cantijoch, M. (2013). Conceptualizing and measuring participation in the age of the internet: Is online political engagement really different to offline? </w:t>
      </w:r>
      <w:r w:rsidRPr="001C1B82">
        <w:rPr>
          <w:rFonts w:eastAsia="Calibri" w:cs="Calibri"/>
          <w:i/>
          <w:szCs w:val="16"/>
        </w:rPr>
        <w:t>The Journal of Politics</w:t>
      </w:r>
      <w:r w:rsidRPr="001C1B82">
        <w:rPr>
          <w:rFonts w:eastAsia="Calibri" w:cs="Calibri"/>
          <w:szCs w:val="16"/>
        </w:rPr>
        <w:t xml:space="preserve">, 75(3), 701-716.  </w:t>
      </w:r>
    </w:p>
  </w:footnote>
  <w:footnote w:id="228">
    <w:p w:rsidR="00673732" w:rsidRPr="001C1B82">
      <w:pPr>
        <w:pStyle w:val="footnotedescription"/>
        <w:rPr>
          <w:szCs w:val="16"/>
        </w:rPr>
      </w:pPr>
      <w:r w:rsidRPr="001C1B82">
        <w:rPr>
          <w:rStyle w:val="footnotemark"/>
          <w:szCs w:val="16"/>
        </w:rPr>
        <w:footnoteRef/>
      </w:r>
      <w:r w:rsidRPr="001C1B82">
        <w:rPr>
          <w:rFonts w:eastAsia="Calibri" w:cs="Calibri"/>
          <w:szCs w:val="16"/>
        </w:rPr>
        <w:t xml:space="preserve"> See Heclo, H. (1999) ‘Hyperdemocracy’. </w:t>
      </w:r>
      <w:r w:rsidRPr="001C1B82">
        <w:rPr>
          <w:rFonts w:eastAsia="Calibri" w:cs="Calibri"/>
          <w:i/>
          <w:szCs w:val="16"/>
        </w:rPr>
        <w:t>The Wilson Quarterly</w:t>
      </w:r>
      <w:r w:rsidRPr="001C1B82">
        <w:rPr>
          <w:rFonts w:eastAsia="Calibri" w:cs="Calibri"/>
          <w:szCs w:val="16"/>
        </w:rPr>
        <w:t xml:space="preserve">, 23 (1), 62‒71.  </w:t>
      </w:r>
    </w:p>
  </w:footnote>
  <w:footnote w:id="229">
    <w:p w:rsidR="00673732" w:rsidRPr="001C1B82">
      <w:pPr>
        <w:pStyle w:val="footnotedescription"/>
        <w:rPr>
          <w:szCs w:val="16"/>
        </w:rPr>
      </w:pPr>
      <w:r w:rsidRPr="001C1B82">
        <w:rPr>
          <w:rStyle w:val="footnotemark"/>
          <w:szCs w:val="16"/>
        </w:rPr>
        <w:footnoteRef/>
      </w:r>
      <w:r w:rsidRPr="001C1B82">
        <w:rPr>
          <w:rFonts w:eastAsia="Calibri" w:cs="Calibri"/>
          <w:szCs w:val="16"/>
        </w:rPr>
        <w:t xml:space="preserve"> Kelly, R., &amp; Bochel, C. (2018). </w:t>
      </w:r>
      <w:r w:rsidRPr="001C1B82">
        <w:rPr>
          <w:rFonts w:eastAsia="Calibri" w:cs="Calibri"/>
          <w:i/>
          <w:szCs w:val="16"/>
        </w:rPr>
        <w:t>Parliament's engagement with the public</w:t>
      </w:r>
      <w:r w:rsidRPr="001C1B82">
        <w:rPr>
          <w:rFonts w:eastAsia="Calibri" w:cs="Calibri"/>
          <w:szCs w:val="16"/>
        </w:rPr>
        <w:t xml:space="preserve">. London: House of Commons Library.  </w:t>
      </w:r>
    </w:p>
    <w:p w:rsidR="00673732" w:rsidRPr="001C1B82">
      <w:pPr>
        <w:pStyle w:val="footnotedescription"/>
        <w:rPr>
          <w:szCs w:val="16"/>
        </w:rPr>
      </w:pPr>
      <w:r w:rsidRPr="001C1B82">
        <w:rPr>
          <w:rFonts w:eastAsia="Calibri" w:cs="Calibri"/>
          <w:szCs w:val="16"/>
        </w:rPr>
        <w:t xml:space="preserve"> </w:t>
      </w:r>
    </w:p>
  </w:footnote>
  <w:footnote w:id="230">
    <w:p w:rsidR="00673732" w:rsidRPr="001C1B82">
      <w:pPr>
        <w:pStyle w:val="footnotedescription"/>
        <w:spacing w:line="245" w:lineRule="auto"/>
        <w:ind w:right="3"/>
        <w:rPr>
          <w:szCs w:val="16"/>
        </w:rPr>
      </w:pPr>
      <w:r w:rsidRPr="001C1B82">
        <w:rPr>
          <w:rStyle w:val="footnotemark"/>
          <w:szCs w:val="16"/>
        </w:rPr>
        <w:footnoteRef/>
      </w:r>
      <w:r w:rsidRPr="001C1B82">
        <w:rPr>
          <w:rFonts w:eastAsia="Calibri" w:cs="Calibri"/>
          <w:szCs w:val="16"/>
        </w:rPr>
        <w:t xml:space="preserve"> See Leston- Leston-Bandeira C, (2016) ‘Why Symbolic Representation Frames Parliamentary Public Engagement’, </w:t>
      </w:r>
      <w:r w:rsidRPr="001C1B82">
        <w:rPr>
          <w:rFonts w:eastAsia="Calibri" w:cs="Calibri"/>
          <w:i/>
          <w:szCs w:val="16"/>
        </w:rPr>
        <w:t>British Journal of Politics and International Relations</w:t>
      </w:r>
      <w:r w:rsidRPr="001C1B82">
        <w:rPr>
          <w:rFonts w:eastAsia="Calibri" w:cs="Calibri"/>
          <w:szCs w:val="16"/>
        </w:rPr>
        <w:t xml:space="preserve">, 18 (2), 498-516 and Leston-Bandeira, C., &amp; Thompson, L. (2017). Integrating the view of the public into the formal legislative process: public reading stage in the UK House of Commons. </w:t>
      </w:r>
      <w:r w:rsidRPr="001C1B82">
        <w:rPr>
          <w:rFonts w:eastAsia="Calibri" w:cs="Calibri"/>
          <w:i/>
          <w:szCs w:val="16"/>
        </w:rPr>
        <w:t>The Journal of Legislative Studies</w:t>
      </w:r>
      <w:r w:rsidRPr="001C1B82">
        <w:rPr>
          <w:rFonts w:eastAsia="Calibri" w:cs="Calibri"/>
          <w:szCs w:val="16"/>
        </w:rPr>
        <w:t xml:space="preserve">, 23(4), 508-528 </w:t>
      </w:r>
      <w:r w:rsidRPr="001C1B82">
        <w:rPr>
          <w:rFonts w:eastAsia="Calibri" w:cs="Calibri"/>
          <w:szCs w:val="16"/>
          <w:vertAlign w:val="superscript"/>
        </w:rPr>
        <w:t>6</w:t>
      </w:r>
      <w:r w:rsidRPr="001C1B82">
        <w:rPr>
          <w:rFonts w:eastAsia="Calibri" w:cs="Calibri"/>
          <w:szCs w:val="16"/>
        </w:rPr>
        <w:t xml:space="preserve">Digital Democracy Commission (2015) </w:t>
      </w:r>
      <w:r w:rsidRPr="001C1B82">
        <w:rPr>
          <w:rFonts w:eastAsia="Calibri" w:cs="Calibri"/>
          <w:i/>
          <w:szCs w:val="16"/>
        </w:rPr>
        <w:t>Open Up! Report of the Speaker’s Commission on Digital Democracy</w:t>
      </w:r>
      <w:r w:rsidRPr="001C1B82">
        <w:rPr>
          <w:rFonts w:eastAsia="Calibri" w:cs="Calibri"/>
          <w:szCs w:val="16"/>
        </w:rPr>
        <w:t xml:space="preserve">, Digital Democracy Commission, London.  </w:t>
      </w:r>
    </w:p>
  </w:footnote>
  <w:footnote w:id="231">
    <w:p w:rsidR="00673732" w:rsidRPr="001C1B82">
      <w:pPr>
        <w:pStyle w:val="footnotedescription"/>
        <w:spacing w:line="253" w:lineRule="auto"/>
        <w:rPr>
          <w:szCs w:val="16"/>
        </w:rPr>
      </w:pPr>
      <w:r w:rsidRPr="001C1B82">
        <w:rPr>
          <w:rStyle w:val="footnotemark"/>
          <w:szCs w:val="16"/>
        </w:rPr>
        <w:footnoteRef/>
      </w:r>
      <w:r w:rsidRPr="001C1B82">
        <w:rPr>
          <w:rFonts w:eastAsia="Calibri" w:cs="Calibri"/>
          <w:szCs w:val="16"/>
        </w:rPr>
        <w:t xml:space="preserve"> See Mandelbaum, A. G. (2011). Strengthening parliamentary accountability, citizen engagement and access to information. NDI/World Bank her</w:t>
      </w:r>
      <w:r>
        <w:fldChar w:fldCharType="begin"/>
      </w:r>
      <w:r>
        <w:instrText xml:space="preserve"> HYPERLINK "https://europa-eu-audience.typepad.com/files/governance-parliamentary-monitoring-organizations-survey-september-2011.pdf" </w:instrText>
      </w:r>
      <w:r>
        <w:fldChar w:fldCharType="separate"/>
      </w:r>
      <w:r w:rsidRPr="001C1B82">
        <w:rPr>
          <w:rFonts w:eastAsia="Calibri" w:cs="Calibri"/>
          <w:szCs w:val="16"/>
        </w:rPr>
        <w:t xml:space="preserve">e </w:t>
      </w:r>
      <w:r>
        <w:fldChar w:fldCharType="end"/>
      </w:r>
      <w:r>
        <w:fldChar w:fldCharType="begin"/>
      </w:r>
      <w:r>
        <w:instrText xml:space="preserve"> HYPERLINK "https://europa-eu-audience.typepad.com/files/governance-parliamentary-monitoring-organizations-survey-september-2011.pdf" </w:instrText>
      </w:r>
      <w:r>
        <w:fldChar w:fldCharType="separate"/>
      </w:r>
      <w:r w:rsidRPr="001C1B82">
        <w:rPr>
          <w:rFonts w:eastAsia="Calibri" w:cs="Calibri"/>
          <w:color w:val="0563C1"/>
          <w:szCs w:val="16"/>
          <w:u w:val="single" w:color="0563C1"/>
        </w:rPr>
        <w:t>https://europa-eu-audience.typepad.com/files/governance-parliamentary-monitoring-organizations-survey-september</w:t>
      </w:r>
      <w:r>
        <w:fldChar w:fldCharType="end"/>
      </w:r>
      <w:r>
        <w:fldChar w:fldCharType="begin"/>
      </w:r>
      <w:r>
        <w:instrText xml:space="preserve"> HYPERLINK "https://europa-eu-audience.typepad.com/files/governance-parliamentary-monitoring-organizations-survey-september-2011.pdf" </w:instrText>
      </w:r>
      <w:r>
        <w:fldChar w:fldCharType="separate"/>
      </w:r>
      <w:r w:rsidRPr="001C1B82">
        <w:rPr>
          <w:rFonts w:eastAsia="Calibri" w:cs="Calibri"/>
          <w:color w:val="0563C1"/>
          <w:szCs w:val="16"/>
          <w:u w:val="single" w:color="0563C1"/>
        </w:rPr>
        <w:t>2011.pdf</w:t>
      </w:r>
      <w:r>
        <w:fldChar w:fldCharType="end"/>
      </w:r>
      <w:r>
        <w:fldChar w:fldCharType="begin"/>
      </w:r>
      <w:r>
        <w:instrText xml:space="preserve"> HYPERLINK "https://europa-eu-audience.typepad.com/files/governance-parliamentary-monitoring-organizations-survey-september-2011.pdf" </w:instrText>
      </w:r>
      <w:r>
        <w:fldChar w:fldCharType="separate"/>
      </w:r>
      <w:r w:rsidRPr="001C1B82">
        <w:rPr>
          <w:rFonts w:eastAsia="Calibri" w:cs="Calibri"/>
          <w:szCs w:val="16"/>
        </w:rPr>
        <w:t xml:space="preserve"> </w:t>
      </w:r>
      <w:r>
        <w:fldChar w:fldCharType="end"/>
      </w:r>
    </w:p>
  </w:footnote>
  <w:footnote w:id="232">
    <w:p w:rsidR="00673732" w:rsidRPr="001C1B82">
      <w:pPr>
        <w:pStyle w:val="footnotedescription"/>
        <w:rPr>
          <w:szCs w:val="16"/>
        </w:rPr>
      </w:pPr>
      <w:r w:rsidRPr="001C1B82">
        <w:rPr>
          <w:rStyle w:val="footnotemark"/>
          <w:szCs w:val="16"/>
        </w:rPr>
        <w:footnoteRef/>
      </w:r>
      <w:r w:rsidRPr="001C1B82">
        <w:rPr>
          <w:rFonts w:eastAsia="Calibri" w:cs="Calibri"/>
          <w:szCs w:val="16"/>
        </w:rPr>
        <w:t xml:space="preserve"> See Forth, T. and Norris, R. (2016) </w:t>
      </w:r>
      <w:r w:rsidRPr="001C1B82">
        <w:rPr>
          <w:rFonts w:eastAsia="Calibri" w:cs="Calibri"/>
          <w:i/>
          <w:szCs w:val="16"/>
        </w:rPr>
        <w:t>Achieving more with open data at data.parliament.uk: Understanding the user need for Parliamentary data</w:t>
      </w:r>
      <w:r w:rsidRPr="001C1B82">
        <w:rPr>
          <w:rFonts w:eastAsia="Calibri" w:cs="Calibri"/>
          <w:szCs w:val="16"/>
        </w:rPr>
        <w:t xml:space="preserve">. London: ODI and Escher, T. (2011) </w:t>
      </w:r>
      <w:r w:rsidRPr="001C1B82">
        <w:rPr>
          <w:rFonts w:eastAsia="Calibri" w:cs="Calibri"/>
          <w:i/>
          <w:szCs w:val="16"/>
        </w:rPr>
        <w:t>TheyWorkForYou.com: Analysis of Users and Usage for UK Citizens Online Democracy</w:t>
      </w:r>
      <w:r w:rsidRPr="001C1B82">
        <w:rPr>
          <w:rFonts w:eastAsia="Calibri" w:cs="Calibri"/>
          <w:szCs w:val="16"/>
        </w:rPr>
        <w:t xml:space="preserve">. London: </w:t>
      </w:r>
    </w:p>
    <w:p w:rsidR="00673732" w:rsidRPr="001C1B82">
      <w:pPr>
        <w:pStyle w:val="footnotedescription"/>
        <w:spacing w:line="240" w:lineRule="auto"/>
        <w:ind w:right="70"/>
        <w:rPr>
          <w:szCs w:val="16"/>
        </w:rPr>
      </w:pPr>
      <w:r w:rsidRPr="001C1B82">
        <w:rPr>
          <w:rFonts w:eastAsia="Calibri" w:cs="Calibri"/>
          <w:szCs w:val="16"/>
        </w:rPr>
        <w:t>mySociety / UK Citizens Online Democracy. Also Worthy, Ben and Bourke, Gabrielle, Open House? The Impact of the Freedom of Information Act 2000 on the UK Parliament (March 3, 2011). Available at SSRN</w:t>
      </w:r>
      <w:r>
        <w:fldChar w:fldCharType="begin"/>
      </w:r>
      <w:r>
        <w:instrText xml:space="preserve"> HYPERLINK "https://ssrn.com/abstract=2518544" </w:instrText>
      </w:r>
      <w:r>
        <w:fldChar w:fldCharType="separate"/>
      </w:r>
      <w:r w:rsidRPr="001C1B82">
        <w:rPr>
          <w:rFonts w:eastAsia="Calibri" w:cs="Calibri"/>
          <w:szCs w:val="16"/>
        </w:rPr>
        <w:t xml:space="preserve">: </w:t>
      </w:r>
      <w:r>
        <w:fldChar w:fldCharType="end"/>
      </w:r>
      <w:r>
        <w:fldChar w:fldCharType="begin"/>
      </w:r>
      <w:r>
        <w:instrText xml:space="preserve"> HYPERLINK "https://ssrn.com/abstract=2518544" </w:instrText>
      </w:r>
      <w:r>
        <w:fldChar w:fldCharType="separate"/>
      </w:r>
      <w:r w:rsidRPr="001C1B82">
        <w:rPr>
          <w:rFonts w:eastAsia="Calibri" w:cs="Calibri"/>
          <w:color w:val="0563C1"/>
          <w:szCs w:val="16"/>
          <w:u w:val="single" w:color="0563C1"/>
        </w:rPr>
        <w:t>https://ssrn.com/abstract=2518544</w:t>
      </w:r>
      <w:r>
        <w:fldChar w:fldCharType="end"/>
      </w:r>
      <w:r>
        <w:fldChar w:fldCharType="begin"/>
      </w:r>
      <w:r>
        <w:instrText xml:space="preserve"> HYPERLINK "https://ssrn.com/abstract=2518544"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r w:rsidRPr="001C1B82">
        <w:rPr>
          <w:rFonts w:eastAsia="Calibri" w:cs="Calibri"/>
          <w:szCs w:val="16"/>
          <w:vertAlign w:val="superscript"/>
        </w:rPr>
        <w:t>9</w:t>
      </w:r>
      <w:r w:rsidRPr="001C1B82">
        <w:rPr>
          <w:rFonts w:eastAsia="Calibri" w:cs="Calibri"/>
          <w:szCs w:val="16"/>
        </w:rPr>
        <w:t xml:space="preserve"> See TWFY (2015) 'Understanding TheyWorkForYou’s users… without the power of mind-reading', 4th Nov 2015 </w:t>
      </w:r>
      <w:r>
        <w:fldChar w:fldCharType="begin"/>
      </w:r>
      <w:r>
        <w:instrText xml:space="preserve"> HYPERLINK "https://www.mysociety.org/2015/11/04/understanding-theyworkforyous-users-without-the-power-of-mindreading/" </w:instrText>
      </w:r>
      <w:r>
        <w:fldChar w:fldCharType="separate"/>
      </w:r>
      <w:r w:rsidRPr="001C1B82">
        <w:rPr>
          <w:rFonts w:eastAsia="Calibri" w:cs="Calibri"/>
          <w:color w:val="0563C1"/>
          <w:szCs w:val="16"/>
          <w:u w:val="single" w:color="0563C1"/>
        </w:rPr>
        <w:t>https://www.mysociety.org/2015/11/04/understanding-theyworkforyous-users-without-the-power-of-mindreading/</w:t>
      </w:r>
      <w:r>
        <w:fldChar w:fldCharType="end"/>
      </w:r>
      <w:r>
        <w:fldChar w:fldCharType="begin"/>
      </w:r>
      <w:r>
        <w:instrText xml:space="preserve"> HYPERLINK "https://www.mysociety.org/2015/11/04/understanding-theyworkforyous-users-without-the-power-of-mindreading/" </w:instrText>
      </w:r>
      <w:r>
        <w:fldChar w:fldCharType="separate"/>
      </w:r>
      <w:r w:rsidRPr="001C1B82">
        <w:rPr>
          <w:rFonts w:eastAsia="Calibri" w:cs="Calibri"/>
          <w:szCs w:val="16"/>
        </w:rPr>
        <w:t xml:space="preserve"> a</w:t>
      </w:r>
      <w:r>
        <w:fldChar w:fldCharType="end"/>
      </w:r>
      <w:r w:rsidRPr="001C1B82">
        <w:rPr>
          <w:rFonts w:eastAsia="Calibri" w:cs="Calibri"/>
          <w:szCs w:val="16"/>
        </w:rPr>
        <w:t xml:space="preserve">nd Fraile, M. (2013). 'Do information-rich contexts reduce knowledge inequalities? The contextual determinants of political knowledge in Europe'. </w:t>
      </w:r>
      <w:r w:rsidRPr="001C1B82">
        <w:rPr>
          <w:rFonts w:eastAsia="Calibri" w:cs="Calibri"/>
          <w:i/>
          <w:szCs w:val="16"/>
        </w:rPr>
        <w:t>Acta Politica</w:t>
      </w:r>
      <w:r w:rsidRPr="001C1B82">
        <w:rPr>
          <w:rFonts w:eastAsia="Calibri" w:cs="Calibri"/>
          <w:szCs w:val="16"/>
        </w:rPr>
        <w:t xml:space="preserve">, 48(2), 119-143.    </w:t>
      </w:r>
    </w:p>
  </w:footnote>
  <w:footnote w:id="233">
    <w:p w:rsidR="00673732" w:rsidRPr="001C1B82">
      <w:pPr>
        <w:pStyle w:val="footnotedescription"/>
        <w:rPr>
          <w:szCs w:val="16"/>
        </w:rPr>
      </w:pPr>
      <w:r w:rsidRPr="001C1B82">
        <w:rPr>
          <w:rStyle w:val="footnotemark"/>
          <w:szCs w:val="16"/>
        </w:rPr>
        <w:footnoteRef/>
      </w:r>
      <w:r w:rsidRPr="001C1B82">
        <w:rPr>
          <w:rFonts w:eastAsia="Calibri" w:cs="Calibri"/>
          <w:szCs w:val="16"/>
        </w:rPr>
        <w:t xml:space="preserve"> See Edgerton, D. (2011). </w:t>
      </w:r>
      <w:r w:rsidRPr="001C1B82">
        <w:rPr>
          <w:rFonts w:eastAsia="Calibri" w:cs="Calibri"/>
          <w:i/>
          <w:szCs w:val="16"/>
        </w:rPr>
        <w:t>The shock of the old: Technology and global history since 1900</w:t>
      </w:r>
      <w:r w:rsidRPr="001C1B82">
        <w:rPr>
          <w:rFonts w:eastAsia="Calibri" w:cs="Calibri"/>
          <w:szCs w:val="16"/>
        </w:rPr>
        <w:t xml:space="preserve">. Profile books. </w:t>
      </w:r>
    </w:p>
  </w:footnote>
  <w:footnote w:id="234">
    <w:p w:rsidR="00673732" w:rsidRPr="001C1B82">
      <w:pPr>
        <w:pStyle w:val="footnotedescription"/>
        <w:spacing w:line="249" w:lineRule="auto"/>
        <w:rPr>
          <w:szCs w:val="16"/>
        </w:rPr>
      </w:pPr>
      <w:r w:rsidRPr="001C1B82">
        <w:rPr>
          <w:rStyle w:val="footnotemark"/>
          <w:szCs w:val="16"/>
        </w:rPr>
        <w:footnoteRef/>
      </w:r>
      <w:r w:rsidRPr="001C1B82">
        <w:rPr>
          <w:rFonts w:eastAsia="Calibri" w:cs="Calibri"/>
          <w:szCs w:val="16"/>
        </w:rPr>
        <w:t xml:space="preserve"> See and Benesch, C., Bütler, M., &amp; Hofer, K. E. (2018). Transparency in parliamentary voting. Journal of Public Economics, 163, 60-76 and Nyhan, B., &amp; Reifler, J. (2015). The effect of fact-checking on elites: A field experiment on US state legislators. </w:t>
      </w:r>
      <w:r w:rsidRPr="001C1B82">
        <w:rPr>
          <w:rFonts w:eastAsia="Calibri" w:cs="Calibri"/>
          <w:i/>
          <w:szCs w:val="16"/>
        </w:rPr>
        <w:t>American Journal of Political Science</w:t>
      </w:r>
      <w:r w:rsidRPr="001C1B82">
        <w:rPr>
          <w:rFonts w:eastAsia="Calibri" w:cs="Calibri"/>
          <w:szCs w:val="16"/>
        </w:rPr>
        <w:t xml:space="preserve">, </w:t>
      </w:r>
      <w:r w:rsidRPr="001C1B82">
        <w:rPr>
          <w:rFonts w:eastAsia="Calibri" w:cs="Calibri"/>
          <w:i/>
          <w:szCs w:val="16"/>
        </w:rPr>
        <w:t>59</w:t>
      </w:r>
      <w:r w:rsidRPr="001C1B82">
        <w:rPr>
          <w:rFonts w:eastAsia="Calibri" w:cs="Calibri"/>
          <w:szCs w:val="16"/>
        </w:rPr>
        <w:t xml:space="preserve">(3), 628-640. On rebellion Slapin, J. B., Kirkland, J. H., Lazzaro, J. A., Leslie, P. A., &amp; O’Grady, T. (2018). Ideology, Grandstanding, and Strategic Party Disloyalty in the British Parliament. </w:t>
      </w:r>
      <w:r w:rsidRPr="001C1B82">
        <w:rPr>
          <w:rFonts w:eastAsia="Calibri" w:cs="Calibri"/>
          <w:i/>
          <w:szCs w:val="16"/>
        </w:rPr>
        <w:t>American Political Science Review</w:t>
      </w:r>
      <w:r w:rsidRPr="001C1B82">
        <w:rPr>
          <w:rFonts w:eastAsia="Calibri" w:cs="Calibri"/>
          <w:szCs w:val="16"/>
        </w:rPr>
        <w:t xml:space="preserve">, 112 (1), 15-30   </w:t>
      </w:r>
    </w:p>
  </w:footnote>
  <w:footnote w:id="235">
    <w:p w:rsidR="00673732" w:rsidRPr="001C1B82">
      <w:pPr>
        <w:pStyle w:val="footnotedescription"/>
        <w:spacing w:line="254" w:lineRule="auto"/>
        <w:rPr>
          <w:szCs w:val="16"/>
        </w:rPr>
      </w:pPr>
      <w:r w:rsidRPr="001C1B82">
        <w:rPr>
          <w:rStyle w:val="footnotemark"/>
          <w:szCs w:val="16"/>
        </w:rPr>
        <w:footnoteRef/>
      </w:r>
      <w:r w:rsidRPr="001C1B82">
        <w:rPr>
          <w:rFonts w:eastAsia="Calibri" w:cs="Calibri"/>
          <w:szCs w:val="16"/>
        </w:rPr>
        <w:t xml:space="preserve"> Escher, T. (2011) </w:t>
      </w:r>
      <w:r w:rsidRPr="001C1B82">
        <w:rPr>
          <w:rFonts w:eastAsia="Calibri" w:cs="Calibri"/>
          <w:i/>
          <w:szCs w:val="16"/>
        </w:rPr>
        <w:t>TheyWorkForYou.com: Analysis of Users and Usage for UK Citizens Online Democracy</w:t>
      </w:r>
      <w:r w:rsidRPr="001C1B82">
        <w:rPr>
          <w:rFonts w:eastAsia="Calibri" w:cs="Calibri"/>
          <w:szCs w:val="16"/>
        </w:rPr>
        <w:t xml:space="preserve">. London: mySociety / UK Citizens Online Democracy.   </w:t>
      </w:r>
    </w:p>
  </w:footnote>
  <w:footnote w:id="236">
    <w:p w:rsidR="00673732" w:rsidRPr="001C1B82">
      <w:pPr>
        <w:pStyle w:val="footnotedescription"/>
        <w:spacing w:line="269" w:lineRule="auto"/>
        <w:rPr>
          <w:szCs w:val="16"/>
        </w:rPr>
      </w:pPr>
      <w:r w:rsidRPr="001C1B82">
        <w:rPr>
          <w:rStyle w:val="footnotemark"/>
          <w:szCs w:val="16"/>
        </w:rPr>
        <w:footnoteRef/>
      </w:r>
      <w:r w:rsidRPr="001C1B82">
        <w:rPr>
          <w:rFonts w:eastAsia="Calibri" w:cs="Calibri"/>
          <w:szCs w:val="16"/>
        </w:rPr>
        <w:t xml:space="preserve"> See Chadwick, A., and Stromer-Galley, J. (2016) ‘Digital Media, Power, and Democracy in Parties and Election Campaigns: Party Decline or Party Renewal?’ International Journal of Press/Politics, 21 (3): 283‒293  </w:t>
      </w:r>
    </w:p>
  </w:footnote>
  <w:footnote w:id="237">
    <w:p w:rsidR="00673732" w:rsidRPr="001C1B82">
      <w:pPr>
        <w:pStyle w:val="footnotedescription"/>
        <w:rPr>
          <w:szCs w:val="16"/>
        </w:rPr>
      </w:pPr>
      <w:r w:rsidRPr="001C1B82">
        <w:rPr>
          <w:rStyle w:val="footnotemark"/>
          <w:szCs w:val="16"/>
        </w:rPr>
        <w:footnoteRef/>
      </w:r>
      <w:r w:rsidRPr="001C1B82">
        <w:rPr>
          <w:rFonts w:eastAsia="Calibri" w:cs="Calibri"/>
          <w:szCs w:val="16"/>
        </w:rPr>
        <w:t xml:space="preserve"> See </w:t>
      </w:r>
      <w:r w:rsidRPr="001C1B82">
        <w:rPr>
          <w:rFonts w:eastAsia="Calibri" w:cs="Calibri"/>
          <w:color w:val="222222"/>
          <w:szCs w:val="16"/>
        </w:rPr>
        <w:t xml:space="preserve">Chadwick, A. (2017). </w:t>
      </w:r>
      <w:r w:rsidRPr="001C1B82">
        <w:rPr>
          <w:rFonts w:eastAsia="Calibri" w:cs="Calibri"/>
          <w:i/>
          <w:color w:val="222222"/>
          <w:szCs w:val="16"/>
        </w:rPr>
        <w:t>The hybrid media system: Politics and power</w:t>
      </w:r>
      <w:r w:rsidRPr="001C1B82">
        <w:rPr>
          <w:rFonts w:eastAsia="Calibri" w:cs="Calibri"/>
          <w:color w:val="222222"/>
          <w:szCs w:val="16"/>
        </w:rPr>
        <w:t>. Oxford University Press.</w:t>
      </w:r>
      <w:r w:rsidRPr="001C1B82">
        <w:rPr>
          <w:rFonts w:eastAsia="Calibri" w:cs="Calibri"/>
          <w:szCs w:val="16"/>
        </w:rPr>
        <w:t xml:space="preserve"> </w:t>
      </w:r>
    </w:p>
  </w:footnote>
  <w:footnote w:id="238">
    <w:p w:rsidR="00673732" w:rsidRPr="001C1B82">
      <w:pPr>
        <w:pStyle w:val="footnotedescription"/>
        <w:rPr>
          <w:szCs w:val="16"/>
        </w:rPr>
      </w:pPr>
      <w:r w:rsidRPr="001C1B82">
        <w:rPr>
          <w:rStyle w:val="footnotemark"/>
          <w:szCs w:val="16"/>
        </w:rPr>
        <w:footnoteRef/>
      </w:r>
      <w:r w:rsidRPr="001C1B82">
        <w:rPr>
          <w:rFonts w:eastAsia="Calibri" w:cs="Calibri"/>
          <w:szCs w:val="16"/>
        </w:rPr>
        <w:t xml:space="preserve"> See Heclo (1999) and also Flinders, M. (2015) ‘The Problem with Democracy’. </w:t>
      </w:r>
      <w:r w:rsidRPr="001C1B82">
        <w:rPr>
          <w:rFonts w:eastAsia="Calibri" w:cs="Calibri"/>
          <w:i/>
          <w:szCs w:val="16"/>
        </w:rPr>
        <w:t>Parliamentary Affairs</w:t>
      </w:r>
      <w:r w:rsidRPr="001C1B82">
        <w:rPr>
          <w:rFonts w:eastAsia="Calibri" w:cs="Calibri"/>
          <w:szCs w:val="16"/>
        </w:rPr>
        <w:t xml:space="preserve">, 69 (1), 181-203.  </w:t>
      </w:r>
    </w:p>
  </w:footnote>
  <w:footnote w:id="239">
    <w:p w:rsidR="00673732" w:rsidRPr="001C1B82">
      <w:pPr>
        <w:pStyle w:val="footnotedescription"/>
        <w:rPr>
          <w:szCs w:val="16"/>
        </w:rPr>
      </w:pPr>
      <w:r w:rsidRPr="001C1B82">
        <w:rPr>
          <w:rStyle w:val="footnotemark"/>
          <w:szCs w:val="16"/>
        </w:rPr>
        <w:footnoteRef/>
      </w:r>
      <w:r w:rsidRPr="001C1B82">
        <w:rPr>
          <w:rFonts w:eastAsia="Calibri" w:cs="Calibri"/>
          <w:szCs w:val="16"/>
        </w:rPr>
        <w:t xml:space="preserve"> See Kreiss, D. (2015). ‘The Problem of Citizens: E-Democracy for Actually Existing Democracy’. </w:t>
      </w:r>
      <w:r w:rsidRPr="001C1B82">
        <w:rPr>
          <w:rFonts w:eastAsia="Calibri" w:cs="Calibri"/>
          <w:i/>
          <w:szCs w:val="16"/>
        </w:rPr>
        <w:t>Social Media + Society</w:t>
      </w:r>
      <w:r w:rsidRPr="001C1B82">
        <w:rPr>
          <w:rFonts w:eastAsia="Calibri" w:cs="Calibri"/>
          <w:szCs w:val="16"/>
        </w:rPr>
        <w:t xml:space="preserve">, 1 (2), 1-11.  </w:t>
      </w:r>
    </w:p>
  </w:footnote>
  <w:footnote w:id="240">
    <w:p w:rsidR="00673732" w:rsidRPr="001C1B82">
      <w:pPr>
        <w:pStyle w:val="footnotedescription"/>
        <w:spacing w:line="254" w:lineRule="auto"/>
        <w:ind w:right="2636"/>
        <w:rPr>
          <w:szCs w:val="16"/>
        </w:rPr>
      </w:pPr>
      <w:r w:rsidRPr="001C1B82">
        <w:rPr>
          <w:rStyle w:val="footnotemark"/>
          <w:szCs w:val="16"/>
        </w:rPr>
        <w:footnoteRef/>
      </w:r>
      <w:r w:rsidRPr="001C1B82">
        <w:rPr>
          <w:rFonts w:eastAsia="Calibri" w:cs="Calibri"/>
          <w:szCs w:val="16"/>
        </w:rPr>
        <w:t xml:space="preserve"> See Allen, N. and Birch, S. (2014) ‘Tempests and Teacups: Politicians’ Reputations in the Wake of the Expenses Scandal’ in J. vanHeerde-Hudson (ed.), </w:t>
      </w:r>
      <w:r w:rsidRPr="001C1B82">
        <w:rPr>
          <w:rFonts w:eastAsia="Calibri" w:cs="Calibri"/>
          <w:i/>
          <w:szCs w:val="16"/>
        </w:rPr>
        <w:t>The Political Costs of the 2009 British MPs’ Expenses Scandal,</w:t>
      </w:r>
      <w:r w:rsidRPr="001C1B82">
        <w:rPr>
          <w:rFonts w:eastAsia="Calibri" w:cs="Calibri"/>
          <w:szCs w:val="16"/>
        </w:rPr>
        <w:t xml:space="preserve"> Basingstoke: Palgrave Macmillan, pp. 132–52. </w:t>
      </w:r>
    </w:p>
  </w:footnote>
  <w:footnote w:id="241">
    <w:p w:rsidR="00673732" w:rsidRPr="001C1B82">
      <w:pPr>
        <w:pStyle w:val="footnotedescription"/>
        <w:spacing w:line="269" w:lineRule="auto"/>
        <w:rPr>
          <w:szCs w:val="16"/>
        </w:rPr>
      </w:pPr>
      <w:r w:rsidRPr="001C1B82">
        <w:rPr>
          <w:rStyle w:val="footnotemark"/>
          <w:szCs w:val="16"/>
        </w:rPr>
        <w:footnoteRef/>
      </w:r>
      <w:r w:rsidRPr="001C1B82">
        <w:rPr>
          <w:rFonts w:eastAsia="Calibri" w:cs="Calibri"/>
          <w:szCs w:val="16"/>
        </w:rPr>
        <w:t xml:space="preserve"> See Stoker, Gerry, and Colin Hay.(2017) "Understanding and challenging populist negativity towards politics: The perspectives of British citizens." </w:t>
      </w:r>
      <w:r w:rsidRPr="001C1B82">
        <w:rPr>
          <w:rFonts w:eastAsia="Calibri" w:cs="Calibri"/>
          <w:i/>
          <w:szCs w:val="16"/>
        </w:rPr>
        <w:t>Political Studies</w:t>
      </w:r>
      <w:r w:rsidRPr="001C1B82">
        <w:rPr>
          <w:rFonts w:eastAsia="Calibri" w:cs="Calibri"/>
          <w:szCs w:val="16"/>
        </w:rPr>
        <w:t xml:space="preserve">, 4-23. </w:t>
      </w:r>
    </w:p>
  </w:footnote>
  <w:footnote w:id="242">
    <w:p w:rsidR="00673732" w:rsidRPr="001C1B82">
      <w:pPr>
        <w:pStyle w:val="footnotedescription"/>
        <w:spacing w:after="1"/>
        <w:ind w:left="1"/>
        <w:rPr>
          <w:szCs w:val="16"/>
        </w:rPr>
      </w:pPr>
      <w:r w:rsidRPr="001C1B82">
        <w:rPr>
          <w:rStyle w:val="footnotemark"/>
          <w:szCs w:val="16"/>
        </w:rPr>
        <w:footnoteRef/>
      </w:r>
      <w:r w:rsidRPr="001C1B82">
        <w:rPr>
          <w:szCs w:val="16"/>
        </w:rPr>
        <w:t xml:space="preserve"> Source: </w:t>
      </w:r>
      <w:r>
        <w:fldChar w:fldCharType="begin"/>
      </w:r>
      <w:r>
        <w:instrText xml:space="preserve"> HYPERLINK "http://media.digitalnewsreport.org/wp-content/uploads/2018/06/digital-news-report-2018.pdf?x89475" </w:instrText>
      </w:r>
      <w:r>
        <w:fldChar w:fldCharType="separate"/>
      </w:r>
      <w:r w:rsidRPr="001C1B82">
        <w:rPr>
          <w:color w:val="0563C1"/>
          <w:szCs w:val="16"/>
          <w:u w:val="single" w:color="0563C1"/>
        </w:rPr>
        <w:t>Reuters Institute Digital News Report</w:t>
      </w:r>
      <w:r>
        <w:fldChar w:fldCharType="end"/>
      </w:r>
      <w:r>
        <w:fldChar w:fldCharType="begin"/>
      </w:r>
      <w:r>
        <w:instrText xml:space="preserve"> HYPERLINK "http://media.digitalnewsreport.org/wp-content/uploads/2018/06/digital-news-report-2018.pdf?x89475" </w:instrText>
      </w:r>
      <w:r>
        <w:fldChar w:fldCharType="separate"/>
      </w:r>
      <w:r w:rsidRPr="001C1B82">
        <w:rPr>
          <w:szCs w:val="16"/>
        </w:rPr>
        <w:t xml:space="preserve"> </w:t>
      </w:r>
      <w:r>
        <w:fldChar w:fldCharType="end"/>
      </w:r>
      <w:r w:rsidRPr="001C1B82">
        <w:rPr>
          <w:szCs w:val="16"/>
        </w:rPr>
        <w:t xml:space="preserve">2018 </w:t>
      </w:r>
    </w:p>
  </w:footnote>
  <w:footnote w:id="243">
    <w:p w:rsidR="00673732" w:rsidRPr="001C1B82">
      <w:pPr>
        <w:pStyle w:val="footnotedescription"/>
        <w:ind w:left="1"/>
        <w:rPr>
          <w:szCs w:val="16"/>
        </w:rPr>
      </w:pPr>
      <w:r w:rsidRPr="001C1B82">
        <w:rPr>
          <w:rStyle w:val="footnotemark"/>
          <w:szCs w:val="16"/>
        </w:rPr>
        <w:footnoteRef/>
      </w:r>
      <w:r w:rsidRPr="001C1B82">
        <w:rPr>
          <w:szCs w:val="16"/>
        </w:rPr>
        <w:t xml:space="preserve"> Source: Newsworks, 2015: </w:t>
      </w:r>
      <w:r>
        <w:fldChar w:fldCharType="begin"/>
      </w:r>
      <w:r>
        <w:instrText xml:space="preserve"> HYPERLINK "http://www.newsworks.org.uk/Topics-themes/generation_news/78136" </w:instrText>
      </w:r>
      <w:r>
        <w:fldChar w:fldCharType="separate"/>
      </w:r>
      <w:r w:rsidRPr="001C1B82">
        <w:rPr>
          <w:color w:val="0563C1"/>
          <w:szCs w:val="16"/>
          <w:u w:val="single" w:color="0563C1"/>
        </w:rPr>
        <w:t>http://www.newsworks.org.uk/Topics-themes/generation_news/78136</w:t>
      </w:r>
      <w:r>
        <w:fldChar w:fldCharType="end"/>
      </w:r>
      <w:r>
        <w:fldChar w:fldCharType="begin"/>
      </w:r>
      <w:r>
        <w:instrText xml:space="preserve"> HYPERLINK "http://www.newsworks.org.uk/Topics-themes/generation_news/78136" </w:instrText>
      </w:r>
      <w:r>
        <w:fldChar w:fldCharType="separate"/>
      </w:r>
      <w:r w:rsidRPr="001C1B82">
        <w:rPr>
          <w:szCs w:val="16"/>
        </w:rPr>
        <w:t xml:space="preserve"> </w:t>
      </w:r>
      <w:r>
        <w:fldChar w:fldCharType="end"/>
      </w:r>
      <w:r w:rsidRPr="001C1B82">
        <w:rPr>
          <w:szCs w:val="16"/>
        </w:rPr>
        <w:t xml:space="preserve"> </w:t>
      </w:r>
    </w:p>
  </w:footnote>
  <w:footnote w:id="244">
    <w:p w:rsidR="00673732" w:rsidRPr="001C1B82">
      <w:pPr>
        <w:pStyle w:val="footnotedescription"/>
        <w:ind w:left="1"/>
        <w:rPr>
          <w:szCs w:val="16"/>
        </w:rPr>
      </w:pPr>
      <w:r w:rsidRPr="001C1B82">
        <w:rPr>
          <w:rStyle w:val="footnotemark"/>
          <w:szCs w:val="16"/>
        </w:rPr>
        <w:footnoteRef/>
      </w:r>
      <w:r w:rsidRPr="001C1B82">
        <w:rPr>
          <w:szCs w:val="16"/>
        </w:rPr>
        <w:t xml:space="preserve"> Source: John Nicolson Report for Channel 4, 2017 </w:t>
      </w:r>
    </w:p>
  </w:footnote>
  <w:footnote w:id="245">
    <w:p w:rsidR="00673732" w:rsidRPr="001C1B82">
      <w:pPr>
        <w:pStyle w:val="footnotedescription"/>
        <w:spacing w:after="14"/>
        <w:ind w:left="1"/>
        <w:rPr>
          <w:szCs w:val="16"/>
        </w:rPr>
      </w:pPr>
      <w:r w:rsidRPr="001C1B82">
        <w:rPr>
          <w:rStyle w:val="footnotemark"/>
          <w:szCs w:val="16"/>
        </w:rPr>
        <w:footnoteRef/>
      </w:r>
      <w:r w:rsidRPr="001C1B82">
        <w:rPr>
          <w:szCs w:val="16"/>
        </w:rPr>
        <w:t xml:space="preserve"> Source: Online Harms White Paper, April 2019 </w:t>
      </w:r>
    </w:p>
    <w:p w:rsidR="00673732" w:rsidRPr="001C1B82">
      <w:pPr>
        <w:pStyle w:val="footnotedescription"/>
        <w:spacing w:line="227" w:lineRule="auto"/>
        <w:ind w:left="1"/>
        <w:jc w:val="both"/>
        <w:rPr>
          <w:szCs w:val="16"/>
        </w:rPr>
      </w:pPr>
      <w:r>
        <w:fldChar w:fldCharType="begin"/>
      </w:r>
      <w:r>
        <w:instrText xml:space="preserve"> HYPERLINK "https://assets.publishing.service.gov.uk/government/uploads/system/uploads/attachment_data/file/793360/Online_Harms_White_Paper.pdf" </w:instrText>
      </w:r>
      <w:r>
        <w:fldChar w:fldCharType="separate"/>
      </w:r>
      <w:r w:rsidRPr="001C1B82">
        <w:rPr>
          <w:color w:val="0563C1"/>
          <w:szCs w:val="16"/>
          <w:u w:val="single" w:color="0563C1"/>
        </w:rPr>
        <w:t xml:space="preserve">https://assets.publishing.service.gov.uk/government/uploads/system/uploads/attachment_data/file/793360/Online_Harms_W </w:t>
      </w:r>
      <w:r>
        <w:fldChar w:fldCharType="end"/>
      </w:r>
      <w:r>
        <w:fldChar w:fldCharType="begin"/>
      </w:r>
      <w:r>
        <w:instrText xml:space="preserve"> HYPERLINK "https://assets.publishing.service.gov.uk/government/uploads/system/uploads/attachment_data/file/793360/Online_Harms_White_Paper.pdf" </w:instrText>
      </w:r>
      <w:r>
        <w:fldChar w:fldCharType="separate"/>
      </w:r>
      <w:r w:rsidRPr="001C1B82">
        <w:rPr>
          <w:color w:val="0563C1"/>
          <w:szCs w:val="16"/>
          <w:u w:val="single" w:color="0563C1"/>
        </w:rPr>
        <w:t>hite_Paper.pdf</w:t>
      </w:r>
      <w:r>
        <w:fldChar w:fldCharType="end"/>
      </w:r>
      <w:r>
        <w:fldChar w:fldCharType="begin"/>
      </w:r>
      <w:r>
        <w:instrText xml:space="preserve"> HYPERLINK "https://assets.publishing.service.gov.uk/government/uploads/system/uploads/attachment_data/file/793360/Online_Harms_White_Paper.pdf" </w:instrText>
      </w:r>
      <w:r>
        <w:fldChar w:fldCharType="separate"/>
      </w:r>
      <w:r w:rsidRPr="001C1B82">
        <w:rPr>
          <w:szCs w:val="16"/>
        </w:rPr>
        <w:t xml:space="preserve"> </w:t>
      </w:r>
      <w:r>
        <w:fldChar w:fldCharType="end"/>
      </w:r>
      <w:r w:rsidRPr="001C1B82">
        <w:rPr>
          <w:szCs w:val="16"/>
        </w:rPr>
        <w:t xml:space="preserve"> </w:t>
      </w:r>
    </w:p>
  </w:footnote>
  <w:footnote w:id="246">
    <w:p w:rsidR="00673732" w:rsidRPr="001C1B82">
      <w:pPr>
        <w:pStyle w:val="footnotedescription"/>
        <w:spacing w:after="2"/>
        <w:ind w:left="1"/>
        <w:rPr>
          <w:szCs w:val="16"/>
        </w:rPr>
      </w:pPr>
      <w:r w:rsidRPr="001C1B82">
        <w:rPr>
          <w:rStyle w:val="footnotemark"/>
          <w:szCs w:val="16"/>
        </w:rPr>
        <w:footnoteRef/>
      </w:r>
      <w:r w:rsidRPr="001C1B82">
        <w:rPr>
          <w:szCs w:val="16"/>
        </w:rPr>
        <w:t xml:space="preserve"> Source: Reuters Institute Digital News Report 2019  </w:t>
      </w:r>
    </w:p>
  </w:footnote>
  <w:footnote w:id="247">
    <w:p w:rsidR="00673732" w:rsidRPr="001C1B82">
      <w:pPr>
        <w:pStyle w:val="footnotedescription"/>
        <w:spacing w:after="2"/>
        <w:ind w:left="1"/>
        <w:rPr>
          <w:szCs w:val="16"/>
        </w:rPr>
      </w:pPr>
      <w:r w:rsidRPr="001C1B82">
        <w:rPr>
          <w:rStyle w:val="footnotemark"/>
          <w:szCs w:val="16"/>
        </w:rPr>
        <w:footnoteRef/>
      </w:r>
      <w:r w:rsidRPr="001C1B82">
        <w:rPr>
          <w:szCs w:val="16"/>
        </w:rPr>
        <w:t xml:space="preserve"> Source: Ofcom News Consumption in the UK: 2018 </w:t>
      </w:r>
    </w:p>
  </w:footnote>
  <w:footnote w:id="248">
    <w:p w:rsidR="00673732" w:rsidRPr="001C1B82">
      <w:pPr>
        <w:pStyle w:val="footnotedescription"/>
        <w:spacing w:line="278" w:lineRule="auto"/>
        <w:ind w:left="1"/>
        <w:rPr>
          <w:szCs w:val="16"/>
        </w:rPr>
      </w:pPr>
      <w:r w:rsidRPr="001C1B82">
        <w:rPr>
          <w:rStyle w:val="footnotemark"/>
          <w:szCs w:val="16"/>
        </w:rPr>
        <w:footnoteRef/>
      </w:r>
      <w:r w:rsidRPr="001C1B82">
        <w:rPr>
          <w:szCs w:val="16"/>
        </w:rPr>
        <w:t xml:space="preserve"> Source: Research commissioned by Channel 4 from YouGov in August 2018. Sample of 2,065 adults, of which 589 were aged 16-34 </w:t>
      </w:r>
    </w:p>
  </w:footnote>
  <w:footnote w:id="249">
    <w:p w:rsidR="00673732" w:rsidRPr="001C1B82">
      <w:pPr>
        <w:pStyle w:val="footnotedescription"/>
        <w:ind w:left="1"/>
        <w:rPr>
          <w:szCs w:val="16"/>
        </w:rPr>
      </w:pPr>
      <w:r w:rsidRPr="001C1B82">
        <w:rPr>
          <w:rStyle w:val="footnotemark"/>
          <w:szCs w:val="16"/>
        </w:rPr>
        <w:footnoteRef/>
      </w:r>
      <w:r w:rsidRPr="001C1B82">
        <w:rPr>
          <w:szCs w:val="16"/>
        </w:rPr>
        <w:t xml:space="preserve"> Source: The Cairncross Review A Sustainable Future for Journalism </w:t>
      </w:r>
    </w:p>
  </w:footnote>
  <w:footnote w:id="250">
    <w:p w:rsidR="00673732" w:rsidRPr="001C1B82">
      <w:pPr>
        <w:pStyle w:val="footnotedescription"/>
        <w:spacing w:after="14"/>
        <w:ind w:left="1"/>
        <w:rPr>
          <w:szCs w:val="16"/>
        </w:rPr>
      </w:pPr>
      <w:r w:rsidRPr="001C1B82">
        <w:rPr>
          <w:rStyle w:val="footnotemark"/>
          <w:szCs w:val="16"/>
        </w:rPr>
        <w:footnoteRef/>
      </w:r>
      <w:r w:rsidRPr="001C1B82">
        <w:rPr>
          <w:szCs w:val="16"/>
        </w:rPr>
        <w:t xml:space="preserve"> Source:  Online Harms White Paper, April 2019 </w:t>
      </w:r>
    </w:p>
    <w:p w:rsidR="00673732" w:rsidRPr="001C1B82">
      <w:pPr>
        <w:pStyle w:val="footnotedescription"/>
        <w:spacing w:line="241" w:lineRule="auto"/>
        <w:ind w:left="1"/>
        <w:jc w:val="both"/>
        <w:rPr>
          <w:szCs w:val="16"/>
        </w:rPr>
      </w:pPr>
      <w:r>
        <w:fldChar w:fldCharType="begin"/>
      </w:r>
      <w:r>
        <w:instrText xml:space="preserve"> HYPERLINK "https://assets.publishing.service.gov.uk/government/uploads/system/uploads/attachment_data/file/793360/Online_Harms_White_Paper.pdf" </w:instrText>
      </w:r>
      <w:r>
        <w:fldChar w:fldCharType="separate"/>
      </w:r>
      <w:r w:rsidRPr="001C1B82">
        <w:rPr>
          <w:color w:val="0563C1"/>
          <w:szCs w:val="16"/>
          <w:u w:val="single" w:color="0563C1"/>
        </w:rPr>
        <w:t xml:space="preserve">https://assets.publishing.service.gov.uk/government/uploads/system/uploads/attachment_data/file/793360/Online_Harms_W </w:t>
      </w:r>
      <w:r>
        <w:fldChar w:fldCharType="end"/>
      </w:r>
      <w:r>
        <w:fldChar w:fldCharType="begin"/>
      </w:r>
      <w:r>
        <w:instrText xml:space="preserve"> HYPERLINK "https://assets.publishing.service.gov.uk/government/uploads/system/uploads/attachment_data/file/793360/Online_Harms_White_Paper.pdf" </w:instrText>
      </w:r>
      <w:r>
        <w:fldChar w:fldCharType="separate"/>
      </w:r>
      <w:r w:rsidRPr="001C1B82">
        <w:rPr>
          <w:color w:val="0563C1"/>
          <w:szCs w:val="16"/>
          <w:u w:val="single" w:color="0563C1"/>
        </w:rPr>
        <w:t>hite_Paper.pdf</w:t>
      </w:r>
      <w:r>
        <w:fldChar w:fldCharType="end"/>
      </w:r>
      <w:r>
        <w:fldChar w:fldCharType="begin"/>
      </w:r>
      <w:r>
        <w:instrText xml:space="preserve"> HYPERLINK "https://assets.publishing.service.gov.uk/government/uploads/system/uploads/attachment_data/file/793360/Online_Harms_White_Paper.pdf" </w:instrText>
      </w:r>
      <w:r>
        <w:fldChar w:fldCharType="separate"/>
      </w:r>
      <w:r w:rsidRPr="001C1B82">
        <w:rPr>
          <w:szCs w:val="16"/>
        </w:rPr>
        <w:t xml:space="preserve"> </w:t>
      </w:r>
      <w:r>
        <w:fldChar w:fldCharType="end"/>
      </w:r>
      <w:r w:rsidRPr="001C1B82">
        <w:rPr>
          <w:szCs w:val="16"/>
        </w:rPr>
        <w:t xml:space="preserve">  </w:t>
      </w:r>
    </w:p>
  </w:footnote>
  <w:footnote w:id="251">
    <w:p w:rsidR="00673732" w:rsidRPr="001C1B82">
      <w:pPr>
        <w:pStyle w:val="footnotedescription"/>
        <w:ind w:left="1"/>
        <w:rPr>
          <w:szCs w:val="16"/>
        </w:rPr>
      </w:pPr>
      <w:r w:rsidRPr="001C1B82">
        <w:rPr>
          <w:rStyle w:val="footnotemark"/>
          <w:szCs w:val="16"/>
        </w:rPr>
        <w:footnoteRef/>
      </w:r>
      <w:r w:rsidRPr="001C1B82">
        <w:rPr>
          <w:szCs w:val="16"/>
        </w:rPr>
        <w:t xml:space="preserve"> Source: YouGov survey of 1684 British adults aged over 18 commissioned by Channel 4, January 2017 </w:t>
      </w:r>
    </w:p>
  </w:footnote>
  <w:footnote w:id="252">
    <w:p w:rsidR="00673732" w:rsidRPr="001C1B82">
      <w:pPr>
        <w:pStyle w:val="footnotedescription"/>
        <w:ind w:left="1"/>
        <w:rPr>
          <w:szCs w:val="16"/>
        </w:rPr>
      </w:pPr>
      <w:r w:rsidRPr="001C1B82">
        <w:rPr>
          <w:rStyle w:val="footnotemark"/>
          <w:szCs w:val="16"/>
        </w:rPr>
        <w:footnoteRef/>
      </w:r>
      <w:r w:rsidRPr="001C1B82">
        <w:rPr>
          <w:szCs w:val="16"/>
        </w:rPr>
        <w:t xml:space="preserve"> Source: </w:t>
      </w:r>
      <w:r>
        <w:fldChar w:fldCharType="begin"/>
      </w:r>
      <w:r>
        <w:instrText xml:space="preserve"> HYPERLINK "https://www.gov.uk/cma-cases/online-platforms-and-digital-advertising-market-study" </w:instrText>
      </w:r>
      <w:r>
        <w:fldChar w:fldCharType="separate"/>
      </w:r>
      <w:r w:rsidRPr="001C1B82">
        <w:rPr>
          <w:color w:val="0563C1"/>
          <w:szCs w:val="16"/>
          <w:u w:val="single" w:color="0563C1"/>
        </w:rPr>
        <w:t>https://www.gov.uk/cma-cases/online-platforms-and-digital-advertising-market-study</w:t>
      </w:r>
      <w:r>
        <w:fldChar w:fldCharType="end"/>
      </w:r>
      <w:r>
        <w:fldChar w:fldCharType="begin"/>
      </w:r>
      <w:r>
        <w:instrText xml:space="preserve"> HYPERLINK "https://www.gov.uk/cma-cases/online-platforms-and-digital-advertising-market-study" </w:instrText>
      </w:r>
      <w:r>
        <w:fldChar w:fldCharType="separate"/>
      </w:r>
      <w:r w:rsidRPr="001C1B82">
        <w:rPr>
          <w:szCs w:val="16"/>
        </w:rPr>
        <w:t xml:space="preserve"> </w:t>
      </w:r>
      <w:r>
        <w:fldChar w:fldCharType="end"/>
      </w:r>
      <w:r w:rsidRPr="001C1B82">
        <w:rPr>
          <w:szCs w:val="16"/>
        </w:rPr>
        <w:t xml:space="preserve"> </w:t>
      </w:r>
    </w:p>
  </w:footnote>
  <w:footnote w:id="253">
    <w:p w:rsidR="00673732" w:rsidRPr="001C1B82">
      <w:pPr>
        <w:pStyle w:val="footnotedescription"/>
        <w:spacing w:line="260" w:lineRule="auto"/>
        <w:ind w:left="1"/>
        <w:rPr>
          <w:szCs w:val="16"/>
        </w:rPr>
      </w:pPr>
      <w:r w:rsidRPr="001C1B82">
        <w:rPr>
          <w:rStyle w:val="footnotemark"/>
          <w:szCs w:val="16"/>
        </w:rPr>
        <w:footnoteRef/>
      </w:r>
      <w:r w:rsidRPr="001C1B82">
        <w:rPr>
          <w:szCs w:val="16"/>
        </w:rPr>
        <w:t xml:space="preserve"> Source: Ofcom, 2019 </w:t>
      </w:r>
      <w:r>
        <w:fldChar w:fldCharType="begin"/>
      </w:r>
      <w:r>
        <w:instrText xml:space="preserve"> HYPERLINK "https://www.ofcom.org.uk/__data/assets/pdf_file/0021/154461/recommendations-for-new-legislative-framework-for-psb-prominence.pdf" </w:instrText>
      </w:r>
      <w:r>
        <w:fldChar w:fldCharType="separate"/>
      </w:r>
      <w:r w:rsidRPr="001C1B82">
        <w:rPr>
          <w:color w:val="0563C1"/>
          <w:szCs w:val="16"/>
          <w:u w:val="single" w:color="0563C1"/>
        </w:rPr>
        <w:t>https://www.ofcom.org.uk/__data/assets/pdf_file/0021/154461/recommendations-for-new-legislative</w:t>
      </w:r>
      <w:r>
        <w:fldChar w:fldCharType="end"/>
      </w:r>
      <w:r>
        <w:fldChar w:fldCharType="begin"/>
      </w:r>
      <w:r>
        <w:instrText xml:space="preserve"> HYPERLINK "https://www.ofcom.org.uk/__data/assets/pdf_file/0021/154461/recommendations-for-new-legislative-framework-for-psb-prominence.pdf" </w:instrText>
      </w:r>
      <w:r>
        <w:fldChar w:fldCharType="separate"/>
      </w:r>
      <w:r w:rsidRPr="001C1B82">
        <w:rPr>
          <w:color w:val="0563C1"/>
          <w:szCs w:val="16"/>
          <w:u w:val="single" w:color="0563C1"/>
        </w:rPr>
        <w:t>framework-for-psb-prominence.pdf</w:t>
      </w:r>
      <w:r>
        <w:fldChar w:fldCharType="end"/>
      </w:r>
      <w:r>
        <w:fldChar w:fldCharType="begin"/>
      </w:r>
      <w:r>
        <w:instrText xml:space="preserve"> HYPERLINK "https://www.ofcom.org.uk/__data/assets/pdf_file/0021/154461/recommendations-for-new-legislative-framework-for-psb-prominence.pdf" </w:instrText>
      </w:r>
      <w:r>
        <w:fldChar w:fldCharType="separate"/>
      </w:r>
      <w:r w:rsidRPr="001C1B82">
        <w:rPr>
          <w:szCs w:val="16"/>
        </w:rPr>
        <w:t xml:space="preserve"> </w:t>
      </w:r>
      <w:r>
        <w:fldChar w:fldCharType="end"/>
      </w:r>
    </w:p>
  </w:footnote>
  <w:footnote w:id="254">
    <w:p w:rsidR="00673732" w:rsidRPr="001C1B82">
      <w:pPr>
        <w:pStyle w:val="footnotedescription"/>
        <w:spacing w:line="253" w:lineRule="auto"/>
        <w:ind w:left="1"/>
        <w:rPr>
          <w:szCs w:val="16"/>
        </w:rPr>
      </w:pPr>
      <w:r w:rsidRPr="001C1B82">
        <w:rPr>
          <w:rStyle w:val="footnotemark"/>
          <w:szCs w:val="16"/>
        </w:rPr>
        <w:footnoteRef/>
      </w:r>
      <w:r w:rsidRPr="001C1B82">
        <w:rPr>
          <w:szCs w:val="16"/>
        </w:rPr>
        <w:t xml:space="preserve"> Source:  Online Harms White Paper, April 2019 </w:t>
      </w:r>
      <w:r>
        <w:fldChar w:fldCharType="begin"/>
      </w:r>
      <w:r>
        <w:instrText xml:space="preserve"> HYPERLINK "https://assets.publishing.service.gov.uk/government/uploads/system/uploads/attachment_data/file/793360/Online_Harms_White_Paper.pdf" </w:instrText>
      </w:r>
      <w:r>
        <w:fldChar w:fldCharType="separate"/>
      </w:r>
      <w:r w:rsidRPr="001C1B82">
        <w:rPr>
          <w:color w:val="0563C1"/>
          <w:szCs w:val="16"/>
          <w:u w:val="single" w:color="0563C1"/>
        </w:rPr>
        <w:t xml:space="preserve">https://assets.publishing.service.gov.uk/government/uploads/system/uploads/attachment_data/file/793360/Online_Harms_W </w:t>
      </w:r>
      <w:r>
        <w:fldChar w:fldCharType="end"/>
      </w:r>
      <w:r>
        <w:fldChar w:fldCharType="begin"/>
      </w:r>
      <w:r>
        <w:instrText xml:space="preserve"> HYPERLINK "https://assets.publishing.service.gov.uk/government/uploads/system/uploads/attachment_data/file/793360/Online_Harms_White_Paper.pdf" </w:instrText>
      </w:r>
      <w:r>
        <w:fldChar w:fldCharType="separate"/>
      </w:r>
      <w:r w:rsidRPr="001C1B82">
        <w:rPr>
          <w:color w:val="0563C1"/>
          <w:szCs w:val="16"/>
          <w:u w:val="single" w:color="0563C1"/>
        </w:rPr>
        <w:t>hite_Paper.pdf</w:t>
      </w:r>
      <w:r>
        <w:fldChar w:fldCharType="end"/>
      </w:r>
      <w:r>
        <w:fldChar w:fldCharType="begin"/>
      </w:r>
      <w:r>
        <w:instrText xml:space="preserve"> HYPERLINK "https://assets.publishing.service.gov.uk/government/uploads/system/uploads/attachment_data/file/793360/Online_Harms_White_Paper.pdf" </w:instrText>
      </w:r>
      <w:r>
        <w:fldChar w:fldCharType="separate"/>
      </w:r>
      <w:r w:rsidRPr="001C1B82">
        <w:rPr>
          <w:szCs w:val="16"/>
        </w:rPr>
        <w:t xml:space="preserve"> </w:t>
      </w:r>
      <w:r>
        <w:fldChar w:fldCharType="end"/>
      </w:r>
      <w:r w:rsidRPr="001C1B82">
        <w:rPr>
          <w:szCs w:val="16"/>
        </w:rPr>
        <w:t xml:space="preserve">  </w:t>
      </w:r>
    </w:p>
    <w:p w:rsidR="00673732" w:rsidRPr="001C1B82">
      <w:pPr>
        <w:pStyle w:val="footnotedescription"/>
        <w:spacing w:after="15"/>
        <w:ind w:left="1"/>
        <w:rPr>
          <w:szCs w:val="16"/>
        </w:rPr>
      </w:pPr>
      <w:r w:rsidRPr="001C1B82">
        <w:rPr>
          <w:szCs w:val="16"/>
          <w:vertAlign w:val="superscript"/>
        </w:rPr>
        <w:t>[1]</w:t>
      </w:r>
      <w:r w:rsidRPr="001C1B82">
        <w:rPr>
          <w:szCs w:val="16"/>
        </w:rPr>
        <w:t xml:space="preserve"> 2018, Ofcom Addressing harmful online content </w:t>
      </w:r>
    </w:p>
    <w:p w:rsidR="00673732" w:rsidRPr="001C1B82">
      <w:pPr>
        <w:pStyle w:val="footnotedescription"/>
        <w:ind w:left="1"/>
        <w:rPr>
          <w:szCs w:val="16"/>
        </w:rPr>
      </w:pPr>
      <w:r w:rsidRPr="001C1B82">
        <w:rPr>
          <w:szCs w:val="16"/>
        </w:rPr>
        <w:t xml:space="preserve">https://www.ofcom.org.uk/__data/assets/pdf_file/0022/120991/Addressing-harmful-online-content.pdf </w:t>
      </w:r>
    </w:p>
  </w:footnote>
  <w:footnote w:id="255">
    <w:p w:rsidR="00673732" w:rsidRPr="001C1B82">
      <w:pPr>
        <w:pStyle w:val="footnotedescription"/>
        <w:spacing w:after="815" w:line="257" w:lineRule="auto"/>
        <w:rPr>
          <w:szCs w:val="16"/>
        </w:rPr>
      </w:pPr>
      <w:r w:rsidRPr="001C1B82">
        <w:rPr>
          <w:rStyle w:val="footnotemark"/>
          <w:szCs w:val="16"/>
        </w:rPr>
        <w:footnoteRef/>
      </w:r>
      <w:r w:rsidRPr="001C1B82">
        <w:rPr>
          <w:color w:val="003057"/>
          <w:szCs w:val="16"/>
        </w:rPr>
        <w:t xml:space="preserve"> It is worth noting that the percentages do not show the full picture of digital advertising at elections. They only consist of spending data for the most well-known digital platforms, which registered campaigners have reported to us. </w:t>
      </w:r>
    </w:p>
    <w:p w:rsidR="00673732" w:rsidRPr="001C1B82">
      <w:pPr>
        <w:pStyle w:val="footnotedescription"/>
        <w:ind w:left="5"/>
        <w:jc w:val="center"/>
        <w:rPr>
          <w:szCs w:val="16"/>
        </w:rPr>
      </w:pPr>
    </w:p>
  </w:footnote>
  <w:footnote w:id="256">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"https://perma.cc/7FVT-3PFL" </w:instrText>
      </w:r>
      <w:r>
        <w:fldChar w:fldCharType="separate"/>
      </w:r>
      <w:r w:rsidRPr="001C1B82">
        <w:rPr>
          <w:color w:val="0000FF"/>
          <w:szCs w:val="16"/>
          <w:u w:val="single" w:color="0000FF"/>
        </w:rPr>
        <w:t>https://perma.cc/7FVT-3PFL</w:t>
      </w:r>
      <w:r>
        <w:fldChar w:fldCharType="end"/>
      </w:r>
      <w:r>
        <w:fldChar w:fldCharType="begin"/>
      </w:r>
      <w:r>
        <w:instrText xml:space="preserve"> HYPERLINK "https://perma.cc/7FVT-3PFL" </w:instrText>
      </w:r>
      <w:r>
        <w:fldChar w:fldCharType="separate"/>
      </w:r>
      <w:r w:rsidRPr="001C1B82">
        <w:rPr>
          <w:szCs w:val="16"/>
        </w:rPr>
        <w:t xml:space="preserve"> </w:t>
      </w:r>
      <w:r>
        <w:fldChar w:fldCharType="end"/>
      </w:r>
      <w:r w:rsidRPr="001C1B82">
        <w:rPr>
          <w:szCs w:val="16"/>
        </w:rPr>
        <w:t xml:space="preserve">see page 34. </w:t>
      </w:r>
    </w:p>
  </w:footnote>
  <w:footnote w:id="257">
    <w:p w:rsidR="00673732" w:rsidRPr="001C1B82">
      <w:pPr>
        <w:pStyle w:val="footnotedescription"/>
        <w:rPr>
          <w:szCs w:val="16"/>
        </w:rPr>
      </w:pPr>
      <w:r w:rsidRPr="001C1B82">
        <w:rPr>
          <w:rStyle w:val="footnotemark"/>
          <w:szCs w:val="16"/>
        </w:rPr>
        <w:footnoteRef/>
      </w:r>
      <w:r w:rsidRPr="001C1B82">
        <w:rPr>
          <w:szCs w:val="16"/>
        </w:rPr>
        <w:t xml:space="preserve"> </w:t>
      </w:r>
      <w:r w:rsidRPr="001C1B82">
        <w:rPr>
          <w:color w:val="0000FF"/>
          <w:szCs w:val="16"/>
        </w:rPr>
        <w:t xml:space="preserve">https://perma.cc/KQM7-JMFF </w:t>
      </w:r>
    </w:p>
  </w:footnote>
  <w:footnote w:id="258">
    <w:p w:rsidR="00673732" w:rsidRPr="001C1B82">
      <w:pPr>
        <w:pStyle w:val="footnotedescription"/>
        <w:spacing w:after="9"/>
        <w:rPr>
          <w:szCs w:val="16"/>
        </w:rPr>
      </w:pPr>
      <w:r w:rsidRPr="001C1B82">
        <w:rPr>
          <w:rStyle w:val="footnotemark"/>
          <w:szCs w:val="16"/>
        </w:rPr>
        <w:footnoteRef/>
      </w:r>
      <w:r w:rsidRPr="001C1B82">
        <w:rPr>
          <w:szCs w:val="16"/>
        </w:rPr>
        <w:t xml:space="preserve"> </w:t>
      </w:r>
      <w:r w:rsidRPr="001C1B82">
        <w:rPr>
          <w:color w:val="0000FF"/>
          <w:szCs w:val="16"/>
        </w:rPr>
        <w:t xml:space="preserve">https://perma.cc/9GUH-C2VC </w:t>
      </w:r>
    </w:p>
  </w:footnote>
  <w:footnote w:id="259">
    <w:p w:rsidR="00673732" w:rsidRPr="001C1B82">
      <w:pPr>
        <w:pStyle w:val="footnotedescription"/>
        <w:spacing w:line="250" w:lineRule="auto"/>
        <w:ind w:right="716"/>
        <w:rPr>
          <w:szCs w:val="16"/>
        </w:rPr>
      </w:pPr>
      <w:r w:rsidRPr="001C1B82">
        <w:rPr>
          <w:rStyle w:val="footnotemark"/>
          <w:szCs w:val="16"/>
        </w:rPr>
        <w:footnoteRef/>
      </w:r>
      <w:r w:rsidRPr="001C1B82">
        <w:rPr>
          <w:szCs w:val="16"/>
        </w:rPr>
        <w:t xml:space="preserve"> </w:t>
      </w:r>
      <w:r>
        <w:fldChar w:fldCharType="begin"/>
      </w:r>
      <w:r>
        <w:instrText xml:space="preserve"> HYPERLINK "https://edps.europa.eu/sites/edp/files/publication/18-03-19_online_manipulation_en.pdf" </w:instrText>
      </w:r>
      <w:r>
        <w:fldChar w:fldCharType="separate"/>
      </w:r>
      <w:r w:rsidRPr="001C1B82">
        <w:rPr>
          <w:color w:val="0000FF"/>
          <w:szCs w:val="16"/>
          <w:u w:val="single" w:color="0000FF"/>
        </w:rPr>
        <w:t>https://edps.europa.eu/sites/edp/files/publication/18-03-19_online_manipulation_en.pdf</w:t>
      </w:r>
      <w:r>
        <w:fldChar w:fldCharType="end"/>
      </w:r>
      <w:r>
        <w:fldChar w:fldCharType="begin"/>
      </w:r>
      <w:r>
        <w:instrText xml:space="preserve"> HYPERLINK "https://edps.europa.eu/sites/edp/files/publication/18-03-19_online_manipulation_en.pdf" </w:instrText>
      </w:r>
      <w:r>
        <w:fldChar w:fldCharType="separate"/>
      </w:r>
      <w:r w:rsidRPr="001C1B82">
        <w:rPr>
          <w:szCs w:val="16"/>
        </w:rPr>
        <w:t xml:space="preserve"> </w:t>
      </w:r>
      <w:r>
        <w:fldChar w:fldCharType="end"/>
      </w:r>
      <w:r w:rsidRPr="001C1B82">
        <w:rPr>
          <w:szCs w:val="16"/>
        </w:rPr>
        <w:t xml:space="preserve">see page 9. </w:t>
      </w:r>
      <w:r w:rsidRPr="001C1B82">
        <w:rPr>
          <w:szCs w:val="16"/>
          <w:vertAlign w:val="superscript"/>
        </w:rPr>
        <w:t>5</w:t>
      </w:r>
      <w:r w:rsidRPr="001C1B82">
        <w:rPr>
          <w:szCs w:val="16"/>
        </w:rPr>
        <w:t xml:space="preserve"> See for example </w:t>
      </w:r>
      <w:r>
        <w:fldChar w:fldCharType="begin"/>
      </w:r>
      <w:r>
        <w:instrText xml:space="preserve"> HYPERLINK "https://publications.parliament.uk/pa/cm201719/cmselect/cmcumeds/363/363.pdf" </w:instrText>
      </w:r>
      <w:r>
        <w:fldChar w:fldCharType="separate"/>
      </w:r>
      <w:r w:rsidRPr="001C1B82">
        <w:rPr>
          <w:color w:val="0000FF"/>
          <w:szCs w:val="16"/>
          <w:u w:val="single" w:color="0000FF"/>
        </w:rPr>
        <w:t>https://publications.parliament.uk/pa/cm201719/cmselect/cmcumeds/363/363.pdf</w:t>
      </w:r>
      <w:r>
        <w:fldChar w:fldCharType="end"/>
      </w:r>
      <w:r>
        <w:fldChar w:fldCharType="begin"/>
      </w:r>
      <w:r>
        <w:instrText xml:space="preserve"> HYPERLINK "https://publications.parliament.uk/pa/cm201719/cmselect/cmcumeds/363/363.pdf" </w:instrText>
      </w:r>
      <w:r>
        <w:fldChar w:fldCharType="separate"/>
      </w:r>
      <w:r w:rsidRPr="001C1B82">
        <w:rPr>
          <w:szCs w:val="16"/>
        </w:rPr>
        <w:t>;</w:t>
      </w:r>
      <w:r>
        <w:fldChar w:fldCharType="end"/>
      </w:r>
      <w:r w:rsidRPr="001C1B82">
        <w:rPr>
          <w:szCs w:val="16"/>
        </w:rPr>
        <w:t xml:space="preserve"> </w:t>
      </w:r>
      <w:r>
        <w:fldChar w:fldCharType="begin"/>
      </w:r>
      <w:r>
        <w:instrText xml:space="preserve"> HYPERLINK "https://publications.parliament.uk/pa/cm201719/cmselect/cmcumeds/1791/1791.pdf" </w:instrText>
      </w:r>
      <w:r>
        <w:fldChar w:fldCharType="separate"/>
      </w:r>
      <w:r w:rsidRPr="001C1B82">
        <w:rPr>
          <w:color w:val="0000FF"/>
          <w:szCs w:val="16"/>
          <w:u w:val="single" w:color="0000FF"/>
        </w:rPr>
        <w:t>https://publications.parliament.uk/pa/cm201719/cmselect/cmcumeds/1791/1791.pdf</w:t>
      </w:r>
      <w:r>
        <w:fldChar w:fldCharType="end"/>
      </w:r>
      <w:r>
        <w:fldChar w:fldCharType="begin"/>
      </w:r>
      <w:r>
        <w:instrText xml:space="preserve"> HYPERLINK "https://publications.parliament.uk/pa/cm201719/cmselect/cmcumeds/1791/1791.pdf" </w:instrText>
      </w:r>
      <w:r>
        <w:fldChar w:fldCharType="separate"/>
      </w:r>
      <w:r w:rsidRPr="001C1B82">
        <w:rPr>
          <w:szCs w:val="16"/>
        </w:rPr>
        <w:t xml:space="preserve"> </w:t>
      </w:r>
      <w:r>
        <w:fldChar w:fldCharType="end"/>
      </w:r>
      <w:r w:rsidRPr="001C1B82">
        <w:rPr>
          <w:szCs w:val="16"/>
          <w:vertAlign w:val="superscript"/>
        </w:rPr>
        <w:t>6</w:t>
      </w:r>
      <w:r>
        <w:fldChar w:fldCharType="begin"/>
      </w:r>
      <w:r>
        <w:instrText xml:space="preserve"> HYPERLINK "https://undocs.org/A/73/348" </w:instrText>
      </w:r>
      <w:r>
        <w:fldChar w:fldCharType="separate"/>
      </w:r>
      <w:r w:rsidRPr="001C1B82">
        <w:rPr>
          <w:szCs w:val="16"/>
        </w:rPr>
        <w:t xml:space="preserve"> </w:t>
      </w:r>
      <w:r>
        <w:fldChar w:fldCharType="end"/>
      </w:r>
      <w:r>
        <w:fldChar w:fldCharType="begin"/>
      </w:r>
      <w:r>
        <w:instrText xml:space="preserve"> HYPERLINK "https://undocs.org/A/73/348" </w:instrText>
      </w:r>
      <w:r>
        <w:fldChar w:fldCharType="separate"/>
      </w:r>
      <w:r w:rsidRPr="001C1B82">
        <w:rPr>
          <w:color w:val="0000FF"/>
          <w:szCs w:val="16"/>
          <w:u w:val="single" w:color="0000FF"/>
        </w:rPr>
        <w:t>https://undocs.org/A/73/348</w:t>
      </w:r>
      <w:r>
        <w:fldChar w:fldCharType="end"/>
      </w:r>
      <w:r>
        <w:fldChar w:fldCharType="begin"/>
      </w:r>
      <w:r>
        <w:instrText xml:space="preserve"> HYPERLINK "https://undocs.org/A/73/348" </w:instrText>
      </w:r>
      <w:r>
        <w:fldChar w:fldCharType="separate"/>
      </w:r>
      <w:r w:rsidRPr="001C1B82">
        <w:rPr>
          <w:szCs w:val="16"/>
        </w:rPr>
        <w:t xml:space="preserve"> </w:t>
      </w:r>
      <w:r>
        <w:fldChar w:fldCharType="end"/>
      </w:r>
      <w:r w:rsidRPr="001C1B82">
        <w:rPr>
          <w:szCs w:val="16"/>
        </w:rPr>
        <w:t xml:space="preserve">see page 21. </w:t>
      </w:r>
    </w:p>
  </w:footnote>
  <w:footnote w:id="260">
    <w:p w:rsidR="00673732" w:rsidRPr="001C1B82">
      <w:pPr>
        <w:pStyle w:val="footnotedescription"/>
        <w:spacing w:line="264" w:lineRule="auto"/>
        <w:jc w:val="both"/>
        <w:rPr>
          <w:szCs w:val="16"/>
        </w:rPr>
      </w:pPr>
      <w:r w:rsidRPr="001C1B82">
        <w:rPr>
          <w:rStyle w:val="footnotemark"/>
          <w:szCs w:val="16"/>
        </w:rPr>
        <w:footnoteRef/>
      </w:r>
      <w:r w:rsidRPr="001C1B82">
        <w:rPr>
          <w:szCs w:val="16"/>
        </w:rPr>
        <w:t xml:space="preserve"> </w:t>
      </w:r>
      <w:r>
        <w:fldChar w:fldCharType="begin"/>
      </w:r>
      <w:r>
        <w:instrText xml:space="preserve"> HYPERLINK "https://www.omidyar.com/sites/default/files/file_archive/Public%20Scrutiny%20of%20Automated%20Decisions.pdf" </w:instrText>
      </w:r>
      <w:r>
        <w:fldChar w:fldCharType="separate"/>
      </w:r>
      <w:r w:rsidRPr="001C1B82">
        <w:rPr>
          <w:color w:val="0000FF"/>
          <w:szCs w:val="16"/>
          <w:u w:val="single" w:color="0000FF"/>
        </w:rPr>
        <w:t xml:space="preserve">https://www.omidyar.com/sites/default/files/file_archive/Public%20Scrutiny%20of%20Automated%20Decisio </w:t>
      </w:r>
      <w:r>
        <w:fldChar w:fldCharType="end"/>
      </w:r>
      <w:r>
        <w:fldChar w:fldCharType="begin"/>
      </w:r>
      <w:r>
        <w:instrText xml:space="preserve"> HYPERLINK "https://www.omidyar.com/sites/default/files/file_archive/Public%20Scrutiny%20of%20Automated%20Decisions.pdf" </w:instrText>
      </w:r>
      <w:r>
        <w:fldChar w:fldCharType="separate"/>
      </w:r>
      <w:r w:rsidRPr="001C1B82">
        <w:rPr>
          <w:color w:val="0000FF"/>
          <w:szCs w:val="16"/>
          <w:u w:val="single" w:color="0000FF"/>
        </w:rPr>
        <w:t>ns.pdf</w:t>
      </w:r>
      <w:r>
        <w:fldChar w:fldCharType="end"/>
      </w:r>
      <w:r>
        <w:fldChar w:fldCharType="begin"/>
      </w:r>
      <w:r>
        <w:instrText xml:space="preserve"> HYPERLINK "https://www.omidyar.com/sites/default/files/file_archive/Public%20Scrutiny%20of%20Automated%20Decisions.pdf" </w:instrText>
      </w:r>
      <w:r>
        <w:fldChar w:fldCharType="separate"/>
      </w:r>
      <w:r w:rsidRPr="001C1B82">
        <w:rPr>
          <w:szCs w:val="16"/>
        </w:rPr>
        <w:t xml:space="preserve"> </w:t>
      </w:r>
      <w:r>
        <w:fldChar w:fldCharType="end"/>
      </w:r>
    </w:p>
  </w:footnote>
  <w:footnote w:id="261">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"https://undocs.org/A/73/348" </w:instrText>
      </w:r>
      <w:r>
        <w:fldChar w:fldCharType="separate"/>
      </w:r>
      <w:r w:rsidRPr="001C1B82">
        <w:rPr>
          <w:color w:val="0000FF"/>
          <w:szCs w:val="16"/>
          <w:u w:val="single" w:color="0000FF"/>
        </w:rPr>
        <w:t>https://undocs.org/A/73/348</w:t>
      </w:r>
      <w:r>
        <w:fldChar w:fldCharType="end"/>
      </w:r>
      <w:r>
        <w:fldChar w:fldCharType="begin"/>
      </w:r>
      <w:r>
        <w:instrText xml:space="preserve"> HYPERLINK "https://undocs.org/A/73/348" </w:instrText>
      </w:r>
      <w:r>
        <w:fldChar w:fldCharType="separate"/>
      </w:r>
      <w:r w:rsidRPr="001C1B82">
        <w:rPr>
          <w:szCs w:val="16"/>
        </w:rPr>
        <w:t xml:space="preserve"> </w:t>
      </w:r>
      <w:r>
        <w:fldChar w:fldCharType="end"/>
      </w:r>
      <w:r w:rsidRPr="001C1B82">
        <w:rPr>
          <w:szCs w:val="16"/>
        </w:rPr>
        <w:t xml:space="preserve">see pages 19, 22. </w:t>
      </w:r>
    </w:p>
  </w:footnote>
  <w:footnote w:id="262">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"https://edps.europa.eu/sites/edp/files/publication/18-03-19_online_manipulation_en.pdf" </w:instrText>
      </w:r>
      <w:r>
        <w:fldChar w:fldCharType="separate"/>
      </w:r>
      <w:r w:rsidRPr="001C1B82">
        <w:rPr>
          <w:color w:val="0000FF"/>
          <w:szCs w:val="16"/>
          <w:u w:val="single" w:color="0000FF"/>
        </w:rPr>
        <w:t>https://edps.europa.eu/sites/edp/files/publication/18-03-19_online_manipulation_en.pdf</w:t>
      </w:r>
      <w:r>
        <w:fldChar w:fldCharType="end"/>
      </w:r>
      <w:r>
        <w:fldChar w:fldCharType="begin"/>
      </w:r>
      <w:r>
        <w:instrText xml:space="preserve"> HYPERLINK "https://edps.europa.eu/sites/edp/files/publication/18-03-19_online_manipulation_en.pdf" </w:instrText>
      </w:r>
      <w:r>
        <w:fldChar w:fldCharType="separate"/>
      </w:r>
      <w:r w:rsidRPr="001C1B82">
        <w:rPr>
          <w:szCs w:val="16"/>
        </w:rPr>
        <w:t xml:space="preserve"> </w:t>
      </w:r>
      <w:r>
        <w:fldChar w:fldCharType="end"/>
      </w:r>
      <w:r w:rsidRPr="001C1B82">
        <w:rPr>
          <w:szCs w:val="16"/>
        </w:rPr>
        <w:t xml:space="preserve">see pages 19, 20. </w:t>
      </w:r>
    </w:p>
  </w:footnote>
  <w:footnote w:id="263">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"https://papers.ssrn.com/sol3/papers.cfm?abstract_id=2621410" </w:instrText>
      </w:r>
      <w:r>
        <w:fldChar w:fldCharType="separate"/>
      </w:r>
      <w:r w:rsidRPr="001C1B82">
        <w:rPr>
          <w:color w:val="0000FF"/>
          <w:szCs w:val="16"/>
          <w:u w:val="single" w:color="0000FF"/>
        </w:rPr>
        <w:t>https://papers.ssrn.com/sol3/papers.cfm?abstract_id=2621410</w:t>
      </w:r>
      <w:r>
        <w:fldChar w:fldCharType="end"/>
      </w:r>
      <w:r>
        <w:fldChar w:fldCharType="begin"/>
      </w:r>
      <w:r>
        <w:instrText xml:space="preserve"> HYPERLINK "https://papers.ssrn.com/sol3/papers.cfm?abstract_id=2621410" </w:instrText>
      </w:r>
      <w:r>
        <w:fldChar w:fldCharType="separate"/>
      </w:r>
      <w:r w:rsidRPr="001C1B82">
        <w:rPr>
          <w:szCs w:val="16"/>
        </w:rPr>
        <w:t xml:space="preserve"> </w:t>
      </w:r>
      <w:r>
        <w:fldChar w:fldCharType="end"/>
      </w:r>
      <w:r w:rsidRPr="001C1B82">
        <w:rPr>
          <w:szCs w:val="16"/>
        </w:rPr>
        <w:t xml:space="preserve">see pages 9, 10. </w:t>
      </w:r>
    </w:p>
  </w:footnote>
  <w:footnote w:id="264">
    <w:p w:rsidR="00673732" w:rsidRPr="001C1B82">
      <w:pPr>
        <w:pStyle w:val="footnotedescription"/>
        <w:spacing w:line="243" w:lineRule="auto"/>
        <w:ind w:right="368"/>
        <w:rPr>
          <w:szCs w:val="16"/>
        </w:rPr>
      </w:pPr>
      <w:r w:rsidRPr="001C1B82">
        <w:rPr>
          <w:rStyle w:val="footnotemark"/>
          <w:szCs w:val="16"/>
        </w:rPr>
        <w:footnoteRef/>
      </w:r>
      <w:r w:rsidRPr="001C1B82">
        <w:rPr>
          <w:szCs w:val="16"/>
        </w:rPr>
        <w:t xml:space="preserve"> </w:t>
      </w:r>
      <w:r>
        <w:fldChar w:fldCharType="begin"/>
      </w:r>
      <w:r>
        <w:instrText xml:space="preserve"> HYPERLINK "https://edps.europa.eu/sites/edp/files/publication/18-03-19_online_manipulation_en.pdf" </w:instrText>
      </w:r>
      <w:r>
        <w:fldChar w:fldCharType="separate"/>
      </w:r>
      <w:r w:rsidRPr="001C1B82">
        <w:rPr>
          <w:color w:val="0000FF"/>
          <w:szCs w:val="16"/>
          <w:u w:val="single" w:color="0000FF"/>
        </w:rPr>
        <w:t>https://edps.europa.eu/sites/edp/files/publication/18-03-19_online_manipulation_en.pdf</w:t>
      </w:r>
      <w:r>
        <w:fldChar w:fldCharType="end"/>
      </w:r>
      <w:r>
        <w:fldChar w:fldCharType="begin"/>
      </w:r>
      <w:r>
        <w:instrText xml:space="preserve"> HYPERLINK "https://edps.europa.eu/sites/edp/files/publication/18-03-19_online_manipulation_en.pdf" </w:instrText>
      </w:r>
      <w:r>
        <w:fldChar w:fldCharType="separate"/>
      </w:r>
      <w:r w:rsidRPr="001C1B82">
        <w:rPr>
          <w:szCs w:val="16"/>
        </w:rPr>
        <w:t xml:space="preserve"> </w:t>
      </w:r>
      <w:r>
        <w:fldChar w:fldCharType="end"/>
      </w:r>
      <w:r w:rsidRPr="001C1B82">
        <w:rPr>
          <w:szCs w:val="16"/>
        </w:rPr>
        <w:t xml:space="preserve">see page 11. </w:t>
      </w:r>
      <w:r w:rsidRPr="001C1B82">
        <w:rPr>
          <w:szCs w:val="16"/>
          <w:vertAlign w:val="superscript"/>
        </w:rPr>
        <w:t>12</w:t>
      </w:r>
      <w:r w:rsidRPr="001C1B82">
        <w:rPr>
          <w:i/>
          <w:szCs w:val="16"/>
        </w:rPr>
        <w:t xml:space="preserve"> Ibid</w:t>
      </w:r>
      <w:r w:rsidRPr="001C1B82">
        <w:rPr>
          <w:szCs w:val="16"/>
        </w:rPr>
        <w:t xml:space="preserve"> at page 22. </w:t>
      </w:r>
    </w:p>
  </w:footnote>
  <w:footnote w:id="265">
    <w:p w:rsidR="00673732" w:rsidRPr="001C1B82">
      <w:pPr>
        <w:pStyle w:val="footnotedescription"/>
        <w:spacing w:after="1"/>
        <w:rPr>
          <w:szCs w:val="16"/>
        </w:rPr>
      </w:pPr>
      <w:r w:rsidRPr="001C1B82">
        <w:rPr>
          <w:rStyle w:val="footnotemark"/>
          <w:szCs w:val="16"/>
        </w:rPr>
        <w:footnoteRef/>
      </w:r>
      <w:r w:rsidRPr="001C1B82">
        <w:rPr>
          <w:szCs w:val="16"/>
        </w:rPr>
        <w:t xml:space="preserve"> </w:t>
      </w:r>
      <w:r>
        <w:fldChar w:fldCharType="begin"/>
      </w:r>
      <w:r>
        <w:instrText xml:space="preserve"> HYPERLINK "https://www.chatcrypt.com/" </w:instrText>
      </w:r>
      <w:r>
        <w:fldChar w:fldCharType="separate"/>
      </w:r>
      <w:r w:rsidRPr="001C1B82">
        <w:rPr>
          <w:color w:val="0000FF"/>
          <w:szCs w:val="16"/>
          <w:u w:val="single" w:color="0000FF"/>
        </w:rPr>
        <w:t>https://www.chatcrypt.com/</w:t>
      </w:r>
      <w:r>
        <w:fldChar w:fldCharType="end"/>
      </w:r>
      <w:r>
        <w:fldChar w:fldCharType="begin"/>
      </w:r>
      <w:r>
        <w:instrText xml:space="preserve"> HYPERLINK "https://www.chatcrypt.com/" </w:instrText>
      </w:r>
      <w:r>
        <w:fldChar w:fldCharType="separate"/>
      </w:r>
      <w:r w:rsidRPr="001C1B82">
        <w:rPr>
          <w:szCs w:val="16"/>
        </w:rPr>
        <w:t xml:space="preserve"> </w:t>
      </w:r>
      <w:r>
        <w:fldChar w:fldCharType="end"/>
      </w:r>
    </w:p>
  </w:footnote>
  <w:footnote w:id="266">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"https://www.techradar.com/best/best-encrypted-messaging-app-android" </w:instrText>
      </w:r>
      <w:r>
        <w:fldChar w:fldCharType="separate"/>
      </w:r>
      <w:r w:rsidRPr="001C1B82">
        <w:rPr>
          <w:color w:val="0000FF"/>
          <w:szCs w:val="16"/>
          <w:u w:val="single" w:color="0000FF"/>
        </w:rPr>
        <w:t>https://www.techradar.com/best/best-encrypted-messaging-app-android</w:t>
      </w:r>
      <w:r>
        <w:fldChar w:fldCharType="end"/>
      </w:r>
      <w:r>
        <w:fldChar w:fldCharType="begin"/>
      </w:r>
      <w:r>
        <w:instrText xml:space="preserve"> HYPERLINK "https://www.techradar.com/best/best-encrypted-messaging-app-android" </w:instrText>
      </w:r>
      <w:r>
        <w:fldChar w:fldCharType="separate"/>
      </w:r>
      <w:r w:rsidRPr="001C1B82">
        <w:rPr>
          <w:szCs w:val="16"/>
        </w:rPr>
        <w:t xml:space="preserve"> </w:t>
      </w:r>
      <w:r>
        <w:fldChar w:fldCharType="end"/>
      </w:r>
    </w:p>
  </w:footnote>
  <w:footnote w:id="267">
    <w:p w:rsidR="00673732" w:rsidRPr="001C1B82">
      <w:pPr>
        <w:pStyle w:val="footnotedescription"/>
        <w:spacing w:after="1"/>
        <w:rPr>
          <w:szCs w:val="16"/>
        </w:rPr>
      </w:pPr>
      <w:r w:rsidRPr="001C1B82">
        <w:rPr>
          <w:rStyle w:val="footnotemark"/>
          <w:szCs w:val="16"/>
        </w:rPr>
        <w:footnoteRef/>
      </w:r>
      <w:r w:rsidRPr="001C1B82">
        <w:rPr>
          <w:szCs w:val="16"/>
        </w:rPr>
        <w:t xml:space="preserve"> </w:t>
      </w:r>
      <w:r>
        <w:fldChar w:fldCharType="begin"/>
      </w:r>
      <w:r>
        <w:instrText xml:space="preserve"> HYPERLINK "https://transparencyreport.google.com/https/overview?hl=en" </w:instrText>
      </w:r>
      <w:r>
        <w:fldChar w:fldCharType="separate"/>
      </w:r>
      <w:r w:rsidRPr="001C1B82">
        <w:rPr>
          <w:color w:val="0000FF"/>
          <w:szCs w:val="16"/>
          <w:u w:val="single" w:color="0000FF"/>
        </w:rPr>
        <w:t>https://transparencyreport.google.com/https/overview?hl=en</w:t>
      </w:r>
      <w:r>
        <w:fldChar w:fldCharType="end"/>
      </w:r>
      <w:r>
        <w:fldChar w:fldCharType="begin"/>
      </w:r>
      <w:r>
        <w:instrText xml:space="preserve"> HYPERLINK "https://transparencyreport.google.com/https/overview?hl=en" </w:instrText>
      </w:r>
      <w:r>
        <w:fldChar w:fldCharType="separate"/>
      </w:r>
      <w:r w:rsidRPr="001C1B82">
        <w:rPr>
          <w:szCs w:val="16"/>
        </w:rPr>
        <w:t xml:space="preserve"> </w:t>
      </w:r>
      <w:r>
        <w:fldChar w:fldCharType="end"/>
      </w:r>
    </w:p>
  </w:footnote>
  <w:footnote w:id="268">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"https://www.ohchr.org/EN/Issues/FreedomOpinion/Pages/CallForSubmission.aspx" </w:instrText>
      </w:r>
      <w:r>
        <w:fldChar w:fldCharType="separate"/>
      </w:r>
      <w:r w:rsidRPr="001C1B82">
        <w:rPr>
          <w:color w:val="0000FF"/>
          <w:szCs w:val="16"/>
          <w:u w:val="single" w:color="0000FF"/>
        </w:rPr>
        <w:t>https://www.ohchr.org/EN/Issues/FreedomOpinion/Pages/CallForSubmission.aspx</w:t>
      </w:r>
      <w:r>
        <w:fldChar w:fldCharType="end"/>
      </w:r>
      <w:r>
        <w:fldChar w:fldCharType="begin"/>
      </w:r>
      <w:r>
        <w:instrText xml:space="preserve"> HYPERLINK "https://www.ohchr.org/EN/Issues/FreedomOpinion/Pages/CallForSubmission.aspx" </w:instrText>
      </w:r>
      <w:r>
        <w:fldChar w:fldCharType="separate"/>
      </w:r>
      <w:r w:rsidRPr="001C1B82">
        <w:rPr>
          <w:szCs w:val="16"/>
        </w:rPr>
        <w:t xml:space="preserve"> </w:t>
      </w:r>
      <w:r>
        <w:fldChar w:fldCharType="end"/>
      </w:r>
      <w:r w:rsidRPr="001C1B82">
        <w:rPr>
          <w:szCs w:val="16"/>
        </w:rPr>
        <w:t xml:space="preserve">see page 3. </w:t>
      </w:r>
    </w:p>
  </w:footnote>
  <w:footnote w:id="269">
    <w:p w:rsidR="00673732" w:rsidRPr="001C1B82">
      <w:pPr>
        <w:pStyle w:val="footnotedescription"/>
        <w:spacing w:line="257" w:lineRule="auto"/>
        <w:ind w:right="1640"/>
        <w:jc w:val="both"/>
        <w:rPr>
          <w:szCs w:val="16"/>
        </w:rPr>
      </w:pPr>
      <w:r w:rsidRPr="001C1B82">
        <w:rPr>
          <w:rStyle w:val="footnotemark"/>
          <w:szCs w:val="16"/>
        </w:rPr>
        <w:footnoteRef/>
      </w:r>
      <w:r w:rsidRPr="001C1B82">
        <w:rPr>
          <w:szCs w:val="16"/>
        </w:rPr>
        <w:t xml:space="preserve"> See for instance </w:t>
      </w:r>
      <w:r>
        <w:fldChar w:fldCharType="begin"/>
      </w:r>
      <w:r>
        <w:instrText xml:space="preserve"> HYPERLINK "https://www.economist.com/printedition/2017-11-04" </w:instrText>
      </w:r>
      <w:r>
        <w:fldChar w:fldCharType="separate"/>
      </w:r>
      <w:r w:rsidRPr="001C1B82">
        <w:rPr>
          <w:color w:val="0000FF"/>
          <w:szCs w:val="16"/>
          <w:u w:val="single" w:color="0000FF"/>
        </w:rPr>
        <w:t>https://www.economist.com/printedition/2017-11-04</w:t>
      </w:r>
      <w:r>
        <w:fldChar w:fldCharType="end"/>
      </w:r>
      <w:r>
        <w:fldChar w:fldCharType="begin"/>
      </w:r>
      <w:r>
        <w:instrText xml:space="preserve"> HYPERLINK "https://www.economist.com/printedition/2017-11-04" </w:instrText>
      </w:r>
      <w:r>
        <w:fldChar w:fldCharType="separate"/>
      </w:r>
      <w:r w:rsidRPr="001C1B82">
        <w:rPr>
          <w:szCs w:val="16"/>
        </w:rPr>
        <w:t xml:space="preserve"> </w:t>
      </w:r>
      <w:r>
        <w:fldChar w:fldCharType="end"/>
      </w:r>
      <w:r w:rsidRPr="001C1B82">
        <w:rPr>
          <w:szCs w:val="16"/>
        </w:rPr>
        <w:t xml:space="preserve">at pages 21-24. </w:t>
      </w:r>
      <w:r w:rsidRPr="001C1B82">
        <w:rPr>
          <w:szCs w:val="16"/>
          <w:vertAlign w:val="superscript"/>
        </w:rPr>
        <w:t>18</w:t>
      </w:r>
      <w:r>
        <w:fldChar w:fldCharType="begin"/>
      </w:r>
      <w:r>
        <w:instrText xml:space="preserve"> HYPERLINK "https://web.stanford.edu/%7Egentzkow/research/fakenews.pdf" </w:instrText>
      </w:r>
      <w:r>
        <w:fldChar w:fldCharType="separate"/>
      </w:r>
      <w:r w:rsidRPr="001C1B82">
        <w:rPr>
          <w:szCs w:val="16"/>
        </w:rPr>
        <w:t xml:space="preserve"> </w:t>
      </w:r>
      <w:r>
        <w:fldChar w:fldCharType="end"/>
      </w:r>
      <w:r>
        <w:fldChar w:fldCharType="begin"/>
      </w:r>
      <w:r>
        <w:instrText xml:space="preserve"> HYPERLINK "https://web.stanford.edu/%7Egentzkow/research/fakenews.pdf" </w:instrText>
      </w:r>
      <w:r>
        <w:fldChar w:fldCharType="separate"/>
      </w:r>
      <w:r w:rsidRPr="001C1B82">
        <w:rPr>
          <w:color w:val="0000FF"/>
          <w:szCs w:val="16"/>
          <w:u w:val="single" w:color="0000FF"/>
        </w:rPr>
        <w:t>https://web.stanford.edu/~gentzkow/research/fakenews.pdf</w:t>
      </w:r>
      <w:r>
        <w:fldChar w:fldCharType="end"/>
      </w:r>
      <w:r>
        <w:fldChar w:fldCharType="begin"/>
      </w:r>
      <w:r>
        <w:instrText xml:space="preserve"> HYPERLINK "https://web.stanford.edu/%7Egentzkow/research/fakenews.pdf" </w:instrText>
      </w:r>
      <w:r>
        <w:fldChar w:fldCharType="separate"/>
      </w:r>
      <w:r w:rsidRPr="001C1B82">
        <w:rPr>
          <w:szCs w:val="16"/>
        </w:rPr>
        <w:t xml:space="preserve"> </w:t>
      </w:r>
      <w:r>
        <w:fldChar w:fldCharType="end"/>
      </w:r>
      <w:r w:rsidRPr="001C1B82">
        <w:rPr>
          <w:szCs w:val="16"/>
        </w:rPr>
        <w:t xml:space="preserve"> at page 219. </w:t>
      </w:r>
    </w:p>
  </w:footnote>
  <w:footnote w:id="270">
    <w:p w:rsidR="00673732" w:rsidRPr="001C1B82">
      <w:pPr>
        <w:pStyle w:val="footnotedescription"/>
        <w:spacing w:line="252" w:lineRule="auto"/>
        <w:rPr>
          <w:szCs w:val="16"/>
        </w:rPr>
      </w:pPr>
      <w:r w:rsidRPr="001C1B82">
        <w:rPr>
          <w:rStyle w:val="footnotemark"/>
          <w:szCs w:val="16"/>
        </w:rPr>
        <w:footnoteRef/>
      </w:r>
      <w:r w:rsidRPr="001C1B82">
        <w:rPr>
          <w:szCs w:val="16"/>
        </w:rPr>
        <w:t xml:space="preserve"> See for example </w:t>
      </w:r>
      <w:r>
        <w:fldChar w:fldCharType="begin"/>
      </w:r>
      <w:r>
        <w:instrText xml:space="preserve"> HYPERLINK "https://web.stanford.edu/%7Egentzkow/research/fakenews.pdf" </w:instrText>
      </w:r>
      <w:r>
        <w:fldChar w:fldCharType="separate"/>
      </w:r>
      <w:r w:rsidRPr="001C1B82">
        <w:rPr>
          <w:color w:val="0000FF"/>
          <w:szCs w:val="16"/>
          <w:u w:val="single" w:color="0000FF"/>
        </w:rPr>
        <w:t>https://web.stanford.edu/~gentzkow/research/fakenews.pdf</w:t>
      </w:r>
      <w:r>
        <w:fldChar w:fldCharType="end"/>
      </w:r>
      <w:r>
        <w:fldChar w:fldCharType="begin"/>
      </w:r>
      <w:r>
        <w:instrText xml:space="preserve"> HYPERLINK "https://web.stanford.edu/%7Egentzkow/research/fakenews.pdf" </w:instrText>
      </w:r>
      <w:r>
        <w:fldChar w:fldCharType="separate"/>
      </w:r>
      <w:r w:rsidRPr="001C1B82">
        <w:rPr>
          <w:szCs w:val="16"/>
        </w:rPr>
        <w:t xml:space="preserve"> </w:t>
      </w:r>
      <w:r>
        <w:fldChar w:fldCharType="end"/>
      </w:r>
      <w:r w:rsidRPr="001C1B82">
        <w:rPr>
          <w:szCs w:val="16"/>
        </w:rPr>
        <w:t xml:space="preserve"> at pages 211-236; </w:t>
      </w:r>
      <w:r>
        <w:fldChar w:fldCharType="begin"/>
      </w:r>
      <w:r>
        <w:instrText xml:space="preserve"> HYPERLINK "https://policyreview.info/articles/analysis/should-we-worry-about-filter-bubbles" </w:instrText>
      </w:r>
      <w:r>
        <w:fldChar w:fldCharType="separate"/>
      </w:r>
      <w:r w:rsidRPr="001C1B82">
        <w:rPr>
          <w:color w:val="0000FF"/>
          <w:szCs w:val="16"/>
          <w:u w:val="single" w:color="0000FF"/>
        </w:rPr>
        <w:t>https://policyreview.info/articles/analysis/should-we-worry-about-filter-bubbles</w:t>
      </w:r>
      <w:r>
        <w:fldChar w:fldCharType="end"/>
      </w:r>
      <w:r>
        <w:fldChar w:fldCharType="begin"/>
      </w:r>
      <w:r>
        <w:instrText xml:space="preserve"> HYPERLINK "https://policyreview.info/articles/analysis/should-we-worry-about-filter-bubbles" </w:instrText>
      </w:r>
      <w:r>
        <w:fldChar w:fldCharType="separate"/>
      </w:r>
      <w:r w:rsidRPr="001C1B82">
        <w:rPr>
          <w:szCs w:val="16"/>
        </w:rPr>
        <w:t xml:space="preserve"> </w:t>
      </w:r>
      <w:r>
        <w:fldChar w:fldCharType="end"/>
      </w:r>
      <w:r w:rsidRPr="001C1B82">
        <w:rPr>
          <w:szCs w:val="16"/>
        </w:rPr>
        <w:t xml:space="preserve">at page 9. </w:t>
      </w:r>
    </w:p>
  </w:footnote>
  <w:footnote w:id="271">
    <w:p w:rsidR="00673732" w:rsidRPr="001C1B82">
      <w:pPr>
        <w:pStyle w:val="footnotedescription"/>
        <w:spacing w:line="258" w:lineRule="auto"/>
        <w:ind w:right="55"/>
        <w:jc w:val="both"/>
        <w:rPr>
          <w:szCs w:val="16"/>
        </w:rPr>
      </w:pPr>
      <w:r w:rsidRPr="001C1B82">
        <w:rPr>
          <w:rStyle w:val="footnotemark"/>
          <w:szCs w:val="16"/>
        </w:rPr>
        <w:footnoteRef/>
      </w:r>
      <w:r w:rsidRPr="001C1B82">
        <w:rPr>
          <w:szCs w:val="16"/>
        </w:rPr>
        <w:t xml:space="preserve"> </w:t>
      </w:r>
      <w:r>
        <w:fldChar w:fldCharType="begin"/>
      </w:r>
      <w:r>
        <w:instrText xml:space="preserve"> HYPERLINK "https://www-blog-google.cdn.ampproject.org/c/s/www.blog.google/products/search/original-reporting/amp/" </w:instrText>
      </w:r>
      <w:r>
        <w:fldChar w:fldCharType="separate"/>
      </w:r>
      <w:r w:rsidRPr="001C1B82">
        <w:rPr>
          <w:color w:val="0000FF"/>
          <w:szCs w:val="16"/>
          <w:u w:val="single" w:color="0000FF"/>
        </w:rPr>
        <w:t>https://www-blog-google.cdn.ampproject.org/c/s/www.blog.google/products/search/original-reporting/amp/</w:t>
      </w:r>
      <w:r>
        <w:fldChar w:fldCharType="end"/>
      </w:r>
      <w:r>
        <w:fldChar w:fldCharType="begin"/>
      </w:r>
      <w:r>
        <w:instrText xml:space="preserve"> HYPERLINK "https://www-blog-google.cdn.ampproject.org/c/s/www.blog.google/products/search/original-reporting/amp/" </w:instrText>
      </w:r>
      <w:r>
        <w:fldChar w:fldCharType="separate"/>
      </w:r>
      <w:r w:rsidRPr="001C1B82">
        <w:rPr>
          <w:szCs w:val="16"/>
        </w:rPr>
        <w:t xml:space="preserve"> </w:t>
      </w:r>
      <w:r>
        <w:fldChar w:fldCharType="end"/>
      </w:r>
      <w:r w:rsidRPr="001C1B82">
        <w:rPr>
          <w:szCs w:val="16"/>
          <w:vertAlign w:val="superscript"/>
        </w:rPr>
        <w:t>21</w:t>
      </w:r>
      <w:r>
        <w:fldChar w:fldCharType="begin"/>
      </w:r>
      <w:r>
        <w:instrText xml:space="preserve"> HYPERLINK "https://perma.cc/4BDP-JTRN" </w:instrText>
      </w:r>
      <w:r>
        <w:fldChar w:fldCharType="separate"/>
      </w:r>
      <w:r w:rsidRPr="001C1B82">
        <w:rPr>
          <w:szCs w:val="16"/>
        </w:rPr>
        <w:t xml:space="preserve"> </w:t>
      </w:r>
      <w:r>
        <w:fldChar w:fldCharType="end"/>
      </w:r>
      <w:r>
        <w:fldChar w:fldCharType="begin"/>
      </w:r>
      <w:r>
        <w:instrText xml:space="preserve"> HYPERLINK "https://perma.cc/4BDP-JTRN" </w:instrText>
      </w:r>
      <w:r>
        <w:fldChar w:fldCharType="separate"/>
      </w:r>
      <w:r w:rsidRPr="001C1B82">
        <w:rPr>
          <w:color w:val="0000FF"/>
          <w:szCs w:val="16"/>
          <w:u w:val="single" w:color="0000FF"/>
        </w:rPr>
        <w:t>https://perma.cc/4BDP-JTRN</w:t>
      </w:r>
      <w:r>
        <w:fldChar w:fldCharType="end"/>
      </w:r>
      <w:r>
        <w:fldChar w:fldCharType="begin"/>
      </w:r>
      <w:r>
        <w:instrText xml:space="preserve"> HYPERLINK "https://perma.cc/4BDP-JTRN" </w:instrText>
      </w:r>
      <w:r>
        <w:fldChar w:fldCharType="separate"/>
      </w:r>
      <w:r w:rsidRPr="001C1B82">
        <w:rPr>
          <w:szCs w:val="16"/>
        </w:rPr>
        <w:t xml:space="preserve"> </w:t>
      </w:r>
      <w:r>
        <w:fldChar w:fldCharType="end"/>
      </w:r>
      <w:r w:rsidRPr="001C1B82">
        <w:rPr>
          <w:szCs w:val="16"/>
        </w:rPr>
        <w:t>see page 7.</w:t>
      </w:r>
      <w:r w:rsidRPr="001C1B82">
        <w:rPr>
          <w:i/>
          <w:szCs w:val="16"/>
        </w:rPr>
        <w:t xml:space="preserve"> </w:t>
      </w:r>
      <w:r w:rsidRPr="001C1B82">
        <w:rPr>
          <w:szCs w:val="16"/>
          <w:vertAlign w:val="superscript"/>
        </w:rPr>
        <w:t>22</w:t>
      </w:r>
      <w:r>
        <w:fldChar w:fldCharType="begin"/>
      </w:r>
      <w:r>
        <w:instrText xml:space="preserve"> HYPERLINK "https://perma.cc/837J-UF2U" </w:instrText>
      </w:r>
      <w:r>
        <w:fldChar w:fldCharType="separate"/>
      </w:r>
      <w:r w:rsidRPr="001C1B82">
        <w:rPr>
          <w:color w:val="0000FF"/>
          <w:szCs w:val="16"/>
        </w:rPr>
        <w:t xml:space="preserve"> </w:t>
      </w:r>
      <w:r>
        <w:fldChar w:fldCharType="end"/>
      </w:r>
      <w:r>
        <w:fldChar w:fldCharType="begin"/>
      </w:r>
      <w:r>
        <w:instrText xml:space="preserve"> HYPERLINK "https://perma.cc/837J-UF2U" </w:instrText>
      </w:r>
      <w:r>
        <w:fldChar w:fldCharType="separate"/>
      </w:r>
      <w:r w:rsidRPr="001C1B82">
        <w:rPr>
          <w:color w:val="0000FF"/>
          <w:szCs w:val="16"/>
          <w:u w:val="single" w:color="0000FF"/>
        </w:rPr>
        <w:t>https://perma.cc/837J-UF2U</w:t>
      </w:r>
      <w:r>
        <w:fldChar w:fldCharType="end"/>
      </w:r>
      <w:r>
        <w:fldChar w:fldCharType="begin"/>
      </w:r>
      <w:r>
        <w:instrText xml:space="preserve"> HYPERLINK "https://perma.cc/837J-UF2U" </w:instrText>
      </w:r>
      <w:r>
        <w:fldChar w:fldCharType="separate"/>
      </w:r>
      <w:r w:rsidRPr="001C1B82">
        <w:rPr>
          <w:szCs w:val="16"/>
        </w:rPr>
        <w:t xml:space="preserve"> </w:t>
      </w:r>
      <w:r>
        <w:fldChar w:fldCharType="end"/>
      </w:r>
      <w:r w:rsidRPr="001C1B82">
        <w:rPr>
          <w:i/>
          <w:szCs w:val="16"/>
        </w:rPr>
        <w:t xml:space="preserve"> </w:t>
      </w:r>
    </w:p>
  </w:footnote>
  <w:footnote w:id="272">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"https://www.osce.org/fom/302796" </w:instrText>
      </w:r>
      <w:r>
        <w:fldChar w:fldCharType="separate"/>
      </w:r>
      <w:r w:rsidRPr="001C1B82">
        <w:rPr>
          <w:color w:val="0000FF"/>
          <w:szCs w:val="16"/>
          <w:u w:val="single" w:color="0000FF"/>
        </w:rPr>
        <w:t>https://www.osce.org/fom/302796</w:t>
      </w:r>
      <w:r>
        <w:fldChar w:fldCharType="end"/>
      </w:r>
      <w:r>
        <w:fldChar w:fldCharType="begin"/>
      </w:r>
      <w:r>
        <w:instrText xml:space="preserve"> HYPERLINK "https://www.osce.org/fom/302796" </w:instrText>
      </w:r>
      <w:r>
        <w:fldChar w:fldCharType="separate"/>
      </w:r>
      <w:r w:rsidRPr="001C1B82">
        <w:rPr>
          <w:szCs w:val="16"/>
        </w:rPr>
        <w:t xml:space="preserve"> </w:t>
      </w:r>
      <w:r>
        <w:fldChar w:fldCharType="end"/>
      </w:r>
      <w:r w:rsidRPr="001C1B82">
        <w:rPr>
          <w:szCs w:val="16"/>
        </w:rPr>
        <w:t>see page 4.</w:t>
      </w:r>
      <w:r w:rsidRPr="001C1B82">
        <w:rPr>
          <w:color w:val="0000FF"/>
          <w:szCs w:val="16"/>
        </w:rPr>
        <w:t xml:space="preserve"> </w:t>
      </w:r>
    </w:p>
  </w:footnote>
  <w:footnote w:id="273">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fldChar w:fldCharType="begin"/>
      </w:r>
      <w:r>
        <w:instrText xml:space="preserve"> HYPERLINK "https://www.nesta.org.uk/blog/power-to-the-people-how-cities-can-use-digital-technology-to-engage-and-empower-citizens/" </w:instrText>
      </w:r>
      <w:r>
        <w:fldChar w:fldCharType="separate"/>
      </w:r>
      <w:r w:rsidRPr="001C1B82">
        <w:rPr>
          <w:color w:val="0000FF"/>
          <w:szCs w:val="16"/>
          <w:u w:val="single" w:color="0000FF"/>
        </w:rPr>
        <w:t>https://www.nesta.org.uk/blog/power-to-the-people-how-cities-can-use-digital-technology-to-engage-and</w:t>
      </w:r>
      <w:r>
        <w:fldChar w:fldCharType="end"/>
      </w:r>
      <w:r>
        <w:fldChar w:fldCharType="begin"/>
      </w:r>
      <w:r>
        <w:instrText xml:space="preserve"> HYPERLINK "https://www.nesta.org.uk/blog/power-to-the-people-how-cities-can-use-digital-technology-to-engage-and-empower-citizens/" </w:instrText>
      </w:r>
      <w:r>
        <w:fldChar w:fldCharType="separate"/>
      </w:r>
      <w:r w:rsidRPr="001C1B82">
        <w:rPr>
          <w:color w:val="0000FF"/>
          <w:szCs w:val="16"/>
          <w:u w:val="single" w:color="0000FF"/>
        </w:rPr>
        <w:t>empower-citizens/</w:t>
      </w:r>
      <w:r>
        <w:fldChar w:fldCharType="end"/>
      </w:r>
      <w:r>
        <w:fldChar w:fldCharType="begin"/>
      </w:r>
      <w:r>
        <w:instrText xml:space="preserve"> HYPERLINK "https://www.nesta.org.uk/blog/power-to-the-people-how-cities-can-use-digital-technology-to-engage-and-empower-citizens/" </w:instrText>
      </w:r>
      <w:r>
        <w:fldChar w:fldCharType="separate"/>
      </w:r>
      <w:r w:rsidRPr="001C1B82">
        <w:rPr>
          <w:szCs w:val="16"/>
        </w:rPr>
        <w:t xml:space="preserve"> </w:t>
      </w:r>
      <w:r>
        <w:fldChar w:fldCharType="end"/>
      </w:r>
    </w:p>
  </w:footnote>
  <w:footnote w:id="274">
    <w:p w:rsidR="00673732" w:rsidRPr="001C1B82">
      <w:pPr>
        <w:pStyle w:val="footnotedescription"/>
        <w:rPr>
          <w:szCs w:val="16"/>
        </w:rPr>
      </w:pPr>
      <w:r w:rsidRPr="001C1B82">
        <w:rPr>
          <w:rStyle w:val="footnotemark"/>
          <w:szCs w:val="16"/>
        </w:rPr>
        <w:footnoteRef/>
      </w:r>
      <w:r w:rsidRPr="001C1B82">
        <w:rPr>
          <w:szCs w:val="16"/>
        </w:rPr>
        <w:t xml:space="preserve"> </w:t>
      </w:r>
      <w:r w:rsidRPr="001C1B82">
        <w:rPr>
          <w:i/>
          <w:szCs w:val="16"/>
        </w:rPr>
        <w:t>Ibid</w:t>
      </w:r>
      <w:r w:rsidRPr="001C1B82">
        <w:rPr>
          <w:szCs w:val="16"/>
        </w:rPr>
        <w:t xml:space="preserve">. </w:t>
      </w:r>
    </w:p>
  </w:footnote>
  <w:footnote w:id="275">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"https://www.nesta.org.uk/blog/digital-democracy-where-next/" </w:instrText>
      </w:r>
      <w:r>
        <w:fldChar w:fldCharType="separate"/>
      </w:r>
      <w:r w:rsidRPr="001C1B82">
        <w:rPr>
          <w:color w:val="0000FF"/>
          <w:szCs w:val="16"/>
          <w:u w:val="single" w:color="0000FF"/>
        </w:rPr>
        <w:t>https://www.nesta.org.uk/blog/digital-democracy-where-next/</w:t>
      </w:r>
      <w:r>
        <w:fldChar w:fldCharType="end"/>
      </w:r>
      <w:r>
        <w:fldChar w:fldCharType="begin"/>
      </w:r>
      <w:r>
        <w:instrText xml:space="preserve"> HYPERLINK "https://www.nesta.org.uk/blog/digital-democracy-where-next/" </w:instrText>
      </w:r>
      <w:r>
        <w:fldChar w:fldCharType="separate"/>
      </w:r>
      <w:r w:rsidRPr="001C1B82">
        <w:rPr>
          <w:szCs w:val="16"/>
        </w:rPr>
        <w:t xml:space="preserve"> </w:t>
      </w:r>
      <w:r>
        <w:fldChar w:fldCharType="end"/>
      </w:r>
    </w:p>
  </w:footnote>
  <w:footnote w:id="276">
    <w:p w:rsidR="00673732" w:rsidRPr="001C1B82">
      <w:pPr>
        <w:pStyle w:val="footnotedescription"/>
        <w:spacing w:after="31"/>
        <w:rPr>
          <w:szCs w:val="16"/>
        </w:rPr>
      </w:pPr>
      <w:r w:rsidRPr="001C1B82">
        <w:rPr>
          <w:rStyle w:val="footnotemark"/>
          <w:szCs w:val="16"/>
        </w:rPr>
        <w:footnoteRef/>
      </w:r>
      <w:r w:rsidRPr="001C1B82">
        <w:rPr>
          <w:rFonts w:eastAsia="Arial" w:cs="Arial"/>
          <w:szCs w:val="16"/>
        </w:rPr>
        <w:t xml:space="preserve"> Professor Harith Alani, </w:t>
      </w:r>
      <w:r>
        <w:fldChar w:fldCharType="begin"/>
      </w:r>
      <w:r>
        <w:instrText xml:space="preserve"> HYPERLINK "http://stem.open.ac.uk/people/ha2294" </w:instrText>
      </w:r>
      <w:r>
        <w:fldChar w:fldCharType="separate"/>
      </w:r>
      <w:r w:rsidRPr="001C1B82">
        <w:rPr>
          <w:rFonts w:eastAsia="Arial" w:cs="Arial"/>
          <w:color w:val="0000FF"/>
          <w:szCs w:val="16"/>
          <w:u w:val="single" w:color="0000FF"/>
        </w:rPr>
        <w:t>http://stem.open.ac.uk/people/ha2294</w:t>
      </w:r>
      <w:r>
        <w:fldChar w:fldCharType="end"/>
      </w:r>
      <w:r>
        <w:fldChar w:fldCharType="begin"/>
      </w:r>
      <w:r>
        <w:instrText xml:space="preserve"> HYPERLINK "http://stem.open.ac.uk/people/ha2294" </w:instrText>
      </w:r>
      <w:r>
        <w:fldChar w:fldCharType="separate"/>
      </w:r>
      <w:r w:rsidRPr="001C1B82">
        <w:rPr>
          <w:rFonts w:eastAsia="Arial" w:cs="Arial"/>
          <w:szCs w:val="16"/>
        </w:rPr>
        <w:t xml:space="preserve"> </w:t>
      </w:r>
      <w:r>
        <w:fldChar w:fldCharType="end"/>
      </w:r>
    </w:p>
  </w:footnote>
  <w:footnote w:id="277">
    <w:p w:rsidR="00673732" w:rsidRPr="001C1B82">
      <w:pPr>
        <w:pStyle w:val="footnotedescription"/>
        <w:rPr>
          <w:szCs w:val="16"/>
        </w:rPr>
      </w:pPr>
      <w:r w:rsidRPr="001C1B82">
        <w:rPr>
          <w:rStyle w:val="footnotemark"/>
          <w:szCs w:val="16"/>
        </w:rPr>
        <w:footnoteRef/>
      </w:r>
      <w:r w:rsidRPr="001C1B82">
        <w:rPr>
          <w:rFonts w:eastAsia="Arial" w:cs="Arial"/>
          <w:szCs w:val="16"/>
        </w:rPr>
        <w:t xml:space="preserve"> H2020 Co-Inform project </w:t>
      </w:r>
      <w:r>
        <w:fldChar w:fldCharType="begin"/>
      </w:r>
      <w:r>
        <w:instrText xml:space="preserve"> HYPERLINK "https://coinform.eu/" </w:instrText>
      </w:r>
      <w:r>
        <w:fldChar w:fldCharType="separate"/>
      </w:r>
      <w:r w:rsidRPr="001C1B82">
        <w:rPr>
          <w:rFonts w:eastAsia="Arial" w:cs="Arial"/>
          <w:color w:val="0000FF"/>
          <w:szCs w:val="16"/>
          <w:u w:val="single" w:color="0000FF"/>
        </w:rPr>
        <w:t>https://coinform.eu/</w:t>
      </w:r>
      <w:r>
        <w:fldChar w:fldCharType="end"/>
      </w:r>
      <w:r>
        <w:fldChar w:fldCharType="begin"/>
      </w:r>
      <w:r>
        <w:instrText xml:space="preserve"> HYPERLINK "https://coinform.eu/" </w:instrText>
      </w:r>
      <w:r>
        <w:fldChar w:fldCharType="separate"/>
      </w:r>
      <w:r w:rsidRPr="001C1B82">
        <w:rPr>
          <w:rFonts w:eastAsia="Arial" w:cs="Arial"/>
          <w:szCs w:val="16"/>
        </w:rPr>
        <w:t xml:space="preserve"> </w:t>
      </w:r>
      <w:r>
        <w:fldChar w:fldCharType="end"/>
      </w:r>
    </w:p>
  </w:footnote>
  <w:footnote w:id="278">
    <w:p w:rsidR="00673732" w:rsidRPr="001C1B82">
      <w:pPr>
        <w:pStyle w:val="footnotedescription"/>
        <w:spacing w:line="263" w:lineRule="auto"/>
        <w:ind w:right="48"/>
        <w:jc w:val="both"/>
        <w:rPr>
          <w:szCs w:val="16"/>
        </w:rPr>
      </w:pPr>
      <w:r w:rsidRPr="001C1B82">
        <w:rPr>
          <w:rStyle w:val="footnotemark"/>
          <w:szCs w:val="16"/>
        </w:rPr>
        <w:footnoteRef/>
      </w:r>
      <w:r w:rsidRPr="001C1B82">
        <w:rPr>
          <w:rFonts w:eastAsia="Arial" w:cs="Arial"/>
          <w:szCs w:val="16"/>
        </w:rPr>
        <w:t xml:space="preserve"> Farrell, Tracie; Piccolo, Lara; Coppolino Perfumi, Serena; Mensio, Martino; and Alani, Harith (2019). Understanding the Role of Human Values in the Spread of Misinformation. Conference for Truth And Trust Online (TTO), London, UK. </w:t>
      </w:r>
      <w:r>
        <w:fldChar w:fldCharType="begin"/>
      </w:r>
      <w:r>
        <w:instrText xml:space="preserve"> HYPERLINK "http://oro.open.ac.uk/67033/" </w:instrText>
      </w:r>
      <w:r>
        <w:fldChar w:fldCharType="separate"/>
      </w:r>
      <w:r w:rsidRPr="001C1B82">
        <w:rPr>
          <w:rFonts w:eastAsia="Arial" w:cs="Arial"/>
          <w:color w:val="0000FF"/>
          <w:szCs w:val="16"/>
          <w:u w:val="single" w:color="0000FF"/>
        </w:rPr>
        <w:t>http://oro.open.ac.uk/67033/</w:t>
      </w:r>
      <w:r>
        <w:fldChar w:fldCharType="end"/>
      </w:r>
      <w:r>
        <w:fldChar w:fldCharType="begin"/>
      </w:r>
      <w:r>
        <w:instrText xml:space="preserve"> HYPERLINK "http://oro.open.ac.uk/67033/" </w:instrText>
      </w:r>
      <w:r>
        <w:fldChar w:fldCharType="separate"/>
      </w:r>
      <w:r w:rsidRPr="001C1B82">
        <w:rPr>
          <w:rFonts w:eastAsia="Arial" w:cs="Arial"/>
          <w:szCs w:val="16"/>
        </w:rPr>
        <w:t xml:space="preserve"> </w:t>
      </w:r>
      <w:r>
        <w:fldChar w:fldCharType="end"/>
      </w:r>
    </w:p>
  </w:footnote>
  <w:footnote w:id="279">
    <w:p w:rsidR="00673732" w:rsidRPr="001C1B82">
      <w:pPr>
        <w:pStyle w:val="footnotedescription"/>
        <w:spacing w:after="18"/>
        <w:jc w:val="both"/>
        <w:rPr>
          <w:szCs w:val="16"/>
        </w:rPr>
      </w:pPr>
      <w:r w:rsidRPr="001C1B82">
        <w:rPr>
          <w:rStyle w:val="footnotemark"/>
          <w:szCs w:val="16"/>
        </w:rPr>
        <w:footnoteRef/>
      </w:r>
      <w:r w:rsidRPr="001C1B82">
        <w:rPr>
          <w:rFonts w:eastAsia="Arial" w:cs="Arial"/>
          <w:szCs w:val="16"/>
        </w:rPr>
        <w:t xml:space="preserve"> Mensio, Martino and Alani, Harith (2019). MisinfoMe: Who’s Interacting with Misinformation? In: 18th International </w:t>
      </w:r>
    </w:p>
    <w:p w:rsidR="00673732" w:rsidRPr="001C1B82">
      <w:pPr>
        <w:pStyle w:val="footnotedescription"/>
        <w:rPr>
          <w:szCs w:val="16"/>
        </w:rPr>
      </w:pPr>
      <w:r w:rsidRPr="001C1B82">
        <w:rPr>
          <w:rFonts w:eastAsia="Arial" w:cs="Arial"/>
          <w:szCs w:val="16"/>
        </w:rPr>
        <w:t xml:space="preserve">Semantic Web Conference (ISWC 2019), Auckland, New Zeeland. </w:t>
      </w:r>
      <w:r>
        <w:fldChar w:fldCharType="begin"/>
      </w:r>
      <w:r>
        <w:instrText xml:space="preserve"> HYPERLINK "http://oro.open.ac.uk/66341/" </w:instrText>
      </w:r>
      <w:r>
        <w:fldChar w:fldCharType="separate"/>
      </w:r>
      <w:r w:rsidRPr="001C1B82">
        <w:rPr>
          <w:rFonts w:eastAsia="Arial" w:cs="Arial"/>
          <w:color w:val="0000FF"/>
          <w:szCs w:val="16"/>
          <w:u w:val="single" w:color="0000FF"/>
        </w:rPr>
        <w:t>http://oro.open.ac.uk/66341/</w:t>
      </w:r>
      <w:r>
        <w:fldChar w:fldCharType="end"/>
      </w:r>
      <w:r>
        <w:fldChar w:fldCharType="begin"/>
      </w:r>
      <w:r>
        <w:instrText xml:space="preserve"> HYPERLINK "http://oro.open.ac.uk/66341/" </w:instrText>
      </w:r>
      <w:r>
        <w:fldChar w:fldCharType="separate"/>
      </w:r>
      <w:r w:rsidRPr="001C1B82">
        <w:rPr>
          <w:rFonts w:eastAsia="Arial" w:cs="Arial"/>
          <w:szCs w:val="16"/>
        </w:rPr>
        <w:t xml:space="preserve"> </w:t>
      </w:r>
      <w:r>
        <w:fldChar w:fldCharType="end"/>
      </w:r>
      <w:r w:rsidRPr="001C1B82">
        <w:rPr>
          <w:rFonts w:eastAsia="Arial" w:cs="Arial"/>
          <w:szCs w:val="16"/>
        </w:rPr>
        <w:t xml:space="preserve"> </w:t>
      </w:r>
    </w:p>
  </w:footnote>
  <w:footnote w:id="280">
    <w:p w:rsidR="00673732" w:rsidRPr="001C1B82">
      <w:pPr>
        <w:pStyle w:val="footnotedescription"/>
        <w:spacing w:after="18"/>
        <w:jc w:val="both"/>
        <w:rPr>
          <w:szCs w:val="16"/>
        </w:rPr>
      </w:pPr>
      <w:r w:rsidRPr="001C1B82">
        <w:rPr>
          <w:rStyle w:val="footnotemark"/>
          <w:szCs w:val="16"/>
        </w:rPr>
        <w:footnoteRef/>
      </w:r>
      <w:r w:rsidRPr="001C1B82">
        <w:rPr>
          <w:rFonts w:eastAsia="Arial" w:cs="Arial"/>
          <w:szCs w:val="16"/>
        </w:rPr>
        <w:t xml:space="preserve"> Fernandez, Miriam and Alani, Harith (2018). Online Misinformation: Challenges and Future Directions. In: WWW ’18 </w:t>
      </w:r>
    </w:p>
    <w:p w:rsidR="00673732" w:rsidRPr="001C1B82">
      <w:pPr>
        <w:pStyle w:val="footnotedescription"/>
        <w:spacing w:after="13"/>
        <w:rPr>
          <w:szCs w:val="16"/>
        </w:rPr>
      </w:pPr>
      <w:r w:rsidRPr="001C1B82">
        <w:rPr>
          <w:rFonts w:eastAsia="Arial" w:cs="Arial"/>
          <w:szCs w:val="16"/>
        </w:rPr>
        <w:t xml:space="preserve">Companion: The 2018 Web Conference Companion, Lyon, France. </w:t>
      </w:r>
      <w:r>
        <w:fldChar w:fldCharType="begin"/>
      </w:r>
      <w:r>
        <w:instrText xml:space="preserve"> HYPERLINK "http://oro.open.ac.uk/53734/" </w:instrText>
      </w:r>
      <w:r>
        <w:fldChar w:fldCharType="separate"/>
      </w:r>
      <w:r w:rsidRPr="001C1B82">
        <w:rPr>
          <w:rFonts w:eastAsia="Arial" w:cs="Arial"/>
          <w:color w:val="0000FF"/>
          <w:szCs w:val="16"/>
          <w:u w:val="single" w:color="0000FF"/>
        </w:rPr>
        <w:t>http://oro.open.ac.uk/53734/</w:t>
      </w:r>
      <w:r>
        <w:fldChar w:fldCharType="end"/>
      </w:r>
      <w:r>
        <w:fldChar w:fldCharType="begin"/>
      </w:r>
      <w:r>
        <w:instrText xml:space="preserve"> HYPERLINK "http://oro.open.ac.uk/53734/" </w:instrText>
      </w:r>
      <w:r>
        <w:fldChar w:fldCharType="separate"/>
      </w:r>
      <w:r w:rsidRPr="001C1B82">
        <w:rPr>
          <w:rFonts w:eastAsia="Arial" w:cs="Arial"/>
          <w:szCs w:val="16"/>
        </w:rPr>
        <w:t xml:space="preserve"> </w:t>
      </w:r>
      <w:r>
        <w:fldChar w:fldCharType="end"/>
      </w:r>
      <w:r w:rsidRPr="001C1B82">
        <w:rPr>
          <w:rFonts w:eastAsia="Arial" w:cs="Arial"/>
          <w:szCs w:val="16"/>
        </w:rPr>
        <w:t xml:space="preserve"> </w:t>
      </w:r>
    </w:p>
  </w:footnote>
  <w:footnote w:id="281">
    <w:p w:rsidR="00673732" w:rsidRPr="001C1B82">
      <w:pPr>
        <w:pStyle w:val="footnotedescription"/>
        <w:spacing w:after="13"/>
        <w:rPr>
          <w:szCs w:val="16"/>
        </w:rPr>
      </w:pPr>
      <w:r w:rsidRPr="001C1B82">
        <w:rPr>
          <w:rStyle w:val="footnotemark"/>
          <w:szCs w:val="16"/>
        </w:rPr>
        <w:footnoteRef/>
      </w:r>
      <w:r w:rsidRPr="001C1B82">
        <w:rPr>
          <w:rFonts w:eastAsia="Arial" w:cs="Arial"/>
          <w:szCs w:val="16"/>
        </w:rPr>
        <w:t xml:space="preserve"> Claim review mark-up schema to structure fact checking data </w:t>
      </w:r>
      <w:r>
        <w:fldChar w:fldCharType="begin"/>
      </w:r>
      <w:r>
        <w:instrText xml:space="preserve"> HYPERLINK "https://schema.org/ClaimReview" </w:instrText>
      </w:r>
      <w:r>
        <w:fldChar w:fldCharType="separate"/>
      </w:r>
      <w:r w:rsidRPr="001C1B82">
        <w:rPr>
          <w:rFonts w:eastAsia="Arial" w:cs="Arial"/>
          <w:color w:val="0000FF"/>
          <w:szCs w:val="16"/>
          <w:u w:val="single" w:color="0000FF"/>
        </w:rPr>
        <w:t>https://schema.org/ClaimReview</w:t>
      </w:r>
      <w:r>
        <w:fldChar w:fldCharType="end"/>
      </w:r>
      <w:r>
        <w:fldChar w:fldCharType="begin"/>
      </w:r>
      <w:r>
        <w:instrText xml:space="preserve"> HYPERLINK "https://schema.org/ClaimReview" </w:instrText>
      </w:r>
      <w:r>
        <w:fldChar w:fldCharType="separate"/>
      </w:r>
      <w:r w:rsidRPr="001C1B82">
        <w:rPr>
          <w:rFonts w:eastAsia="Arial" w:cs="Arial"/>
          <w:szCs w:val="16"/>
        </w:rPr>
        <w:t xml:space="preserve"> </w:t>
      </w:r>
      <w:r>
        <w:fldChar w:fldCharType="end"/>
      </w:r>
    </w:p>
  </w:footnote>
  <w:footnote w:id="282">
    <w:p w:rsidR="00673732" w:rsidRPr="001C1B82">
      <w:pPr>
        <w:pStyle w:val="footnotedescription"/>
        <w:spacing w:after="18"/>
        <w:jc w:val="both"/>
        <w:rPr>
          <w:szCs w:val="16"/>
        </w:rPr>
      </w:pPr>
      <w:r w:rsidRPr="001C1B82">
        <w:rPr>
          <w:rStyle w:val="footnotemark"/>
          <w:szCs w:val="16"/>
        </w:rPr>
        <w:footnoteRef/>
      </w:r>
      <w:r w:rsidRPr="001C1B82">
        <w:rPr>
          <w:rFonts w:eastAsia="Arial" w:cs="Arial"/>
          <w:szCs w:val="16"/>
        </w:rPr>
        <w:t xml:space="preserve"> Mensio, Martino and Alani, Harith (2019). News Source Credibility in the Eyes of Different Assessors. Conference for </w:t>
      </w:r>
    </w:p>
    <w:p w:rsidR="00673732" w:rsidRPr="001C1B82">
      <w:pPr>
        <w:pStyle w:val="footnotedescription"/>
        <w:rPr>
          <w:szCs w:val="16"/>
        </w:rPr>
      </w:pPr>
      <w:r w:rsidRPr="001C1B82">
        <w:rPr>
          <w:rFonts w:eastAsia="Arial" w:cs="Arial"/>
          <w:szCs w:val="16"/>
        </w:rPr>
        <w:t xml:space="preserve">Truth and Trust Online (TTO), London, UK. </w:t>
      </w:r>
      <w:r>
        <w:fldChar w:fldCharType="begin"/>
      </w:r>
      <w:r>
        <w:instrText xml:space="preserve"> HYPERLINK "http://oro.open.ac.uk/62771/" </w:instrText>
      </w:r>
      <w:r>
        <w:fldChar w:fldCharType="separate"/>
      </w:r>
      <w:r w:rsidRPr="001C1B82">
        <w:rPr>
          <w:rFonts w:eastAsia="Arial" w:cs="Arial"/>
          <w:color w:val="0000FF"/>
          <w:szCs w:val="16"/>
          <w:u w:val="single" w:color="0000FF"/>
        </w:rPr>
        <w:t>http://oro.open.ac.uk/62771/</w:t>
      </w:r>
      <w:r>
        <w:fldChar w:fldCharType="end"/>
      </w:r>
      <w:r>
        <w:fldChar w:fldCharType="begin"/>
      </w:r>
      <w:r>
        <w:instrText xml:space="preserve"> HYPERLINK "http://oro.open.ac.uk/62771/" </w:instrText>
      </w:r>
      <w:r>
        <w:fldChar w:fldCharType="separate"/>
      </w:r>
      <w:r w:rsidRPr="001C1B82">
        <w:rPr>
          <w:rFonts w:eastAsia="Arial" w:cs="Arial"/>
          <w:szCs w:val="16"/>
        </w:rPr>
        <w:t xml:space="preserve"> </w:t>
      </w:r>
      <w:r>
        <w:fldChar w:fldCharType="end"/>
      </w:r>
    </w:p>
    <w:p w:rsidR="00673732" w:rsidRPr="001C1B82">
      <w:pPr>
        <w:pStyle w:val="footnotedescription"/>
        <w:rPr>
          <w:szCs w:val="16"/>
        </w:rPr>
      </w:pPr>
      <w:r w:rsidRPr="001C1B82">
        <w:rPr>
          <w:rFonts w:eastAsia="Arial" w:cs="Arial"/>
          <w:szCs w:val="16"/>
        </w:rPr>
        <w:t xml:space="preserve"> </w:t>
      </w:r>
    </w:p>
  </w:footnote>
  <w:footnote w:id="283">
    <w:p w:rsidR="00673732" w:rsidRPr="001C1B82">
      <w:pPr>
        <w:pStyle w:val="footnotedescription"/>
        <w:spacing w:line="265" w:lineRule="auto"/>
        <w:ind w:left="1"/>
        <w:rPr>
          <w:szCs w:val="16"/>
        </w:rPr>
      </w:pPr>
      <w:r w:rsidRPr="001C1B82">
        <w:rPr>
          <w:rStyle w:val="footnotemark"/>
          <w:szCs w:val="16"/>
        </w:rPr>
        <w:footnoteRef/>
      </w:r>
      <w:r w:rsidRPr="001C1B82">
        <w:rPr>
          <w:rFonts w:eastAsia="Times New Roman" w:cs="Times New Roman"/>
          <w:szCs w:val="16"/>
        </w:rPr>
        <w:t xml:space="preserve"> For a full discussion, see: Margetts et al. (2015), </w:t>
      </w:r>
      <w:r w:rsidRPr="001C1B82">
        <w:rPr>
          <w:rFonts w:eastAsia="Times New Roman" w:cs="Times New Roman"/>
          <w:i/>
          <w:szCs w:val="16"/>
        </w:rPr>
        <w:t>Political Turbulence: how social media shape collective action</w:t>
      </w:r>
      <w:r w:rsidRPr="001C1B82">
        <w:rPr>
          <w:rFonts w:eastAsia="Times New Roman" w:cs="Times New Roman"/>
          <w:szCs w:val="16"/>
        </w:rPr>
        <w:t xml:space="preserve">, Oxford: Princeton University Press.  </w:t>
      </w:r>
    </w:p>
  </w:footnote>
  <w:footnote w:id="284">
    <w:p w:rsidR="00673732" w:rsidRPr="001C1B82">
      <w:pPr>
        <w:pStyle w:val="footnotedescription"/>
        <w:spacing w:after="17"/>
        <w:ind w:left="1"/>
        <w:rPr>
          <w:szCs w:val="16"/>
        </w:rPr>
      </w:pPr>
      <w:r w:rsidRPr="001C1B82">
        <w:rPr>
          <w:rStyle w:val="footnotemark"/>
          <w:szCs w:val="16"/>
        </w:rPr>
        <w:footnoteRef/>
      </w:r>
      <w:r w:rsidRPr="001C1B82">
        <w:rPr>
          <w:rFonts w:eastAsia="Times New Roman" w:cs="Times New Roman"/>
          <w:szCs w:val="16"/>
        </w:rPr>
        <w:t xml:space="preserve"> Cheng et al., ‘Anyone can become a troll: causes of trolling behaviour in online discussions’. Available at: </w:t>
      </w:r>
    </w:p>
    <w:p w:rsidR="00673732" w:rsidRPr="001C1B82">
      <w:pPr>
        <w:pStyle w:val="footnotedescription"/>
        <w:ind w:left="1"/>
        <w:rPr>
          <w:szCs w:val="16"/>
        </w:rPr>
      </w:pPr>
      <w:r>
        <w:fldChar w:fldCharType="begin"/>
      </w:r>
      <w:r>
        <w:instrText xml:space="preserve"> HYPERLINK "https://dl.acm.org/citation.cfm?id=2998213" </w:instrText>
      </w:r>
      <w:r>
        <w:fldChar w:fldCharType="separate"/>
      </w:r>
      <w:r w:rsidRPr="001C1B82">
        <w:rPr>
          <w:rFonts w:eastAsia="Times New Roman" w:cs="Times New Roman"/>
          <w:color w:val="0563C1"/>
          <w:szCs w:val="16"/>
          <w:u w:val="single" w:color="0563C1"/>
        </w:rPr>
        <w:t>https://dl.acm.org/citation.cfm?id=2998213</w:t>
      </w:r>
      <w:r>
        <w:fldChar w:fldCharType="end"/>
      </w:r>
      <w:r>
        <w:fldChar w:fldCharType="begin"/>
      </w:r>
      <w:r>
        <w:instrText xml:space="preserve"> HYPERLINK "https://dl.acm.org/citation.cfm?id=2998213" </w:instrText>
      </w:r>
      <w:r>
        <w:fldChar w:fldCharType="separate"/>
      </w:r>
      <w:r w:rsidRPr="001C1B82">
        <w:rPr>
          <w:rFonts w:eastAsia="Times New Roman" w:cs="Times New Roman"/>
          <w:szCs w:val="16"/>
        </w:rPr>
        <w:t xml:space="preserve"> </w:t>
      </w:r>
      <w:r>
        <w:fldChar w:fldCharType="end"/>
      </w:r>
      <w:r w:rsidRPr="001C1B82">
        <w:rPr>
          <w:rFonts w:eastAsia="Times New Roman" w:cs="Times New Roman"/>
          <w:szCs w:val="16"/>
        </w:rPr>
        <w:t xml:space="preserve"> </w:t>
      </w:r>
    </w:p>
  </w:footnote>
  <w:footnote w:id="285">
    <w:p w:rsidR="00673732" w:rsidRPr="001C1B82">
      <w:pPr>
        <w:pStyle w:val="footnotedescription"/>
        <w:spacing w:line="274" w:lineRule="auto"/>
        <w:ind w:left="1"/>
        <w:rPr>
          <w:szCs w:val="16"/>
        </w:rPr>
      </w:pPr>
      <w:r w:rsidRPr="001C1B82">
        <w:rPr>
          <w:rStyle w:val="footnotemark"/>
          <w:szCs w:val="16"/>
        </w:rPr>
        <w:footnoteRef/>
      </w:r>
      <w:r w:rsidRPr="001C1B82">
        <w:rPr>
          <w:rFonts w:eastAsia="Times New Roman" w:cs="Times New Roman"/>
          <w:szCs w:val="16"/>
        </w:rPr>
        <w:t xml:space="preserve"> As discussed. In the recent Online Harms White Paper from DCMS and the Home Office, available at: </w:t>
      </w:r>
      <w:r>
        <w:fldChar w:fldCharType="begin"/>
      </w:r>
      <w:r>
        <w:instrText xml:space="preserve"> HYPERLINK "https://www.gov.uk/government/consultations/online-harms-white-paper" </w:instrText>
      </w:r>
      <w:r>
        <w:fldChar w:fldCharType="separate"/>
      </w:r>
      <w:r w:rsidRPr="001C1B82">
        <w:rPr>
          <w:rFonts w:eastAsia="Times New Roman" w:cs="Times New Roman"/>
          <w:color w:val="0563C1"/>
          <w:szCs w:val="16"/>
          <w:u w:val="single" w:color="0563C1"/>
        </w:rPr>
        <w:t>https://www.gov.uk/government/consultations/online-harms-white-paper</w:t>
      </w:r>
      <w:r>
        <w:fldChar w:fldCharType="end"/>
      </w:r>
      <w:r>
        <w:fldChar w:fldCharType="begin"/>
      </w:r>
      <w:r>
        <w:instrText xml:space="preserve"> HYPERLINK "https://www.gov.uk/government/consultations/online-harms-white-paper" </w:instrText>
      </w:r>
      <w:r>
        <w:fldChar w:fldCharType="separate"/>
      </w:r>
      <w:r w:rsidRPr="001C1B82">
        <w:rPr>
          <w:rFonts w:eastAsia="Times New Roman" w:cs="Times New Roman"/>
          <w:szCs w:val="16"/>
        </w:rPr>
        <w:t xml:space="preserve"> </w:t>
      </w:r>
      <w:r>
        <w:fldChar w:fldCharType="end"/>
      </w:r>
      <w:r w:rsidRPr="001C1B82">
        <w:rPr>
          <w:rFonts w:eastAsia="Times New Roman" w:cs="Times New Roman"/>
          <w:szCs w:val="16"/>
        </w:rPr>
        <w:t xml:space="preserve"> </w:t>
      </w:r>
    </w:p>
  </w:footnote>
  <w:footnote w:id="286">
    <w:p w:rsidR="00673732" w:rsidRPr="001C1B82">
      <w:pPr>
        <w:pStyle w:val="footnotedescription"/>
        <w:spacing w:line="277" w:lineRule="auto"/>
        <w:ind w:left="1"/>
        <w:rPr>
          <w:szCs w:val="16"/>
        </w:rPr>
      </w:pPr>
      <w:r w:rsidRPr="001C1B82">
        <w:rPr>
          <w:rStyle w:val="footnotemark"/>
          <w:szCs w:val="16"/>
        </w:rPr>
        <w:footnoteRef/>
      </w:r>
      <w:r w:rsidRPr="001C1B82">
        <w:rPr>
          <w:rFonts w:eastAsia="Times New Roman" w:cs="Times New Roman"/>
          <w:szCs w:val="16"/>
        </w:rPr>
        <w:t xml:space="preserve"> A policy briefing report summarising the available evidence on online abuse is forthcoming from The Alan Turing Institute’s Hate Speech: Measures and counter-measures team. </w:t>
      </w:r>
    </w:p>
  </w:footnote>
  <w:footnote w:id="287">
    <w:p w:rsidR="00673732" w:rsidRPr="001C1B82">
      <w:pPr>
        <w:pStyle w:val="footnotedescription"/>
        <w:spacing w:line="277" w:lineRule="auto"/>
        <w:ind w:left="1"/>
        <w:rPr>
          <w:szCs w:val="16"/>
        </w:rPr>
      </w:pPr>
      <w:r w:rsidRPr="001C1B82">
        <w:rPr>
          <w:rStyle w:val="footnotemark"/>
          <w:szCs w:val="16"/>
        </w:rPr>
        <w:footnoteRef/>
      </w:r>
      <w:r w:rsidRPr="001C1B82">
        <w:rPr>
          <w:rFonts w:eastAsia="Times New Roman" w:cs="Times New Roman"/>
          <w:szCs w:val="16"/>
        </w:rPr>
        <w:t xml:space="preserve"> Reported by Facebook here: https://www.facebook.com/FacebookSingapore/posts/did-you-know-that-475billion-pieces-of-content-are-shared-daily/563468333703369/ </w:t>
      </w:r>
    </w:p>
  </w:footnote>
  <w:footnote w:id="288">
    <w:p w:rsidR="00673732" w:rsidRPr="001C1B82">
      <w:pPr>
        <w:pStyle w:val="footnotedescription"/>
        <w:spacing w:line="251" w:lineRule="auto"/>
        <w:ind w:left="1" w:right="2386"/>
        <w:rPr>
          <w:szCs w:val="16"/>
        </w:rPr>
      </w:pPr>
      <w:r w:rsidRPr="001C1B82">
        <w:rPr>
          <w:rStyle w:val="footnotemark"/>
          <w:szCs w:val="16"/>
        </w:rPr>
        <w:footnoteRef/>
      </w:r>
      <w:r w:rsidRPr="001C1B82">
        <w:rPr>
          <w:rFonts w:eastAsia="Times New Roman" w:cs="Times New Roman"/>
          <w:szCs w:val="16"/>
        </w:rPr>
        <w:t xml:space="preserve"> See Gorrell et al. (2018), ‘Twits, Twats and Twaddle’, available at  </w:t>
      </w:r>
      <w:r>
        <w:fldChar w:fldCharType="begin"/>
      </w:r>
      <w:r>
        <w:instrText xml:space="preserve"> HYPERLINK "https://www.aaai.org/ocs/index.php/ICWSM/ICWSM18/paper/viewPaper/17861" </w:instrText>
      </w:r>
      <w:r>
        <w:fldChar w:fldCharType="separate"/>
      </w:r>
      <w:r w:rsidRPr="001C1B82">
        <w:rPr>
          <w:rFonts w:eastAsia="Times New Roman" w:cs="Times New Roman"/>
          <w:color w:val="0563C1"/>
          <w:szCs w:val="16"/>
          <w:u w:val="single" w:color="0563C1"/>
        </w:rPr>
        <w:t>https://www.aaai.org/ocs/index.php/ICWSM/ICWSM18/paper/viewPaper/17861</w:t>
      </w:r>
      <w:r>
        <w:fldChar w:fldCharType="end"/>
      </w:r>
      <w:r>
        <w:fldChar w:fldCharType="begin"/>
      </w:r>
      <w:r>
        <w:instrText xml:space="preserve"> HYPERLINK "https://www.aaai.org/ocs/index.php/ICWSM/ICWSM18/paper/viewPaper/17861" </w:instrText>
      </w:r>
      <w:r>
        <w:fldChar w:fldCharType="separate"/>
      </w:r>
      <w:r w:rsidRPr="001C1B82">
        <w:rPr>
          <w:rFonts w:eastAsia="Times New Roman" w:cs="Times New Roman"/>
          <w:szCs w:val="16"/>
        </w:rPr>
        <w:t xml:space="preserve"> </w:t>
      </w:r>
      <w:r>
        <w:fldChar w:fldCharType="end"/>
      </w:r>
      <w:r w:rsidRPr="001C1B82">
        <w:rPr>
          <w:rFonts w:eastAsia="Times New Roman" w:cs="Times New Roman"/>
          <w:szCs w:val="16"/>
        </w:rPr>
        <w:t xml:space="preserve"> </w:t>
      </w:r>
      <w:r w:rsidRPr="001C1B82">
        <w:rPr>
          <w:rFonts w:eastAsia="Times New Roman" w:cs="Times New Roman"/>
          <w:szCs w:val="16"/>
          <w:vertAlign w:val="superscript"/>
        </w:rPr>
        <w:t>7</w:t>
      </w:r>
      <w:r w:rsidRPr="001C1B82">
        <w:rPr>
          <w:rFonts w:eastAsia="Times New Roman" w:cs="Times New Roman"/>
          <w:szCs w:val="16"/>
        </w:rPr>
        <w:t xml:space="preserve"> Publication is forthcoming. </w:t>
      </w:r>
    </w:p>
  </w:footnote>
  <w:footnote w:id="289">
    <w:p w:rsidR="00673732" w:rsidRPr="001C1B82">
      <w:pPr>
        <w:pStyle w:val="footnotedescription"/>
        <w:ind w:left="1"/>
        <w:rPr>
          <w:szCs w:val="16"/>
        </w:rPr>
      </w:pPr>
      <w:r w:rsidRPr="001C1B82">
        <w:rPr>
          <w:rStyle w:val="footnotemark"/>
          <w:szCs w:val="16"/>
        </w:rPr>
        <w:footnoteRef/>
      </w:r>
      <w:r w:rsidRPr="001C1B82">
        <w:rPr>
          <w:rFonts w:eastAsia="Times New Roman" w:cs="Times New Roman"/>
          <w:szCs w:val="16"/>
        </w:rPr>
        <w:t xml:space="preserve"> Please see OxIS’s website for more information about the survey: </w:t>
      </w:r>
      <w:r>
        <w:fldChar w:fldCharType="begin"/>
      </w:r>
      <w:r>
        <w:instrText xml:space="preserve"> HYPERLINK "https://oxis.oii.ox.ac.uk/" </w:instrText>
      </w:r>
      <w:r>
        <w:fldChar w:fldCharType="separate"/>
      </w:r>
      <w:r w:rsidRPr="001C1B82">
        <w:rPr>
          <w:rFonts w:eastAsia="Times New Roman" w:cs="Times New Roman"/>
          <w:color w:val="0563C1"/>
          <w:szCs w:val="16"/>
          <w:u w:val="single" w:color="0563C1"/>
        </w:rPr>
        <w:t>https://oxis.oii.ox.ac.uk</w:t>
      </w:r>
      <w:r>
        <w:fldChar w:fldCharType="end"/>
      </w:r>
      <w:r>
        <w:fldChar w:fldCharType="begin"/>
      </w:r>
      <w:r>
        <w:instrText xml:space="preserve"> HYPERLINK "https://oxis.oii.ox.ac.uk/" </w:instrText>
      </w:r>
      <w:r>
        <w:fldChar w:fldCharType="separate"/>
      </w:r>
      <w:r w:rsidRPr="001C1B82">
        <w:rPr>
          <w:rFonts w:eastAsia="Times New Roman" w:cs="Times New Roman"/>
          <w:szCs w:val="16"/>
        </w:rPr>
        <w:t xml:space="preserve"> </w:t>
      </w:r>
      <w:r>
        <w:fldChar w:fldCharType="end"/>
      </w:r>
      <w:r w:rsidRPr="001C1B82">
        <w:rPr>
          <w:rFonts w:eastAsia="Times New Roman" w:cs="Times New Roman"/>
          <w:szCs w:val="16"/>
        </w:rPr>
        <w:t xml:space="preserve">and Dr. Grant </w:t>
      </w:r>
    </w:p>
    <w:p w:rsidR="00673732" w:rsidRPr="001C1B82">
      <w:pPr>
        <w:pStyle w:val="footnotedescription"/>
        <w:ind w:left="1"/>
        <w:rPr>
          <w:szCs w:val="16"/>
        </w:rPr>
      </w:pPr>
      <w:r w:rsidRPr="001C1B82">
        <w:rPr>
          <w:rFonts w:eastAsia="Times New Roman" w:cs="Times New Roman"/>
          <w:szCs w:val="16"/>
        </w:rPr>
        <w:t xml:space="preserve">Blank’s online profile: </w:t>
      </w:r>
      <w:r>
        <w:fldChar w:fldCharType="begin"/>
      </w:r>
      <w:r>
        <w:instrText xml:space="preserve"> HYPERLINK "https://www.oii.ox.ac.uk/people/grant-blank/" </w:instrText>
      </w:r>
      <w:r>
        <w:fldChar w:fldCharType="separate"/>
      </w:r>
      <w:r w:rsidRPr="001C1B82">
        <w:rPr>
          <w:rFonts w:eastAsia="Times New Roman" w:cs="Times New Roman"/>
          <w:color w:val="0563C1"/>
          <w:szCs w:val="16"/>
          <w:u w:val="single" w:color="0563C1"/>
        </w:rPr>
        <w:t>https://www.oii.ox.ac.uk/people/grant-blank/</w:t>
      </w:r>
      <w:r>
        <w:fldChar w:fldCharType="end"/>
      </w:r>
      <w:r>
        <w:fldChar w:fldCharType="begin"/>
      </w:r>
      <w:r>
        <w:instrText xml:space="preserve"> HYPERLINK "https://www.oii.ox.ac.uk/people/grant-blank/" </w:instrText>
      </w:r>
      <w:r>
        <w:fldChar w:fldCharType="separate"/>
      </w:r>
      <w:r w:rsidRPr="001C1B82">
        <w:rPr>
          <w:rFonts w:eastAsia="Times New Roman" w:cs="Times New Roman"/>
          <w:szCs w:val="16"/>
        </w:rPr>
        <w:t xml:space="preserve"> </w:t>
      </w:r>
      <w:r>
        <w:fldChar w:fldCharType="end"/>
      </w:r>
    </w:p>
    <w:p w:rsidR="00673732" w:rsidRPr="001C1B82">
      <w:pPr>
        <w:pStyle w:val="footnotedescription"/>
        <w:spacing w:line="240" w:lineRule="auto"/>
        <w:ind w:left="1"/>
        <w:rPr>
          <w:szCs w:val="16"/>
        </w:rPr>
      </w:pPr>
      <w:r w:rsidRPr="001C1B82">
        <w:rPr>
          <w:rFonts w:eastAsia="Times New Roman" w:cs="Times New Roman"/>
          <w:szCs w:val="16"/>
        </w:rPr>
        <w:t xml:space="preserve">OxIS is the longest-running academic survey of Internet use in Britain and uses a multi-stage national probability sample of 2,000 people. Current internet users, non-users and ex-users are included, which allows the data to be used for representative estimates of Internet use, with a low margin of error. </w:t>
      </w:r>
    </w:p>
  </w:footnote>
  <w:footnote w:id="290">
    <w:p w:rsidR="00673732" w:rsidRPr="001C1B82">
      <w:pPr>
        <w:pStyle w:val="footnotedescription"/>
        <w:ind w:left="1"/>
        <w:rPr>
          <w:szCs w:val="16"/>
        </w:rPr>
      </w:pPr>
      <w:r w:rsidRPr="001C1B82">
        <w:rPr>
          <w:rStyle w:val="footnotemark"/>
          <w:szCs w:val="16"/>
        </w:rPr>
        <w:footnoteRef/>
      </w:r>
      <w:r w:rsidRPr="001C1B82">
        <w:rPr>
          <w:rFonts w:eastAsia="Times New Roman" w:cs="Times New Roman"/>
          <w:szCs w:val="16"/>
        </w:rPr>
        <w:t xml:space="preserve"> Figures from the USA are used as comparable survey data for the UK is not currently available. </w:t>
      </w:r>
    </w:p>
  </w:footnote>
  <w:footnote w:id="291">
    <w:p w:rsidR="00673732" w:rsidRPr="001C1B82">
      <w:pPr>
        <w:pStyle w:val="footnotedescription"/>
        <w:spacing w:line="248" w:lineRule="auto"/>
        <w:ind w:left="1"/>
        <w:rPr>
          <w:szCs w:val="16"/>
        </w:rPr>
      </w:pPr>
      <w:r w:rsidRPr="001C1B82">
        <w:rPr>
          <w:rStyle w:val="footnotemark"/>
          <w:szCs w:val="16"/>
        </w:rPr>
        <w:footnoteRef/>
      </w:r>
      <w:r w:rsidRPr="001C1B82">
        <w:rPr>
          <w:rFonts w:eastAsia="Times New Roman" w:cs="Times New Roman"/>
          <w:szCs w:val="16"/>
        </w:rPr>
        <w:t xml:space="preserve"> See: </w:t>
      </w:r>
      <w:r>
        <w:fldChar w:fldCharType="begin"/>
      </w:r>
      <w:r>
        <w:instrText xml:space="preserve"> HYPERLINK "https://www.aclweb.org/anthology/W17-1101" </w:instrText>
      </w:r>
      <w:r>
        <w:fldChar w:fldCharType="separate"/>
      </w:r>
      <w:r w:rsidRPr="001C1B82">
        <w:rPr>
          <w:rFonts w:eastAsia="Times New Roman" w:cs="Times New Roman"/>
          <w:color w:val="0563C1"/>
          <w:szCs w:val="16"/>
          <w:u w:val="single" w:color="0563C1"/>
        </w:rPr>
        <w:t>https://www.aclweb.org/anthology/W17-1101</w:t>
      </w:r>
      <w:r>
        <w:fldChar w:fldCharType="end"/>
      </w:r>
      <w:r>
        <w:fldChar w:fldCharType="begin"/>
      </w:r>
      <w:r>
        <w:instrText xml:space="preserve"> HYPERLINK "https://www.aclweb.org/anthology/W17-1101" </w:instrText>
      </w:r>
      <w:r>
        <w:fldChar w:fldCharType="separate"/>
      </w:r>
      <w:r w:rsidRPr="001C1B82">
        <w:rPr>
          <w:rFonts w:eastAsia="Times New Roman" w:cs="Times New Roman"/>
          <w:szCs w:val="16"/>
        </w:rPr>
        <w:t>,</w:t>
      </w:r>
      <w:r>
        <w:fldChar w:fldCharType="end"/>
      </w:r>
      <w:r>
        <w:fldChar w:fldCharType="begin"/>
      </w:r>
      <w:r>
        <w:instrText xml:space="preserve"> HYPERLINK "https://arxiv.org/pdf/1705.09899" </w:instrText>
      </w:r>
      <w:r>
        <w:fldChar w:fldCharType="separate"/>
      </w:r>
      <w:r w:rsidRPr="001C1B82">
        <w:rPr>
          <w:rFonts w:eastAsia="Times New Roman" w:cs="Times New Roman"/>
          <w:szCs w:val="16"/>
        </w:rPr>
        <w:t xml:space="preserve"> </w:t>
      </w:r>
      <w:r>
        <w:fldChar w:fldCharType="end"/>
      </w:r>
      <w:r>
        <w:fldChar w:fldCharType="begin"/>
      </w:r>
      <w:r>
        <w:instrText xml:space="preserve"> HYPERLINK "https://arxiv.org/pdf/1705.09899" </w:instrText>
      </w:r>
      <w:r>
        <w:fldChar w:fldCharType="separate"/>
      </w:r>
      <w:r w:rsidRPr="001C1B82">
        <w:rPr>
          <w:rFonts w:eastAsia="Times New Roman" w:cs="Times New Roman"/>
          <w:color w:val="0563C1"/>
          <w:szCs w:val="16"/>
          <w:u w:val="single" w:color="0563C1"/>
        </w:rPr>
        <w:t>https://arxiv.org/pdf/1705.09899</w:t>
      </w:r>
      <w:r>
        <w:fldChar w:fldCharType="end"/>
      </w:r>
      <w:r>
        <w:fldChar w:fldCharType="begin"/>
      </w:r>
      <w:r>
        <w:instrText xml:space="preserve"> HYPERLINK "https://arxiv.org/pdf/1705.09899" </w:instrText>
      </w:r>
      <w:r>
        <w:fldChar w:fldCharType="separate"/>
      </w:r>
      <w:r w:rsidRPr="001C1B82">
        <w:rPr>
          <w:rFonts w:eastAsia="Times New Roman" w:cs="Times New Roman"/>
          <w:szCs w:val="16"/>
        </w:rPr>
        <w:t xml:space="preserve"> </w:t>
      </w:r>
      <w:r>
        <w:fldChar w:fldCharType="end"/>
      </w:r>
      <w:r w:rsidRPr="001C1B82">
        <w:rPr>
          <w:rFonts w:eastAsia="Times New Roman" w:cs="Times New Roman"/>
          <w:szCs w:val="16"/>
        </w:rPr>
        <w:t xml:space="preserve">&amp; </w:t>
      </w:r>
      <w:r>
        <w:fldChar w:fldCharType="begin"/>
      </w:r>
      <w:r>
        <w:instrText xml:space="preserve"> HYPERLINK "https://www.aclweb.org/anthology/P19-1163" </w:instrText>
      </w:r>
      <w:r>
        <w:fldChar w:fldCharType="separate"/>
      </w:r>
      <w:r w:rsidRPr="001C1B82">
        <w:rPr>
          <w:rFonts w:eastAsia="Times New Roman" w:cs="Times New Roman"/>
          <w:color w:val="0563C1"/>
          <w:szCs w:val="16"/>
          <w:u w:val="single" w:color="0563C1"/>
        </w:rPr>
        <w:t>https://www.aclweb.org/anthology/P19-1163</w:t>
      </w:r>
      <w:r>
        <w:fldChar w:fldCharType="end"/>
      </w:r>
      <w:r>
        <w:fldChar w:fldCharType="begin"/>
      </w:r>
      <w:r>
        <w:instrText xml:space="preserve"> HYPERLINK "https://www.aclweb.org/anthology/P19-1163" </w:instrText>
      </w:r>
      <w:r>
        <w:fldChar w:fldCharType="separate"/>
      </w:r>
      <w:r w:rsidRPr="001C1B82">
        <w:rPr>
          <w:rFonts w:eastAsia="Times New Roman" w:cs="Times New Roman"/>
          <w:szCs w:val="16"/>
        </w:rPr>
        <w:t xml:space="preserve"> </w:t>
      </w:r>
      <w:r>
        <w:fldChar w:fldCharType="end"/>
      </w:r>
      <w:r w:rsidRPr="001C1B82">
        <w:rPr>
          <w:rFonts w:eastAsia="Times New Roman" w:cs="Times New Roman"/>
          <w:szCs w:val="16"/>
        </w:rPr>
        <w:t xml:space="preserve"> </w:t>
      </w:r>
    </w:p>
  </w:footnote>
  <w:footnote w:id="292">
    <w:p w:rsidR="00673732" w:rsidRPr="001C1B82">
      <w:pPr>
        <w:pStyle w:val="footnotedescription"/>
        <w:spacing w:line="271" w:lineRule="auto"/>
        <w:ind w:left="1"/>
        <w:rPr>
          <w:szCs w:val="16"/>
        </w:rPr>
      </w:pPr>
      <w:r w:rsidRPr="001C1B82">
        <w:rPr>
          <w:rStyle w:val="footnotemark"/>
          <w:szCs w:val="16"/>
        </w:rPr>
        <w:footnoteRef/>
      </w:r>
      <w:r w:rsidRPr="001C1B82">
        <w:rPr>
          <w:rFonts w:eastAsia="Times New Roman" w:cs="Times New Roman"/>
          <w:szCs w:val="16"/>
        </w:rPr>
        <w:t xml:space="preserve"> Vidgen et al., ‘Frontiers and Challenges in abusive content detection’, </w:t>
      </w:r>
      <w:r w:rsidRPr="001C1B82">
        <w:rPr>
          <w:rFonts w:eastAsia="Times New Roman" w:cs="Times New Roman"/>
          <w:i/>
          <w:szCs w:val="16"/>
        </w:rPr>
        <w:t>Proceedings of the 3</w:t>
      </w:r>
      <w:r w:rsidRPr="001C1B82">
        <w:rPr>
          <w:rFonts w:eastAsia="Times New Roman" w:cs="Times New Roman"/>
          <w:i/>
          <w:szCs w:val="16"/>
          <w:vertAlign w:val="superscript"/>
        </w:rPr>
        <w:t>rd</w:t>
      </w:r>
      <w:r w:rsidRPr="001C1B82">
        <w:rPr>
          <w:rFonts w:eastAsia="Times New Roman" w:cs="Times New Roman"/>
          <w:i/>
          <w:szCs w:val="16"/>
        </w:rPr>
        <w:t xml:space="preserve"> workshop on abusive language online, </w:t>
      </w:r>
      <w:r w:rsidRPr="001C1B82">
        <w:rPr>
          <w:rFonts w:eastAsia="Times New Roman" w:cs="Times New Roman"/>
          <w:szCs w:val="16"/>
        </w:rPr>
        <w:t xml:space="preserve">Available at: </w:t>
      </w:r>
      <w:r>
        <w:fldChar w:fldCharType="begin"/>
      </w:r>
      <w:r>
        <w:instrText xml:space="preserve"> HYPERLINK "https://www.aclweb.org/anthology/W19-3509" </w:instrText>
      </w:r>
      <w:r>
        <w:fldChar w:fldCharType="separate"/>
      </w:r>
      <w:r w:rsidRPr="001C1B82">
        <w:rPr>
          <w:rFonts w:eastAsia="Times New Roman" w:cs="Times New Roman"/>
          <w:color w:val="0563C1"/>
          <w:szCs w:val="16"/>
          <w:u w:val="single" w:color="0563C1"/>
        </w:rPr>
        <w:t>https://www.aclweb.org/anthology/W19-3509</w:t>
      </w:r>
      <w:r>
        <w:fldChar w:fldCharType="end"/>
      </w:r>
      <w:r>
        <w:fldChar w:fldCharType="begin"/>
      </w:r>
      <w:r>
        <w:instrText xml:space="preserve"> HYPERLINK "https://www.aclweb.org/anthology/W19-3509" </w:instrText>
      </w:r>
      <w:r>
        <w:fldChar w:fldCharType="separate"/>
      </w:r>
      <w:r w:rsidRPr="001C1B82">
        <w:rPr>
          <w:rFonts w:eastAsia="Times New Roman" w:cs="Times New Roman"/>
          <w:szCs w:val="16"/>
        </w:rPr>
        <w:t xml:space="preserve"> </w:t>
      </w:r>
      <w:r>
        <w:fldChar w:fldCharType="end"/>
      </w:r>
      <w:r w:rsidRPr="001C1B82">
        <w:rPr>
          <w:rFonts w:eastAsia="Times New Roman" w:cs="Times New Roman"/>
          <w:szCs w:val="16"/>
        </w:rPr>
        <w:t xml:space="preserve"> </w:t>
      </w:r>
    </w:p>
  </w:footnote>
  <w:footnote w:id="293">
    <w:p w:rsidR="00673732" w:rsidRPr="001C1B82">
      <w:pPr>
        <w:pStyle w:val="footnotedescription"/>
        <w:ind w:left="1"/>
        <w:rPr>
          <w:szCs w:val="16"/>
        </w:rPr>
      </w:pPr>
      <w:r w:rsidRPr="001C1B82">
        <w:rPr>
          <w:rStyle w:val="footnotemark"/>
          <w:szCs w:val="16"/>
        </w:rPr>
        <w:footnoteRef/>
      </w:r>
      <w:r w:rsidRPr="001C1B82">
        <w:rPr>
          <w:rFonts w:eastAsia="Times New Roman" w:cs="Times New Roman"/>
          <w:szCs w:val="16"/>
        </w:rPr>
        <w:t xml:space="preserve"> See: </w:t>
      </w:r>
      <w:r>
        <w:fldChar w:fldCharType="begin"/>
      </w:r>
      <w:r>
        <w:instrText xml:space="preserve"> HYPERLINK "https://www.aclweb.org/anthology/W18-5112" </w:instrText>
      </w:r>
      <w:r>
        <w:fldChar w:fldCharType="separate"/>
      </w:r>
      <w:r w:rsidRPr="001C1B82">
        <w:rPr>
          <w:rFonts w:eastAsia="Times New Roman" w:cs="Times New Roman"/>
          <w:color w:val="0563C1"/>
          <w:szCs w:val="16"/>
          <w:u w:val="single" w:color="0563C1"/>
        </w:rPr>
        <w:t>https://www.aclweb.org/anthology/W18-5112</w:t>
      </w:r>
      <w:r>
        <w:fldChar w:fldCharType="end"/>
      </w:r>
      <w:r>
        <w:fldChar w:fldCharType="begin"/>
      </w:r>
      <w:r>
        <w:instrText xml:space="preserve"> HYPERLINK "https://www.aclweb.org/anthology/W18-5112" </w:instrText>
      </w:r>
      <w:r>
        <w:fldChar w:fldCharType="separate"/>
      </w:r>
      <w:r w:rsidRPr="001C1B82">
        <w:rPr>
          <w:rFonts w:eastAsia="Times New Roman" w:cs="Times New Roman"/>
          <w:szCs w:val="16"/>
        </w:rPr>
        <w:t xml:space="preserve"> </w:t>
      </w:r>
      <w:r>
        <w:fldChar w:fldCharType="end"/>
      </w:r>
      <w:r w:rsidRPr="001C1B82">
        <w:rPr>
          <w:rFonts w:eastAsia="Times New Roman" w:cs="Times New Roman"/>
          <w:szCs w:val="16"/>
        </w:rPr>
        <w:t xml:space="preserve"> </w:t>
      </w:r>
    </w:p>
  </w:footnote>
  <w:footnote w:id="294">
    <w:p w:rsidR="00673732" w:rsidRPr="001C1B82">
      <w:pPr>
        <w:pStyle w:val="footnotedescription"/>
        <w:spacing w:line="251" w:lineRule="auto"/>
        <w:ind w:left="1" w:right="60"/>
        <w:rPr>
          <w:szCs w:val="16"/>
        </w:rPr>
      </w:pPr>
      <w:r w:rsidRPr="001C1B82">
        <w:rPr>
          <w:rStyle w:val="footnotemark"/>
          <w:szCs w:val="16"/>
        </w:rPr>
        <w:footnoteRef/>
      </w:r>
      <w:r w:rsidRPr="001C1B82">
        <w:rPr>
          <w:rFonts w:eastAsia="Times New Roman" w:cs="Times New Roman"/>
          <w:szCs w:val="16"/>
        </w:rPr>
        <w:t xml:space="preserve"> For more information about regulation of online harms, see the Turing’s Public Policy Programme’s response to the ‘Online Harms’ white paper: </w:t>
      </w:r>
      <w:r>
        <w:fldChar w:fldCharType="begin"/>
      </w:r>
      <w:r>
        <w:instrText xml:space="preserve"> HYPERLINK "https://www.turing.ac.uk/research/research-programmes/public-policy/programme-articles/turings-public-policy-programme-responds-online-harms-white-paper" </w:instrText>
      </w:r>
      <w:r>
        <w:fldChar w:fldCharType="separate"/>
      </w:r>
      <w:r w:rsidRPr="001C1B82">
        <w:rPr>
          <w:rFonts w:eastAsia="Times New Roman" w:cs="Times New Roman"/>
          <w:color w:val="0563C1"/>
          <w:szCs w:val="16"/>
          <w:u w:val="single" w:color="0563C1"/>
        </w:rPr>
        <w:t>https://www.turing.ac.uk/research/research-programmes/public</w:t>
      </w:r>
      <w:r>
        <w:fldChar w:fldCharType="end"/>
      </w:r>
      <w:r>
        <w:fldChar w:fldCharType="begin"/>
      </w:r>
      <w:r>
        <w:instrText xml:space="preserve"> HYPERLINK "https://www.turing.ac.uk/research/research-programmes/public-policy/programme-articles/turings-public-policy-programme-responds-online-harms-white-paper" </w:instrText>
      </w:r>
      <w:r>
        <w:fldChar w:fldCharType="separate"/>
      </w:r>
      <w:r w:rsidRPr="001C1B82">
        <w:rPr>
          <w:rFonts w:eastAsia="Times New Roman" w:cs="Times New Roman"/>
          <w:color w:val="0563C1"/>
          <w:szCs w:val="16"/>
          <w:u w:val="single" w:color="0563C1"/>
        </w:rPr>
        <w:t>policy/programme-articles/turings-public-policy-programme-responds-online-harms-white-paper</w:t>
      </w:r>
      <w:r>
        <w:fldChar w:fldCharType="end"/>
      </w:r>
      <w:r>
        <w:fldChar w:fldCharType="begin"/>
      </w:r>
      <w:r>
        <w:instrText xml:space="preserve"> HYPERLINK "https://www.turing.ac.uk/research/research-programmes/public-policy/programme-articles/turings-public-policy-programme-responds-online-harms-white-paper" </w:instrText>
      </w:r>
      <w:r>
        <w:fldChar w:fldCharType="separate"/>
      </w:r>
      <w:r w:rsidRPr="001C1B82">
        <w:rPr>
          <w:rFonts w:eastAsia="Times New Roman" w:cs="Times New Roman"/>
          <w:szCs w:val="16"/>
        </w:rPr>
        <w:t xml:space="preserve"> </w:t>
      </w:r>
      <w:r>
        <w:fldChar w:fldCharType="end"/>
      </w:r>
      <w:r w:rsidRPr="001C1B82">
        <w:rPr>
          <w:rFonts w:eastAsia="Times New Roman" w:cs="Times New Roman"/>
          <w:szCs w:val="16"/>
        </w:rPr>
        <w:t xml:space="preserve"> </w:t>
      </w:r>
      <w:r w:rsidRPr="001C1B82">
        <w:rPr>
          <w:rFonts w:eastAsia="Times New Roman" w:cs="Times New Roman"/>
          <w:szCs w:val="16"/>
          <w:vertAlign w:val="superscript"/>
        </w:rPr>
        <w:t>14</w:t>
      </w:r>
      <w:r w:rsidRPr="001C1B82">
        <w:rPr>
          <w:rFonts w:eastAsia="Times New Roman" w:cs="Times New Roman"/>
          <w:szCs w:val="16"/>
        </w:rPr>
        <w:t xml:space="preserve"> Based on a previous blog post by this submission’s author for </w:t>
      </w:r>
      <w:r w:rsidRPr="001C1B82">
        <w:rPr>
          <w:rFonts w:eastAsia="Times New Roman" w:cs="Times New Roman"/>
          <w:i/>
          <w:szCs w:val="16"/>
        </w:rPr>
        <w:t>The Conversation</w:t>
      </w:r>
      <w:r w:rsidRPr="001C1B82">
        <w:rPr>
          <w:rFonts w:eastAsia="Times New Roman" w:cs="Times New Roman"/>
          <w:szCs w:val="16"/>
        </w:rPr>
        <w:t>:</w:t>
      </w:r>
      <w:r w:rsidRPr="001C1B82">
        <w:rPr>
          <w:rFonts w:eastAsia="Times New Roman" w:cs="Times New Roman"/>
          <w:i/>
          <w:szCs w:val="16"/>
        </w:rPr>
        <w:t xml:space="preserve"> </w:t>
      </w:r>
      <w:r>
        <w:fldChar w:fldCharType="begin"/>
      </w:r>
      <w:r>
        <w:instrText xml:space="preserve"> HYPERLINK "https://theconversation.com/four-ways-social-media-platforms-could-stop-the-spread-of-hateful-content-in-aftermath-of-terror-attacks-113785" </w:instrText>
      </w:r>
      <w:r>
        <w:fldChar w:fldCharType="separate"/>
      </w:r>
      <w:r w:rsidRPr="001C1B82">
        <w:rPr>
          <w:rFonts w:eastAsia="Times New Roman" w:cs="Times New Roman"/>
          <w:color w:val="0563C1"/>
          <w:szCs w:val="16"/>
          <w:u w:val="single" w:color="0563C1"/>
        </w:rPr>
        <w:t>https://theconversation.com/four-ways-social-media-platforms-could-stop-the-spread-of-hateful-content-in</w:t>
      </w:r>
      <w:r>
        <w:fldChar w:fldCharType="end"/>
      </w:r>
      <w:r>
        <w:fldChar w:fldCharType="begin"/>
      </w:r>
      <w:r>
        <w:instrText xml:space="preserve"> HYPERLINK "https://theconversation.com/four-ways-social-media-platforms-could-stop-the-spread-of-hateful-content-in-aftermath-of-terror-attacks-113785" </w:instrText>
      </w:r>
      <w:r>
        <w:fldChar w:fldCharType="separate"/>
      </w:r>
      <w:r w:rsidRPr="001C1B82">
        <w:rPr>
          <w:rFonts w:eastAsia="Times New Roman" w:cs="Times New Roman"/>
          <w:color w:val="0563C1"/>
          <w:szCs w:val="16"/>
          <w:u w:val="single" w:color="0563C1"/>
        </w:rPr>
        <w:t>aftermath-of-terror-attacks-113785</w:t>
      </w:r>
      <w:r>
        <w:fldChar w:fldCharType="end"/>
      </w:r>
      <w:r>
        <w:fldChar w:fldCharType="begin"/>
      </w:r>
      <w:r>
        <w:instrText xml:space="preserve"> HYPERLINK "https://theconversation.com/four-ways-social-media-platforms-could-stop-the-spread-of-hateful-content-in-aftermath-of-terror-attacks-113785" </w:instrText>
      </w:r>
      <w:r>
        <w:fldChar w:fldCharType="separate"/>
      </w:r>
      <w:r w:rsidRPr="001C1B82">
        <w:rPr>
          <w:rFonts w:eastAsia="Times New Roman" w:cs="Times New Roman"/>
          <w:szCs w:val="16"/>
        </w:rPr>
        <w:t xml:space="preserve"> </w:t>
      </w:r>
      <w:r>
        <w:fldChar w:fldCharType="end"/>
      </w:r>
      <w:r w:rsidRPr="001C1B82">
        <w:rPr>
          <w:rFonts w:eastAsia="Times New Roman" w:cs="Times New Roman"/>
          <w:szCs w:val="16"/>
        </w:rPr>
        <w:t xml:space="preserve"> </w:t>
      </w:r>
    </w:p>
  </w:footnote>
  <w:footnote w:id="295">
    <w:p w:rsidR="00673732" w:rsidRPr="001C1B82">
      <w:pPr>
        <w:pStyle w:val="footnotedescription"/>
        <w:ind w:left="1"/>
        <w:rPr>
          <w:szCs w:val="16"/>
        </w:rPr>
      </w:pPr>
      <w:r w:rsidRPr="001C1B82">
        <w:rPr>
          <w:rStyle w:val="footnotemark"/>
          <w:szCs w:val="16"/>
        </w:rPr>
        <w:footnoteRef/>
      </w:r>
      <w:r w:rsidRPr="001C1B82">
        <w:rPr>
          <w:rFonts w:eastAsia="Times New Roman" w:cs="Times New Roman"/>
          <w:szCs w:val="16"/>
        </w:rPr>
        <w:t xml:space="preserve"> See: </w:t>
      </w:r>
      <w:r>
        <w:fldChar w:fldCharType="begin"/>
      </w:r>
      <w:r>
        <w:instrText xml:space="preserve"> HYPERLINK "https://conferences.sigcomm.org/imc/2017/papers/imc17-final145.pdf" </w:instrText>
      </w:r>
      <w:r>
        <w:fldChar w:fldCharType="separate"/>
      </w:r>
      <w:r w:rsidRPr="001C1B82">
        <w:rPr>
          <w:rFonts w:eastAsia="Times New Roman" w:cs="Times New Roman"/>
          <w:color w:val="0563C1"/>
          <w:szCs w:val="16"/>
          <w:u w:val="single" w:color="0563C1"/>
        </w:rPr>
        <w:t>https://conferences.sigcomm.org/imc/2017/papers/imc17-final145.pdf</w:t>
      </w:r>
      <w:r>
        <w:fldChar w:fldCharType="end"/>
      </w:r>
      <w:r>
        <w:fldChar w:fldCharType="begin"/>
      </w:r>
      <w:r>
        <w:instrText xml:space="preserve"> HYPERLINK "https://conferences.sigcomm.org/imc/2017/papers/imc17-final145.pdf" </w:instrText>
      </w:r>
      <w:r>
        <w:fldChar w:fldCharType="separate"/>
      </w:r>
      <w:r w:rsidRPr="001C1B82">
        <w:rPr>
          <w:rFonts w:eastAsia="Times New Roman" w:cs="Times New Roman"/>
          <w:szCs w:val="16"/>
        </w:rPr>
        <w:t xml:space="preserve"> </w:t>
      </w:r>
      <w:r>
        <w:fldChar w:fldCharType="end"/>
      </w:r>
      <w:r w:rsidRPr="001C1B82">
        <w:rPr>
          <w:rFonts w:eastAsia="Times New Roman" w:cs="Times New Roman"/>
          <w:szCs w:val="16"/>
        </w:rPr>
        <w:t xml:space="preserve"> </w:t>
      </w:r>
    </w:p>
  </w:footnote>
  <w:footnote w:id="296">
    <w:p w:rsidR="00673732" w:rsidRPr="001C1B82">
      <w:pPr>
        <w:pStyle w:val="footnotedescription"/>
        <w:ind w:left="1"/>
        <w:rPr>
          <w:szCs w:val="16"/>
        </w:rPr>
      </w:pPr>
      <w:r w:rsidRPr="001C1B82">
        <w:rPr>
          <w:rStyle w:val="footnotemark"/>
          <w:szCs w:val="16"/>
        </w:rPr>
        <w:footnoteRef/>
      </w:r>
      <w:r w:rsidRPr="001C1B82">
        <w:rPr>
          <w:szCs w:val="16"/>
        </w:rPr>
        <w:t xml:space="preserve"> </w:t>
      </w:r>
      <w:r w:rsidRPr="001C1B82">
        <w:rPr>
          <w:rFonts w:eastAsia="Calibri" w:cs="Calibri"/>
          <w:szCs w:val="16"/>
        </w:rPr>
        <w:t xml:space="preserve">All Party Parliamentary Group on Literacy: Commission on Fake News and the Teaching of Critical Literacy Skills in Schools 2018  https://literacytrust.org.uk/research-services/research-reports/fake-news-and-criticalliteracy-final-report/ </w:t>
      </w:r>
    </w:p>
  </w:footnote>
  <w:footnote w:id="297">
    <w:p w:rsidR="00673732" w:rsidRPr="001C1B82">
      <w:pPr>
        <w:pStyle w:val="footnotedescription"/>
        <w:ind w:left="1"/>
        <w:rPr>
          <w:szCs w:val="16"/>
        </w:rPr>
      </w:pPr>
      <w:r w:rsidRPr="001C1B82">
        <w:rPr>
          <w:rStyle w:val="footnotemark"/>
          <w:szCs w:val="16"/>
        </w:rPr>
        <w:footnoteRef/>
      </w:r>
      <w:r w:rsidRPr="001C1B82">
        <w:rPr>
          <w:szCs w:val="16"/>
        </w:rPr>
        <w:t xml:space="preserve"> </w:t>
      </w:r>
      <w:r w:rsidRPr="001C1B82">
        <w:rPr>
          <w:rFonts w:eastAsia="Calibri" w:cs="Calibri"/>
          <w:szCs w:val="16"/>
        </w:rPr>
        <w:t xml:space="preserve">All Party Parliamentary Group on Literacy: Commission on Fake News and the Teaching of Critical Literacy Skills in Schools 2018  https://literacytrust.org.uk/research-services/research-reports/fake-news-and-criticalliteracy-final-report/ </w:t>
      </w:r>
    </w:p>
  </w:footnote>
  <w:footnote w:id="298">
    <w:p w:rsidR="00673732" w:rsidRPr="001C1B82">
      <w:pPr>
        <w:pStyle w:val="footnotedescription"/>
        <w:spacing w:after="19"/>
        <w:ind w:left="1"/>
        <w:rPr>
          <w:szCs w:val="16"/>
        </w:rPr>
      </w:pPr>
      <w:r w:rsidRPr="001C1B82">
        <w:rPr>
          <w:rStyle w:val="footnotemark"/>
          <w:szCs w:val="16"/>
        </w:rPr>
        <w:footnoteRef/>
      </w:r>
      <w:r w:rsidRPr="001C1B82">
        <w:rPr>
          <w:rFonts w:eastAsia="Calibri" w:cs="Calibri"/>
          <w:szCs w:val="16"/>
        </w:rPr>
        <w:t xml:space="preserve"> NewsWise evaluation report 2018-19, </w:t>
      </w:r>
    </w:p>
    <w:p w:rsidR="00673732" w:rsidRPr="001C1B82">
      <w:pPr>
        <w:pStyle w:val="footnotedescription"/>
        <w:ind w:left="1"/>
        <w:rPr>
          <w:szCs w:val="16"/>
        </w:rPr>
      </w:pPr>
      <w:r w:rsidRPr="001C1B82">
        <w:rPr>
          <w:rFonts w:eastAsia="Calibri" w:cs="Calibri"/>
          <w:szCs w:val="16"/>
        </w:rPr>
        <w:t xml:space="preserve">https://uploads.guim.co.uk/2019/07/18/NewsWise_evaluation_report_2018-19.pdf </w:t>
      </w:r>
    </w:p>
  </w:footnote>
  <w:footnote w:id="299">
    <w:p w:rsidR="00673732" w:rsidRPr="001C1B82">
      <w:pPr>
        <w:pStyle w:val="footnotedescription"/>
        <w:spacing w:line="258" w:lineRule="auto"/>
        <w:ind w:left="1"/>
        <w:rPr>
          <w:szCs w:val="16"/>
        </w:rPr>
      </w:pPr>
      <w:r w:rsidRPr="001C1B82">
        <w:rPr>
          <w:rStyle w:val="footnotemark"/>
          <w:szCs w:val="16"/>
        </w:rPr>
        <w:footnoteRef/>
      </w:r>
      <w:r w:rsidRPr="001C1B82">
        <w:rPr>
          <w:szCs w:val="16"/>
        </w:rPr>
        <w:t xml:space="preserve"> </w:t>
      </w:r>
      <w:r w:rsidRPr="001C1B82">
        <w:rPr>
          <w:rFonts w:eastAsia="Calibri" w:cs="Calibri"/>
          <w:szCs w:val="16"/>
        </w:rPr>
        <w:t xml:space="preserve">All Party Parliamentary Group on Literacy: Commission on Fake News and the Teaching of Critical Literacy Skills in Schools 2018  https://literacytrust.org.uk/research-services/research-reports/fake-news-and-criticalliteracy-final-report/ </w:t>
      </w:r>
    </w:p>
  </w:footnote>
  <w:footnote w:id="300">
    <w:p w:rsidR="00673732" w:rsidRPr="001C1B82">
      <w:pPr>
        <w:pStyle w:val="footnotedescription"/>
        <w:spacing w:line="277" w:lineRule="auto"/>
        <w:ind w:left="1"/>
        <w:rPr>
          <w:szCs w:val="16"/>
        </w:rPr>
      </w:pPr>
      <w:r w:rsidRPr="001C1B82">
        <w:rPr>
          <w:rStyle w:val="footnotemark"/>
          <w:szCs w:val="16"/>
        </w:rPr>
        <w:footnoteRef/>
      </w:r>
      <w:r w:rsidRPr="001C1B82">
        <w:rPr>
          <w:rFonts w:eastAsia="Calibri" w:cs="Calibri"/>
          <w:szCs w:val="16"/>
        </w:rPr>
        <w:t xml:space="preserve"> https://www.childrenscommissioner.gov.uk/2017/10/11/anne-longfield-childrens-commissioner-forengland-responds-to-governments-green-paper-on-internet-safety/ </w:t>
      </w:r>
    </w:p>
  </w:footnote>
  <w:footnote w:id="301">
    <w:p w:rsidR="00673732" w:rsidRPr="001C1B82">
      <w:pPr>
        <w:pStyle w:val="footnotedescription"/>
        <w:spacing w:line="254" w:lineRule="auto"/>
        <w:ind w:right="2459"/>
        <w:rPr>
          <w:szCs w:val="16"/>
        </w:rPr>
      </w:pPr>
      <w:r w:rsidRPr="001C1B82">
        <w:rPr>
          <w:rStyle w:val="footnotemark"/>
          <w:szCs w:val="16"/>
        </w:rPr>
        <w:footnoteRef/>
      </w:r>
      <w:r w:rsidRPr="001C1B82">
        <w:rPr>
          <w:szCs w:val="16"/>
        </w:rPr>
        <w:t xml:space="preserve"> </w:t>
      </w:r>
      <w:r>
        <w:fldChar w:fldCharType="begin"/>
      </w:r>
      <w:r>
        <w:instrText xml:space="preserve"> HYPERLINK "https://www.wired.com/story/the-toxic-potential-of-youtubes-feedback-loop/" </w:instrText>
      </w:r>
      <w:r>
        <w:fldChar w:fldCharType="separate"/>
      </w:r>
      <w:r w:rsidRPr="001C1B82">
        <w:rPr>
          <w:color w:val="0000FF"/>
          <w:szCs w:val="16"/>
          <w:u w:val="single" w:color="0000FF"/>
        </w:rPr>
        <w:t>https://www.wired.com/story/the-toxic-potential-of-youtubes-feedback-loop/</w:t>
      </w:r>
      <w:r>
        <w:fldChar w:fldCharType="end"/>
      </w:r>
      <w:r>
        <w:fldChar w:fldCharType="begin"/>
      </w:r>
      <w:r>
        <w:instrText xml:space="preserve"> HYPERLINK "https://www.wired.com/story/the-toxic-potential-of-youtubes-feedback-loop/" </w:instrText>
      </w:r>
      <w:r>
        <w:fldChar w:fldCharType="separate"/>
      </w:r>
      <w:r w:rsidRPr="001C1B82">
        <w:rPr>
          <w:szCs w:val="16"/>
        </w:rPr>
        <w:t xml:space="preserve"> </w:t>
      </w:r>
      <w:r>
        <w:fldChar w:fldCharType="end"/>
      </w:r>
      <w:r w:rsidRPr="001C1B82">
        <w:rPr>
          <w:szCs w:val="16"/>
        </w:rPr>
        <w:t xml:space="preserve"> </w:t>
      </w:r>
      <w:r w:rsidRPr="001C1B82">
        <w:rPr>
          <w:szCs w:val="16"/>
          <w:vertAlign w:val="superscript"/>
        </w:rPr>
        <w:t>2</w:t>
      </w:r>
      <w:r>
        <w:fldChar w:fldCharType="begin"/>
      </w:r>
      <w:r>
        <w:instrText xml:space="preserve"> HYPERLINK "https://www.buzzfeednews.com/article/craigsilverman/slow-facebook" </w:instrText>
      </w:r>
      <w:r>
        <w:fldChar w:fldCharType="separate"/>
      </w:r>
      <w:r w:rsidRPr="001C1B82">
        <w:rPr>
          <w:szCs w:val="16"/>
        </w:rPr>
        <w:t xml:space="preserve"> </w:t>
      </w:r>
      <w:r>
        <w:fldChar w:fldCharType="end"/>
      </w:r>
      <w:r>
        <w:fldChar w:fldCharType="begin"/>
      </w:r>
      <w:r>
        <w:instrText xml:space="preserve"> HYPERLINK "https://www.buzzfeednews.com/article/craigsilverman/slow-facebook" </w:instrText>
      </w:r>
      <w:r>
        <w:fldChar w:fldCharType="separate"/>
      </w:r>
      <w:r w:rsidRPr="001C1B82">
        <w:rPr>
          <w:color w:val="0000FF"/>
          <w:szCs w:val="16"/>
          <w:u w:val="single" w:color="0000FF"/>
        </w:rPr>
        <w:t>https://www.buzzfeednews.com/article/craigsilverman/slow-facebook</w:t>
      </w:r>
      <w:r>
        <w:fldChar w:fldCharType="end"/>
      </w:r>
      <w:r>
        <w:fldChar w:fldCharType="begin"/>
      </w:r>
      <w:r>
        <w:instrText xml:space="preserve"> HYPERLINK "https://www.buzzfeednews.com/article/craigsilverman/slow-facebook" </w:instrText>
      </w:r>
      <w:r>
        <w:fldChar w:fldCharType="separate"/>
      </w:r>
      <w:r w:rsidRPr="001C1B82">
        <w:rPr>
          <w:szCs w:val="16"/>
        </w:rPr>
        <w:t xml:space="preserve"> </w:t>
      </w:r>
      <w:r>
        <w:fldChar w:fldCharType="end"/>
      </w:r>
    </w:p>
  </w:footnote>
  <w:footnote w:id="302">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"https://demosuk.wpengine.com/wp-content/uploads/2018/07/The-Future-of-Political-Campaigning.pdf" </w:instrText>
      </w:r>
      <w:r>
        <w:fldChar w:fldCharType="separate"/>
      </w:r>
      <w:r w:rsidRPr="001C1B82">
        <w:rPr>
          <w:color w:val="0000FF"/>
          <w:szCs w:val="16"/>
          <w:u w:val="single" w:color="0000FF"/>
        </w:rPr>
        <w:t>https://demosuk.wpengine.com/wp-content/uploads/2018/07/The-Future-of-Political-Campaigning.pdf</w:t>
      </w:r>
      <w:r>
        <w:fldChar w:fldCharType="end"/>
      </w:r>
      <w:r>
        <w:fldChar w:fldCharType="begin"/>
      </w:r>
      <w:r>
        <w:instrText xml:space="preserve"> HYPERLINK "https://demosuk.wpengine.com/wp-content/uploads/2018/07/The-Future-of-Political-Campaigning.pdf" </w:instrText>
      </w:r>
      <w:r>
        <w:fldChar w:fldCharType="separate"/>
      </w:r>
      <w:r w:rsidRPr="001C1B82">
        <w:rPr>
          <w:szCs w:val="16"/>
        </w:rPr>
        <w:t xml:space="preserve"> </w:t>
      </w:r>
      <w:r>
        <w:fldChar w:fldCharType="end"/>
      </w:r>
      <w:r w:rsidRPr="001C1B82">
        <w:rPr>
          <w:szCs w:val="16"/>
        </w:rPr>
        <w:t xml:space="preserve"> </w:t>
      </w:r>
    </w:p>
  </w:footnote>
  <w:footnote w:id="303">
    <w:p w:rsidR="00673732" w:rsidRPr="001C1B82">
      <w:pPr>
        <w:pStyle w:val="footnotedescription"/>
        <w:spacing w:line="251" w:lineRule="auto"/>
        <w:rPr>
          <w:szCs w:val="16"/>
        </w:rPr>
      </w:pPr>
      <w:r w:rsidRPr="001C1B82">
        <w:rPr>
          <w:rStyle w:val="footnotemark"/>
          <w:szCs w:val="16"/>
        </w:rPr>
        <w:footnoteRef/>
      </w:r>
      <w:r w:rsidRPr="001C1B82">
        <w:rPr>
          <w:szCs w:val="16"/>
        </w:rPr>
        <w:t xml:space="preserve"> See the open letter signed by Mozilla, ISD and 10 expert organisations for an effective advertising API model, which stresses that all official communications by political parties should be accessible, at a minimum at the level of content and metadata. </w:t>
      </w:r>
      <w:r>
        <w:fldChar w:fldCharType="begin"/>
      </w:r>
      <w:r>
        <w:instrText xml:space="preserve"> HYPERLINK "https://blog.mozilla.org/blog/2019/03/27/facebook-and-google-this-is-what-an-effective-ad-archive-api-looks-like/" </w:instrText>
      </w:r>
      <w:r>
        <w:fldChar w:fldCharType="separate"/>
      </w:r>
      <w:r w:rsidRPr="001C1B82">
        <w:rPr>
          <w:color w:val="0000FF"/>
          <w:szCs w:val="16"/>
          <w:u w:val="single" w:color="0000FF"/>
        </w:rPr>
        <w:t>https://blog.mozilla.org/blog/2019/03/27/facebook-and-google-this-is-what</w:t>
      </w:r>
      <w:r>
        <w:fldChar w:fldCharType="end"/>
      </w:r>
      <w:r>
        <w:fldChar w:fldCharType="begin"/>
      </w:r>
      <w:r>
        <w:instrText xml:space="preserve"> HYPERLINK "https://blog.mozilla.org/blog/2019/03/27/facebook-and-google-this-is-what-an-effective-ad-archive-api-looks-like/" </w:instrText>
      </w:r>
      <w:r>
        <w:fldChar w:fldCharType="separate"/>
      </w:r>
      <w:r w:rsidRPr="001C1B82">
        <w:rPr>
          <w:color w:val="0000FF"/>
          <w:szCs w:val="16"/>
          <w:u w:val="single" w:color="0000FF"/>
        </w:rPr>
        <w:t>an-effective-ad-archive-api-looks-like/</w:t>
      </w:r>
      <w:r>
        <w:fldChar w:fldCharType="end"/>
      </w:r>
      <w:r>
        <w:fldChar w:fldCharType="begin"/>
      </w:r>
      <w:r>
        <w:instrText xml:space="preserve"> HYPERLINK "https://blog.mozilla.org/blog/2019/03/27/facebook-and-google-this-is-what-an-effective-ad-archive-api-looks-like/" </w:instrText>
      </w:r>
      <w:r>
        <w:fldChar w:fldCharType="separate"/>
      </w:r>
      <w:r w:rsidRPr="001C1B82">
        <w:rPr>
          <w:szCs w:val="16"/>
        </w:rPr>
        <w:t xml:space="preserve"> </w:t>
      </w:r>
      <w:r>
        <w:fldChar w:fldCharType="end"/>
      </w:r>
    </w:p>
  </w:footnote>
  <w:footnote w:id="304">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"http://www.tandfonline.com/doi/full/10.1080/03057925.2017.1295808" </w:instrText>
      </w:r>
      <w:r>
        <w:fldChar w:fldCharType="separate"/>
      </w:r>
      <w:r w:rsidRPr="001C1B82">
        <w:rPr>
          <w:rFonts w:eastAsia="Calibri" w:cs="Calibri"/>
          <w:szCs w:val="16"/>
        </w:rPr>
        <w:t xml:space="preserve">Jerome, L. (2017) What do citizens need to know? An analysis of knowledge in citizenship curricula in the UK and Ireland. </w:t>
      </w:r>
      <w:r>
        <w:fldChar w:fldCharType="end"/>
      </w:r>
      <w:r>
        <w:fldChar w:fldCharType="begin"/>
      </w:r>
      <w:r>
        <w:instrText xml:space="preserve"> HYPERLINK "http://www.tandfonline.com/doi/full/10.1080/03057925.2017.1295808" </w:instrText>
      </w:r>
      <w:r>
        <w:fldChar w:fldCharType="separate"/>
      </w:r>
      <w:r w:rsidRPr="001C1B82">
        <w:rPr>
          <w:rFonts w:eastAsia="Calibri" w:cs="Calibri"/>
          <w:i/>
          <w:szCs w:val="16"/>
        </w:rPr>
        <w:t>Compare</w:t>
      </w:r>
      <w:r>
        <w:fldChar w:fldCharType="end"/>
      </w:r>
      <w:r>
        <w:fldChar w:fldCharType="begin"/>
      </w:r>
      <w:r>
        <w:instrText xml:space="preserve"> HYPERLINK "http://www.tandfonline.com/doi/full/10.1080/03057925.2017.1295808" </w:instrText>
      </w:r>
      <w:r>
        <w:fldChar w:fldCharType="separate"/>
      </w:r>
      <w:r w:rsidRPr="001C1B82">
        <w:rPr>
          <w:rFonts w:eastAsia="Calibri" w:cs="Calibri"/>
          <w:szCs w:val="16"/>
        </w:rPr>
        <w:t xml:space="preserve">.  </w:t>
      </w:r>
      <w:r>
        <w:fldChar w:fldCharType="end"/>
      </w:r>
    </w:p>
  </w:footnote>
  <w:footnote w:id="305">
    <w:p w:rsidR="00673732" w:rsidRPr="001C1B82">
      <w:pPr>
        <w:pStyle w:val="footnotedescription"/>
        <w:rPr>
          <w:szCs w:val="16"/>
        </w:rPr>
      </w:pPr>
      <w:r w:rsidRPr="001C1B82">
        <w:rPr>
          <w:rStyle w:val="footnotemark"/>
          <w:szCs w:val="16"/>
        </w:rPr>
        <w:footnoteRef/>
      </w:r>
      <w:r w:rsidRPr="001C1B82">
        <w:rPr>
          <w:rFonts w:eastAsia="Calibri" w:cs="Calibri"/>
          <w:szCs w:val="16"/>
        </w:rPr>
        <w:t xml:space="preserve"> https://www.gov.uk/government/news/ambition-for-vast-majority-of-students-to-study-core-academic-gcses </w:t>
      </w:r>
    </w:p>
  </w:footnote>
  <w:footnote w:id="306">
    <w:p w:rsidR="00673732" w:rsidRPr="001C1B82">
      <w:pPr>
        <w:pStyle w:val="footnotedescription"/>
        <w:spacing w:line="272" w:lineRule="auto"/>
        <w:rPr>
          <w:szCs w:val="16"/>
        </w:rPr>
      </w:pPr>
      <w:r w:rsidRPr="001C1B82">
        <w:rPr>
          <w:rStyle w:val="footnotemark"/>
          <w:szCs w:val="16"/>
        </w:rPr>
        <w:footnoteRef/>
      </w:r>
      <w:r w:rsidRPr="001C1B82">
        <w:rPr>
          <w:rFonts w:eastAsia="Calibri" w:cs="Calibri"/>
          <w:szCs w:val="16"/>
        </w:rPr>
        <w:t xml:space="preserve"> Keating, A. &amp; Janmaat, J.G. (2016) Education through citizenship at school: do school activities have a lasting impact on youth political engagement? Parliamentary Affairs, 69(2), 409-29. </w:t>
      </w:r>
    </w:p>
  </w:footnote>
  <w:footnote w:id="307">
    <w:p w:rsidR="00673732" w:rsidRPr="001C1B82">
      <w:pPr>
        <w:pStyle w:val="footnotedescription"/>
        <w:rPr>
          <w:szCs w:val="16"/>
        </w:rPr>
      </w:pPr>
      <w:r w:rsidRPr="001C1B82">
        <w:rPr>
          <w:rStyle w:val="footnotemark"/>
          <w:szCs w:val="16"/>
        </w:rPr>
        <w:footnoteRef/>
      </w:r>
      <w:r w:rsidRPr="001C1B82">
        <w:rPr>
          <w:rFonts w:eastAsia="Calibri" w:cs="Calibri"/>
          <w:szCs w:val="16"/>
        </w:rPr>
        <w:t xml:space="preserve"> https://www.nfer.ac.uk/research/projects/cels/ </w:t>
      </w:r>
    </w:p>
  </w:footnote>
  <w:footnote w:id="308">
    <w:p w:rsidR="00673732" w:rsidRPr="001C1B82">
      <w:pPr>
        <w:pStyle w:val="footnotedescription"/>
        <w:rPr>
          <w:szCs w:val="16"/>
        </w:rPr>
      </w:pPr>
      <w:r w:rsidRPr="001C1B82">
        <w:rPr>
          <w:rStyle w:val="footnotemark"/>
          <w:szCs w:val="16"/>
        </w:rPr>
        <w:footnoteRef/>
      </w:r>
      <w:r w:rsidRPr="001C1B82">
        <w:rPr>
          <w:rFonts w:eastAsia="Calibri" w:cs="Calibri"/>
          <w:szCs w:val="16"/>
        </w:rPr>
        <w:t xml:space="preserve"> https://www.gov.uk/government/collections/statistics-school-workforce </w:t>
      </w:r>
    </w:p>
  </w:footnote>
  <w:footnote w:id="309">
    <w:p w:rsidR="00673732" w:rsidRPr="001C1B82">
      <w:pPr>
        <w:pStyle w:val="footnotedescription"/>
        <w:rPr>
          <w:szCs w:val="16"/>
        </w:rPr>
      </w:pPr>
      <w:r w:rsidRPr="001C1B82">
        <w:rPr>
          <w:rStyle w:val="footnotemark"/>
          <w:szCs w:val="16"/>
        </w:rPr>
        <w:footnoteRef/>
      </w:r>
      <w:r w:rsidRPr="001C1B82">
        <w:rPr>
          <w:szCs w:val="16"/>
        </w:rPr>
        <w:t xml:space="preserve"> </w:t>
      </w:r>
      <w:r w:rsidRPr="001C1B82">
        <w:rPr>
          <w:rFonts w:eastAsia="Calibri" w:cs="Calibri"/>
          <w:szCs w:val="16"/>
        </w:rPr>
        <w:t xml:space="preserve">https://www.nfer.ac.uk/research/projects/the-international-civic-and-citizenship-education-study-iccs/ </w:t>
      </w:r>
    </w:p>
  </w:footnote>
  <w:footnote w:id="310">
    <w:p w:rsidR="00673732" w:rsidRPr="001C1B82">
      <w:pPr>
        <w:pStyle w:val="footnotedescription"/>
        <w:spacing w:line="274" w:lineRule="auto"/>
        <w:ind w:left="14" w:right="210"/>
        <w:rPr>
          <w:szCs w:val="16"/>
        </w:rPr>
      </w:pPr>
      <w:r w:rsidRPr="001C1B82">
        <w:rPr>
          <w:rStyle w:val="footnotemark"/>
          <w:szCs w:val="16"/>
        </w:rPr>
        <w:footnoteRef/>
      </w:r>
      <w:r w:rsidRPr="001C1B82">
        <w:rPr>
          <w:rFonts w:eastAsia="Arial" w:cs="Arial"/>
          <w:szCs w:val="16"/>
        </w:rPr>
        <w:t xml:space="preserve"> Ofcom, News Consumption in the UK, 2019: https://www.ofcom.org.uk/research-and-data/tv-radioand-on-demand/news-media/news-consumption </w:t>
      </w:r>
      <w:r w:rsidRPr="001C1B82">
        <w:rPr>
          <w:rFonts w:eastAsia="Arial" w:cs="Arial"/>
          <w:szCs w:val="16"/>
          <w:vertAlign w:val="superscript"/>
        </w:rPr>
        <w:t>2</w:t>
      </w:r>
      <w:r w:rsidRPr="001C1B82">
        <w:rPr>
          <w:rFonts w:eastAsia="Arial" w:cs="Arial"/>
          <w:szCs w:val="16"/>
        </w:rPr>
        <w:t xml:space="preserve"> National Literacy Trust (2019):  https://literacytrust.org.uk/research-services/research-reports/family-news-literacy-report/ </w:t>
      </w:r>
      <w:r w:rsidRPr="001C1B82">
        <w:rPr>
          <w:rFonts w:eastAsia="Arial" w:cs="Arial"/>
          <w:szCs w:val="16"/>
          <w:vertAlign w:val="superscript"/>
        </w:rPr>
        <w:t>3</w:t>
      </w:r>
      <w:r w:rsidRPr="001C1B82">
        <w:rPr>
          <w:rFonts w:eastAsia="Arial" w:cs="Arial"/>
          <w:szCs w:val="16"/>
        </w:rPr>
        <w:t xml:space="preserve"> National Literacy Trust (2019): https://literacytrust.org.uk/research-services/researchreports/family-news-literacy-report/   </w:t>
      </w:r>
    </w:p>
  </w:footnote>
  <w:footnote w:id="311">
    <w:p w:rsidR="00673732" w:rsidRPr="001C1B82">
      <w:pPr>
        <w:pStyle w:val="footnotedescription"/>
        <w:spacing w:line="311" w:lineRule="auto"/>
        <w:ind w:left="14"/>
        <w:rPr>
          <w:szCs w:val="16"/>
        </w:rPr>
      </w:pPr>
      <w:r w:rsidRPr="001C1B82">
        <w:rPr>
          <w:rStyle w:val="footnotemark"/>
          <w:szCs w:val="16"/>
        </w:rPr>
        <w:footnoteRef/>
      </w:r>
      <w:r w:rsidRPr="001C1B82">
        <w:rPr>
          <w:rFonts w:eastAsia="Arial" w:cs="Arial"/>
          <w:szCs w:val="16"/>
        </w:rPr>
        <w:t xml:space="preserve"> NewsWise Year 1 evaluation (2019): https://www.theguardian.com/newswise/2019/jul/18/newswiseevaluation-report-2018-19   </w:t>
      </w:r>
    </w:p>
  </w:footnote>
  <w:footnote w:id="312">
    <w:p w:rsidR="00673732" w:rsidRPr="001C1B82">
      <w:pPr>
        <w:pStyle w:val="footnotedescription"/>
        <w:spacing w:after="191"/>
        <w:ind w:left="14"/>
        <w:rPr>
          <w:szCs w:val="16"/>
        </w:rPr>
      </w:pPr>
      <w:r w:rsidRPr="001C1B82">
        <w:rPr>
          <w:rStyle w:val="footnotemark"/>
          <w:szCs w:val="16"/>
        </w:rPr>
        <w:footnoteRef/>
      </w:r>
      <w:r w:rsidRPr="001C1B82">
        <w:rPr>
          <w:szCs w:val="16"/>
        </w:rPr>
        <w:t xml:space="preserve"> </w:t>
      </w:r>
      <w:r w:rsidRPr="001C1B82">
        <w:rPr>
          <w:rFonts w:eastAsia="Arial" w:cs="Arial"/>
          <w:szCs w:val="16"/>
        </w:rPr>
        <w:t xml:space="preserve">All Party Parliamentary Group on Literacy: Commission on Fake News and the Teaching of Critical Literacy </w:t>
      </w:r>
    </w:p>
    <w:p w:rsidR="00673732" w:rsidRPr="001C1B82">
      <w:pPr>
        <w:pStyle w:val="footnotedescription"/>
        <w:tabs>
          <w:tab w:val="center" w:pos="1635"/>
        </w:tabs>
        <w:spacing w:after="73"/>
        <w:rPr>
          <w:szCs w:val="16"/>
        </w:rPr>
      </w:pPr>
      <w:r w:rsidRPr="001C1B82">
        <w:rPr>
          <w:rFonts w:eastAsia="Arial" w:cs="Arial"/>
          <w:szCs w:val="16"/>
        </w:rPr>
        <w:t xml:space="preserve"> </w:t>
      </w:r>
      <w:r w:rsidRPr="001C1B82">
        <w:rPr>
          <w:rFonts w:eastAsia="Arial" w:cs="Arial"/>
          <w:szCs w:val="16"/>
        </w:rPr>
        <w:tab/>
        <w:t xml:space="preserve"> Skills in Schools 2018 </w:t>
      </w:r>
    </w:p>
    <w:p w:rsidR="00673732" w:rsidRPr="001C1B82">
      <w:pPr>
        <w:pStyle w:val="footnotedescription"/>
        <w:ind w:left="14"/>
        <w:rPr>
          <w:szCs w:val="16"/>
        </w:rPr>
      </w:pPr>
      <w:r>
        <w:fldChar w:fldCharType="begin"/>
      </w:r>
      <w:r>
        <w:instrText xml:space="preserve"> HYPERLINK "https://literacytrust.org.uk/policy-and-campaigns/all-party-parliamentary-group-literacy/fakenews/" </w:instrText>
      </w:r>
      <w:r>
        <w:fldChar w:fldCharType="separate"/>
      </w:r>
      <w:r w:rsidRPr="001C1B82">
        <w:rPr>
          <w:rFonts w:eastAsia="Arial" w:cs="Arial"/>
          <w:color w:val="1155CC"/>
          <w:szCs w:val="16"/>
          <w:u w:val="single" w:color="1155CC"/>
        </w:rPr>
        <w:t>https://literacytrust.org.uk/policy-and-campaigns/all-party-parliamentary-group-literacy/fakenews</w:t>
      </w:r>
      <w:r>
        <w:fldChar w:fldCharType="end"/>
      </w:r>
      <w:r>
        <w:fldChar w:fldCharType="begin"/>
      </w:r>
      <w:r>
        <w:instrText xml:space="preserve"> HYPERLINK "https://literacytrust.org.uk/policy-and-campaigns/all-party-parliamentary-group-literacy/fakenews/" </w:instrText>
      </w:r>
      <w:r>
        <w:fldChar w:fldCharType="separate"/>
      </w:r>
      <w:r w:rsidRPr="001C1B82">
        <w:rPr>
          <w:rFonts w:eastAsia="Arial" w:cs="Arial"/>
          <w:color w:val="1155CC"/>
          <w:szCs w:val="16"/>
          <w:u w:val="single" w:color="1155CC"/>
        </w:rPr>
        <w:t>/</w:t>
      </w:r>
      <w:r>
        <w:fldChar w:fldCharType="end"/>
      </w:r>
      <w:r>
        <w:fldChar w:fldCharType="begin"/>
      </w:r>
      <w:r>
        <w:instrText xml:space="preserve"> HYPERLINK "https://literacytrust.org.uk/policy-and-campaigns/all-party-parliamentary-group-literacy/fakenews/" </w:instrText>
      </w:r>
      <w:r>
        <w:fldChar w:fldCharType="separate"/>
      </w:r>
      <w:r w:rsidRPr="001C1B82">
        <w:rPr>
          <w:rFonts w:eastAsia="Arial" w:cs="Arial"/>
          <w:szCs w:val="16"/>
        </w:rPr>
        <w:t xml:space="preserve"> </w:t>
      </w:r>
      <w:r>
        <w:fldChar w:fldCharType="end"/>
      </w:r>
      <w:r>
        <w:fldChar w:fldCharType="begin"/>
      </w:r>
      <w:r>
        <w:instrText xml:space="preserve"> HYPERLINK "https://literacytrust.org.uk/policy-and-campaigns/all-party-parliamentary-group-literacy/fakenews/" </w:instrText>
      </w:r>
      <w:r>
        <w:fldChar w:fldCharType="separate"/>
      </w:r>
      <w:r w:rsidRPr="001C1B82">
        <w:rPr>
          <w:rFonts w:eastAsia="Arial" w:cs="Arial"/>
          <w:szCs w:val="16"/>
        </w:rPr>
        <w:t xml:space="preserve"> </w:t>
      </w:r>
      <w:r>
        <w:fldChar w:fldCharType="end"/>
      </w:r>
    </w:p>
  </w:footnote>
  <w:footnote w:id="313">
    <w:p w:rsidR="00673732" w:rsidRPr="001C1B82">
      <w:pPr>
        <w:pStyle w:val="footnotedescription"/>
        <w:spacing w:after="43"/>
        <w:ind w:left="15"/>
        <w:rPr>
          <w:szCs w:val="16"/>
        </w:rPr>
      </w:pPr>
      <w:r w:rsidRPr="001C1B82">
        <w:rPr>
          <w:rStyle w:val="footnotemark"/>
          <w:szCs w:val="16"/>
        </w:rPr>
        <w:footnoteRef/>
      </w:r>
      <w:r w:rsidRPr="001C1B82">
        <w:rPr>
          <w:rFonts w:eastAsia="Arial" w:cs="Arial"/>
          <w:szCs w:val="16"/>
        </w:rPr>
        <w:t xml:space="preserve"> Far right networks of deception report, </w:t>
      </w:r>
      <w:r w:rsidRPr="001C1B82">
        <w:rPr>
          <w:rFonts w:eastAsia="Arial" w:cs="Arial"/>
          <w:color w:val="1155CC"/>
          <w:szCs w:val="16"/>
        </w:rPr>
        <w:t xml:space="preserve"> </w:t>
      </w:r>
    </w:p>
    <w:p w:rsidR="00673732" w:rsidRPr="001C1B82">
      <w:pPr>
        <w:pStyle w:val="footnotedescription"/>
        <w:spacing w:line="360" w:lineRule="auto"/>
        <w:ind w:left="15" w:right="320"/>
        <w:jc w:val="both"/>
        <w:rPr>
          <w:szCs w:val="16"/>
        </w:rPr>
      </w:pPr>
      <w:r>
        <w:fldChar w:fldCharType="begin"/>
      </w:r>
      <w:r>
        <w:instrText xml:space="preserve"> HYPERLINK "https://avaazimages.avaaz.org/Avaaz%20Report%20Network%20Deception%2020190522.pdf" </w:instrText>
      </w:r>
      <w:r>
        <w:fldChar w:fldCharType="separate"/>
      </w:r>
      <w:r w:rsidRPr="001C1B82">
        <w:rPr>
          <w:rFonts w:eastAsia="Arial" w:cs="Arial"/>
          <w:color w:val="1155CC"/>
          <w:szCs w:val="16"/>
          <w:u w:val="single" w:color="1155CC"/>
        </w:rPr>
        <w:t>https://avaazimages.avaaz.org/Avaaz%20Report%20Network%20Deception%2020190522.pdf</w:t>
      </w:r>
      <w:r>
        <w:fldChar w:fldCharType="end"/>
      </w:r>
      <w:r>
        <w:fldChar w:fldCharType="begin"/>
      </w:r>
      <w:r>
        <w:instrText xml:space="preserve"> HYPERLINK "https://avaazimages.avaaz.org/Avaaz%20Report%20Network%20Deception%2020190522.pdf" </w:instrText>
      </w:r>
      <w:r>
        <w:fldChar w:fldCharType="separate"/>
      </w:r>
      <w:r w:rsidRPr="001C1B82">
        <w:rPr>
          <w:rFonts w:eastAsia="Arial" w:cs="Arial"/>
          <w:color w:val="1155CC"/>
          <w:szCs w:val="16"/>
          <w:u w:val="single" w:color="1155CC"/>
        </w:rPr>
        <w:t xml:space="preserve"> </w:t>
      </w:r>
      <w:r>
        <w:fldChar w:fldCharType="end"/>
      </w:r>
      <w:r w:rsidRPr="001C1B82">
        <w:rPr>
          <w:rFonts w:eastAsia="Arial" w:cs="Arial"/>
          <w:szCs w:val="16"/>
        </w:rPr>
        <w:t xml:space="preserve">and Yellow Vest Report, </w:t>
      </w:r>
      <w:r>
        <w:fldChar w:fldCharType="begin"/>
      </w:r>
      <w:r>
        <w:instrText xml:space="preserve"> HYPERLINK "https://avaazimages.avaaz.org/Report%20Yellow%20Vests%20FINAL.pdf" </w:instrText>
      </w:r>
      <w:r>
        <w:fldChar w:fldCharType="separate"/>
      </w:r>
      <w:r w:rsidRPr="001C1B82">
        <w:rPr>
          <w:rFonts w:eastAsia="Arial" w:cs="Arial"/>
          <w:color w:val="0563C1"/>
          <w:szCs w:val="16"/>
          <w:u w:val="single" w:color="1155CC"/>
        </w:rPr>
        <w:t>https://avaazimages.avaaz.org/Report%20Yellow%20Vests%20FINAL.pd</w:t>
      </w:r>
      <w:r>
        <w:fldChar w:fldCharType="end"/>
      </w:r>
      <w:r>
        <w:fldChar w:fldCharType="begin"/>
      </w:r>
      <w:r>
        <w:instrText xml:space="preserve"> HYPERLINK "https://avaazimages.avaaz.org/Report%20Yellow%20Vests%20FINAL.pdf" </w:instrText>
      </w:r>
      <w:r>
        <w:fldChar w:fldCharType="separate"/>
      </w:r>
      <w:r w:rsidRPr="001C1B82">
        <w:rPr>
          <w:rFonts w:eastAsia="Arial" w:cs="Arial"/>
          <w:color w:val="0563C1"/>
          <w:szCs w:val="16"/>
          <w:u w:val="single" w:color="1155CC"/>
        </w:rPr>
        <w:t>f</w:t>
      </w:r>
      <w:r>
        <w:fldChar w:fldCharType="end"/>
      </w:r>
      <w:r>
        <w:fldChar w:fldCharType="begin"/>
      </w:r>
      <w:r>
        <w:instrText xml:space="preserve"> HYPERLINK "https://avaazimages.avaaz.org/Report%20Yellow%20Vests%20FINAL.pdf" </w:instrText>
      </w:r>
      <w:r>
        <w:fldChar w:fldCharType="separate"/>
      </w:r>
      <w:r w:rsidRPr="001C1B82">
        <w:rPr>
          <w:rFonts w:eastAsia="Arial" w:cs="Arial"/>
          <w:szCs w:val="16"/>
        </w:rPr>
        <w:t xml:space="preserve">; </w:t>
      </w:r>
      <w:r>
        <w:fldChar w:fldCharType="end"/>
      </w:r>
      <w:r w:rsidRPr="001C1B82">
        <w:rPr>
          <w:rFonts w:eastAsia="Arial" w:cs="Arial"/>
          <w:szCs w:val="16"/>
        </w:rPr>
        <w:t xml:space="preserve"> </w:t>
      </w:r>
      <w:r w:rsidRPr="001C1B82">
        <w:rPr>
          <w:rFonts w:eastAsia="Arial" w:cs="Arial"/>
          <w:color w:val="1155CC"/>
          <w:szCs w:val="16"/>
        </w:rPr>
        <w:t xml:space="preserve"> </w:t>
      </w:r>
    </w:p>
  </w:footnote>
  <w:footnote w:id="314">
    <w:p w:rsidR="00673732" w:rsidRPr="001C1B82">
      <w:pPr>
        <w:pStyle w:val="footnotedescription"/>
        <w:spacing w:after="14"/>
        <w:ind w:left="15"/>
        <w:rPr>
          <w:szCs w:val="16"/>
        </w:rPr>
      </w:pPr>
      <w:r w:rsidRPr="001C1B82">
        <w:rPr>
          <w:rStyle w:val="footnotemark"/>
          <w:szCs w:val="16"/>
        </w:rPr>
        <w:footnoteRef/>
      </w:r>
      <w:r w:rsidRPr="001C1B82">
        <w:rPr>
          <w:rFonts w:eastAsia="Arial" w:cs="Arial"/>
          <w:szCs w:val="16"/>
        </w:rPr>
        <w:t xml:space="preserve"> https://newsroom.fb.com/news/2019/09/elections-and-political-speech/  </w:t>
      </w:r>
    </w:p>
    <w:p w:rsidR="00673732" w:rsidRPr="001C1B82">
      <w:pPr>
        <w:pStyle w:val="footnotedescription"/>
        <w:ind w:left="15"/>
        <w:rPr>
          <w:szCs w:val="16"/>
        </w:rPr>
      </w:pPr>
      <w:r w:rsidRPr="001C1B82">
        <w:rPr>
          <w:rFonts w:eastAsia="Arial" w:cs="Arial"/>
          <w:szCs w:val="16"/>
        </w:rPr>
        <w:t xml:space="preserve"> This is in addition to thier decision not to fact check politicians adverts since 2018. </w:t>
      </w:r>
    </w:p>
  </w:footnote>
  <w:footnote w:id="315">
    <w:p w:rsidR="00673732" w:rsidRPr="001C1B82">
      <w:pPr>
        <w:pStyle w:val="footnotedescription"/>
        <w:spacing w:after="14"/>
        <w:ind w:left="15"/>
        <w:rPr>
          <w:szCs w:val="16"/>
        </w:rPr>
      </w:pPr>
      <w:r w:rsidRPr="001C1B82">
        <w:rPr>
          <w:rStyle w:val="footnotemark"/>
          <w:szCs w:val="16"/>
        </w:rPr>
        <w:footnoteRef/>
      </w:r>
      <w:r w:rsidRPr="001C1B82">
        <w:rPr>
          <w:rFonts w:eastAsia="Arial" w:cs="Arial"/>
          <w:szCs w:val="16"/>
        </w:rPr>
        <w:t xml:space="preserve"> https://secure.avaaz.org/campaign/en/disinfo_legislative_principles/  </w:t>
      </w:r>
    </w:p>
    <w:p w:rsidR="00673732" w:rsidRPr="001C1B82">
      <w:pPr>
        <w:pStyle w:val="footnotedescription"/>
        <w:spacing w:line="241" w:lineRule="auto"/>
        <w:ind w:left="25" w:right="645" w:hanging="10"/>
        <w:rPr>
          <w:szCs w:val="16"/>
        </w:rPr>
      </w:pPr>
      <w:r w:rsidRPr="001C1B82">
        <w:rPr>
          <w:rFonts w:eastAsia="Arial" w:cs="Arial"/>
          <w:szCs w:val="16"/>
        </w:rPr>
        <w:t xml:space="preserve"> By the term platform or online platform or online communication networks we mean all “Online communication network” — any internet-based application, or internet-based technology that allows for user-generated and/or user-shared information and makes that information available to third parties. By way of example such providers include, but are not limited to, social media platforms, gaming platforms video streaming services, video, image and audio sharing services, and messaging services.   </w:t>
      </w:r>
    </w:p>
  </w:footnote>
  <w:footnote w:id="316">
    <w:p w:rsidR="00673732" w:rsidRPr="001C1B82">
      <w:pPr>
        <w:pStyle w:val="footnotedescription"/>
        <w:spacing w:line="274" w:lineRule="auto"/>
        <w:ind w:left="24" w:right="507" w:hanging="9"/>
        <w:rPr>
          <w:szCs w:val="16"/>
        </w:rPr>
      </w:pPr>
      <w:r w:rsidRPr="001C1B82">
        <w:rPr>
          <w:rStyle w:val="footnotemark"/>
          <w:szCs w:val="16"/>
        </w:rPr>
        <w:footnoteRef/>
      </w:r>
      <w:r w:rsidRPr="001C1B82">
        <w:rPr>
          <w:rFonts w:eastAsia="Arial" w:cs="Arial"/>
          <w:szCs w:val="16"/>
        </w:rPr>
        <w:t xml:space="preserve"> https://www.bloomberg.com/news/articles/2019-07-08/how-facebook-fought-fake-news-aboutfacebook  </w:t>
      </w:r>
    </w:p>
  </w:footnote>
  <w:footnote w:id="317">
    <w:p w:rsidR="00673732" w:rsidRPr="001C1B82">
      <w:pPr>
        <w:pStyle w:val="footnotedescription"/>
        <w:ind w:left="15"/>
        <w:rPr>
          <w:szCs w:val="16"/>
        </w:rPr>
      </w:pPr>
      <w:r w:rsidRPr="001C1B82">
        <w:rPr>
          <w:rStyle w:val="footnotemark"/>
          <w:szCs w:val="16"/>
        </w:rPr>
        <w:footnoteRef/>
      </w:r>
      <w:r w:rsidRPr="001C1B82">
        <w:rPr>
          <w:rFonts w:eastAsia="Arial" w:cs="Arial"/>
          <w:szCs w:val="16"/>
        </w:rPr>
        <w:t xml:space="preserve"> See page 17 of  at </w:t>
      </w:r>
      <w:r>
        <w:fldChar w:fldCharType="begin"/>
      </w:r>
      <w:r>
        <w:instrText xml:space="preserve"> HYPERLINK "https://secure.avaaz.org/campaign/en/disinfo_network_report/" </w:instrText>
      </w:r>
      <w:r>
        <w:fldChar w:fldCharType="separate"/>
      </w:r>
      <w:r w:rsidRPr="001C1B82">
        <w:rPr>
          <w:rFonts w:eastAsia="Arial" w:cs="Arial"/>
          <w:color w:val="0563C1"/>
          <w:szCs w:val="16"/>
          <w:u w:val="single" w:color="0563C1"/>
        </w:rPr>
        <w:t>https://secure.avaaz.org/campaign/en/disinfo_network_report/</w:t>
      </w:r>
      <w:r>
        <w:fldChar w:fldCharType="end"/>
      </w:r>
      <w:r>
        <w:fldChar w:fldCharType="begin"/>
      </w:r>
      <w:r>
        <w:instrText xml:space="preserve"> HYPERLINK "https://secure.avaaz.org/campaign/en/disinfo_network_report/" </w:instrText>
      </w:r>
      <w:r>
        <w:fldChar w:fldCharType="separate"/>
      </w:r>
      <w:r w:rsidRPr="001C1B82">
        <w:rPr>
          <w:rFonts w:eastAsia="Arial" w:cs="Arial"/>
          <w:szCs w:val="16"/>
        </w:rPr>
        <w:t xml:space="preserve"> </w:t>
      </w:r>
      <w:r>
        <w:fldChar w:fldCharType="end"/>
      </w:r>
    </w:p>
  </w:footnote>
  <w:footnote w:id="318">
    <w:p w:rsidR="00673732" w:rsidRPr="001C1B82">
      <w:pPr>
        <w:pStyle w:val="footnotedescription"/>
        <w:ind w:left="15"/>
        <w:rPr>
          <w:szCs w:val="16"/>
        </w:rPr>
      </w:pPr>
      <w:r w:rsidRPr="001C1B82">
        <w:rPr>
          <w:rStyle w:val="footnotemark"/>
          <w:szCs w:val="16"/>
        </w:rPr>
        <w:footnoteRef/>
      </w:r>
      <w:r w:rsidRPr="001C1B82">
        <w:rPr>
          <w:rFonts w:eastAsia="Arial" w:cs="Arial"/>
          <w:szCs w:val="16"/>
        </w:rPr>
        <w:t xml:space="preserve"> See page 17 of  at </w:t>
      </w:r>
      <w:r>
        <w:fldChar w:fldCharType="begin"/>
      </w:r>
      <w:r>
        <w:instrText xml:space="preserve"> HYPERLINK "https://secure.avaaz.org/campaign/en/disinfo_network_report/" </w:instrText>
      </w:r>
      <w:r>
        <w:fldChar w:fldCharType="separate"/>
      </w:r>
      <w:r w:rsidRPr="001C1B82">
        <w:rPr>
          <w:rFonts w:eastAsia="Arial" w:cs="Arial"/>
          <w:color w:val="1155CC"/>
          <w:szCs w:val="16"/>
          <w:u w:val="single" w:color="1155CC"/>
        </w:rPr>
        <w:t>https://secure.avaaz.org/campaign/en/disinfo_network_report/</w:t>
      </w:r>
      <w:r>
        <w:fldChar w:fldCharType="end"/>
      </w:r>
      <w:r>
        <w:fldChar w:fldCharType="begin"/>
      </w:r>
      <w:r>
        <w:instrText xml:space="preserve"> HYPERLINK "https://secure.avaaz.org/campaign/en/disinfo_network_report/" </w:instrText>
      </w:r>
      <w:r>
        <w:fldChar w:fldCharType="separate"/>
      </w:r>
      <w:r w:rsidRPr="001C1B82">
        <w:rPr>
          <w:rFonts w:eastAsia="Arial" w:cs="Arial"/>
          <w:szCs w:val="16"/>
        </w:rPr>
        <w:t xml:space="preserve"> </w:t>
      </w:r>
      <w:r>
        <w:fldChar w:fldCharType="end"/>
      </w:r>
      <w:r w:rsidRPr="001C1B82">
        <w:rPr>
          <w:rFonts w:eastAsia="Arial" w:cs="Arial"/>
          <w:color w:val="1155CC"/>
          <w:szCs w:val="16"/>
        </w:rPr>
        <w:t xml:space="preserve"> </w:t>
      </w:r>
    </w:p>
  </w:footnote>
  <w:footnote w:id="319">
    <w:p w:rsidR="00673732" w:rsidRPr="001C1B82">
      <w:pPr>
        <w:pStyle w:val="footnotedescription"/>
        <w:spacing w:line="275" w:lineRule="auto"/>
        <w:ind w:left="15"/>
        <w:rPr>
          <w:szCs w:val="16"/>
        </w:rPr>
      </w:pPr>
      <w:r w:rsidRPr="001C1B82">
        <w:rPr>
          <w:rStyle w:val="footnotemark"/>
          <w:szCs w:val="16"/>
        </w:rPr>
        <w:footnoteRef/>
      </w:r>
      <w:r w:rsidRPr="001C1B82">
        <w:rPr>
          <w:rFonts w:eastAsia="Arial" w:cs="Arial"/>
          <w:szCs w:val="16"/>
        </w:rPr>
        <w:t xml:space="preserve"> How algorithms can learn to discredit the media </w:t>
      </w:r>
      <w:r>
        <w:fldChar w:fldCharType="begin"/>
      </w:r>
      <w:r>
        <w:instrText xml:space="preserve"> HYPERLINK "https://medium.com/@guillaumechaslot/how-algorithms-can-learn-to-discredit-the-media-d1360157c4fa" </w:instrText>
      </w:r>
      <w:r>
        <w:fldChar w:fldCharType="separate"/>
      </w:r>
      <w:r w:rsidRPr="001C1B82">
        <w:rPr>
          <w:rFonts w:eastAsia="Arial" w:cs="Arial"/>
          <w:color w:val="1155CC"/>
          <w:szCs w:val="16"/>
          <w:u w:val="single" w:color="1155CC"/>
        </w:rPr>
        <w:t>https://medium.com/@guillaumechaslot/how</w:t>
      </w:r>
      <w:r>
        <w:fldChar w:fldCharType="end"/>
      </w:r>
      <w:r>
        <w:fldChar w:fldCharType="begin"/>
      </w:r>
      <w:r>
        <w:instrText xml:space="preserve"> HYPERLINK "https://medium.com/@guillaumechaslot/how-algorithms-can-learn-to-discredit-the-media-d1360157c4fa" </w:instrText>
      </w:r>
      <w:r>
        <w:fldChar w:fldCharType="separate"/>
      </w:r>
      <w:r w:rsidRPr="001C1B82">
        <w:rPr>
          <w:rFonts w:eastAsia="Arial" w:cs="Arial"/>
          <w:color w:val="1155CC"/>
          <w:szCs w:val="16"/>
          <w:u w:val="single" w:color="1155CC"/>
        </w:rPr>
        <w:t>algorithms-can-learn-to-discredit-the-media-d1360157c4fa</w:t>
      </w:r>
      <w:r>
        <w:fldChar w:fldCharType="end"/>
      </w:r>
      <w:r>
        <w:fldChar w:fldCharType="begin"/>
      </w:r>
      <w:r>
        <w:instrText xml:space="preserve"> HYPERLINK "https://medium.com/@guillaumechaslot/how-algorithms-can-learn-to-discredit-the-media-d1360157c4fa" </w:instrText>
      </w:r>
      <w:r>
        <w:fldChar w:fldCharType="separate"/>
      </w:r>
      <w:r w:rsidRPr="001C1B82">
        <w:rPr>
          <w:rFonts w:eastAsia="Arial" w:cs="Arial"/>
          <w:szCs w:val="16"/>
        </w:rPr>
        <w:t xml:space="preserve"> </w:t>
      </w:r>
      <w:r>
        <w:fldChar w:fldCharType="end"/>
      </w:r>
      <w:r w:rsidRPr="001C1B82">
        <w:rPr>
          <w:rFonts w:eastAsia="Arial" w:cs="Arial"/>
          <w:color w:val="1155CC"/>
          <w:szCs w:val="16"/>
        </w:rPr>
        <w:t xml:space="preserve"> </w:t>
      </w:r>
    </w:p>
  </w:footnote>
  <w:footnote w:id="320">
    <w:p w:rsidR="00673732" w:rsidRPr="001C1B82">
      <w:pPr>
        <w:pStyle w:val="footnotedescription"/>
        <w:spacing w:line="273" w:lineRule="auto"/>
        <w:ind w:left="25" w:hanging="10"/>
        <w:rPr>
          <w:szCs w:val="16"/>
        </w:rPr>
      </w:pPr>
      <w:r w:rsidRPr="001C1B82">
        <w:rPr>
          <w:rStyle w:val="footnotemark"/>
          <w:szCs w:val="16"/>
        </w:rPr>
        <w:footnoteRef/>
      </w:r>
      <w:r w:rsidRPr="001C1B82">
        <w:rPr>
          <w:rFonts w:eastAsia="Arial" w:cs="Arial"/>
          <w:szCs w:val="16"/>
        </w:rPr>
        <w:t xml:space="preserve"> ‘Why does junk news spread so quickly across social media’ - Knight Foundation, Jan. 29, 2018 </w:t>
      </w:r>
      <w:r>
        <w:fldChar w:fldCharType="begin"/>
      </w:r>
      <w:r>
        <w:instrText xml:space="preserve"> HYPERLINK "https://kf-site-production.s3.amazonaws.com/media_elements/files/000/000/142/original/Topos_KF_White-Paper_Howard_V1_ado.pdf" </w:instrText>
      </w:r>
      <w:r>
        <w:fldChar w:fldCharType="separate"/>
      </w:r>
      <w:r w:rsidRPr="001C1B82">
        <w:rPr>
          <w:rFonts w:eastAsia="Arial" w:cs="Arial"/>
          <w:color w:val="0563C1"/>
          <w:szCs w:val="16"/>
          <w:u w:val="single" w:color="0563C1"/>
        </w:rPr>
        <w:t>https://kf-site-</w:t>
      </w:r>
      <w:r>
        <w:fldChar w:fldCharType="end"/>
      </w:r>
    </w:p>
    <w:p w:rsidR="00673732" w:rsidRPr="001C1B82">
      <w:pPr>
        <w:pStyle w:val="footnotedescription"/>
        <w:spacing w:line="241" w:lineRule="auto"/>
        <w:ind w:left="25"/>
        <w:rPr>
          <w:szCs w:val="16"/>
        </w:rPr>
      </w:pPr>
      <w:r>
        <w:fldChar w:fldCharType="begin"/>
      </w:r>
      <w:r>
        <w:instrText xml:space="preserve"> HYPERLINK "https://kf-site-production.s3.amazonaws.com/media_elements/files/000/000/142/original/Topos_KF_White-Paper_Howard_V1_ado.pdf" </w:instrText>
      </w:r>
      <w:r>
        <w:fldChar w:fldCharType="separate"/>
      </w:r>
      <w:r w:rsidRPr="001C1B82">
        <w:rPr>
          <w:rFonts w:eastAsia="Arial" w:cs="Arial"/>
          <w:color w:val="0563C1"/>
          <w:szCs w:val="16"/>
          <w:u w:val="single" w:color="0563C1"/>
        </w:rPr>
        <w:t>production.s3.amazonaws.com/media_elements/files/000/000/142/original/Topos_KF_White</w:t>
      </w:r>
      <w:r>
        <w:fldChar w:fldCharType="end"/>
      </w:r>
      <w:r>
        <w:fldChar w:fldCharType="begin"/>
      </w:r>
      <w:r>
        <w:instrText xml:space="preserve"> HYPERLINK "https://kf-site-production.s3.amazonaws.com/media_elements/files/000/000/142/original/Topos_KF_White-Paper_Howard_V1_ado.pdf" </w:instrText>
      </w:r>
      <w:r>
        <w:fldChar w:fldCharType="separate"/>
      </w:r>
      <w:r w:rsidRPr="001C1B82">
        <w:rPr>
          <w:rFonts w:eastAsia="Arial" w:cs="Arial"/>
          <w:color w:val="0563C1"/>
          <w:szCs w:val="16"/>
          <w:u w:val="single" w:color="0563C1"/>
        </w:rPr>
        <w:t xml:space="preserve"> </w:t>
      </w:r>
      <w:r>
        <w:fldChar w:fldCharType="end"/>
      </w:r>
      <w:r>
        <w:fldChar w:fldCharType="begin"/>
      </w:r>
      <w:r>
        <w:instrText xml:space="preserve"> HYPERLINK "https://kf-site-production.s3.amazonaws.com/media_elements/files/000/000/142/original/Topos_KF_White-Paper_Howard_V1_ado.pdf" </w:instrText>
      </w:r>
      <w:r>
        <w:fldChar w:fldCharType="separate"/>
      </w:r>
      <w:r>
        <w:fldChar w:fldCharType="end"/>
      </w:r>
      <w:r>
        <w:fldChar w:fldCharType="begin"/>
      </w:r>
      <w:r>
        <w:instrText xml:space="preserve"> HYPERLINK "https://kf-site-production.s3.amazonaws.com/media_elements/files/000/000/142/original/Topos_KF_White-Paper_Howard_V1_ado.pdf" </w:instrText>
      </w:r>
      <w:r>
        <w:fldChar w:fldCharType="separate"/>
      </w:r>
      <w:r w:rsidRPr="001C1B82">
        <w:rPr>
          <w:rFonts w:eastAsia="Arial" w:cs="Arial"/>
          <w:color w:val="0563C1"/>
          <w:szCs w:val="16"/>
          <w:u w:val="single" w:color="0563C1"/>
        </w:rPr>
        <w:t>Paper_Howard_V1_ado.pd</w:t>
      </w:r>
      <w:r>
        <w:fldChar w:fldCharType="end"/>
      </w:r>
      <w:r>
        <w:fldChar w:fldCharType="begin"/>
      </w:r>
      <w:r>
        <w:instrText xml:space="preserve"> HYPERLINK "https://kf-site-production.s3.amazonaws.com/media_elements/files/000/000/142/original/Topos_KF_White-Paper_Howard_V1_ado.pdf" </w:instrText>
      </w:r>
      <w:r>
        <w:fldChar w:fldCharType="separate"/>
      </w:r>
      <w:r w:rsidRPr="001C1B82">
        <w:rPr>
          <w:rFonts w:eastAsia="Arial" w:cs="Arial"/>
          <w:color w:val="0563C1"/>
          <w:szCs w:val="16"/>
          <w:u w:val="single" w:color="0563C1"/>
        </w:rPr>
        <w:t>f</w:t>
      </w:r>
      <w:r>
        <w:fldChar w:fldCharType="end"/>
      </w:r>
      <w:r>
        <w:fldChar w:fldCharType="begin"/>
      </w:r>
      <w:r>
        <w:instrText xml:space="preserve"> HYPERLINK "https://kf-site-production.s3.amazonaws.com/media_elements/files/000/000/142/original/Topos_KF_White-Paper_Howard_V1_ado.pdf" </w:instrText>
      </w:r>
      <w:r>
        <w:fldChar w:fldCharType="separate"/>
      </w:r>
      <w:r w:rsidRPr="001C1B82">
        <w:rPr>
          <w:rFonts w:eastAsia="Arial" w:cs="Arial"/>
          <w:color w:val="0563C1"/>
          <w:szCs w:val="16"/>
        </w:rPr>
        <w:t xml:space="preserve"> </w:t>
      </w:r>
      <w:r>
        <w:fldChar w:fldCharType="end"/>
      </w:r>
      <w:r>
        <w:fldChar w:fldCharType="begin"/>
      </w:r>
      <w:r>
        <w:instrText xml:space="preserve"> HYPERLINK "https://kf-site-production.s3.amazonaws.com/media_elements/files/000/000/142/original/Topos_KF_White-Paper_Howard_V1_ado.pdf" </w:instrText>
      </w:r>
      <w:r>
        <w:fldChar w:fldCharType="separate"/>
      </w:r>
      <w:r w:rsidRPr="001C1B82">
        <w:rPr>
          <w:rFonts w:eastAsia="Arial" w:cs="Arial"/>
          <w:szCs w:val="16"/>
        </w:rPr>
        <w:t xml:space="preserve"> </w:t>
      </w:r>
      <w:r>
        <w:fldChar w:fldCharType="end"/>
      </w:r>
    </w:p>
  </w:footnote>
  <w:footnote w:id="321">
    <w:p w:rsidR="00673732" w:rsidRPr="001C1B82">
      <w:pPr>
        <w:pStyle w:val="footnotedescription"/>
        <w:spacing w:after="15"/>
        <w:ind w:left="15"/>
        <w:rPr>
          <w:szCs w:val="16"/>
        </w:rPr>
      </w:pPr>
      <w:r w:rsidRPr="001C1B82">
        <w:rPr>
          <w:rStyle w:val="footnotemark"/>
          <w:szCs w:val="16"/>
        </w:rPr>
        <w:footnoteRef/>
      </w:r>
      <w:r>
        <w:fldChar w:fldCharType="begin"/>
      </w:r>
      <w:r>
        <w:instrText xml:space="preserve"> HYPERLINK "https://xrw-and-algorithms.netlify.com/" \l "23" </w:instrText>
      </w:r>
      <w:r>
        <w:fldChar w:fldCharType="separate"/>
      </w:r>
      <w:r w:rsidRPr="001C1B82">
        <w:rPr>
          <w:rFonts w:eastAsia="Arial" w:cs="Arial"/>
          <w:color w:val="1155CC"/>
          <w:szCs w:val="16"/>
          <w:u w:val="single" w:color="1155CC"/>
        </w:rPr>
        <w:t xml:space="preserve"> https://xrw-and-algorithms.netlify.com/#23</w:t>
      </w:r>
      <w:r>
        <w:fldChar w:fldCharType="end"/>
      </w:r>
      <w:r>
        <w:fldChar w:fldCharType="begin"/>
      </w:r>
      <w:r>
        <w:instrText xml:space="preserve"> HYPERLINK "https://xrw-and-algorithms.netlify.com/" \l "23" </w:instrText>
      </w:r>
      <w:r>
        <w:fldChar w:fldCharType="separate"/>
      </w:r>
      <w:r w:rsidRPr="001C1B82">
        <w:rPr>
          <w:rFonts w:eastAsia="Arial" w:cs="Arial"/>
          <w:szCs w:val="16"/>
        </w:rPr>
        <w:t xml:space="preserve"> </w:t>
      </w:r>
      <w:r>
        <w:fldChar w:fldCharType="end"/>
      </w:r>
      <w:r w:rsidRPr="001C1B82">
        <w:rPr>
          <w:rFonts w:eastAsia="Arial" w:cs="Arial"/>
          <w:color w:val="1155CC"/>
          <w:szCs w:val="16"/>
        </w:rPr>
        <w:t xml:space="preserve"> </w:t>
      </w:r>
    </w:p>
  </w:footnote>
  <w:footnote w:id="322">
    <w:p w:rsidR="00673732" w:rsidRPr="001C1B82">
      <w:pPr>
        <w:pStyle w:val="footnotedescription"/>
        <w:ind w:left="15"/>
        <w:rPr>
          <w:szCs w:val="16"/>
        </w:rPr>
      </w:pPr>
      <w:r w:rsidRPr="001C1B82">
        <w:rPr>
          <w:rStyle w:val="footnotemark"/>
          <w:szCs w:val="16"/>
        </w:rPr>
        <w:footnoteRef/>
      </w:r>
      <w:r>
        <w:fldChar w:fldCharType="begin"/>
      </w:r>
      <w:r>
        <w:instrText xml:space="preserve"> HYPERLINK "http://news.mit.edu/2018/study-twitter-false-news-travels-faster-true-stories-0308" </w:instrText>
      </w:r>
      <w:r>
        <w:fldChar w:fldCharType="separate"/>
      </w:r>
      <w:r w:rsidRPr="001C1B82">
        <w:rPr>
          <w:rFonts w:eastAsia="Arial" w:cs="Arial"/>
          <w:color w:val="1155CC"/>
          <w:szCs w:val="16"/>
          <w:u w:val="single" w:color="1155CC"/>
        </w:rPr>
        <w:t xml:space="preserve"> http://news.mit.edu/2018/study-twitter-false-news-travels-faster-true-stories-0308</w:t>
      </w:r>
      <w:r>
        <w:fldChar w:fldCharType="end"/>
      </w:r>
      <w:r>
        <w:fldChar w:fldCharType="begin"/>
      </w:r>
      <w:r>
        <w:instrText xml:space="preserve"> HYPERLINK "http://news.mit.edu/2018/study-twitter-false-news-travels-faster-true-stories-0308" </w:instrText>
      </w:r>
      <w:r>
        <w:fldChar w:fldCharType="separate"/>
      </w:r>
      <w:r w:rsidRPr="001C1B82">
        <w:rPr>
          <w:rFonts w:eastAsia="Arial" w:cs="Arial"/>
          <w:szCs w:val="16"/>
        </w:rPr>
        <w:t xml:space="preserve"> </w:t>
      </w:r>
      <w:r>
        <w:fldChar w:fldCharType="end"/>
      </w:r>
      <w:r w:rsidRPr="001C1B82">
        <w:rPr>
          <w:rFonts w:eastAsia="Arial" w:cs="Arial"/>
          <w:szCs w:val="16"/>
        </w:rPr>
        <w:t xml:space="preserve"> </w:t>
      </w:r>
      <w:r w:rsidRPr="001C1B82">
        <w:rPr>
          <w:rFonts w:eastAsia="Arial" w:cs="Arial"/>
          <w:color w:val="1155CC"/>
          <w:szCs w:val="16"/>
        </w:rPr>
        <w:t xml:space="preserve"> </w:t>
      </w:r>
    </w:p>
  </w:footnote>
  <w:footnote w:id="323">
    <w:p w:rsidR="00673732" w:rsidRPr="001C1B82">
      <w:pPr>
        <w:pStyle w:val="footnotedescription"/>
        <w:ind w:left="15"/>
        <w:rPr>
          <w:szCs w:val="16"/>
        </w:rPr>
      </w:pPr>
      <w:r w:rsidRPr="001C1B82">
        <w:rPr>
          <w:rStyle w:val="footnotemark"/>
          <w:szCs w:val="16"/>
        </w:rPr>
        <w:footnoteRef/>
      </w:r>
      <w:r w:rsidRPr="001C1B82">
        <w:rPr>
          <w:szCs w:val="16"/>
        </w:rPr>
        <w:t xml:space="preserve"> </w:t>
      </w:r>
      <w:r>
        <w:fldChar w:fldCharType="begin"/>
      </w:r>
      <w:r>
        <w:instrText xml:space="preserve"> HYPERLINK "https://moz.com/learn/seo/ranking-visibility" </w:instrText>
      </w:r>
      <w:r>
        <w:fldChar w:fldCharType="separate"/>
      </w:r>
      <w:r w:rsidRPr="001C1B82">
        <w:rPr>
          <w:rFonts w:eastAsia="Arial" w:cs="Arial"/>
          <w:color w:val="0563C1"/>
          <w:szCs w:val="16"/>
          <w:u w:val="single" w:color="0563C1"/>
        </w:rPr>
        <w:t>https://moz.com/learn/seo/ranking-visibili</w:t>
      </w:r>
      <w:r>
        <w:fldChar w:fldCharType="end"/>
      </w:r>
      <w:r>
        <w:fldChar w:fldCharType="begin"/>
      </w:r>
      <w:r>
        <w:instrText xml:space="preserve"> HYPERLINK "https://moz.com/learn/seo/ranking-visibility" </w:instrText>
      </w:r>
      <w:r>
        <w:fldChar w:fldCharType="separate"/>
      </w:r>
      <w:r w:rsidRPr="001C1B82">
        <w:rPr>
          <w:rFonts w:eastAsia="Arial" w:cs="Arial"/>
          <w:color w:val="0563C1"/>
          <w:szCs w:val="16"/>
          <w:u w:val="single" w:color="0563C1"/>
        </w:rPr>
        <w:t>t</w:t>
      </w:r>
      <w:r>
        <w:fldChar w:fldCharType="end"/>
      </w:r>
      <w:r>
        <w:fldChar w:fldCharType="begin"/>
      </w:r>
      <w:r>
        <w:instrText xml:space="preserve"> HYPERLINK "https://moz.com/learn/seo/ranking-visibility" </w:instrText>
      </w:r>
      <w:r>
        <w:fldChar w:fldCharType="separate"/>
      </w:r>
      <w:r w:rsidRPr="001C1B82">
        <w:rPr>
          <w:rFonts w:eastAsia="Arial" w:cs="Arial"/>
          <w:color w:val="0563C1"/>
          <w:szCs w:val="16"/>
          <w:u w:val="single" w:color="0563C1"/>
        </w:rPr>
        <w:t>y</w:t>
      </w:r>
      <w:r>
        <w:fldChar w:fldCharType="end"/>
      </w:r>
      <w:r>
        <w:fldChar w:fldCharType="begin"/>
      </w:r>
      <w:r>
        <w:instrText xml:space="preserve"> HYPERLINK "https://moz.com/learn/seo/ranking-visibility" </w:instrText>
      </w:r>
      <w:r>
        <w:fldChar w:fldCharType="separate"/>
      </w:r>
      <w:r w:rsidRPr="001C1B82">
        <w:rPr>
          <w:rFonts w:eastAsia="Arial" w:cs="Arial"/>
          <w:color w:val="0563C1"/>
          <w:szCs w:val="16"/>
        </w:rPr>
        <w:t xml:space="preserve"> </w:t>
      </w:r>
      <w:r>
        <w:fldChar w:fldCharType="end"/>
      </w:r>
      <w:r>
        <w:fldChar w:fldCharType="begin"/>
      </w:r>
      <w:r>
        <w:instrText xml:space="preserve"> HYPERLINK "https://moz.com/learn/seo/ranking-visibility" </w:instrText>
      </w:r>
      <w:r>
        <w:fldChar w:fldCharType="separate"/>
      </w:r>
      <w:r w:rsidRPr="001C1B82">
        <w:rPr>
          <w:rFonts w:eastAsia="Arial" w:cs="Arial"/>
          <w:szCs w:val="16"/>
        </w:rPr>
        <w:t xml:space="preserve"> </w:t>
      </w:r>
      <w:r>
        <w:fldChar w:fldCharType="end"/>
      </w:r>
    </w:p>
    <w:p w:rsidR="00673732" w:rsidRPr="001C1B82">
      <w:pPr>
        <w:pStyle w:val="footnotedescription"/>
        <w:spacing w:after="1" w:line="241" w:lineRule="auto"/>
        <w:ind w:left="25" w:right="645" w:hanging="10"/>
        <w:rPr>
          <w:szCs w:val="16"/>
        </w:rPr>
      </w:pPr>
      <w:r w:rsidRPr="001C1B82">
        <w:rPr>
          <w:rFonts w:eastAsia="Arial" w:cs="Arial"/>
          <w:szCs w:val="16"/>
        </w:rPr>
        <w:t xml:space="preserve"> We obtained the domain ratings by using</w:t>
      </w:r>
      <w:r>
        <w:fldChar w:fldCharType="begin"/>
      </w:r>
      <w:r>
        <w:instrText xml:space="preserve"> HYPERLINK "http://ahref.com/" </w:instrText>
      </w:r>
      <w:r>
        <w:fldChar w:fldCharType="separate"/>
      </w:r>
      <w:r w:rsidRPr="001C1B82">
        <w:rPr>
          <w:rFonts w:eastAsia="Arial" w:cs="Arial"/>
          <w:color w:val="0563C1"/>
          <w:szCs w:val="16"/>
          <w:u w:val="single" w:color="0563C1"/>
        </w:rPr>
        <w:t xml:space="preserve"> ahref.com</w:t>
      </w:r>
      <w:r>
        <w:fldChar w:fldCharType="end"/>
      </w:r>
      <w:r>
        <w:fldChar w:fldCharType="begin"/>
      </w:r>
      <w:r>
        <w:instrText xml:space="preserve"> HYPERLINK "http://ahref.com/" </w:instrText>
      </w:r>
      <w:r>
        <w:fldChar w:fldCharType="separate"/>
      </w:r>
      <w:r w:rsidRPr="001C1B82">
        <w:rPr>
          <w:rFonts w:eastAsia="Arial" w:cs="Arial"/>
          <w:color w:val="0563C1"/>
          <w:szCs w:val="16"/>
          <w:u w:val="single" w:color="0563C1"/>
        </w:rPr>
        <w:t>,</w:t>
      </w:r>
      <w:r>
        <w:fldChar w:fldCharType="end"/>
      </w:r>
      <w:r>
        <w:fldChar w:fldCharType="begin"/>
      </w:r>
      <w:r>
        <w:instrText xml:space="preserve"> HYPERLINK "http://ahref.com/" </w:instrText>
      </w:r>
      <w:r>
        <w:fldChar w:fldCharType="separate"/>
      </w:r>
      <w:r w:rsidRPr="001C1B82">
        <w:rPr>
          <w:rFonts w:eastAsia="Arial" w:cs="Arial"/>
          <w:szCs w:val="16"/>
        </w:rPr>
        <w:t xml:space="preserve"> </w:t>
      </w:r>
      <w:r>
        <w:fldChar w:fldCharType="end"/>
      </w:r>
      <w:r w:rsidRPr="001C1B82">
        <w:rPr>
          <w:rFonts w:eastAsia="Arial" w:cs="Arial"/>
          <w:szCs w:val="16"/>
        </w:rPr>
        <w:t xml:space="preserve">a well-known SEO tool provider boasting the world's largest index of live backlinks that is updated with fresh data every 15-30 minutes. “Domain ratings” are a scale (1-100) which illustrate the quality of sites which link back to pages on another site. See </w:t>
      </w:r>
      <w:r>
        <w:fldChar w:fldCharType="begin"/>
      </w:r>
      <w:r>
        <w:instrText xml:space="preserve"> HYPERLINK "http://moz.com/learn/seo/domain-authority" </w:instrText>
      </w:r>
      <w:r>
        <w:fldChar w:fldCharType="separate"/>
      </w:r>
      <w:r w:rsidRPr="001C1B82">
        <w:rPr>
          <w:rFonts w:eastAsia="Arial" w:cs="Arial"/>
          <w:color w:val="0563C1"/>
          <w:szCs w:val="16"/>
          <w:u w:val="single" w:color="0563C1"/>
        </w:rPr>
        <w:t>/moz.com/learn/seo/domain-authority</w:t>
      </w:r>
      <w:r>
        <w:fldChar w:fldCharType="end"/>
      </w:r>
      <w:r>
        <w:fldChar w:fldCharType="begin"/>
      </w:r>
      <w:r>
        <w:instrText xml:space="preserve"> HYPERLINK "http://moz.com/learn/seo/domain-authority" </w:instrText>
      </w:r>
      <w:r>
        <w:fldChar w:fldCharType="separate"/>
      </w:r>
      <w:r w:rsidRPr="001C1B82">
        <w:rPr>
          <w:rFonts w:eastAsia="Arial" w:cs="Arial"/>
          <w:szCs w:val="16"/>
        </w:rPr>
        <w:t xml:space="preserve"> </w:t>
      </w:r>
      <w:r>
        <w:fldChar w:fldCharType="end"/>
      </w:r>
      <w:r w:rsidRPr="001C1B82">
        <w:rPr>
          <w:rFonts w:eastAsia="Arial" w:cs="Arial"/>
          <w:szCs w:val="16"/>
        </w:rPr>
        <w:t xml:space="preserve">of content sharing accounts we grouped under the banner of Political UK News, the central example above.  </w:t>
      </w:r>
    </w:p>
    <w:p w:rsidR="00673732" w:rsidRPr="001C1B82">
      <w:pPr>
        <w:pStyle w:val="footnotedescription"/>
        <w:ind w:left="15"/>
        <w:rPr>
          <w:szCs w:val="16"/>
        </w:rPr>
      </w:pPr>
      <w:r w:rsidRPr="001C1B82">
        <w:rPr>
          <w:rFonts w:eastAsia="Arial" w:cs="Arial"/>
          <w:szCs w:val="16"/>
        </w:rPr>
        <w:t xml:space="preserve"> </w:t>
      </w:r>
    </w:p>
  </w:footnote>
  <w:footnote w:id="324">
    <w:p w:rsidR="00673732" w:rsidRPr="001C1B82">
      <w:pPr>
        <w:pStyle w:val="footnotedescription"/>
        <w:ind w:left="15"/>
        <w:rPr>
          <w:szCs w:val="16"/>
        </w:rPr>
      </w:pPr>
      <w:r w:rsidRPr="001C1B82">
        <w:rPr>
          <w:rStyle w:val="footnotemark"/>
          <w:szCs w:val="16"/>
        </w:rPr>
        <w:footnoteRef/>
      </w:r>
      <w:r>
        <w:fldChar w:fldCharType="begin"/>
      </w:r>
      <w:r>
        <w:instrText xml:space="preserve"> HYPERLINK "https://www.facebook.com/policies/ads/prohibited_content/misinformation" </w:instrText>
      </w:r>
      <w:r>
        <w:fldChar w:fldCharType="separate"/>
      </w:r>
      <w:r w:rsidRPr="001C1B82">
        <w:rPr>
          <w:rFonts w:eastAsia="Arial" w:cs="Arial"/>
          <w:color w:val="1155CC"/>
          <w:szCs w:val="16"/>
          <w:u w:val="single" w:color="1155CC"/>
        </w:rPr>
        <w:t xml:space="preserve"> https://www.facebook.com/policies/ads/prohibited_content/misinformation</w:t>
      </w:r>
      <w:r>
        <w:fldChar w:fldCharType="end"/>
      </w:r>
      <w:r>
        <w:fldChar w:fldCharType="begin"/>
      </w:r>
      <w:r>
        <w:instrText xml:space="preserve"> HYPERLINK "https://www.facebook.com/policies/ads/prohibited_content/misinformation" </w:instrText>
      </w:r>
      <w:r>
        <w:fldChar w:fldCharType="separate"/>
      </w:r>
      <w:r w:rsidRPr="001C1B82">
        <w:rPr>
          <w:rFonts w:eastAsia="Arial" w:cs="Arial"/>
          <w:szCs w:val="16"/>
        </w:rPr>
        <w:t xml:space="preserve"> </w:t>
      </w:r>
      <w:r>
        <w:fldChar w:fldCharType="end"/>
      </w:r>
      <w:r w:rsidRPr="001C1B82">
        <w:rPr>
          <w:rFonts w:eastAsia="Arial" w:cs="Arial"/>
          <w:color w:val="1155CC"/>
          <w:szCs w:val="16"/>
        </w:rPr>
        <w:t xml:space="preserve"> </w:t>
      </w:r>
    </w:p>
  </w:footnote>
  <w:footnote w:id="325">
    <w:p w:rsidR="00673732" w:rsidRPr="001C1B82">
      <w:pPr>
        <w:pStyle w:val="footnotedescription"/>
        <w:spacing w:line="299" w:lineRule="auto"/>
        <w:ind w:left="15" w:right="416"/>
        <w:jc w:val="both"/>
        <w:rPr>
          <w:szCs w:val="16"/>
        </w:rPr>
      </w:pPr>
      <w:r w:rsidRPr="001C1B82">
        <w:rPr>
          <w:rStyle w:val="footnotemark"/>
          <w:szCs w:val="16"/>
        </w:rPr>
        <w:footnoteRef/>
      </w:r>
      <w:r w:rsidRPr="001C1B82">
        <w:rPr>
          <w:rFonts w:eastAsia="Arial" w:cs="Arial"/>
          <w:szCs w:val="16"/>
        </w:rPr>
        <w:t xml:space="preserve"> Eg </w:t>
      </w:r>
      <w:r w:rsidRPr="001C1B82">
        <w:rPr>
          <w:rFonts w:eastAsia="Arial" w:cs="Arial"/>
          <w:color w:val="1155CC"/>
          <w:szCs w:val="16"/>
        </w:rPr>
        <w:t xml:space="preserve"> </w:t>
      </w:r>
      <w:r>
        <w:fldChar w:fldCharType="begin"/>
      </w:r>
      <w:r>
        <w:instrText xml:space="preserve"> HYPERLINK "https://popular.info/p/facebook-says-trump-can-lie-in-his?token=eyJ1c2VyX2lkIjo0MjE3MTAxLCJwb3N0X2lkIjoxMzY1NzIsIl8iOiJwNlFJcSIsImlhdCI6MTU3MDEwOTM1MSwiZXhwIjoxNTcwMTEyOTUxLCJpc3MiOiJwdWItMTY2NCIsInN1YiI6InBvc3QtcmVhY3Rpb24ifQ.o4Y0vWFOA0nJ_8p--G8H5ra6zx51aGnFDA4_7mXAp60" </w:instrText>
      </w:r>
      <w:r>
        <w:fldChar w:fldCharType="separate"/>
      </w:r>
      <w:r w:rsidRPr="001C1B82">
        <w:rPr>
          <w:rFonts w:eastAsia="Arial" w:cs="Arial"/>
          <w:color w:val="1155CC"/>
          <w:szCs w:val="16"/>
          <w:u w:val="single" w:color="1155CC"/>
        </w:rPr>
        <w:t>https://popular.info/p/facebook-says-trump-can-lie-in-his?token=eyJ1c2VyX2lkIjo0MjE3MTAxLCJwb3N0X</w:t>
      </w:r>
      <w:r>
        <w:fldChar w:fldCharType="end"/>
      </w:r>
      <w:r>
        <w:fldChar w:fldCharType="begin"/>
      </w:r>
      <w:r>
        <w:instrText xml:space="preserve"> HYPERLINK "https://popular.info/p/facebook-says-trump-can-lie-in-his?token=eyJ1c2VyX2lkIjo0MjE3MTAxLCJwb3N0X2lkIjoxMzY1NzIsIl8iOiJwNlFJcSIsImlhdCI6MTU3MDEwOTM1MSwiZXhwIjoxNTcwMTEyOTUxLCJpc3MiOiJwdWItMTY2NCIsInN1YiI6InBvc3QtcmVhY3Rpb24ifQ.o4Y0vWFOA0nJ_8p--G8H5ra6zx51aGnFDA4_7mXAp60" </w:instrText>
      </w:r>
      <w:r>
        <w:fldChar w:fldCharType="separate"/>
      </w:r>
      <w:r w:rsidRPr="001C1B82">
        <w:rPr>
          <w:rFonts w:eastAsia="Arial" w:cs="Arial"/>
          <w:color w:val="1155CC"/>
          <w:szCs w:val="16"/>
        </w:rPr>
        <w:t xml:space="preserve"> </w:t>
      </w:r>
      <w:r>
        <w:fldChar w:fldCharType="end"/>
      </w:r>
      <w:r>
        <w:fldChar w:fldCharType="begin"/>
      </w:r>
      <w:r>
        <w:instrText xml:space="preserve"> HYPERLINK "https://popular.info/p/facebook-says-trump-can-lie-in-his?token=eyJ1c2VyX2lkIjo0MjE3MTAxLCJwb3N0X2lkIjoxMzY1NzIsIl8iOiJwNlFJcSIsImlhdCI6MTU3MDEwOTM1MSwiZXhwIjoxNTcwMTEyOTUxLCJpc3MiOiJwdWItMTY2NCIsInN1YiI6InBvc3QtcmVhY3Rpb24ifQ.o4Y0vWFOA0nJ_8p--G8H5ra6zx51aGnFDA4_7mXAp60" </w:instrText>
      </w:r>
      <w:r>
        <w:fldChar w:fldCharType="separate"/>
      </w:r>
      <w:r w:rsidRPr="001C1B82">
        <w:rPr>
          <w:rFonts w:eastAsia="Arial" w:cs="Arial"/>
          <w:color w:val="1155CC"/>
          <w:szCs w:val="16"/>
          <w:u w:val="single" w:color="1155CC"/>
        </w:rPr>
        <w:t>2lkIjoxMzY1NzIsIl8iOiJwNlFJcSIsImlhdCI6MTU3MDEwOTM1MSwiZXhwIjoxNTcwMTEyOTUxLCJpc3Mi</w:t>
      </w:r>
      <w:r>
        <w:fldChar w:fldCharType="end"/>
      </w:r>
      <w:r>
        <w:fldChar w:fldCharType="begin"/>
      </w:r>
      <w:r>
        <w:instrText xml:space="preserve"> HYPERLINK "https://popular.info/p/facebook-says-trump-can-lie-in-his?token=eyJ1c2VyX2lkIjo0MjE3MTAxLCJwb3N0X2lkIjoxMzY1NzIsIl8iOiJwNlFJcSIsImlhdCI6MTU3MDEwOTM1MSwiZXhwIjoxNTcwMTEyOTUxLCJpc3MiOiJwdWItMTY2NCIsInN1YiI6InBvc3QtcmVhY3Rpb24ifQ.o4Y0vWFOA0nJ_8p--G8H5ra6zx51aGnFDA4_7mXAp60" </w:instrText>
      </w:r>
      <w:r>
        <w:fldChar w:fldCharType="separate"/>
      </w:r>
      <w:r w:rsidRPr="001C1B82">
        <w:rPr>
          <w:rFonts w:eastAsia="Arial" w:cs="Arial"/>
          <w:color w:val="1155CC"/>
          <w:szCs w:val="16"/>
        </w:rPr>
        <w:t xml:space="preserve"> </w:t>
      </w:r>
      <w:r>
        <w:fldChar w:fldCharType="end"/>
      </w:r>
    </w:p>
    <w:p w:rsidR="00673732" w:rsidRPr="001C1B82">
      <w:pPr>
        <w:pStyle w:val="footnotedescription"/>
        <w:spacing w:line="251" w:lineRule="auto"/>
        <w:ind w:left="15"/>
        <w:rPr>
          <w:szCs w:val="16"/>
        </w:rPr>
      </w:pPr>
      <w:r>
        <w:fldChar w:fldCharType="begin"/>
      </w:r>
      <w:r>
        <w:instrText xml:space="preserve"> HYPERLINK "https://popular.info/p/facebook-says-trump-can-lie-in-his?token=eyJ1c2VyX2lkIjo0MjE3MTAxLCJwb3N0X2lkIjoxMzY1NzIsIl8iOiJwNlFJcSIsImlhdCI6MTU3MDEwOTM1MSwiZXhwIjoxNTcwMTEyOTUxLCJpc3MiOiJwdWItMTY2NCIsInN1YiI6InBvc3QtcmVhY3Rpb24ifQ.o4Y0vWFOA0nJ_8p--G8H5ra6zx51aGnFDA4_7mXAp60" </w:instrText>
      </w:r>
      <w:r>
        <w:fldChar w:fldCharType="separate"/>
      </w:r>
      <w:r w:rsidRPr="001C1B82">
        <w:rPr>
          <w:rFonts w:eastAsia="Arial" w:cs="Arial"/>
          <w:color w:val="1155CC"/>
          <w:szCs w:val="16"/>
          <w:u w:val="single" w:color="1155CC"/>
        </w:rPr>
        <w:t>OiJwdWItMTY2NCIsInN1YiI6InBvc3QtcmVhY3Rpb24ifQ.o4Y0vWFOA0nJ_8p--G8H5ra6zx51aGnFDA4_</w:t>
      </w:r>
      <w:r>
        <w:fldChar w:fldCharType="end"/>
      </w:r>
      <w:r>
        <w:fldChar w:fldCharType="begin"/>
      </w:r>
      <w:r>
        <w:instrText xml:space="preserve"> HYPERLINK "https://popular.info/p/facebook-says-trump-can-lie-in-his?token=eyJ1c2VyX2lkIjo0MjE3MTAxLCJwb3N0X2lkIjoxMzY1NzIsIl8iOiJwNlFJcSIsImlhdCI6MTU3MDEwOTM1MSwiZXhwIjoxNTcwMTEyOTUxLCJpc3MiOiJwdWItMTY2NCIsInN1YiI6InBvc3QtcmVhY3Rpb24ifQ.o4Y0vWFOA0nJ_8p--G8H5ra6zx51aGnFDA4_7mXAp60" </w:instrText>
      </w:r>
      <w:r>
        <w:fldChar w:fldCharType="separate"/>
      </w:r>
      <w:r w:rsidRPr="001C1B82">
        <w:rPr>
          <w:rFonts w:eastAsia="Arial" w:cs="Arial"/>
          <w:color w:val="1155CC"/>
          <w:szCs w:val="16"/>
        </w:rPr>
        <w:t xml:space="preserve"> </w:t>
      </w:r>
      <w:r>
        <w:fldChar w:fldCharType="end"/>
      </w:r>
      <w:r>
        <w:fldChar w:fldCharType="begin"/>
      </w:r>
      <w:r>
        <w:instrText xml:space="preserve"> HYPERLINK "https://popular.info/p/facebook-says-trump-can-lie-in-his?token=eyJ1c2VyX2lkIjo0MjE3MTAxLCJwb3N0X2lkIjoxMzY1NzIsIl8iOiJwNlFJcSIsImlhdCI6MTU3MDEwOTM1MSwiZXhwIjoxNTcwMTEyOTUxLCJpc3MiOiJwdWItMTY2NCIsInN1YiI6InBvc3QtcmVhY3Rpb24ifQ.o4Y0vWFOA0nJ_8p--G8H5ra6zx51aGnFDA4_7mXAp60" </w:instrText>
      </w:r>
      <w:r>
        <w:fldChar w:fldCharType="separate"/>
      </w:r>
      <w:r w:rsidRPr="001C1B82">
        <w:rPr>
          <w:rFonts w:eastAsia="Arial" w:cs="Arial"/>
          <w:color w:val="1155CC"/>
          <w:szCs w:val="16"/>
          <w:u w:val="single" w:color="1155CC"/>
        </w:rPr>
        <w:t>7mXAp6</w:t>
      </w:r>
      <w:r>
        <w:fldChar w:fldCharType="end"/>
      </w:r>
      <w:r>
        <w:fldChar w:fldCharType="begin"/>
      </w:r>
      <w:r>
        <w:instrText xml:space="preserve"> HYPERLINK "https://popular.info/p/facebook-says-trump-can-lie-in-his?token=eyJ1c2VyX2lkIjo0MjE3MTAxLCJwb3N0X2lkIjoxMzY1NzIsIl8iOiJwNlFJcSIsImlhdCI6MTU3MDEwOTM1MSwiZXhwIjoxNTcwMTEyOTUxLCJpc3MiOiJwdWItMTY2NCIsInN1YiI6InBvc3QtcmVhY3Rpb24ifQ.o4Y0vWFOA0nJ_8p--G8H5ra6zx51aGnFDA4_7mXAp60" </w:instrText>
      </w:r>
      <w:r>
        <w:fldChar w:fldCharType="separate"/>
      </w:r>
      <w:r w:rsidRPr="001C1B82">
        <w:rPr>
          <w:rFonts w:eastAsia="Arial" w:cs="Arial"/>
          <w:color w:val="1155CC"/>
          <w:szCs w:val="16"/>
          <w:u w:val="single" w:color="1155CC"/>
        </w:rPr>
        <w:t>0</w:t>
      </w:r>
      <w:r>
        <w:fldChar w:fldCharType="end"/>
      </w:r>
      <w:r>
        <w:fldChar w:fldCharType="begin"/>
      </w:r>
      <w:r>
        <w:instrText xml:space="preserve"> HYPERLINK "https://popular.info/p/facebook-says-trump-can-lie-in-his?token=eyJ1c2VyX2lkIjo0MjE3MTAxLCJwb3N0X2lkIjoxMzY1NzIsIl8iOiJwNlFJcSIsImlhdCI6MTU3MDEwOTM1MSwiZXhwIjoxNTcwMTEyOTUxLCJpc3MiOiJwdWItMTY2NCIsInN1YiI6InBvc3QtcmVhY3Rpb24ifQ.o4Y0vWFOA0nJ_8p--G8H5ra6zx51aGnFDA4_7mXAp60" </w:instrText>
      </w:r>
      <w:r>
        <w:fldChar w:fldCharType="separate"/>
      </w:r>
      <w:r w:rsidRPr="001C1B82">
        <w:rPr>
          <w:rFonts w:eastAsia="Arial" w:cs="Arial"/>
          <w:szCs w:val="16"/>
        </w:rPr>
        <w:t xml:space="preserve"> </w:t>
      </w:r>
      <w:r>
        <w:fldChar w:fldCharType="end"/>
      </w:r>
      <w:r>
        <w:fldChar w:fldCharType="begin"/>
      </w:r>
      <w:r>
        <w:instrText xml:space="preserve"> HYPERLINK "https://popular.info/p/facebook-says-trump-can-lie-in-his?token=eyJ1c2VyX2lkIjo0MjE3MTAxLCJwb3N0X2lkIjoxMzY1NzIsIl8iOiJwNlFJcSIsImlhdCI6MTU3MDEwOTM1MSwiZXhwIjoxNTcwMTEyOTUxLCJpc3MiOiJwdWItMTY2NCIsInN1YiI6InBvc3QtcmVhY3Rpb24ifQ.o4Y0vWFOA0nJ_8p--G8H5ra6zx51aGnFDA4_7mXAp60" </w:instrText>
      </w:r>
      <w:r>
        <w:fldChar w:fldCharType="separate"/>
      </w:r>
      <w:r w:rsidRPr="001C1B82">
        <w:rPr>
          <w:rFonts w:eastAsia="Arial" w:cs="Arial"/>
          <w:color w:val="1155CC"/>
          <w:szCs w:val="16"/>
        </w:rPr>
        <w:t xml:space="preserve"> </w:t>
      </w:r>
      <w:r>
        <w:fldChar w:fldCharType="end"/>
      </w:r>
    </w:p>
  </w:footnote>
  <w:footnote w:id="326">
    <w:p w:rsidR="00673732" w:rsidRPr="001C1B82">
      <w:pPr>
        <w:pStyle w:val="footnotedescription"/>
        <w:spacing w:line="283" w:lineRule="auto"/>
        <w:ind w:left="15" w:right="2386"/>
        <w:rPr>
          <w:szCs w:val="16"/>
        </w:rPr>
      </w:pPr>
      <w:r w:rsidRPr="001C1B82">
        <w:rPr>
          <w:rStyle w:val="footnotemark"/>
          <w:szCs w:val="16"/>
        </w:rPr>
        <w:footnoteRef/>
      </w:r>
      <w:r>
        <w:fldChar w:fldCharType="begin"/>
      </w:r>
      <w:r>
        <w:instrText xml:space="preserve"> HYPERLINK "https://m.facebook.com/pg/DonaldTrump/posts/?ref=page_internal&amp;mt_nav=0" </w:instrText>
      </w:r>
      <w:r>
        <w:fldChar w:fldCharType="separate"/>
      </w:r>
      <w:r w:rsidRPr="001C1B82">
        <w:rPr>
          <w:rFonts w:eastAsia="Arial" w:cs="Arial"/>
          <w:color w:val="1155CC"/>
          <w:szCs w:val="16"/>
          <w:u w:val="single" w:color="1155CC"/>
        </w:rPr>
        <w:t xml:space="preserve"> https://m.facebook.com/pg/DonaldTrump/posts/?ref=page_internal&amp;mt_nav=</w:t>
      </w:r>
      <w:r>
        <w:fldChar w:fldCharType="end"/>
      </w:r>
      <w:r>
        <w:fldChar w:fldCharType="begin"/>
      </w:r>
      <w:r>
        <w:instrText xml:space="preserve"> HYPERLINK "https://m.facebook.com/pg/DonaldTrump/posts/?ref=page_internal&amp;mt_nav=0" </w:instrText>
      </w:r>
      <w:r>
        <w:fldChar w:fldCharType="separate"/>
      </w:r>
      <w:r w:rsidRPr="001C1B82">
        <w:rPr>
          <w:rFonts w:eastAsia="Arial" w:cs="Arial"/>
          <w:color w:val="1155CC"/>
          <w:szCs w:val="16"/>
          <w:u w:val="single" w:color="1155CC"/>
        </w:rPr>
        <w:t>0</w:t>
      </w:r>
      <w:r>
        <w:fldChar w:fldCharType="end"/>
      </w:r>
      <w:r>
        <w:fldChar w:fldCharType="begin"/>
      </w:r>
      <w:r>
        <w:instrText xml:space="preserve"> HYPERLINK "https://m.facebook.com/pg/DonaldTrump/posts/?ref=page_internal&amp;mt_nav=0" </w:instrText>
      </w:r>
      <w:r>
        <w:fldChar w:fldCharType="separate"/>
      </w:r>
      <w:r w:rsidRPr="001C1B82">
        <w:rPr>
          <w:rFonts w:eastAsia="Arial" w:cs="Arial"/>
          <w:szCs w:val="16"/>
        </w:rPr>
        <w:t xml:space="preserve"> </w:t>
      </w:r>
      <w:r>
        <w:fldChar w:fldCharType="end"/>
      </w:r>
      <w:r>
        <w:fldChar w:fldCharType="begin"/>
      </w:r>
      <w:r>
        <w:instrText xml:space="preserve"> HYPERLINK "https://m.facebook.com/pg/DonaldTrump/posts/?ref=page_internal&amp;mt_nav=0" </w:instrText>
      </w:r>
      <w:r>
        <w:fldChar w:fldCharType="separate"/>
      </w:r>
      <w:r w:rsidRPr="001C1B82">
        <w:rPr>
          <w:rFonts w:eastAsia="Arial" w:cs="Arial"/>
          <w:color w:val="1155CC"/>
          <w:szCs w:val="16"/>
        </w:rPr>
        <w:t xml:space="preserve"> </w:t>
      </w:r>
      <w:r>
        <w:fldChar w:fldCharType="end"/>
      </w:r>
      <w:r w:rsidRPr="001C1B82">
        <w:rPr>
          <w:rFonts w:eastAsia="Arial" w:cs="Arial"/>
          <w:szCs w:val="16"/>
          <w:u w:val="single" w:color="1155CC"/>
          <w:vertAlign w:val="superscript"/>
        </w:rPr>
        <w:t>15</w:t>
      </w:r>
      <w:r w:rsidRPr="001C1B82">
        <w:rPr>
          <w:rFonts w:eastAsia="Arial" w:cs="Arial"/>
          <w:szCs w:val="16"/>
        </w:rPr>
        <w:t xml:space="preserve"> Facebook’s hands-off approach to political speech gets impeachment test </w:t>
      </w:r>
      <w:r>
        <w:fldChar w:fldCharType="begin"/>
      </w:r>
      <w:r>
        <w:instrText xml:space="preserve"> HYPERLINK "https://www.nytimes.com/2019/10/08/technology/facebook-trump-biden-ad.html" </w:instrText>
      </w:r>
      <w:r>
        <w:fldChar w:fldCharType="separate"/>
      </w:r>
      <w:r w:rsidRPr="001C1B82">
        <w:rPr>
          <w:rFonts w:eastAsia="Arial" w:cs="Arial"/>
          <w:color w:val="1155CC"/>
          <w:szCs w:val="16"/>
          <w:u w:val="single" w:color="1155CC"/>
        </w:rPr>
        <w:t>https://www.nytimes.com/2019/10/08/technology/facebook-trump-biden-ad.html</w:t>
      </w:r>
      <w:r>
        <w:fldChar w:fldCharType="end"/>
      </w:r>
      <w:r>
        <w:fldChar w:fldCharType="begin"/>
      </w:r>
      <w:r>
        <w:instrText xml:space="preserve"> HYPERLINK "https://www.nytimes.com/2019/10/08/technology/facebook-trump-biden-ad.html" </w:instrText>
      </w:r>
      <w:r>
        <w:fldChar w:fldCharType="separate"/>
      </w:r>
      <w:r w:rsidRPr="001C1B82">
        <w:rPr>
          <w:rFonts w:eastAsia="Arial" w:cs="Arial"/>
          <w:szCs w:val="16"/>
        </w:rPr>
        <w:t xml:space="preserve"> </w:t>
      </w:r>
      <w:r>
        <w:fldChar w:fldCharType="end"/>
      </w:r>
      <w:r w:rsidRPr="001C1B82">
        <w:rPr>
          <w:rFonts w:eastAsia="Arial" w:cs="Arial"/>
          <w:color w:val="1155CC"/>
          <w:szCs w:val="16"/>
        </w:rPr>
        <w:t xml:space="preserve"> </w:t>
      </w:r>
    </w:p>
  </w:footnote>
  <w:footnote w:id="327">
    <w:p w:rsidR="00673732" w:rsidRPr="001C1B82">
      <w:pPr>
        <w:pStyle w:val="footnotedescription"/>
        <w:spacing w:line="312" w:lineRule="auto"/>
        <w:ind w:left="15"/>
        <w:rPr>
          <w:szCs w:val="16"/>
        </w:rPr>
      </w:pPr>
      <w:r w:rsidRPr="001C1B82">
        <w:rPr>
          <w:rStyle w:val="footnotemark"/>
          <w:szCs w:val="16"/>
        </w:rPr>
        <w:footnoteRef/>
      </w:r>
      <w:r w:rsidRPr="001C1B82">
        <w:rPr>
          <w:rFonts w:eastAsia="Arial" w:cs="Arial"/>
          <w:szCs w:val="16"/>
        </w:rPr>
        <w:t xml:space="preserve"> Facebook denies Biden campaign request to remove false Ukraine ad by Trump campaign </w:t>
      </w:r>
      <w:r>
        <w:fldChar w:fldCharType="begin"/>
      </w:r>
      <w:r>
        <w:instrText xml:space="preserve"> HYPERLINK "https://edition.cnn.com/2019/10/08/politics/facebook-biden-ad-request-trump-ukraine/index.html" </w:instrText>
      </w:r>
      <w:r>
        <w:fldChar w:fldCharType="separate"/>
      </w:r>
      <w:r w:rsidRPr="001C1B82">
        <w:rPr>
          <w:rFonts w:eastAsia="Arial" w:cs="Arial"/>
          <w:color w:val="1155CC"/>
          <w:szCs w:val="16"/>
          <w:u w:val="single" w:color="1155CC"/>
        </w:rPr>
        <w:t>https://edition.cnn.com/2019/10/08/politics/facebook-biden-ad-request-trump-ukraine/index.html</w:t>
      </w:r>
      <w:r>
        <w:fldChar w:fldCharType="end"/>
      </w:r>
      <w:r>
        <w:fldChar w:fldCharType="begin"/>
      </w:r>
      <w:r>
        <w:instrText xml:space="preserve"> HYPERLINK "https://edition.cnn.com/2019/10/08/politics/facebook-biden-ad-request-trump-ukraine/index.html" </w:instrText>
      </w:r>
      <w:r>
        <w:fldChar w:fldCharType="separate"/>
      </w:r>
      <w:r w:rsidRPr="001C1B82">
        <w:rPr>
          <w:rFonts w:eastAsia="Arial" w:cs="Arial"/>
          <w:szCs w:val="16"/>
        </w:rPr>
        <w:t xml:space="preserve"> </w:t>
      </w:r>
      <w:r>
        <w:fldChar w:fldCharType="end"/>
      </w:r>
      <w:r w:rsidRPr="001C1B82">
        <w:rPr>
          <w:rFonts w:eastAsia="Arial" w:cs="Arial"/>
          <w:szCs w:val="16"/>
        </w:rPr>
        <w:t xml:space="preserve"> </w:t>
      </w:r>
      <w:r w:rsidRPr="001C1B82">
        <w:rPr>
          <w:rFonts w:eastAsia="Arial" w:cs="Arial"/>
          <w:color w:val="1155CC"/>
          <w:szCs w:val="16"/>
        </w:rPr>
        <w:t xml:space="preserve"> </w:t>
      </w:r>
    </w:p>
  </w:footnote>
  <w:footnote w:id="328">
    <w:p w:rsidR="00673732" w:rsidRPr="001C1B82">
      <w:pPr>
        <w:pStyle w:val="footnotedescription"/>
        <w:spacing w:line="274" w:lineRule="auto"/>
        <w:ind w:left="25" w:right="323" w:hanging="10"/>
        <w:jc w:val="both"/>
        <w:rPr>
          <w:szCs w:val="16"/>
        </w:rPr>
      </w:pPr>
      <w:r w:rsidRPr="001C1B82">
        <w:rPr>
          <w:rStyle w:val="footnotemark"/>
          <w:szCs w:val="16"/>
        </w:rPr>
        <w:footnoteRef/>
      </w:r>
      <w:r w:rsidRPr="001C1B82">
        <w:rPr>
          <w:rFonts w:eastAsia="Arial" w:cs="Arial"/>
          <w:szCs w:val="16"/>
        </w:rPr>
        <w:t xml:space="preserve"> https://avaazimages.avaaz.org/Avaaz_SpanishWhatsApp_FINAL.pdf  21 Original quote refers to 32 lakh which is 3.2 million </w:t>
      </w:r>
    </w:p>
  </w:footnote>
  <w:footnote w:id="329">
    <w:p w:rsidR="00673732" w:rsidRPr="001C1B82">
      <w:pPr>
        <w:pStyle w:val="footnotedescription"/>
        <w:spacing w:line="258" w:lineRule="auto"/>
        <w:ind w:left="25" w:hanging="10"/>
        <w:rPr>
          <w:szCs w:val="16"/>
        </w:rPr>
      </w:pPr>
      <w:r w:rsidRPr="001C1B82">
        <w:rPr>
          <w:rStyle w:val="footnotemark"/>
          <w:szCs w:val="16"/>
        </w:rPr>
        <w:footnoteRef/>
      </w:r>
      <w:r w:rsidRPr="001C1B82">
        <w:rPr>
          <w:rFonts w:eastAsia="Arial" w:cs="Arial"/>
          <w:szCs w:val="16"/>
        </w:rPr>
        <w:t xml:space="preserve"> Manufacturing Islamophobia on WhatsApp in India -</w:t>
      </w:r>
      <w:r>
        <w:fldChar w:fldCharType="begin"/>
      </w:r>
      <w:r>
        <w:instrText xml:space="preserve"> HYPERLINK "https://thewire.in/politics/amit-shah-bjp-fake-social-media-messages" </w:instrText>
      </w:r>
      <w:r>
        <w:fldChar w:fldCharType="separate"/>
      </w:r>
      <w:r w:rsidRPr="001C1B82">
        <w:rPr>
          <w:rFonts w:eastAsia="Arial" w:cs="Arial"/>
          <w:color w:val="0563C1"/>
          <w:szCs w:val="16"/>
          <w:u w:val="single" w:color="0563C1"/>
        </w:rPr>
        <w:t>https://thewire.in/politics/amit-shah-bjp-fake</w:t>
      </w:r>
      <w:r>
        <w:fldChar w:fldCharType="end"/>
      </w:r>
      <w:r>
        <w:fldChar w:fldCharType="begin"/>
      </w:r>
      <w:r>
        <w:instrText xml:space="preserve"> HYPERLINK "https://thewire.in/politics/amit-shah-bjp-fake-social-media-messages" </w:instrText>
      </w:r>
      <w:r>
        <w:fldChar w:fldCharType="separate"/>
      </w:r>
      <w:r w:rsidRPr="001C1B82">
        <w:rPr>
          <w:rFonts w:eastAsia="Arial" w:cs="Arial"/>
          <w:color w:val="0563C1"/>
          <w:szCs w:val="16"/>
          <w:u w:val="single" w:color="0563C1"/>
        </w:rPr>
        <w:t>social-media-messag</w:t>
      </w:r>
      <w:r>
        <w:fldChar w:fldCharType="end"/>
      </w:r>
      <w:r>
        <w:fldChar w:fldCharType="begin"/>
      </w:r>
      <w:r>
        <w:instrText xml:space="preserve"> HYPERLINK "https://thewire.in/politics/amit-shah-bjp-fake-social-media-messages" </w:instrText>
      </w:r>
      <w:r>
        <w:fldChar w:fldCharType="separate"/>
      </w:r>
      <w:r w:rsidRPr="001C1B82">
        <w:rPr>
          <w:rFonts w:eastAsia="Arial" w:cs="Arial"/>
          <w:color w:val="0563C1"/>
          <w:szCs w:val="16"/>
          <w:u w:val="single" w:color="0563C1"/>
        </w:rPr>
        <w:t>e</w:t>
      </w:r>
      <w:r>
        <w:fldChar w:fldCharType="end"/>
      </w:r>
      <w:r>
        <w:fldChar w:fldCharType="begin"/>
      </w:r>
      <w:r>
        <w:instrText xml:space="preserve"> HYPERLINK "https://thewire.in/politics/amit-shah-bjp-fake-social-media-messages" </w:instrText>
      </w:r>
      <w:r>
        <w:fldChar w:fldCharType="separate"/>
      </w:r>
      <w:r w:rsidRPr="001C1B82">
        <w:rPr>
          <w:rFonts w:eastAsia="Arial" w:cs="Arial"/>
          <w:color w:val="0563C1"/>
          <w:szCs w:val="16"/>
          <w:u w:val="single" w:color="0563C1"/>
        </w:rPr>
        <w:t>s</w:t>
      </w:r>
      <w:r>
        <w:fldChar w:fldCharType="end"/>
      </w:r>
      <w:r>
        <w:fldChar w:fldCharType="begin"/>
      </w:r>
      <w:r>
        <w:instrText xml:space="preserve"> HYPERLINK "https://thewire.in/politics/amit-shah-bjp-fake-social-media-messages" </w:instrText>
      </w:r>
      <w:r>
        <w:fldChar w:fldCharType="separate"/>
      </w:r>
      <w:r w:rsidRPr="001C1B82">
        <w:rPr>
          <w:rFonts w:eastAsia="Arial" w:cs="Arial"/>
          <w:color w:val="0563C1"/>
          <w:szCs w:val="16"/>
        </w:rPr>
        <w:t xml:space="preserve"> </w:t>
      </w:r>
      <w:r>
        <w:fldChar w:fldCharType="end"/>
      </w:r>
      <w:r>
        <w:fldChar w:fldCharType="begin"/>
      </w:r>
      <w:r>
        <w:instrText xml:space="preserve"> HYPERLINK "https://thewire.in/politics/amit-shah-bjp-fake-social-media-messages" </w:instrText>
      </w:r>
      <w:r>
        <w:fldChar w:fldCharType="separate"/>
      </w:r>
      <w:r w:rsidRPr="001C1B82">
        <w:rPr>
          <w:rFonts w:eastAsia="Arial" w:cs="Arial"/>
          <w:szCs w:val="16"/>
        </w:rPr>
        <w:t xml:space="preserve"> </w:t>
      </w:r>
      <w:r>
        <w:fldChar w:fldCharType="end"/>
      </w:r>
    </w:p>
  </w:footnote>
  <w:footnote w:id="330">
    <w:p w:rsidR="00673732" w:rsidRPr="001C1B82">
      <w:pPr>
        <w:pStyle w:val="footnotedescription"/>
        <w:ind w:left="15"/>
        <w:rPr>
          <w:szCs w:val="16"/>
        </w:rPr>
      </w:pPr>
      <w:r w:rsidRPr="001C1B82">
        <w:rPr>
          <w:rStyle w:val="footnotemark"/>
          <w:szCs w:val="16"/>
        </w:rPr>
        <w:footnoteRef/>
      </w:r>
      <w:r w:rsidRPr="001C1B82">
        <w:rPr>
          <w:szCs w:val="16"/>
        </w:rPr>
        <w:t xml:space="preserve"> </w:t>
      </w:r>
      <w:r>
        <w:fldChar w:fldCharType="begin"/>
      </w:r>
      <w:r>
        <w:instrText xml:space="preserve"> HYPERLINK "https://thediplomat.com/2019/05/manufacturing-islamophobia-on-whatsapp-in-india/" </w:instrText>
      </w:r>
      <w:r>
        <w:fldChar w:fldCharType="separate"/>
      </w:r>
      <w:r w:rsidRPr="001C1B82">
        <w:rPr>
          <w:rFonts w:eastAsia="Arial" w:cs="Arial"/>
          <w:color w:val="0563C1"/>
          <w:szCs w:val="16"/>
          <w:u w:val="single" w:color="0563C1"/>
        </w:rPr>
        <w:t>https://thediplomat.com/2019/05/manufacturing-islamophobia-on-whatsapp-in-india/</w:t>
      </w:r>
      <w:r>
        <w:fldChar w:fldCharType="end"/>
      </w:r>
      <w:r>
        <w:fldChar w:fldCharType="begin"/>
      </w:r>
      <w:r>
        <w:instrText xml:space="preserve"> HYPERLINK "https://thediplomat.com/2019/05/manufacturing-islamophobia-on-whatsapp-in-india/" </w:instrText>
      </w:r>
      <w:r>
        <w:fldChar w:fldCharType="separate"/>
      </w:r>
      <w:r w:rsidRPr="001C1B82">
        <w:rPr>
          <w:rFonts w:eastAsia="Arial" w:cs="Arial"/>
          <w:color w:val="0563C1"/>
          <w:szCs w:val="16"/>
        </w:rPr>
        <w:t xml:space="preserve"> </w:t>
      </w:r>
      <w:r>
        <w:fldChar w:fldCharType="end"/>
      </w:r>
      <w:r>
        <w:fldChar w:fldCharType="begin"/>
      </w:r>
      <w:r>
        <w:instrText xml:space="preserve"> HYPERLINK "https://thediplomat.com/2019/05/manufacturing-islamophobia-on-whatsapp-in-india/" </w:instrText>
      </w:r>
      <w:r>
        <w:fldChar w:fldCharType="separate"/>
      </w:r>
      <w:r w:rsidRPr="001C1B82">
        <w:rPr>
          <w:rFonts w:eastAsia="Arial" w:cs="Arial"/>
          <w:szCs w:val="16"/>
        </w:rPr>
        <w:t xml:space="preserve"> </w:t>
      </w:r>
      <w:r>
        <w:fldChar w:fldCharType="end"/>
      </w:r>
    </w:p>
  </w:footnote>
  <w:footnote w:id="331">
    <w:p w:rsidR="00673732" w:rsidRPr="001C1B82">
      <w:pPr>
        <w:pStyle w:val="footnotedescription"/>
        <w:spacing w:after="11"/>
        <w:ind w:left="15"/>
        <w:rPr>
          <w:szCs w:val="16"/>
        </w:rPr>
      </w:pPr>
      <w:r w:rsidRPr="001C1B82">
        <w:rPr>
          <w:rStyle w:val="footnotemark"/>
          <w:szCs w:val="16"/>
        </w:rPr>
        <w:footnoteRef/>
      </w:r>
      <w:r w:rsidRPr="001C1B82">
        <w:rPr>
          <w:rFonts w:eastAsia="Arial" w:cs="Arial"/>
          <w:szCs w:val="16"/>
        </w:rPr>
        <w:t xml:space="preserve"> ibid </w:t>
      </w:r>
    </w:p>
  </w:footnote>
  <w:footnote w:id="332">
    <w:p w:rsidR="00673732" w:rsidRPr="001C1B82">
      <w:pPr>
        <w:pStyle w:val="footnotedescription"/>
        <w:spacing w:after="14"/>
        <w:ind w:left="15"/>
        <w:rPr>
          <w:szCs w:val="16"/>
        </w:rPr>
      </w:pPr>
      <w:r w:rsidRPr="001C1B82">
        <w:rPr>
          <w:rStyle w:val="footnotemark"/>
          <w:szCs w:val="16"/>
        </w:rPr>
        <w:footnoteRef/>
      </w:r>
      <w:r w:rsidRPr="001C1B82">
        <w:rPr>
          <w:rFonts w:eastAsia="Arial" w:cs="Arial"/>
          <w:szCs w:val="16"/>
        </w:rPr>
        <w:t xml:space="preserve"> Online interviews were conducted in India between 16 - 21 July 2019. Interviews were done with </w:t>
      </w:r>
    </w:p>
    <w:p w:rsidR="00673732" w:rsidRPr="001C1B82">
      <w:pPr>
        <w:pStyle w:val="footnotedescription"/>
        <w:spacing w:after="1" w:line="240" w:lineRule="auto"/>
        <w:ind w:left="15" w:right="809" w:firstLine="10"/>
        <w:rPr>
          <w:szCs w:val="16"/>
        </w:rPr>
      </w:pPr>
      <w:r w:rsidRPr="001C1B82">
        <w:rPr>
          <w:rFonts w:eastAsia="Arial" w:cs="Arial"/>
          <w:szCs w:val="16"/>
        </w:rPr>
        <w:t>2003</w:t>
      </w:r>
      <w:r>
        <w:fldChar w:fldCharType="begin"/>
      </w:r>
      <w:r>
        <w:instrText xml:space="preserve"> HYPERLINK "https://www.census2011.co.in/religion.php" </w:instrText>
      </w:r>
      <w:r>
        <w:fldChar w:fldCharType="separate"/>
      </w:r>
      <w:r w:rsidRPr="001C1B82">
        <w:rPr>
          <w:rFonts w:eastAsia="Arial" w:cs="Arial"/>
          <w:color w:val="0563C1"/>
          <w:szCs w:val="16"/>
          <w:u w:val="single" w:color="0563C1"/>
        </w:rPr>
        <w:t>https://www.census2011.co.in/religion.php</w:t>
      </w:r>
      <w:r>
        <w:fldChar w:fldCharType="end"/>
      </w:r>
      <w:r>
        <w:fldChar w:fldCharType="begin"/>
      </w:r>
      <w:r>
        <w:instrText xml:space="preserve"> HYPERLINK "https://www.census2011.co.in/religion.php" </w:instrText>
      </w:r>
      <w:r>
        <w:fldChar w:fldCharType="separate"/>
      </w:r>
      <w:r w:rsidRPr="001C1B82">
        <w:rPr>
          <w:rFonts w:eastAsia="Arial" w:cs="Arial"/>
          <w:color w:val="0563C1"/>
          <w:szCs w:val="16"/>
          <w:u w:val="single" w:color="0563C1"/>
        </w:rPr>
        <w:t xml:space="preserve"> </w:t>
      </w:r>
      <w:r>
        <w:fldChar w:fldCharType="end"/>
      </w:r>
      <w:r>
        <w:fldChar w:fldCharType="begin"/>
      </w:r>
      <w:r>
        <w:instrText xml:space="preserve"> HYPERLINK "https://www.census2011.co.in/religion.php" </w:instrText>
      </w:r>
      <w:r>
        <w:fldChar w:fldCharType="separate"/>
      </w:r>
      <w:r w:rsidRPr="001C1B82">
        <w:rPr>
          <w:rFonts w:eastAsia="Arial" w:cs="Arial"/>
          <w:szCs w:val="16"/>
        </w:rPr>
        <w:t xml:space="preserve"> </w:t>
      </w:r>
      <w:r>
        <w:fldChar w:fldCharType="end"/>
      </w:r>
      <w:r w:rsidRPr="001C1B82">
        <w:rPr>
          <w:rFonts w:eastAsia="Arial" w:cs="Arial"/>
          <w:szCs w:val="16"/>
        </w:rPr>
        <w:t xml:space="preserve">   people aged 18 and above. The regional split was North India – 34% , West India – 26%, South India – 23%, East / North East India -  17% The gender split was Male 56% / Female 44%.   </w:t>
      </w:r>
    </w:p>
    <w:p w:rsidR="00673732" w:rsidRPr="001C1B82">
      <w:pPr>
        <w:pStyle w:val="footnotedescription"/>
        <w:ind w:left="15"/>
        <w:rPr>
          <w:szCs w:val="16"/>
        </w:rPr>
      </w:pPr>
      <w:r w:rsidRPr="001C1B82">
        <w:rPr>
          <w:rFonts w:eastAsia="Arial" w:cs="Arial"/>
          <w:szCs w:val="16"/>
        </w:rPr>
        <w:t xml:space="preserve"> </w:t>
      </w:r>
    </w:p>
  </w:footnote>
  <w:footnote w:id="333">
    <w:p w:rsidR="00673732" w:rsidRPr="001C1B82">
      <w:pPr>
        <w:pStyle w:val="footnotedescription"/>
        <w:ind w:left="15"/>
        <w:rPr>
          <w:szCs w:val="16"/>
        </w:rPr>
      </w:pPr>
      <w:r w:rsidRPr="001C1B82">
        <w:rPr>
          <w:rStyle w:val="footnotemark"/>
          <w:szCs w:val="16"/>
        </w:rPr>
        <w:footnoteRef/>
      </w:r>
      <w:r w:rsidRPr="001C1B82">
        <w:rPr>
          <w:rFonts w:eastAsia="Arial" w:cs="Arial"/>
          <w:szCs w:val="16"/>
        </w:rPr>
        <w:t xml:space="preserve"> ibid </w:t>
      </w:r>
    </w:p>
  </w:footnote>
  <w:footnote w:id="334">
    <w:p w:rsidR="00673732" w:rsidRPr="001C1B82">
      <w:pPr>
        <w:pStyle w:val="footnotedescription"/>
        <w:spacing w:after="14"/>
        <w:ind w:left="15"/>
        <w:rPr>
          <w:szCs w:val="16"/>
        </w:rPr>
      </w:pPr>
      <w:r w:rsidRPr="001C1B82">
        <w:rPr>
          <w:rStyle w:val="footnotemark"/>
          <w:szCs w:val="16"/>
        </w:rPr>
        <w:footnoteRef/>
      </w:r>
      <w:r w:rsidRPr="001C1B82">
        <w:rPr>
          <w:rFonts w:eastAsia="Arial" w:cs="Arial"/>
          <w:szCs w:val="16"/>
        </w:rPr>
        <w:t xml:space="preserve"> https://www.facebook.com/communitystandards/dangerous_individuals_organizations </w:t>
      </w:r>
    </w:p>
  </w:footnote>
  <w:footnote w:id="335">
    <w:p w:rsidR="00673732" w:rsidRPr="001C1B82">
      <w:pPr>
        <w:pStyle w:val="footnotedescription"/>
        <w:ind w:left="15"/>
        <w:rPr>
          <w:szCs w:val="16"/>
        </w:rPr>
      </w:pPr>
      <w:r w:rsidRPr="001C1B82">
        <w:rPr>
          <w:rStyle w:val="footnotemark"/>
          <w:szCs w:val="16"/>
        </w:rPr>
        <w:footnoteRef/>
      </w:r>
      <w:r w:rsidRPr="001C1B82">
        <w:rPr>
          <w:szCs w:val="16"/>
        </w:rPr>
        <w:t xml:space="preserve"> </w:t>
      </w:r>
      <w:r>
        <w:fldChar w:fldCharType="begin"/>
      </w:r>
      <w:r>
        <w:instrText xml:space="preserve"> HYPERLINK "https://newsroom.fb.com/news/2019/09/elections-and-political-speech/" </w:instrText>
      </w:r>
      <w:r>
        <w:fldChar w:fldCharType="separate"/>
      </w:r>
      <w:r w:rsidRPr="001C1B82">
        <w:rPr>
          <w:rFonts w:eastAsia="Arial" w:cs="Arial"/>
          <w:color w:val="0563C1"/>
          <w:szCs w:val="16"/>
          <w:u w:val="single" w:color="0563C1"/>
        </w:rPr>
        <w:t>https://newsroom.fb.com/news/2019/09/elections-and-political-speech/</w:t>
      </w:r>
      <w:r>
        <w:fldChar w:fldCharType="end"/>
      </w:r>
      <w:r>
        <w:fldChar w:fldCharType="begin"/>
      </w:r>
      <w:r>
        <w:instrText xml:space="preserve"> HYPERLINK "https://newsroom.fb.com/news/2019/09/elections-and-political-speech/" </w:instrText>
      </w:r>
      <w:r>
        <w:fldChar w:fldCharType="separate"/>
      </w:r>
      <w:r w:rsidRPr="001C1B82">
        <w:rPr>
          <w:rFonts w:eastAsia="Arial" w:cs="Arial"/>
          <w:szCs w:val="16"/>
        </w:rPr>
        <w:t xml:space="preserve"> </w:t>
      </w:r>
      <w:r>
        <w:fldChar w:fldCharType="end"/>
      </w:r>
      <w:r w:rsidRPr="001C1B82">
        <w:rPr>
          <w:rFonts w:eastAsia="Arial" w:cs="Arial"/>
          <w:szCs w:val="16"/>
        </w:rPr>
        <w:t xml:space="preserve"> </w:t>
      </w:r>
    </w:p>
  </w:footnote>
  <w:footnote w:id="336">
    <w:p w:rsidR="00673732" w:rsidRPr="001C1B82">
      <w:pPr>
        <w:pStyle w:val="footnotedescription"/>
        <w:ind w:left="15"/>
        <w:rPr>
          <w:szCs w:val="16"/>
        </w:rPr>
      </w:pPr>
      <w:r w:rsidRPr="001C1B82">
        <w:rPr>
          <w:rStyle w:val="footnotemark"/>
          <w:szCs w:val="16"/>
        </w:rPr>
        <w:footnoteRef/>
      </w:r>
      <w:r w:rsidRPr="001C1B82">
        <w:rPr>
          <w:rFonts w:eastAsia="Arial" w:cs="Arial"/>
          <w:szCs w:val="16"/>
        </w:rPr>
        <w:t xml:space="preserve"> https://newsroom.fb.com/news/2019/02/removing-tommy-robinson/ </w:t>
      </w:r>
    </w:p>
  </w:footnote>
  <w:footnote w:id="337">
    <w:p w:rsidR="00673732" w:rsidRPr="001C1B82">
      <w:pPr>
        <w:pStyle w:val="footnotedescription"/>
        <w:tabs>
          <w:tab w:val="center" w:pos="2895"/>
        </w:tabs>
        <w:rPr>
          <w:szCs w:val="16"/>
        </w:rPr>
      </w:pPr>
      <w:r w:rsidRPr="001C1B82">
        <w:rPr>
          <w:rStyle w:val="footnotemark"/>
          <w:szCs w:val="16"/>
        </w:rPr>
        <w:footnoteRef/>
      </w:r>
      <w:r w:rsidRPr="001C1B82">
        <w:rPr>
          <w:szCs w:val="16"/>
        </w:rPr>
        <w:t xml:space="preserve"> </w:t>
      </w:r>
      <w:r w:rsidRPr="001C1B82">
        <w:rPr>
          <w:rFonts w:eastAsia="Arial" w:cs="Arial"/>
          <w:szCs w:val="16"/>
        </w:rPr>
        <w:t>http://archive.fo/B1sLT</w:t>
      </w:r>
      <w:r w:rsidRPr="001C1B82">
        <w:rPr>
          <w:rFonts w:eastAsia="Calibri" w:cs="Calibri"/>
          <w:szCs w:val="16"/>
        </w:rPr>
        <w:t xml:space="preserve"> </w:t>
      </w:r>
      <w:r w:rsidRPr="001C1B82">
        <w:rPr>
          <w:rFonts w:eastAsia="Calibri" w:cs="Calibri"/>
          <w:szCs w:val="16"/>
        </w:rPr>
        <w:tab/>
      </w:r>
      <w:r w:rsidRPr="001C1B82">
        <w:rPr>
          <w:rFonts w:eastAsia="Arial" w:cs="Arial"/>
          <w:szCs w:val="16"/>
        </w:rPr>
        <w:t xml:space="preserve"> </w:t>
      </w:r>
      <w:r w:rsidRPr="001C1B82">
        <w:rPr>
          <w:rFonts w:eastAsia="Arial" w:cs="Arial"/>
          <w:color w:val="1155CC"/>
          <w:szCs w:val="16"/>
        </w:rPr>
        <w:t xml:space="preserve"> </w:t>
      </w:r>
    </w:p>
  </w:footnote>
  <w:footnote w:id="338">
    <w:p w:rsidR="00673732" w:rsidRPr="001C1B82">
      <w:pPr>
        <w:pStyle w:val="footnotedescription"/>
        <w:ind w:left="15"/>
        <w:rPr>
          <w:szCs w:val="16"/>
        </w:rPr>
      </w:pPr>
      <w:r w:rsidRPr="001C1B82">
        <w:rPr>
          <w:rStyle w:val="footnotemark"/>
          <w:szCs w:val="16"/>
        </w:rPr>
        <w:footnoteRef/>
      </w:r>
      <w:r>
        <w:fldChar w:fldCharType="begin"/>
      </w:r>
      <w:r>
        <w:instrText xml:space="preserve"> HYPERLINK "https://www.bbc.co.uk/news/blogs-trending-45449938" </w:instrText>
      </w:r>
      <w:r>
        <w:fldChar w:fldCharType="separate"/>
      </w:r>
      <w:r w:rsidRPr="001C1B82">
        <w:rPr>
          <w:rFonts w:eastAsia="Arial" w:cs="Arial"/>
          <w:color w:val="1155CC"/>
          <w:szCs w:val="16"/>
          <w:u w:val="single" w:color="1155CC"/>
        </w:rPr>
        <w:t xml:space="preserve"> https://www.bbc.co.uk/news/blogs-trending-4544993</w:t>
      </w:r>
      <w:r>
        <w:fldChar w:fldCharType="end"/>
      </w:r>
      <w:r>
        <w:fldChar w:fldCharType="begin"/>
      </w:r>
      <w:r>
        <w:instrText xml:space="preserve"> HYPERLINK "https://www.bbc.co.uk/news/blogs-trending-45449938" </w:instrText>
      </w:r>
      <w:r>
        <w:fldChar w:fldCharType="separate"/>
      </w:r>
      <w:r w:rsidRPr="001C1B82">
        <w:rPr>
          <w:rFonts w:eastAsia="Arial" w:cs="Arial"/>
          <w:color w:val="1155CC"/>
          <w:szCs w:val="16"/>
          <w:u w:val="single" w:color="1155CC"/>
        </w:rPr>
        <w:t>8</w:t>
      </w:r>
      <w:r>
        <w:fldChar w:fldCharType="end"/>
      </w:r>
      <w:r>
        <w:fldChar w:fldCharType="begin"/>
      </w:r>
      <w:r>
        <w:instrText xml:space="preserve"> HYPERLINK "https://www.bbc.co.uk/news/blogs-trending-45449938" </w:instrText>
      </w:r>
      <w:r>
        <w:fldChar w:fldCharType="separate"/>
      </w:r>
      <w:r w:rsidRPr="001C1B82">
        <w:rPr>
          <w:rFonts w:eastAsia="Arial" w:cs="Arial"/>
          <w:szCs w:val="16"/>
        </w:rPr>
        <w:t xml:space="preserve">  </w:t>
      </w:r>
      <w:r>
        <w:fldChar w:fldCharType="end"/>
      </w:r>
      <w:r w:rsidRPr="001C1B82">
        <w:rPr>
          <w:rFonts w:eastAsia="Arial" w:cs="Arial"/>
          <w:color w:val="1155CC"/>
          <w:szCs w:val="16"/>
        </w:rPr>
        <w:t xml:space="preserve"> </w:t>
      </w:r>
    </w:p>
  </w:footnote>
  <w:footnote w:id="339">
    <w:p w:rsidR="00673732" w:rsidRPr="001C1B82">
      <w:pPr>
        <w:pStyle w:val="footnotedescription"/>
        <w:ind w:left="15"/>
        <w:rPr>
          <w:szCs w:val="16"/>
        </w:rPr>
      </w:pPr>
      <w:r w:rsidRPr="001C1B82">
        <w:rPr>
          <w:rStyle w:val="footnotemark"/>
          <w:szCs w:val="16"/>
        </w:rPr>
        <w:footnoteRef/>
      </w:r>
      <w:r>
        <w:fldChar w:fldCharType="begin"/>
      </w:r>
      <w:r>
        <w:instrText xml:space="preserve"> HYPERLINK "https://www.nytimes.com/2018/10/15/technology/myanmar-facebook-genocide.html" </w:instrText>
      </w:r>
      <w:r>
        <w:fldChar w:fldCharType="separate"/>
      </w:r>
      <w:r w:rsidRPr="001C1B82">
        <w:rPr>
          <w:rFonts w:eastAsia="Arial" w:cs="Arial"/>
          <w:color w:val="1155CC"/>
          <w:szCs w:val="16"/>
          <w:u w:val="single" w:color="1155CC"/>
        </w:rPr>
        <w:t xml:space="preserve"> https://www.nytimes.com/2018/10/15/technology/myanmar-facebook-genocide.htm</w:t>
      </w:r>
      <w:r>
        <w:fldChar w:fldCharType="end"/>
      </w:r>
      <w:r>
        <w:fldChar w:fldCharType="begin"/>
      </w:r>
      <w:r>
        <w:instrText xml:space="preserve"> HYPERLINK "https://www.nytimes.com/2018/10/15/technology/myanmar-facebook-genocide.html" </w:instrText>
      </w:r>
      <w:r>
        <w:fldChar w:fldCharType="separate"/>
      </w:r>
      <w:r w:rsidRPr="001C1B82">
        <w:rPr>
          <w:rFonts w:eastAsia="Arial" w:cs="Arial"/>
          <w:color w:val="1155CC"/>
          <w:szCs w:val="16"/>
          <w:u w:val="single" w:color="1155CC"/>
        </w:rPr>
        <w:t>l</w:t>
      </w:r>
      <w:r>
        <w:fldChar w:fldCharType="end"/>
      </w:r>
      <w:r>
        <w:fldChar w:fldCharType="begin"/>
      </w:r>
      <w:r>
        <w:instrText xml:space="preserve"> HYPERLINK "https://www.nytimes.com/2018/10/15/technology/myanmar-facebook-genocide.html" </w:instrText>
      </w:r>
      <w:r>
        <w:fldChar w:fldCharType="separate"/>
      </w:r>
      <w:r w:rsidRPr="001C1B82">
        <w:rPr>
          <w:rFonts w:eastAsia="Arial" w:cs="Arial"/>
          <w:szCs w:val="16"/>
        </w:rPr>
        <w:t xml:space="preserve">  </w:t>
      </w:r>
      <w:r>
        <w:fldChar w:fldCharType="end"/>
      </w:r>
      <w:r w:rsidRPr="001C1B82">
        <w:rPr>
          <w:rFonts w:eastAsia="Arial" w:cs="Arial"/>
          <w:color w:val="1155CC"/>
          <w:szCs w:val="16"/>
        </w:rPr>
        <w:t xml:space="preserve"> </w:t>
      </w:r>
    </w:p>
  </w:footnote>
  <w:footnote w:id="340">
    <w:p w:rsidR="00673732" w:rsidRPr="001C1B82">
      <w:pPr>
        <w:pStyle w:val="footnotedescription"/>
        <w:spacing w:line="276" w:lineRule="auto"/>
        <w:rPr>
          <w:szCs w:val="16"/>
        </w:rPr>
      </w:pPr>
      <w:r w:rsidRPr="001C1B82">
        <w:rPr>
          <w:rStyle w:val="footnotemark"/>
          <w:szCs w:val="16"/>
        </w:rPr>
        <w:footnoteRef/>
      </w:r>
      <w:r w:rsidRPr="001C1B82">
        <w:rPr>
          <w:szCs w:val="16"/>
        </w:rPr>
        <w:t xml:space="preserve"> Jennifer Cobbe and Jatinder Singh, ‘Regulating Recommending: Motivations, Considerations, and Principles’ </w:t>
      </w:r>
      <w:r>
        <w:fldChar w:fldCharType="begin"/>
      </w:r>
      <w:r>
        <w:instrText xml:space="preserve"> HYPERLINK "https://ssrn.com/abstract=3371830" </w:instrText>
      </w:r>
      <w:r>
        <w:fldChar w:fldCharType="separate"/>
      </w:r>
      <w:r w:rsidRPr="001C1B82">
        <w:rPr>
          <w:szCs w:val="16"/>
        </w:rPr>
        <w:t>[</w:t>
      </w:r>
      <w:r>
        <w:fldChar w:fldCharType="end"/>
      </w:r>
      <w:r>
        <w:fldChar w:fldCharType="begin"/>
      </w:r>
      <w:r>
        <w:instrText xml:space="preserve"> HYPERLINK "https://ssrn.com/abstract=3371830" </w:instrText>
      </w:r>
      <w:r>
        <w:fldChar w:fldCharType="separate"/>
      </w:r>
      <w:r w:rsidRPr="001C1B82">
        <w:rPr>
          <w:color w:val="0563C1"/>
          <w:szCs w:val="16"/>
          <w:u w:val="single" w:color="0563C1"/>
        </w:rPr>
        <w:t>https://ssrn.com/abstract=3371830</w:t>
      </w:r>
      <w:r>
        <w:fldChar w:fldCharType="end"/>
      </w:r>
      <w:r>
        <w:fldChar w:fldCharType="begin"/>
      </w:r>
      <w:r>
        <w:instrText xml:space="preserve"> HYPERLINK "https://ssrn.com/abstract=3371830" </w:instrText>
      </w:r>
      <w:r>
        <w:fldChar w:fldCharType="separate"/>
      </w:r>
      <w:r w:rsidRPr="001C1B82">
        <w:rPr>
          <w:szCs w:val="16"/>
        </w:rPr>
        <w:t>]</w:t>
      </w:r>
      <w:r>
        <w:fldChar w:fldCharType="end"/>
      </w:r>
      <w:r w:rsidRPr="001C1B82">
        <w:rPr>
          <w:szCs w:val="16"/>
        </w:rPr>
        <w:t xml:space="preserve">. </w:t>
      </w:r>
    </w:p>
  </w:footnote>
  <w:footnote w:id="341">
    <w:p w:rsidR="00673732" w:rsidRPr="001C1B82">
      <w:pPr>
        <w:pStyle w:val="footnotedescription"/>
        <w:rPr>
          <w:szCs w:val="16"/>
        </w:rPr>
      </w:pPr>
      <w:r w:rsidRPr="001C1B82">
        <w:rPr>
          <w:rStyle w:val="footnotemark"/>
          <w:szCs w:val="16"/>
        </w:rPr>
        <w:footnoteRef/>
      </w:r>
      <w:r w:rsidRPr="001C1B82">
        <w:rPr>
          <w:szCs w:val="16"/>
        </w:rPr>
        <w:t xml:space="preserve"> Nick Srnicek (2016) </w:t>
      </w:r>
      <w:r w:rsidRPr="001C1B82">
        <w:rPr>
          <w:i/>
          <w:szCs w:val="16"/>
        </w:rPr>
        <w:t>Platform Capitalism</w:t>
      </w:r>
      <w:r w:rsidRPr="001C1B82">
        <w:rPr>
          <w:szCs w:val="16"/>
        </w:rPr>
        <w:t xml:space="preserve">, Polity Press. </w:t>
      </w:r>
    </w:p>
  </w:footnote>
  <w:footnote w:id="342">
    <w:p w:rsidR="00673732" w:rsidRPr="001C1B82">
      <w:pPr>
        <w:pStyle w:val="footnotedescription"/>
        <w:rPr>
          <w:szCs w:val="16"/>
        </w:rPr>
      </w:pPr>
      <w:r w:rsidRPr="001C1B82">
        <w:rPr>
          <w:rStyle w:val="footnotemark"/>
          <w:szCs w:val="16"/>
        </w:rPr>
        <w:footnoteRef/>
      </w:r>
      <w:r w:rsidRPr="001C1B82">
        <w:rPr>
          <w:szCs w:val="16"/>
        </w:rPr>
        <w:t xml:space="preserve"> Patrick Barwise and Leo Watkins (2018) ‘The evolution of digital dominance: how and why we got to GAFA’, In Martin Moore and Damian Tambini (eds.) </w:t>
      </w:r>
      <w:r w:rsidRPr="001C1B82">
        <w:rPr>
          <w:i/>
          <w:szCs w:val="16"/>
        </w:rPr>
        <w:t>Digital Dominance: The Power of Google, Amazon, Facebook, and Apple</w:t>
      </w:r>
      <w:r w:rsidRPr="001C1B82">
        <w:rPr>
          <w:szCs w:val="16"/>
        </w:rPr>
        <w:t>, Oxford University Press [</w:t>
      </w:r>
      <w:r>
        <w:fldChar w:fldCharType="begin"/>
      </w:r>
      <w:r>
        <w:instrText xml:space="preserve"> HYPERLINK "http://lbsresearch.london.edu/914/" </w:instrText>
      </w:r>
      <w:r>
        <w:fldChar w:fldCharType="separate"/>
      </w:r>
      <w:r w:rsidRPr="001C1B82">
        <w:rPr>
          <w:color w:val="0563C1"/>
          <w:szCs w:val="16"/>
          <w:u w:val="single" w:color="0563C1"/>
        </w:rPr>
        <w:t>http://lbsresearch.london.edu/914/</w:t>
      </w:r>
      <w:r>
        <w:fldChar w:fldCharType="end"/>
      </w:r>
      <w:r>
        <w:fldChar w:fldCharType="begin"/>
      </w:r>
      <w:r>
        <w:instrText xml:space="preserve"> HYPERLINK "http://lbsresearch.london.edu/914/" </w:instrText>
      </w:r>
      <w:r>
        <w:fldChar w:fldCharType="separate"/>
      </w:r>
      <w:r w:rsidRPr="001C1B82">
        <w:rPr>
          <w:szCs w:val="16"/>
        </w:rPr>
        <w:t>]</w:t>
      </w:r>
      <w:r>
        <w:fldChar w:fldCharType="end"/>
      </w:r>
      <w:r w:rsidRPr="001C1B82">
        <w:rPr>
          <w:szCs w:val="16"/>
        </w:rPr>
        <w:t xml:space="preserve">.. </w:t>
      </w:r>
    </w:p>
  </w:footnote>
  <w:footnote w:id="343">
    <w:p w:rsidR="00673732" w:rsidRPr="001C1B82">
      <w:pPr>
        <w:pStyle w:val="footnotedescription"/>
        <w:spacing w:line="248" w:lineRule="auto"/>
        <w:rPr>
          <w:szCs w:val="16"/>
        </w:rPr>
      </w:pPr>
      <w:r w:rsidRPr="001C1B82">
        <w:rPr>
          <w:rStyle w:val="footnotemark"/>
          <w:szCs w:val="16"/>
        </w:rPr>
        <w:footnoteRef/>
      </w:r>
      <w:r w:rsidRPr="001C1B82">
        <w:rPr>
          <w:szCs w:val="16"/>
        </w:rPr>
        <w:t xml:space="preserve"> Directive 98/34/EC of the European Parliament and of the Council of 22 June 1998 laying down a procedure for the provision of information in the field of technical standards and regulations (Official Journal L 204 , 21/07/1998 P. 0037 – 0048) (‘Technical Standards and Regulations Directive’), art.1 (as amended by Directive 98/48/EC of the European Parliament and of the Council of 20 July 1998 amending Directive 98/34/EC laying down a procedure for the provision of information in the field of technical standards and regulations (Official </w:t>
      </w:r>
    </w:p>
    <w:p w:rsidR="00673732" w:rsidRPr="001C1B82">
      <w:pPr>
        <w:pStyle w:val="footnotedescription"/>
        <w:spacing w:line="238" w:lineRule="auto"/>
        <w:rPr>
          <w:szCs w:val="16"/>
        </w:rPr>
      </w:pPr>
      <w:r w:rsidRPr="001C1B82">
        <w:rPr>
          <w:szCs w:val="16"/>
        </w:rPr>
        <w:t xml:space="preserve">Journal L 217 , 05/08/1998 P. 0018 – 0026)); Directive 2000/31/EC of the European Parliament and of the Council of 8 June 2000 on certain legal aspects of information society services, in particular electronic commerce, in the Internal Market (Official Journal L 178 , 17/07/2000 P. 0001 – 0016) (‘E-Commerce Directive’), recital 18. </w:t>
      </w:r>
    </w:p>
  </w:footnote>
  <w:footnote w:id="344">
    <w:p w:rsidR="00673732" w:rsidRPr="001C1B82">
      <w:pPr>
        <w:pStyle w:val="footnotedescription"/>
        <w:spacing w:after="9"/>
        <w:rPr>
          <w:szCs w:val="16"/>
        </w:rPr>
      </w:pPr>
      <w:r w:rsidRPr="001C1B82">
        <w:rPr>
          <w:rStyle w:val="footnotemark"/>
          <w:szCs w:val="16"/>
        </w:rPr>
        <w:footnoteRef/>
      </w:r>
      <w:r w:rsidRPr="001C1B82">
        <w:rPr>
          <w:szCs w:val="16"/>
        </w:rPr>
        <w:t xml:space="preserve"> E-Commerce Directive, article 2(b). </w:t>
      </w:r>
    </w:p>
  </w:footnote>
  <w:footnote w:id="345">
    <w:p w:rsidR="00673732" w:rsidRPr="001C1B82">
      <w:pPr>
        <w:pStyle w:val="footnotedescription"/>
        <w:spacing w:line="264" w:lineRule="auto"/>
        <w:rPr>
          <w:szCs w:val="16"/>
        </w:rPr>
      </w:pPr>
      <w:r w:rsidRPr="001C1B82">
        <w:rPr>
          <w:rStyle w:val="footnotemark"/>
          <w:szCs w:val="16"/>
        </w:rPr>
        <w:footnoteRef/>
      </w:r>
      <w:r w:rsidRPr="001C1B82">
        <w:rPr>
          <w:szCs w:val="16"/>
        </w:rPr>
        <w:t xml:space="preserve"> Shoshana Zuboff (2019) </w:t>
      </w:r>
      <w:r w:rsidRPr="001C1B82">
        <w:rPr>
          <w:i/>
          <w:szCs w:val="16"/>
        </w:rPr>
        <w:t>The Age of Surveillance Capitalism: The Fight for a Human Future at the New Frontier of Power</w:t>
      </w:r>
      <w:r w:rsidRPr="001C1B82">
        <w:rPr>
          <w:szCs w:val="16"/>
        </w:rPr>
        <w:t xml:space="preserve">, Profile Books. </w:t>
      </w:r>
    </w:p>
  </w:footnote>
  <w:footnote w:id="346">
    <w:p w:rsidR="00673732" w:rsidRPr="001C1B82">
      <w:pPr>
        <w:pStyle w:val="footnotedescription"/>
        <w:spacing w:line="276" w:lineRule="auto"/>
        <w:rPr>
          <w:szCs w:val="16"/>
        </w:rPr>
      </w:pPr>
      <w:r w:rsidRPr="001C1B82">
        <w:rPr>
          <w:rStyle w:val="footnotemark"/>
          <w:szCs w:val="16"/>
        </w:rPr>
        <w:footnoteRef/>
      </w:r>
      <w:r w:rsidRPr="001C1B82">
        <w:rPr>
          <w:szCs w:val="16"/>
        </w:rPr>
        <w:t xml:space="preserve"> Tim Wu (2016) The Attention Merchants: The Epic Scramble to Get Inside Our Heads, Penguin Random House. </w:t>
      </w:r>
    </w:p>
  </w:footnote>
  <w:footnote w:id="347">
    <w:p w:rsidR="00673732" w:rsidRPr="001C1B82">
      <w:pPr>
        <w:pStyle w:val="footnotedescription"/>
        <w:spacing w:line="276" w:lineRule="auto"/>
        <w:rPr>
          <w:szCs w:val="16"/>
        </w:rPr>
      </w:pPr>
      <w:r w:rsidRPr="001C1B82">
        <w:rPr>
          <w:rStyle w:val="footnotemark"/>
          <w:szCs w:val="16"/>
        </w:rPr>
        <w:footnoteRef/>
      </w:r>
      <w:r w:rsidRPr="001C1B82">
        <w:rPr>
          <w:szCs w:val="16"/>
        </w:rPr>
        <w:t xml:space="preserve"> Jesus Bobadilla, Fernando Ortega, Antonio Hernando, and Abraham Gutiérrez (2013) 'Recommender systems survey', </w:t>
      </w:r>
      <w:r w:rsidRPr="001C1B82">
        <w:rPr>
          <w:i/>
          <w:szCs w:val="16"/>
        </w:rPr>
        <w:t>Knowledge-Based Systems</w:t>
      </w:r>
      <w:r w:rsidRPr="001C1B82">
        <w:rPr>
          <w:szCs w:val="16"/>
        </w:rPr>
        <w:t xml:space="preserve">, 46, pp.109-132 </w:t>
      </w:r>
    </w:p>
    <w:p w:rsidR="00673732" w:rsidRPr="001C1B82">
      <w:pPr>
        <w:pStyle w:val="footnotedescription"/>
        <w:rPr>
          <w:szCs w:val="16"/>
        </w:rPr>
      </w:pPr>
      <w:r>
        <w:fldChar w:fldCharType="begin"/>
      </w:r>
      <w:r>
        <w:instrText xml:space="preserve"> HYPERLINK "https://www.sciencedirect.com/science/article/abs/pii/S0950705113001044" </w:instrText>
      </w:r>
      <w:r>
        <w:fldChar w:fldCharType="separate"/>
      </w:r>
      <w:r w:rsidRPr="001C1B82">
        <w:rPr>
          <w:szCs w:val="16"/>
        </w:rPr>
        <w:t>[</w:t>
      </w:r>
      <w:r>
        <w:fldChar w:fldCharType="end"/>
      </w:r>
      <w:r>
        <w:fldChar w:fldCharType="begin"/>
      </w:r>
      <w:r>
        <w:instrText xml:space="preserve"> HYPERLINK "https://www.sciencedirect.com/science/article/abs/pii/S0950705113001044" </w:instrText>
      </w:r>
      <w:r>
        <w:fldChar w:fldCharType="separate"/>
      </w:r>
      <w:r w:rsidRPr="001C1B82">
        <w:rPr>
          <w:color w:val="0563C1"/>
          <w:szCs w:val="16"/>
          <w:u w:val="single" w:color="0563C1"/>
        </w:rPr>
        <w:t>https://www.sciencedirect.com/science/article/abs/pii/S0950705113001044</w:t>
      </w:r>
      <w:r>
        <w:fldChar w:fldCharType="end"/>
      </w:r>
      <w:r>
        <w:fldChar w:fldCharType="begin"/>
      </w:r>
      <w:r>
        <w:instrText xml:space="preserve"> HYPERLINK "https://www.sciencedirect.com/science/article/abs/pii/S0950705113001044" </w:instrText>
      </w:r>
      <w:r>
        <w:fldChar w:fldCharType="separate"/>
      </w:r>
      <w:r w:rsidRPr="001C1B82">
        <w:rPr>
          <w:szCs w:val="16"/>
        </w:rPr>
        <w:t>]</w:t>
      </w:r>
      <w:r>
        <w:fldChar w:fldCharType="end"/>
      </w:r>
      <w:r w:rsidRPr="001C1B82">
        <w:rPr>
          <w:szCs w:val="16"/>
        </w:rPr>
        <w:t xml:space="preserve">. </w:t>
      </w:r>
    </w:p>
  </w:footnote>
  <w:footnote w:id="348">
    <w:p w:rsidR="00673732" w:rsidRPr="001C1B82">
      <w:pPr>
        <w:pStyle w:val="footnotedescription"/>
        <w:spacing w:after="14"/>
        <w:jc w:val="both"/>
        <w:rPr>
          <w:szCs w:val="16"/>
        </w:rPr>
      </w:pPr>
      <w:r w:rsidRPr="001C1B82">
        <w:rPr>
          <w:rStyle w:val="footnotemark"/>
          <w:szCs w:val="16"/>
        </w:rPr>
        <w:footnoteRef/>
      </w:r>
      <w:r w:rsidRPr="001C1B82">
        <w:rPr>
          <w:szCs w:val="16"/>
        </w:rPr>
        <w:t xml:space="preserve"> For a legally-accessible discussion of machine learning, see David Lehr and Paul Ohm (2017) ‘Playing with the </w:t>
      </w:r>
    </w:p>
    <w:p w:rsidR="00673732" w:rsidRPr="001C1B82">
      <w:pPr>
        <w:pStyle w:val="footnotedescription"/>
        <w:rPr>
          <w:szCs w:val="16"/>
        </w:rPr>
      </w:pPr>
      <w:r w:rsidRPr="001C1B82">
        <w:rPr>
          <w:szCs w:val="16"/>
        </w:rPr>
        <w:t xml:space="preserve">Data: What Legal Scholars Should Learn About Machine Learning’ 51 </w:t>
      </w:r>
      <w:r w:rsidRPr="001C1B82">
        <w:rPr>
          <w:i/>
          <w:szCs w:val="16"/>
        </w:rPr>
        <w:t>U.C. Davis Law Review</w:t>
      </w:r>
      <w:r w:rsidRPr="001C1B82">
        <w:rPr>
          <w:szCs w:val="16"/>
        </w:rPr>
        <w:t xml:space="preserve"> </w:t>
      </w:r>
    </w:p>
  </w:footnote>
  <w:footnote w:id="349">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For example, Netflix (Carlos A Gomez-Uribe and Neil Hunt (2015) ‘The Netflix Recommender System: Algorithms, Business Value, and Innovation’, </w:t>
      </w:r>
      <w:r w:rsidRPr="001C1B82">
        <w:rPr>
          <w:i/>
          <w:szCs w:val="16"/>
        </w:rPr>
        <w:t>ACM Transactions on Management Information Systems</w:t>
      </w:r>
      <w:r w:rsidRPr="001C1B82">
        <w:rPr>
          <w:szCs w:val="16"/>
        </w:rPr>
        <w:t xml:space="preserve">, 6(4) </w:t>
      </w:r>
      <w:r>
        <w:fldChar w:fldCharType="begin"/>
      </w:r>
      <w:r>
        <w:instrText xml:space="preserve"> HYPERLINK "https://dl.acm.org/citation.cfm?id=2843948" </w:instrText>
      </w:r>
      <w:r>
        <w:fldChar w:fldCharType="separate"/>
      </w:r>
      <w:r w:rsidRPr="001C1B82">
        <w:rPr>
          <w:szCs w:val="16"/>
        </w:rPr>
        <w:t>[</w:t>
      </w:r>
      <w:r>
        <w:fldChar w:fldCharType="end"/>
      </w:r>
      <w:r>
        <w:fldChar w:fldCharType="begin"/>
      </w:r>
      <w:r>
        <w:instrText xml:space="preserve"> HYPERLINK "https://dl.acm.org/citation.cfm?id=2843948" </w:instrText>
      </w:r>
      <w:r>
        <w:fldChar w:fldCharType="separate"/>
      </w:r>
      <w:r w:rsidRPr="001C1B82">
        <w:rPr>
          <w:color w:val="0563C1"/>
          <w:szCs w:val="16"/>
          <w:u w:val="single" w:color="0563C1"/>
        </w:rPr>
        <w:t>https://dl.acm.org/citation.cfm?id=2843948</w:t>
      </w:r>
      <w:r>
        <w:fldChar w:fldCharType="end"/>
      </w:r>
      <w:r>
        <w:fldChar w:fldCharType="begin"/>
      </w:r>
      <w:r>
        <w:instrText xml:space="preserve"> HYPERLINK "https://dl.acm.org/citation.cfm?id=2843948" </w:instrText>
      </w:r>
      <w:r>
        <w:fldChar w:fldCharType="separate"/>
      </w:r>
      <w:r w:rsidRPr="001C1B82">
        <w:rPr>
          <w:szCs w:val="16"/>
        </w:rPr>
        <w:t>]</w:t>
      </w:r>
      <w:r>
        <w:fldChar w:fldCharType="end"/>
      </w:r>
      <w:r w:rsidRPr="001C1B82">
        <w:rPr>
          <w:szCs w:val="16"/>
        </w:rPr>
        <w:t xml:space="preserve">. </w:t>
      </w:r>
    </w:p>
  </w:footnote>
  <w:footnote w:id="350">
    <w:p w:rsidR="00673732" w:rsidRPr="001C1B82">
      <w:pPr>
        <w:pStyle w:val="footnotedescription"/>
        <w:spacing w:line="277" w:lineRule="auto"/>
        <w:rPr>
          <w:szCs w:val="16"/>
        </w:rPr>
      </w:pPr>
      <w:r w:rsidRPr="001C1B82">
        <w:rPr>
          <w:rStyle w:val="footnotemark"/>
          <w:szCs w:val="16"/>
        </w:rPr>
        <w:footnoteRef/>
      </w:r>
      <w:r w:rsidRPr="001C1B82">
        <w:rPr>
          <w:szCs w:val="16"/>
        </w:rPr>
        <w:t xml:space="preserve"> For an overview, see Jennifer Cobbe and Jatinder Singh, ‘Regulating Recommending: Motivations, Considerations, and Principles’ [</w:t>
      </w:r>
      <w:r>
        <w:fldChar w:fldCharType="begin"/>
      </w:r>
      <w:r>
        <w:instrText xml:space="preserve"> HYPERLINK "https://ssrn.com/abstract=3371830" </w:instrText>
      </w:r>
      <w:r>
        <w:fldChar w:fldCharType="separate"/>
      </w:r>
      <w:r w:rsidRPr="001C1B82">
        <w:rPr>
          <w:color w:val="0563C1"/>
          <w:szCs w:val="16"/>
          <w:u w:val="single" w:color="0563C1"/>
        </w:rPr>
        <w:t>https://ssrn.com/abstract=3371830</w:t>
      </w:r>
      <w:r>
        <w:fldChar w:fldCharType="end"/>
      </w:r>
      <w:r>
        <w:fldChar w:fldCharType="begin"/>
      </w:r>
      <w:r>
        <w:instrText xml:space="preserve"> HYPERLINK "https://ssrn.com/abstract=3371830" </w:instrText>
      </w:r>
      <w:r>
        <w:fldChar w:fldCharType="separate"/>
      </w:r>
      <w:r w:rsidRPr="001C1B82">
        <w:rPr>
          <w:szCs w:val="16"/>
        </w:rPr>
        <w:t>]</w:t>
      </w:r>
      <w:r>
        <w:fldChar w:fldCharType="end"/>
      </w:r>
      <w:r w:rsidRPr="001C1B82">
        <w:rPr>
          <w:szCs w:val="16"/>
        </w:rPr>
        <w:t xml:space="preserve">, pp.9-11. </w:t>
      </w:r>
    </w:p>
  </w:footnote>
  <w:footnote w:id="351">
    <w:p w:rsidR="00673732" w:rsidRPr="001C1B82">
      <w:pPr>
        <w:pStyle w:val="footnotedescription"/>
        <w:spacing w:after="3"/>
        <w:rPr>
          <w:szCs w:val="16"/>
        </w:rPr>
      </w:pPr>
      <w:r w:rsidRPr="001C1B82">
        <w:rPr>
          <w:rStyle w:val="footnotemark"/>
          <w:szCs w:val="16"/>
        </w:rPr>
        <w:footnoteRef/>
      </w:r>
      <w:r w:rsidRPr="001C1B82">
        <w:rPr>
          <w:szCs w:val="16"/>
        </w:rPr>
        <w:t xml:space="preserve"> Nick Seaver (2018) ‘Captivating algorithms: recommender systems as traps’, </w:t>
      </w:r>
      <w:r w:rsidRPr="001C1B82">
        <w:rPr>
          <w:i/>
          <w:szCs w:val="16"/>
        </w:rPr>
        <w:t>Journal of Material Culture</w:t>
      </w:r>
      <w:r w:rsidRPr="001C1B82">
        <w:rPr>
          <w:szCs w:val="16"/>
        </w:rPr>
        <w:t xml:space="preserve">. </w:t>
      </w:r>
    </w:p>
  </w:footnote>
  <w:footnote w:id="352">
    <w:p w:rsidR="00673732" w:rsidRPr="001C1B82">
      <w:pPr>
        <w:pStyle w:val="footnotedescription"/>
        <w:spacing w:line="252" w:lineRule="auto"/>
        <w:rPr>
          <w:szCs w:val="16"/>
        </w:rPr>
      </w:pPr>
      <w:r w:rsidRPr="001C1B82">
        <w:rPr>
          <w:rStyle w:val="footnotemark"/>
          <w:szCs w:val="16"/>
        </w:rPr>
        <w:footnoteRef/>
      </w:r>
      <w:r w:rsidRPr="001C1B82">
        <w:rPr>
          <w:szCs w:val="16"/>
        </w:rPr>
        <w:t xml:space="preserve"> YouTube Creator Blog (2012) </w:t>
      </w:r>
      <w:r w:rsidRPr="001C1B82">
        <w:rPr>
          <w:i/>
          <w:szCs w:val="16"/>
        </w:rPr>
        <w:t>YouTube Now: Why We Focus on Watch Time</w:t>
      </w:r>
      <w:r w:rsidRPr="001C1B82">
        <w:rPr>
          <w:szCs w:val="16"/>
        </w:rPr>
        <w:t xml:space="preserve"> [</w:t>
      </w:r>
      <w:r>
        <w:fldChar w:fldCharType="begin"/>
      </w:r>
      <w:r>
        <w:instrText xml:space="preserve"> HYPERLINK "https://youtube-creators.googleblog.com/2012/08/youtube-now-why-we-focus-on-watch-time.html" </w:instrText>
      </w:r>
      <w:r>
        <w:fldChar w:fldCharType="separate"/>
      </w:r>
      <w:r w:rsidRPr="001C1B82">
        <w:rPr>
          <w:color w:val="0563C1"/>
          <w:szCs w:val="16"/>
          <w:u w:val="single" w:color="0563C1"/>
        </w:rPr>
        <w:t>https://youtube</w:t>
      </w:r>
      <w:r>
        <w:fldChar w:fldCharType="end"/>
      </w:r>
      <w:r>
        <w:fldChar w:fldCharType="begin"/>
      </w:r>
      <w:r>
        <w:instrText xml:space="preserve"> HYPERLINK "https://youtube-creators.googleblog.com/2012/08/youtube-now-why-we-focus-on-watch-time.html" </w:instrText>
      </w:r>
      <w:r>
        <w:fldChar w:fldCharType="separate"/>
      </w:r>
      <w:r w:rsidRPr="001C1B82">
        <w:rPr>
          <w:color w:val="0563C1"/>
          <w:szCs w:val="16"/>
          <w:u w:val="single" w:color="0563C1"/>
        </w:rPr>
        <w:t>creators.googleblog.com/2012/08/youtube-now-why-we-focus-on-watch-time.html</w:t>
      </w:r>
      <w:r>
        <w:fldChar w:fldCharType="end"/>
      </w:r>
      <w:r>
        <w:fldChar w:fldCharType="begin"/>
      </w:r>
      <w:r>
        <w:instrText xml:space="preserve"> HYPERLINK "https://youtube-creators.googleblog.com/2012/08/youtube-now-why-we-focus-on-watch-time.html" </w:instrText>
      </w:r>
      <w:r>
        <w:fldChar w:fldCharType="separate"/>
      </w:r>
      <w:r w:rsidRPr="001C1B82">
        <w:rPr>
          <w:szCs w:val="16"/>
        </w:rPr>
        <w:t>]</w:t>
      </w:r>
      <w:r>
        <w:fldChar w:fldCharType="end"/>
      </w:r>
      <w:r w:rsidRPr="001C1B82">
        <w:rPr>
          <w:szCs w:val="16"/>
        </w:rPr>
        <w:t xml:space="preserve">. </w:t>
      </w:r>
    </w:p>
  </w:footnote>
  <w:footnote w:id="353">
    <w:p w:rsidR="00673732" w:rsidRPr="001C1B82">
      <w:pPr>
        <w:pStyle w:val="footnotedescription"/>
        <w:rPr>
          <w:szCs w:val="16"/>
        </w:rPr>
      </w:pPr>
      <w:r w:rsidRPr="001C1B82">
        <w:rPr>
          <w:rStyle w:val="footnotemark"/>
          <w:szCs w:val="16"/>
        </w:rPr>
        <w:footnoteRef/>
      </w:r>
      <w:r w:rsidRPr="001C1B82">
        <w:rPr>
          <w:szCs w:val="16"/>
        </w:rPr>
        <w:t xml:space="preserve"> Gomez-Uribe and Hunt (2015) p.7. </w:t>
      </w:r>
    </w:p>
  </w:footnote>
  <w:footnote w:id="354">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Qingyun Wu, Hongning Wang, Liangjie Hong, and Yue Shi (2017) ‘Returning is Believing: Optimizing Longterm User Engagement in Recommender Systems’, </w:t>
      </w:r>
      <w:r w:rsidRPr="001C1B82">
        <w:rPr>
          <w:i/>
          <w:szCs w:val="16"/>
        </w:rPr>
        <w:t>CIKM '17 Proceedings of the 2017 ACM on Conference on Information and Knowledge Management</w:t>
      </w:r>
      <w:r w:rsidRPr="001C1B82">
        <w:rPr>
          <w:szCs w:val="16"/>
        </w:rPr>
        <w:t xml:space="preserve"> [</w:t>
      </w:r>
      <w:r>
        <w:fldChar w:fldCharType="begin"/>
      </w:r>
      <w:r>
        <w:instrText xml:space="preserve"> HYPERLINK "https://dl.acm.org/citation.cfm?id=3133025" </w:instrText>
      </w:r>
      <w:r>
        <w:fldChar w:fldCharType="separate"/>
      </w:r>
      <w:r w:rsidRPr="001C1B82">
        <w:rPr>
          <w:color w:val="0563C1"/>
          <w:szCs w:val="16"/>
          <w:u w:val="single" w:color="0563C1"/>
        </w:rPr>
        <w:t>https://dl.acm.org/citation.cfm?id=3133025</w:t>
      </w:r>
      <w:r>
        <w:fldChar w:fldCharType="end"/>
      </w:r>
      <w:r>
        <w:fldChar w:fldCharType="begin"/>
      </w:r>
      <w:r>
        <w:instrText xml:space="preserve"> HYPERLINK "https://dl.acm.org/citation.cfm?id=3133025" </w:instrText>
      </w:r>
      <w:r>
        <w:fldChar w:fldCharType="separate"/>
      </w:r>
      <w:r w:rsidRPr="001C1B82">
        <w:rPr>
          <w:szCs w:val="16"/>
        </w:rPr>
        <w:t>]</w:t>
      </w:r>
      <w:r>
        <w:fldChar w:fldCharType="end"/>
      </w:r>
      <w:r w:rsidRPr="001C1B82">
        <w:rPr>
          <w:szCs w:val="16"/>
        </w:rPr>
        <w:t xml:space="preserve">. </w:t>
      </w:r>
    </w:p>
  </w:footnote>
  <w:footnote w:id="355">
    <w:p w:rsidR="00673732" w:rsidRPr="001C1B82">
      <w:pPr>
        <w:pStyle w:val="footnotedescription"/>
        <w:spacing w:line="257" w:lineRule="auto"/>
        <w:rPr>
          <w:szCs w:val="16"/>
        </w:rPr>
      </w:pPr>
      <w:r w:rsidRPr="001C1B82">
        <w:rPr>
          <w:rStyle w:val="footnotemark"/>
          <w:szCs w:val="16"/>
        </w:rPr>
        <w:footnoteRef/>
      </w:r>
      <w:r w:rsidRPr="001C1B82">
        <w:rPr>
          <w:szCs w:val="16"/>
        </w:rPr>
        <w:t xml:space="preserve"> Carlos A Gomez-Uribe and Neil Hunt (2015) ‘The Netflix Recommender System: Algorithms, Business Value, and Innovation’, </w:t>
      </w:r>
      <w:r w:rsidRPr="001C1B82">
        <w:rPr>
          <w:i/>
          <w:szCs w:val="16"/>
        </w:rPr>
        <w:t>ACM Transactions on Management Information Systems</w:t>
      </w:r>
      <w:r w:rsidRPr="001C1B82">
        <w:rPr>
          <w:szCs w:val="16"/>
        </w:rPr>
        <w:t xml:space="preserve">, 6(4) </w:t>
      </w:r>
      <w:r>
        <w:fldChar w:fldCharType="begin"/>
      </w:r>
      <w:r>
        <w:instrText xml:space="preserve"> HYPERLINK "https://dl.acm.org/citation.cfm?id=2843948" </w:instrText>
      </w:r>
      <w:r>
        <w:fldChar w:fldCharType="separate"/>
      </w:r>
      <w:r w:rsidRPr="001C1B82">
        <w:rPr>
          <w:szCs w:val="16"/>
        </w:rPr>
        <w:t>[</w:t>
      </w:r>
      <w:r>
        <w:fldChar w:fldCharType="end"/>
      </w:r>
      <w:r>
        <w:fldChar w:fldCharType="begin"/>
      </w:r>
      <w:r>
        <w:instrText xml:space="preserve"> HYPERLINK "https://dl.acm.org/citation.cfm?id=2843948" </w:instrText>
      </w:r>
      <w:r>
        <w:fldChar w:fldCharType="separate"/>
      </w:r>
      <w:r w:rsidRPr="001C1B82">
        <w:rPr>
          <w:color w:val="0563C1"/>
          <w:szCs w:val="16"/>
          <w:u w:val="single" w:color="0563C1"/>
        </w:rPr>
        <w:t>https://dl.acm.org/citation.cfm?id=2843948</w:t>
      </w:r>
      <w:r>
        <w:fldChar w:fldCharType="end"/>
      </w:r>
      <w:r>
        <w:fldChar w:fldCharType="begin"/>
      </w:r>
      <w:r>
        <w:instrText xml:space="preserve"> HYPERLINK "https://dl.acm.org/citation.cfm?id=2843948" </w:instrText>
      </w:r>
      <w:r>
        <w:fldChar w:fldCharType="separate"/>
      </w:r>
      <w:r w:rsidRPr="001C1B82">
        <w:rPr>
          <w:szCs w:val="16"/>
        </w:rPr>
        <w:t>]</w:t>
      </w:r>
      <w:r>
        <w:fldChar w:fldCharType="end"/>
      </w:r>
      <w:r w:rsidRPr="001C1B82">
        <w:rPr>
          <w:szCs w:val="16"/>
        </w:rPr>
        <w:t xml:space="preserve">, p.5. </w:t>
      </w:r>
    </w:p>
  </w:footnote>
  <w:footnote w:id="356">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Ashley Rodriguez (2018) ‘YouTube's recommendations drive 70% of what we watch’, </w:t>
      </w:r>
      <w:r w:rsidRPr="001C1B82">
        <w:rPr>
          <w:i/>
          <w:szCs w:val="16"/>
        </w:rPr>
        <w:t>Quartz</w:t>
      </w:r>
      <w:r w:rsidRPr="001C1B82">
        <w:rPr>
          <w:szCs w:val="16"/>
        </w:rPr>
        <w:t xml:space="preserve"> </w:t>
      </w:r>
      <w:r>
        <w:fldChar w:fldCharType="begin"/>
      </w:r>
      <w:r>
        <w:instrText xml:space="preserve"> HYPERLINK "https://qz.com/1178125/youtubes-recommendations-drive-70-of-what-we-watch" </w:instrText>
      </w:r>
      <w:r>
        <w:fldChar w:fldCharType="separate"/>
      </w:r>
      <w:r w:rsidRPr="001C1B82">
        <w:rPr>
          <w:szCs w:val="16"/>
        </w:rPr>
        <w:t>[</w:t>
      </w:r>
      <w:r>
        <w:fldChar w:fldCharType="end"/>
      </w:r>
      <w:r>
        <w:fldChar w:fldCharType="begin"/>
      </w:r>
      <w:r>
        <w:instrText xml:space="preserve"> HYPERLINK "https://qz.com/1178125/youtubes-recommendations-drive-70-of-what-we-watch" </w:instrText>
      </w:r>
      <w:r>
        <w:fldChar w:fldCharType="separate"/>
      </w:r>
      <w:r w:rsidRPr="001C1B82">
        <w:rPr>
          <w:color w:val="0563C1"/>
          <w:szCs w:val="16"/>
          <w:u w:val="single" w:color="0563C1"/>
        </w:rPr>
        <w:t>https://qz.com/1178125/youtubes-recommendations-drive-70-of-what-we-watch</w:t>
      </w:r>
      <w:r>
        <w:fldChar w:fldCharType="end"/>
      </w:r>
      <w:r>
        <w:fldChar w:fldCharType="begin"/>
      </w:r>
      <w:r>
        <w:instrText xml:space="preserve"> HYPERLINK "https://qz.com/1178125/youtubes-recommendations-drive-70-of-what-we-watch" </w:instrText>
      </w:r>
      <w:r>
        <w:fldChar w:fldCharType="separate"/>
      </w:r>
      <w:r w:rsidRPr="001C1B82">
        <w:rPr>
          <w:szCs w:val="16"/>
        </w:rPr>
        <w:t>]</w:t>
      </w:r>
      <w:r>
        <w:fldChar w:fldCharType="end"/>
      </w:r>
      <w:r w:rsidRPr="001C1B82">
        <w:rPr>
          <w:szCs w:val="16"/>
        </w:rPr>
        <w:t xml:space="preserve">. </w:t>
      </w:r>
    </w:p>
  </w:footnote>
  <w:footnote w:id="357">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Ulrich Dolata (2017) ‘Apple, Amazon, Google, Facebook, Microsoft: Market concentration - competition - innovation strategies’, </w:t>
      </w:r>
      <w:r w:rsidRPr="001C1B82">
        <w:rPr>
          <w:i/>
          <w:szCs w:val="16"/>
        </w:rPr>
        <w:t>Stuttgarter Beiträge zur Organisations- und Innovationsforschung, SOI Discussion Paper, No. 2017-01</w:t>
      </w:r>
      <w:r w:rsidRPr="001C1B82">
        <w:rPr>
          <w:szCs w:val="16"/>
        </w:rPr>
        <w:t xml:space="preserve"> [</w:t>
      </w:r>
      <w:r>
        <w:fldChar w:fldCharType="begin"/>
      </w:r>
      <w:r>
        <w:instrText xml:space="preserve"> HYPERLINK "https://ideas.repec.org/p/zbw/stusoi/201701.html" </w:instrText>
      </w:r>
      <w:r>
        <w:fldChar w:fldCharType="separate"/>
      </w:r>
      <w:r w:rsidRPr="001C1B82">
        <w:rPr>
          <w:color w:val="0563C1"/>
          <w:szCs w:val="16"/>
          <w:u w:val="single" w:color="0563C1"/>
        </w:rPr>
        <w:t>https://ideas.repec.org/p/zbw/stusoi/201701.html</w:t>
      </w:r>
      <w:r>
        <w:fldChar w:fldCharType="end"/>
      </w:r>
      <w:r>
        <w:fldChar w:fldCharType="begin"/>
      </w:r>
      <w:r>
        <w:instrText xml:space="preserve"> HYPERLINK "https://ideas.repec.org/p/zbw/stusoi/201701.html" </w:instrText>
      </w:r>
      <w:r>
        <w:fldChar w:fldCharType="separate"/>
      </w:r>
      <w:r w:rsidRPr="001C1B82">
        <w:rPr>
          <w:szCs w:val="16"/>
        </w:rPr>
        <w:t>]</w:t>
      </w:r>
      <w:r>
        <w:fldChar w:fldCharType="end"/>
      </w:r>
      <w:r w:rsidRPr="001C1B82">
        <w:rPr>
          <w:szCs w:val="16"/>
        </w:rPr>
        <w:t xml:space="preserve">. </w:t>
      </w:r>
    </w:p>
  </w:footnote>
  <w:footnote w:id="358">
    <w:p w:rsidR="00673732" w:rsidRPr="001C1B82">
      <w:pPr>
        <w:pStyle w:val="footnotedescription"/>
        <w:spacing w:line="257" w:lineRule="auto"/>
        <w:rPr>
          <w:szCs w:val="16"/>
        </w:rPr>
      </w:pPr>
      <w:r w:rsidRPr="001C1B82">
        <w:rPr>
          <w:rStyle w:val="footnotemark"/>
          <w:szCs w:val="16"/>
        </w:rPr>
        <w:footnoteRef/>
      </w:r>
      <w:r w:rsidRPr="001C1B82">
        <w:rPr>
          <w:szCs w:val="16"/>
        </w:rPr>
        <w:t xml:space="preserve"> Directive 2000/31/EC of the European Parliament and of the Council of 8 June 2000 on certain legal aspects of information society services, in particular electronic commerce, in the Internal Market (Official Journal L 178, 17/07/2000 P. 0001 – 0016) (‘E-Commerce Directive’). </w:t>
      </w:r>
    </w:p>
  </w:footnote>
  <w:footnote w:id="359">
    <w:p w:rsidR="00673732" w:rsidRPr="001C1B82">
      <w:pPr>
        <w:pStyle w:val="footnotedescription"/>
        <w:spacing w:line="277" w:lineRule="auto"/>
        <w:rPr>
          <w:szCs w:val="16"/>
        </w:rPr>
      </w:pPr>
      <w:r w:rsidRPr="001C1B82">
        <w:rPr>
          <w:rStyle w:val="footnotemark"/>
          <w:szCs w:val="16"/>
        </w:rPr>
        <w:footnoteRef/>
      </w:r>
      <w:r w:rsidRPr="001C1B82">
        <w:rPr>
          <w:szCs w:val="16"/>
        </w:rPr>
        <w:t xml:space="preserve"> See, e.g., Jennifer Cobbe and Jatinder Singh, ‘Regulating Recommending: Motivations, Considerations, and Principles’ [</w:t>
      </w:r>
      <w:r>
        <w:fldChar w:fldCharType="begin"/>
      </w:r>
      <w:r>
        <w:instrText xml:space="preserve"> HYPERLINK "https://ssrn.com/abstract=3371830" </w:instrText>
      </w:r>
      <w:r>
        <w:fldChar w:fldCharType="separate"/>
      </w:r>
      <w:r w:rsidRPr="001C1B82">
        <w:rPr>
          <w:color w:val="0563C1"/>
          <w:szCs w:val="16"/>
          <w:u w:val="single" w:color="0563C1"/>
        </w:rPr>
        <w:t>https://ssrn.com/abstract=3371830</w:t>
      </w:r>
      <w:r>
        <w:fldChar w:fldCharType="end"/>
      </w:r>
      <w:r>
        <w:fldChar w:fldCharType="begin"/>
      </w:r>
      <w:r>
        <w:instrText xml:space="preserve"> HYPERLINK "https://ssrn.com/abstract=3371830" </w:instrText>
      </w:r>
      <w:r>
        <w:fldChar w:fldCharType="separate"/>
      </w:r>
      <w:r w:rsidRPr="001C1B82">
        <w:rPr>
          <w:szCs w:val="16"/>
        </w:rPr>
        <w:t>]</w:t>
      </w:r>
      <w:r>
        <w:fldChar w:fldCharType="end"/>
      </w:r>
      <w:r w:rsidRPr="001C1B82">
        <w:rPr>
          <w:szCs w:val="16"/>
        </w:rPr>
        <w:t xml:space="preserve">, pp.28-31. </w:t>
      </w:r>
    </w:p>
  </w:footnote>
  <w:footnote w:id="360">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Regulation (EU) 2019/1150 of the European Parliament and of the Council of 20 June 2019 on promoting fairness and transparency for business users of online intermediation services (Official Journal L 186, 11/7/2019, P. 57–79). </w:t>
      </w:r>
    </w:p>
  </w:footnote>
  <w:footnote w:id="361">
    <w:p w:rsidR="00673732" w:rsidRPr="001C1B82">
      <w:pPr>
        <w:pStyle w:val="footnotedescription"/>
        <w:rPr>
          <w:szCs w:val="16"/>
        </w:rPr>
      </w:pPr>
      <w:r w:rsidRPr="001C1B82">
        <w:rPr>
          <w:rStyle w:val="footnotemark"/>
          <w:szCs w:val="16"/>
        </w:rPr>
        <w:footnoteRef/>
      </w:r>
      <w:r w:rsidRPr="001C1B82">
        <w:rPr>
          <w:szCs w:val="16"/>
        </w:rPr>
        <w:t xml:space="preserve"> "WhatsApp has grown its user base by 20% in UK". https://www.messengerpeople.com/whatsapp-user-base-uk/ </w:t>
      </w:r>
    </w:p>
  </w:footnote>
  <w:footnote w:id="362">
    <w:p w:rsidR="00673732" w:rsidRPr="001C1B82">
      <w:pPr>
        <w:pStyle w:val="footnotedescription"/>
        <w:spacing w:line="276" w:lineRule="auto"/>
        <w:rPr>
          <w:szCs w:val="16"/>
        </w:rPr>
      </w:pPr>
      <w:r w:rsidRPr="001C1B82">
        <w:rPr>
          <w:rStyle w:val="footnotemark"/>
          <w:szCs w:val="16"/>
        </w:rPr>
        <w:footnoteRef/>
      </w:r>
      <w:r w:rsidRPr="001C1B82">
        <w:rPr>
          <w:szCs w:val="16"/>
        </w:rPr>
        <w:t xml:space="preserve"> Newman, N., Fletcher, R., Kalogeropoulos A., &amp; Nielsen, R. K. (2019). Reuters Institute Digital News Report 2019. Oxford, UK: Reuters Institute for the Study of Journalism. </w:t>
      </w:r>
    </w:p>
  </w:footnote>
  <w:footnote w:id="363">
    <w:p w:rsidR="00673732" w:rsidRPr="001C1B82">
      <w:pPr>
        <w:pStyle w:val="footnotedescription"/>
        <w:spacing w:after="14"/>
        <w:jc w:val="both"/>
        <w:rPr>
          <w:szCs w:val="16"/>
        </w:rPr>
      </w:pPr>
      <w:r w:rsidRPr="001C1B82">
        <w:rPr>
          <w:rStyle w:val="footnotemark"/>
          <w:szCs w:val="16"/>
        </w:rPr>
        <w:footnoteRef/>
      </w:r>
      <w:r w:rsidRPr="001C1B82">
        <w:rPr>
          <w:szCs w:val="16"/>
        </w:rPr>
        <w:t xml:space="preserve"> Newman, N., Fletcher, R., Kalogeropoulos A., &amp; Nielsen, R. K. (2019). Reuters Institute Digital News Report 2019. </w:t>
      </w:r>
    </w:p>
    <w:p w:rsidR="00673732" w:rsidRPr="001C1B82">
      <w:pPr>
        <w:pStyle w:val="footnotedescription"/>
        <w:rPr>
          <w:szCs w:val="16"/>
        </w:rPr>
      </w:pPr>
      <w:r w:rsidRPr="001C1B82">
        <w:rPr>
          <w:szCs w:val="16"/>
        </w:rPr>
        <w:t xml:space="preserve">Oxford, UK: Reuters Institute for the Study of Journalism. </w:t>
      </w:r>
    </w:p>
  </w:footnote>
  <w:footnote w:id="364">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w:t>
      </w:r>
      <w:r w:rsidRPr="001C1B82">
        <w:rPr>
          <w:i/>
          <w:szCs w:val="16"/>
        </w:rPr>
        <w:t xml:space="preserve">"A privacy-focused vision for social networking". </w:t>
      </w:r>
      <w:r w:rsidRPr="001C1B82">
        <w:rPr>
          <w:szCs w:val="16"/>
        </w:rPr>
        <w:t xml:space="preserve">Facebook, March 2019. </w:t>
      </w:r>
      <w:r>
        <w:fldChar w:fldCharType="begin"/>
      </w:r>
      <w:r>
        <w:instrText xml:space="preserve"> HYPERLINK "https://newsroom.fb.com/news/2019/03/vision-for-social-networking/" </w:instrText>
      </w:r>
      <w:r>
        <w:fldChar w:fldCharType="separate"/>
      </w:r>
      <w:r w:rsidRPr="001C1B82">
        <w:rPr>
          <w:color w:val="1155CC"/>
          <w:szCs w:val="16"/>
          <w:u w:val="single" w:color="1155CC"/>
        </w:rPr>
        <w:t>https://newsroom.fb.com/news/2019/03/vision-for-social-networking/</w:t>
      </w:r>
      <w:r>
        <w:fldChar w:fldCharType="end"/>
      </w:r>
      <w:r>
        <w:fldChar w:fldCharType="begin"/>
      </w:r>
      <w:r>
        <w:instrText xml:space="preserve"> HYPERLINK "https://newsroom.fb.com/news/2019/03/vision-for-social-networking/" </w:instrText>
      </w:r>
      <w:r>
        <w:fldChar w:fldCharType="separate"/>
      </w:r>
      <w:r w:rsidRPr="001C1B82">
        <w:rPr>
          <w:szCs w:val="16"/>
        </w:rPr>
        <w:t xml:space="preserve"> </w:t>
      </w:r>
      <w:r>
        <w:fldChar w:fldCharType="end"/>
      </w:r>
      <w:r w:rsidRPr="001C1B82">
        <w:rPr>
          <w:szCs w:val="16"/>
        </w:rPr>
        <w:t xml:space="preserve"> </w:t>
      </w:r>
    </w:p>
  </w:footnote>
  <w:footnote w:id="365">
    <w:p w:rsidR="00673732" w:rsidRPr="001C1B82">
      <w:pPr>
        <w:pStyle w:val="footnotedescription"/>
        <w:spacing w:line="257" w:lineRule="auto"/>
        <w:rPr>
          <w:szCs w:val="16"/>
        </w:rPr>
      </w:pPr>
      <w:r w:rsidRPr="001C1B82">
        <w:rPr>
          <w:rStyle w:val="footnotemark"/>
          <w:szCs w:val="16"/>
        </w:rPr>
        <w:footnoteRef/>
      </w:r>
      <w:r w:rsidRPr="001C1B82">
        <w:rPr>
          <w:szCs w:val="16"/>
        </w:rPr>
        <w:t xml:space="preserve"> Rossini, P., Stromer-Galley, J., Oliveira, V., Baptista, E. (2019) The Era of Mobile (Mis)information?How Citizens Engage With Online Misinformation on WhatsApp and Facebook in Brazil. Paper presented at the meeting at the International Journal of Press/Politics annual conference, Loughborough UK.  </w:t>
      </w:r>
    </w:p>
  </w:footnote>
  <w:footnote w:id="366">
    <w:p w:rsidR="00673732" w:rsidRPr="001C1B82">
      <w:pPr>
        <w:pStyle w:val="footnotedescription"/>
        <w:spacing w:line="276" w:lineRule="auto"/>
        <w:rPr>
          <w:szCs w:val="16"/>
        </w:rPr>
      </w:pPr>
      <w:r w:rsidRPr="001C1B82">
        <w:rPr>
          <w:rStyle w:val="footnotemark"/>
          <w:szCs w:val="16"/>
        </w:rPr>
        <w:footnoteRef/>
      </w:r>
      <w:r w:rsidRPr="001C1B82">
        <w:rPr>
          <w:szCs w:val="16"/>
        </w:rPr>
        <w:t xml:space="preserve"> Kalogeropoulos, A., Fletcher, R., &amp; Nielsen, R. K. (2019). News brand attribution in distributed environments: Do people know where they get their news? </w:t>
      </w:r>
      <w:r w:rsidRPr="001C1B82">
        <w:rPr>
          <w:i/>
          <w:szCs w:val="16"/>
        </w:rPr>
        <w:t>New Media &amp; Society, 21</w:t>
      </w:r>
      <w:r w:rsidRPr="001C1B82">
        <w:rPr>
          <w:szCs w:val="16"/>
        </w:rPr>
        <w:t xml:space="preserve">(3), 583-601. </w:t>
      </w:r>
    </w:p>
  </w:footnote>
  <w:footnote w:id="367">
    <w:p w:rsidR="00673732" w:rsidRPr="001C1B82">
      <w:pPr>
        <w:pStyle w:val="footnotedescription"/>
        <w:spacing w:line="276" w:lineRule="auto"/>
        <w:rPr>
          <w:szCs w:val="16"/>
        </w:rPr>
      </w:pPr>
      <w:r w:rsidRPr="001C1B82">
        <w:rPr>
          <w:rStyle w:val="footnotemark"/>
          <w:szCs w:val="16"/>
        </w:rPr>
        <w:footnoteRef/>
      </w:r>
      <w:r w:rsidRPr="001C1B82">
        <w:rPr>
          <w:szCs w:val="16"/>
        </w:rPr>
        <w:t xml:space="preserve"> Nielsen, R, Cornia A. &amp; Kalogeropoulos A. (2016) Challenges and opportunities for news media and journalism in an increasingly digital, mobile, and social media environment, Council of Europe Report, 2016. </w:t>
      </w:r>
    </w:p>
  </w:footnote>
  <w:footnote w:id="368">
    <w:p w:rsidR="00673732" w:rsidRPr="001C1B82">
      <w:pPr>
        <w:pStyle w:val="footnotedescription"/>
        <w:spacing w:line="276" w:lineRule="auto"/>
        <w:rPr>
          <w:szCs w:val="16"/>
        </w:rPr>
      </w:pPr>
      <w:r w:rsidRPr="001C1B82">
        <w:rPr>
          <w:rStyle w:val="footnotemark"/>
          <w:szCs w:val="16"/>
        </w:rPr>
        <w:footnoteRef/>
      </w:r>
      <w:r w:rsidRPr="001C1B82">
        <w:rPr>
          <w:szCs w:val="16"/>
        </w:rPr>
        <w:t xml:space="preserve"> Valeriani, A., &amp; Vaccari, C. (2017). Political talk on mobile instant messaging services: A comparative analysis of Germany, Italy, and the UK. </w:t>
      </w:r>
      <w:r w:rsidRPr="001C1B82">
        <w:rPr>
          <w:i/>
          <w:szCs w:val="16"/>
        </w:rPr>
        <w:t>Information, Communication &amp; Society</w:t>
      </w:r>
      <w:r w:rsidRPr="001C1B82">
        <w:rPr>
          <w:szCs w:val="16"/>
        </w:rPr>
        <w:t xml:space="preserve">, </w:t>
      </w:r>
      <w:r w:rsidRPr="001C1B82">
        <w:rPr>
          <w:i/>
          <w:szCs w:val="16"/>
        </w:rPr>
        <w:t>0</w:t>
      </w:r>
      <w:r w:rsidRPr="001C1B82">
        <w:rPr>
          <w:szCs w:val="16"/>
        </w:rPr>
        <w:t>(0), 1–17</w:t>
      </w:r>
      <w:r>
        <w:fldChar w:fldCharType="begin"/>
      </w:r>
      <w:r>
        <w:instrText xml:space="preserve"> HYPERLINK "https://doi.org/10.1080/1369118X.2017.1350730" </w:instrText>
      </w:r>
      <w:r>
        <w:fldChar w:fldCharType="separate"/>
      </w:r>
      <w:r w:rsidRPr="001C1B82">
        <w:rPr>
          <w:szCs w:val="16"/>
        </w:rPr>
        <w:t xml:space="preserve">. </w:t>
      </w:r>
      <w:r>
        <w:fldChar w:fldCharType="end"/>
      </w:r>
    </w:p>
    <w:p w:rsidR="00673732" w:rsidRPr="001C1B82">
      <w:pPr>
        <w:pStyle w:val="footnotedescription"/>
        <w:ind w:left="1"/>
        <w:rPr>
          <w:szCs w:val="16"/>
        </w:rPr>
      </w:pPr>
      <w:r>
        <w:fldChar w:fldCharType="begin"/>
      </w:r>
      <w:r>
        <w:instrText xml:space="preserve"> HYPERLINK "https://doi.org/10.1080/1369118X.2017.1350730" </w:instrText>
      </w:r>
      <w:r>
        <w:fldChar w:fldCharType="separate"/>
      </w:r>
      <w:r w:rsidRPr="001C1B82">
        <w:rPr>
          <w:color w:val="1155CC"/>
          <w:szCs w:val="16"/>
          <w:u w:val="single" w:color="1155CC"/>
        </w:rPr>
        <w:t>https://doi.org/10.1080/1369118X.2017.1350730</w:t>
      </w:r>
      <w:r>
        <w:fldChar w:fldCharType="end"/>
      </w:r>
      <w:r>
        <w:fldChar w:fldCharType="begin"/>
      </w:r>
      <w:r>
        <w:instrText xml:space="preserve"> HYPERLINK "https://doi.org/10.1080/1369118X.2017.1350730" </w:instrText>
      </w:r>
      <w:r>
        <w:fldChar w:fldCharType="separate"/>
      </w:r>
      <w:r w:rsidRPr="001C1B82">
        <w:rPr>
          <w:szCs w:val="16"/>
        </w:rPr>
        <w:t xml:space="preserve"> </w:t>
      </w:r>
      <w:r>
        <w:fldChar w:fldCharType="end"/>
      </w:r>
    </w:p>
  </w:footnote>
  <w:footnote w:id="369">
    <w:p w:rsidR="00673732" w:rsidRPr="001C1B82">
      <w:pPr>
        <w:pStyle w:val="footnotedescription"/>
        <w:spacing w:line="258" w:lineRule="auto"/>
        <w:rPr>
          <w:szCs w:val="16"/>
        </w:rPr>
      </w:pPr>
      <w:r w:rsidRPr="001C1B82">
        <w:rPr>
          <w:rStyle w:val="footnotemark"/>
          <w:szCs w:val="16"/>
        </w:rPr>
        <w:footnoteRef/>
      </w:r>
      <w:r w:rsidRPr="001C1B82">
        <w:rPr>
          <w:szCs w:val="16"/>
        </w:rPr>
        <w:t xml:space="preserve"> Kalogeropoulos A. (2019). </w:t>
      </w:r>
      <w:r w:rsidRPr="001C1B82">
        <w:rPr>
          <w:i/>
          <w:szCs w:val="16"/>
        </w:rPr>
        <w:t>Who uses messaging applications for news, how and why? A cross-national analysis</w:t>
      </w:r>
      <w:r w:rsidRPr="001C1B82">
        <w:rPr>
          <w:szCs w:val="16"/>
        </w:rPr>
        <w:t xml:space="preserve">. Paper presented at the meeting of the International Communication Association 2019, Washington DC, USA. </w:t>
      </w:r>
    </w:p>
  </w:footnote>
  <w:footnote w:id="370">
    <w:p w:rsidR="00673732" w:rsidRPr="001C1B82">
      <w:pPr>
        <w:pStyle w:val="footnotedescription"/>
        <w:rPr>
          <w:szCs w:val="16"/>
        </w:rPr>
      </w:pPr>
      <w:r w:rsidRPr="001C1B82">
        <w:rPr>
          <w:rStyle w:val="footnotemark"/>
          <w:szCs w:val="16"/>
        </w:rPr>
        <w:footnoteRef/>
      </w:r>
      <w:r w:rsidRPr="001C1B82">
        <w:rPr>
          <w:szCs w:val="16"/>
        </w:rPr>
        <w:t xml:space="preserve"> Kalogeropoulos A. (2019). </w:t>
      </w:r>
      <w:r w:rsidRPr="001C1B82">
        <w:rPr>
          <w:i/>
          <w:szCs w:val="16"/>
        </w:rPr>
        <w:t>Who uses messaging applications for news, how and why? A cross-national analysis</w:t>
      </w:r>
      <w:r w:rsidRPr="001C1B82">
        <w:rPr>
          <w:szCs w:val="16"/>
        </w:rPr>
        <w:t xml:space="preserve">. </w:t>
      </w:r>
    </w:p>
    <w:p w:rsidR="00673732" w:rsidRPr="001C1B82">
      <w:pPr>
        <w:pStyle w:val="footnotedescription"/>
        <w:rPr>
          <w:szCs w:val="16"/>
        </w:rPr>
      </w:pPr>
      <w:r w:rsidRPr="001C1B82">
        <w:rPr>
          <w:szCs w:val="16"/>
        </w:rPr>
        <w:t xml:space="preserve">Paper presented at the meeting of the International Communication Association, Washington DC, USA. </w:t>
      </w:r>
    </w:p>
  </w:footnote>
  <w:footnote w:id="371">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"http://www.saude.gov.br/fakenews" </w:instrText>
      </w:r>
      <w:r>
        <w:fldChar w:fldCharType="separate"/>
      </w:r>
      <w:r w:rsidRPr="001C1B82">
        <w:rPr>
          <w:color w:val="1155CC"/>
          <w:szCs w:val="16"/>
          <w:u w:val="single" w:color="1155CC"/>
        </w:rPr>
        <w:t>http://www.saude.gov.br/fakenews</w:t>
      </w:r>
      <w:r>
        <w:fldChar w:fldCharType="end"/>
      </w:r>
      <w:r>
        <w:fldChar w:fldCharType="begin"/>
      </w:r>
      <w:r>
        <w:instrText xml:space="preserve"> HYPERLINK "http://www.saude.gov.br/fakenews" </w:instrText>
      </w:r>
      <w:r>
        <w:fldChar w:fldCharType="separate"/>
      </w:r>
      <w:r w:rsidRPr="001C1B82">
        <w:rPr>
          <w:szCs w:val="16"/>
        </w:rPr>
        <w:t xml:space="preserve"> </w:t>
      </w:r>
      <w:r>
        <w:fldChar w:fldCharType="end"/>
      </w:r>
      <w:r w:rsidRPr="001C1B82">
        <w:rPr>
          <w:szCs w:val="16"/>
        </w:rPr>
        <w:t xml:space="preserve">(in Portuguese) </w:t>
      </w:r>
    </w:p>
  </w:footnote>
  <w:footnote w:id="372">
    <w:p w:rsidR="00673732" w:rsidRPr="001C1B82">
      <w:pPr>
        <w:pStyle w:val="footnotedescription"/>
        <w:rPr>
          <w:szCs w:val="16"/>
        </w:rPr>
      </w:pPr>
      <w:r w:rsidRPr="001C1B82">
        <w:rPr>
          <w:rStyle w:val="footnotemark"/>
          <w:szCs w:val="16"/>
        </w:rPr>
        <w:footnoteRef/>
      </w:r>
      <w:r w:rsidRPr="001C1B82">
        <w:rPr>
          <w:szCs w:val="16"/>
        </w:rPr>
        <w:t xml:space="preserve"> </w:t>
      </w:r>
      <w:r w:rsidRPr="001C1B82">
        <w:rPr>
          <w:i/>
          <w:szCs w:val="16"/>
        </w:rPr>
        <w:t xml:space="preserve">"A privacy-focused vision for social networking". </w:t>
      </w:r>
      <w:r w:rsidRPr="001C1B82">
        <w:rPr>
          <w:szCs w:val="16"/>
        </w:rPr>
        <w:t xml:space="preserve">Facebook, March 2019. </w:t>
      </w:r>
      <w:r>
        <w:fldChar w:fldCharType="begin"/>
      </w:r>
      <w:r>
        <w:instrText xml:space="preserve"> HYPERLINK "https://newsroom.fb.com/news/2019/03/vision-for-social-networking/" </w:instrText>
      </w:r>
      <w:r>
        <w:fldChar w:fldCharType="separate"/>
      </w:r>
      <w:r w:rsidRPr="001C1B82">
        <w:rPr>
          <w:color w:val="1155CC"/>
          <w:szCs w:val="16"/>
          <w:u w:val="single" w:color="1155CC"/>
        </w:rPr>
        <w:t>https://newsroom.fb.com/news/2019/03/vision-for-social-networking/</w:t>
      </w:r>
      <w:r>
        <w:fldChar w:fldCharType="end"/>
      </w:r>
      <w:r>
        <w:fldChar w:fldCharType="begin"/>
      </w:r>
      <w:r>
        <w:instrText xml:space="preserve"> HYPERLINK "https://newsroom.fb.com/news/2019/03/vision-for-social-networking/" </w:instrText>
      </w:r>
      <w:r>
        <w:fldChar w:fldCharType="separate"/>
      </w:r>
      <w:r w:rsidRPr="001C1B82">
        <w:rPr>
          <w:szCs w:val="16"/>
        </w:rPr>
        <w:t xml:space="preserve"> </w:t>
      </w:r>
      <w:r>
        <w:fldChar w:fldCharType="end"/>
      </w:r>
      <w:r w:rsidRPr="001C1B82">
        <w:rPr>
          <w:szCs w:val="16"/>
        </w:rPr>
        <w:t xml:space="preserve"> </w:t>
      </w:r>
    </w:p>
  </w:footnote>
  <w:footnote w:id="373">
    <w:p w:rsidR="00673732" w:rsidRPr="001C1B82">
      <w:pPr>
        <w:pStyle w:val="footnotedescription"/>
        <w:ind w:left="360"/>
        <w:rPr>
          <w:szCs w:val="16"/>
        </w:rPr>
      </w:pPr>
      <w:r w:rsidRPr="001C1B82">
        <w:rPr>
          <w:rStyle w:val="footnotemark"/>
          <w:szCs w:val="16"/>
        </w:rPr>
        <w:footnoteRef/>
      </w:r>
      <w:r w:rsidRPr="001C1B82">
        <w:rPr>
          <w:rFonts w:eastAsia="Times New Roman" w:cs="Times New Roman"/>
          <w:szCs w:val="16"/>
        </w:rPr>
        <w:t xml:space="preserve"> The Human Rights, Big Data and Technology Project, available at &lt;</w:t>
      </w:r>
      <w:r>
        <w:fldChar w:fldCharType="begin"/>
      </w:r>
      <w:r>
        <w:instrText xml:space="preserve"> HYPERLINK "http://www.hrbdt.ac.uk/" </w:instrText>
      </w:r>
      <w:r>
        <w:fldChar w:fldCharType="separate"/>
      </w:r>
      <w:r w:rsidRPr="001C1B82">
        <w:rPr>
          <w:rFonts w:eastAsia="Times New Roman" w:cs="Times New Roman"/>
          <w:color w:val="0563C1"/>
          <w:szCs w:val="16"/>
          <w:u w:val="single" w:color="0563C1"/>
        </w:rPr>
        <w:t>http://www.hrbdt.ac.uk</w:t>
      </w:r>
      <w:r>
        <w:fldChar w:fldCharType="end"/>
      </w:r>
      <w:r>
        <w:fldChar w:fldCharType="begin"/>
      </w:r>
      <w:r>
        <w:instrText xml:space="preserve"> HYPERLINK "http://www.hrbdt.ac.uk/" </w:instrText>
      </w:r>
      <w:r>
        <w:fldChar w:fldCharType="separate"/>
      </w:r>
      <w:r w:rsidRPr="001C1B82">
        <w:rPr>
          <w:rFonts w:eastAsia="Times New Roman" w:cs="Times New Roman"/>
          <w:szCs w:val="16"/>
        </w:rPr>
        <w:t>&gt;</w:t>
      </w:r>
      <w:r>
        <w:fldChar w:fldCharType="end"/>
      </w:r>
      <w:r w:rsidRPr="001C1B82">
        <w:rPr>
          <w:rFonts w:eastAsia="Times New Roman" w:cs="Times New Roman"/>
          <w:szCs w:val="16"/>
        </w:rPr>
        <w:t xml:space="preserve">. </w:t>
      </w:r>
    </w:p>
  </w:footnote>
  <w:footnote w:id="374">
    <w:p w:rsidR="00673732" w:rsidRPr="001C1B82">
      <w:pPr>
        <w:pStyle w:val="footnotedescription"/>
        <w:ind w:left="360"/>
        <w:rPr>
          <w:szCs w:val="16"/>
        </w:rPr>
      </w:pPr>
      <w:r w:rsidRPr="001C1B82">
        <w:rPr>
          <w:rStyle w:val="footnotemark"/>
          <w:szCs w:val="16"/>
        </w:rPr>
        <w:footnoteRef/>
      </w:r>
      <w:r w:rsidRPr="001C1B82">
        <w:rPr>
          <w:rFonts w:eastAsia="Times New Roman" w:cs="Times New Roman"/>
          <w:szCs w:val="16"/>
        </w:rPr>
        <w:t xml:space="preserve"> For more information on the Project, please see Annex 1.  </w:t>
      </w:r>
    </w:p>
  </w:footnote>
  <w:footnote w:id="375">
    <w:p w:rsidR="00673732" w:rsidRPr="001C1B82">
      <w:pPr>
        <w:pStyle w:val="footnotedescription"/>
        <w:spacing w:line="276" w:lineRule="auto"/>
        <w:ind w:left="360" w:right="431"/>
        <w:jc w:val="both"/>
        <w:rPr>
          <w:szCs w:val="16"/>
        </w:rPr>
      </w:pPr>
      <w:r w:rsidRPr="001C1B82">
        <w:rPr>
          <w:rStyle w:val="footnotemark"/>
          <w:szCs w:val="16"/>
        </w:rPr>
        <w:footnoteRef/>
      </w:r>
      <w:r w:rsidRPr="001C1B82">
        <w:rPr>
          <w:rFonts w:eastAsia="Times New Roman" w:cs="Times New Roman"/>
          <w:szCs w:val="16"/>
        </w:rPr>
        <w:t xml:space="preserve"> In this submission, we refer to mis and disinformation as ‘misinformation’ as this is the overall label used by the Committee in its call for evidence. </w:t>
      </w:r>
    </w:p>
  </w:footnote>
  <w:footnote w:id="376">
    <w:p w:rsidR="00673732" w:rsidRPr="001C1B82">
      <w:pPr>
        <w:pStyle w:val="footnotedescription"/>
        <w:spacing w:line="243" w:lineRule="auto"/>
        <w:ind w:left="360" w:right="615"/>
        <w:jc w:val="both"/>
        <w:rPr>
          <w:szCs w:val="16"/>
        </w:rPr>
      </w:pPr>
      <w:r w:rsidRPr="001C1B82">
        <w:rPr>
          <w:rStyle w:val="footnotemark"/>
          <w:szCs w:val="16"/>
        </w:rPr>
        <w:footnoteRef/>
      </w:r>
      <w:r w:rsidRPr="001C1B82">
        <w:rPr>
          <w:rFonts w:eastAsia="Times New Roman" w:cs="Times New Roman"/>
          <w:szCs w:val="16"/>
        </w:rPr>
        <w:t xml:space="preserve"> See, for instance, Samuel C. Woolley &amp; Philip N Howard (eds.), </w:t>
      </w:r>
      <w:r w:rsidRPr="001C1B82">
        <w:rPr>
          <w:rFonts w:eastAsia="Times New Roman" w:cs="Times New Roman"/>
          <w:i/>
          <w:szCs w:val="16"/>
        </w:rPr>
        <w:t>Computational Propaganda</w:t>
      </w:r>
      <w:r w:rsidRPr="001C1B82">
        <w:rPr>
          <w:rFonts w:eastAsia="Times New Roman" w:cs="Times New Roman"/>
          <w:szCs w:val="16"/>
        </w:rPr>
        <w:t xml:space="preserve"> (Oxford University Press, 2018),  European Commission, A multi-dimensional approach to disinformation. Report of the independent High level Group on fake news online disinformation (March 2018) and House of Commons Digital, Culture, Media and Sport Committee, ‘Disinformation and ‘fake news’: Interim Report’, 24 July 2018, available at https://publications.parliament.uk/pa/cm201719/cmselect/cmcumeds/363/363.pdf. </w:t>
      </w:r>
    </w:p>
    <w:p w:rsidR="00673732" w:rsidRPr="001C1B82">
      <w:pPr>
        <w:pStyle w:val="footnotedescription"/>
        <w:ind w:left="360"/>
        <w:rPr>
          <w:szCs w:val="16"/>
        </w:rPr>
      </w:pPr>
      <w:r w:rsidRPr="001C1B82">
        <w:rPr>
          <w:rFonts w:eastAsia="Times New Roman" w:cs="Times New Roman"/>
          <w:szCs w:val="16"/>
        </w:rPr>
        <w:t xml:space="preserve"> </w:t>
      </w:r>
    </w:p>
  </w:footnote>
  <w:footnote w:id="377">
    <w:p w:rsidR="00673732" w:rsidRPr="001C1B82">
      <w:pPr>
        <w:pStyle w:val="footnotedescription"/>
        <w:spacing w:line="273" w:lineRule="auto"/>
        <w:ind w:left="360"/>
        <w:jc w:val="both"/>
        <w:rPr>
          <w:szCs w:val="16"/>
        </w:rPr>
      </w:pPr>
      <w:r w:rsidRPr="001C1B82">
        <w:rPr>
          <w:rStyle w:val="footnotemark"/>
          <w:szCs w:val="16"/>
        </w:rPr>
        <w:footnoteRef/>
      </w:r>
      <w:r w:rsidRPr="001C1B82">
        <w:rPr>
          <w:rFonts w:eastAsia="Times New Roman" w:cs="Times New Roman"/>
          <w:szCs w:val="16"/>
        </w:rPr>
        <w:t xml:space="preserve"> Renee Di Resta et al., ‘The Tactics &amp; Tropes of the Internet Research Agency’ New Knowledge Report, December 2018, available a</w:t>
      </w:r>
      <w:r>
        <w:fldChar w:fldCharType="begin"/>
      </w:r>
      <w:r>
        <w:instrText xml:space="preserve"> HYPERLINK "https://cdn2.hubspot.net/hubfs/4326998/ira-report-rebrand_FinalJ14.pdf" </w:instrText>
      </w:r>
      <w:r>
        <w:fldChar w:fldCharType="separate"/>
      </w:r>
      <w:r w:rsidRPr="001C1B82">
        <w:rPr>
          <w:rFonts w:eastAsia="Times New Roman" w:cs="Times New Roman"/>
          <w:szCs w:val="16"/>
        </w:rPr>
        <w:t xml:space="preserve">t </w:t>
      </w:r>
      <w:r>
        <w:fldChar w:fldCharType="end"/>
      </w:r>
      <w:r>
        <w:fldChar w:fldCharType="begin"/>
      </w:r>
      <w:r>
        <w:instrText xml:space="preserve"> HYPERLINK "https://cdn2.hubspot.net/hubfs/4326998/ira-report-rebrand_FinalJ14.pdf" </w:instrText>
      </w:r>
      <w:r>
        <w:fldChar w:fldCharType="separate"/>
      </w:r>
      <w:r w:rsidRPr="001C1B82">
        <w:rPr>
          <w:rFonts w:eastAsia="Times New Roman" w:cs="Times New Roman"/>
          <w:color w:val="0563C1"/>
          <w:szCs w:val="16"/>
          <w:u w:val="single" w:color="0563C1"/>
        </w:rPr>
        <w:t>https://cdn2.hubspot.net/hubfs/4326998/ira-report-rebrand_FinalJ14.pdf</w:t>
      </w:r>
      <w:r>
        <w:fldChar w:fldCharType="end"/>
      </w:r>
      <w:r>
        <w:fldChar w:fldCharType="begin"/>
      </w:r>
      <w:r>
        <w:instrText xml:space="preserve"> HYPERLINK "https://cdn2.hubspot.net/hubfs/4326998/ira-report-rebrand_FinalJ14.pdf" </w:instrText>
      </w:r>
      <w:r>
        <w:fldChar w:fldCharType="separate"/>
      </w:r>
      <w:r w:rsidRPr="001C1B82">
        <w:rPr>
          <w:rFonts w:eastAsia="Times New Roman" w:cs="Times New Roman"/>
          <w:szCs w:val="16"/>
        </w:rPr>
        <w:t xml:space="preserve"> </w:t>
      </w:r>
      <w:r>
        <w:fldChar w:fldCharType="end"/>
      </w:r>
    </w:p>
  </w:footnote>
  <w:footnote w:id="378">
    <w:p w:rsidR="00673732" w:rsidRPr="001C1B82">
      <w:pPr>
        <w:pStyle w:val="footnotedescription"/>
        <w:spacing w:line="250" w:lineRule="auto"/>
        <w:ind w:left="360" w:right="615"/>
        <w:jc w:val="both"/>
        <w:rPr>
          <w:szCs w:val="16"/>
        </w:rPr>
      </w:pPr>
      <w:r w:rsidRPr="001C1B82">
        <w:rPr>
          <w:rStyle w:val="footnotemark"/>
          <w:szCs w:val="16"/>
        </w:rPr>
        <w:footnoteRef/>
      </w:r>
      <w:r w:rsidRPr="001C1B82">
        <w:rPr>
          <w:rFonts w:eastAsia="Times New Roman" w:cs="Times New Roman"/>
          <w:szCs w:val="16"/>
        </w:rPr>
        <w:t xml:space="preserve"> See, Paolo Costa, ‘Microtargeting and fake news: in the bubble of online advertising’ (Spindox, 13 November 2018) and Christina Fink, ‘Dangerous Speech, Anti-Muslim Violence, and Facebook in Myanmar’ (2018) 71 Columbia SIPA Journal of International Affairs 1.5, available at </w:t>
      </w:r>
      <w:r>
        <w:fldChar w:fldCharType="begin"/>
      </w:r>
      <w:r>
        <w:instrText xml:space="preserve"> HYPERLINK "https://jia.sipa.columbia.edu/dangerous-speech-anti-muslim-violence-and-facebook-myanmar" </w:instrText>
      </w:r>
      <w:r>
        <w:fldChar w:fldCharType="separate"/>
      </w:r>
      <w:r w:rsidRPr="001C1B82">
        <w:rPr>
          <w:rFonts w:eastAsia="Times New Roman" w:cs="Times New Roman"/>
          <w:color w:val="0563C1"/>
          <w:szCs w:val="16"/>
          <w:u w:val="single" w:color="0563C1"/>
        </w:rPr>
        <w:t>https://jia.sipa.columbia.edu/dangerous-speech-anti-muslim-violence-and-facebook</w:t>
      </w:r>
      <w:r>
        <w:fldChar w:fldCharType="end"/>
      </w:r>
      <w:r>
        <w:fldChar w:fldCharType="begin"/>
      </w:r>
      <w:r>
        <w:instrText xml:space="preserve"> HYPERLINK "https://jia.sipa.columbia.edu/dangerous-speech-anti-muslim-violence-and-facebook-myanmar" </w:instrText>
      </w:r>
      <w:r>
        <w:fldChar w:fldCharType="separate"/>
      </w:r>
      <w:r w:rsidRPr="001C1B82">
        <w:rPr>
          <w:rFonts w:eastAsia="Times New Roman" w:cs="Times New Roman"/>
          <w:color w:val="0563C1"/>
          <w:szCs w:val="16"/>
          <w:u w:val="single" w:color="0563C1"/>
        </w:rPr>
        <w:t>myanmar</w:t>
      </w:r>
      <w:r>
        <w:fldChar w:fldCharType="end"/>
      </w:r>
      <w:r>
        <w:fldChar w:fldCharType="begin"/>
      </w:r>
      <w:r>
        <w:instrText xml:space="preserve"> HYPERLINK "https://jia.sipa.columbia.edu/dangerous-speech-anti-muslim-violence-and-facebook-myanmar" </w:instrText>
      </w:r>
      <w:r>
        <w:fldChar w:fldCharType="separate"/>
      </w:r>
      <w:r w:rsidRPr="001C1B82">
        <w:rPr>
          <w:rFonts w:eastAsia="Times New Roman" w:cs="Times New Roman"/>
          <w:szCs w:val="16"/>
        </w:rPr>
        <w:t xml:space="preserve"> </w:t>
      </w:r>
      <w:r>
        <w:fldChar w:fldCharType="end"/>
      </w:r>
    </w:p>
  </w:footnote>
  <w:footnote w:id="379">
    <w:p w:rsidR="00673732" w:rsidRPr="001C1B82">
      <w:pPr>
        <w:pStyle w:val="footnotedescription"/>
        <w:spacing w:after="14"/>
        <w:ind w:left="360"/>
        <w:rPr>
          <w:szCs w:val="16"/>
        </w:rPr>
      </w:pPr>
      <w:r w:rsidRPr="001C1B82">
        <w:rPr>
          <w:rStyle w:val="footnotemark"/>
          <w:szCs w:val="16"/>
        </w:rPr>
        <w:footnoteRef/>
      </w:r>
      <w:r w:rsidRPr="001C1B82">
        <w:rPr>
          <w:rFonts w:eastAsia="Times New Roman" w:cs="Times New Roman"/>
          <w:szCs w:val="16"/>
        </w:rPr>
        <w:t xml:space="preserve"> OHCHR, ’Myanmar: UN Fact-Finding Mission Releases Its Full Account of Massive Violations by Military in Rakhine, </w:t>
      </w:r>
    </w:p>
    <w:p w:rsidR="00673732" w:rsidRPr="001C1B82">
      <w:pPr>
        <w:pStyle w:val="footnotedescription"/>
        <w:spacing w:line="238" w:lineRule="auto"/>
        <w:ind w:left="360" w:right="615"/>
        <w:jc w:val="both"/>
        <w:rPr>
          <w:szCs w:val="16"/>
        </w:rPr>
      </w:pPr>
      <w:r w:rsidRPr="001C1B82">
        <w:rPr>
          <w:rFonts w:eastAsia="Times New Roman" w:cs="Times New Roman"/>
          <w:szCs w:val="16"/>
        </w:rPr>
        <w:t xml:space="preserve">Kachin and Shan States’, available at </w:t>
      </w:r>
      <w:r>
        <w:fldChar w:fldCharType="begin"/>
      </w:r>
      <w:r>
        <w:instrText xml:space="preserve"> HYPERLINK "https://www.ohchr.org/EN/HRBodies/HRC/Pages/NewsDetail.aspx?NewsID=23575&amp;LangID=E" </w:instrText>
      </w:r>
      <w:r>
        <w:fldChar w:fldCharType="separate"/>
      </w:r>
      <w:r w:rsidRPr="001C1B82">
        <w:rPr>
          <w:rFonts w:eastAsia="Times New Roman" w:cs="Times New Roman"/>
          <w:color w:val="0563C1"/>
          <w:szCs w:val="16"/>
          <w:u w:val="single" w:color="0563C1"/>
        </w:rPr>
        <w:t>https://www.ohchr.org/EN/HRBodies/HRC/Pages/NewsDetail.aspx?NewsID=23575&amp;LangID=E</w:t>
      </w:r>
      <w:r>
        <w:fldChar w:fldCharType="end"/>
      </w:r>
      <w:r>
        <w:fldChar w:fldCharType="begin"/>
      </w:r>
      <w:r>
        <w:instrText xml:space="preserve"> HYPERLINK "https://www.ohchr.org/EN/HRBodies/HRC/Pages/NewsDetail.aspx?NewsID=23575&amp;LangID=E" </w:instrText>
      </w:r>
      <w:r>
        <w:fldChar w:fldCharType="separate"/>
      </w:r>
      <w:r w:rsidRPr="001C1B82">
        <w:rPr>
          <w:rFonts w:eastAsia="Times New Roman" w:cs="Times New Roman"/>
          <w:szCs w:val="16"/>
        </w:rPr>
        <w:t>;</w:t>
      </w:r>
      <w:r>
        <w:fldChar w:fldCharType="end"/>
      </w:r>
      <w:r w:rsidRPr="001C1B82">
        <w:rPr>
          <w:rFonts w:eastAsia="Times New Roman" w:cs="Times New Roman"/>
          <w:szCs w:val="16"/>
        </w:rPr>
        <w:t xml:space="preserve"> BSR, ‘Human Rights Impact Assessment: Facebook in Myanmar’, October 2018, available at </w:t>
      </w:r>
      <w:r>
        <w:fldChar w:fldCharType="begin"/>
      </w:r>
      <w:r>
        <w:instrText xml:space="preserve"> HYPERLINK "https://fbnewsroomus.files.wordpress.com/2018/11/bsr-facebook-myanmar-hria_final.pdf" </w:instrText>
      </w:r>
      <w:r>
        <w:fldChar w:fldCharType="separate"/>
      </w:r>
      <w:r w:rsidRPr="001C1B82">
        <w:rPr>
          <w:rFonts w:eastAsia="Times New Roman" w:cs="Times New Roman"/>
          <w:color w:val="0563C1"/>
          <w:szCs w:val="16"/>
          <w:u w:val="single" w:color="0563C1"/>
        </w:rPr>
        <w:t>https://fbnewsroomus.files.wordpress.com/2018/11/bsr-facebook-myanmar-hria_final.pdf</w:t>
      </w:r>
      <w:r>
        <w:fldChar w:fldCharType="end"/>
      </w:r>
      <w:r>
        <w:fldChar w:fldCharType="begin"/>
      </w:r>
      <w:r>
        <w:instrText xml:space="preserve"> HYPERLINK "https://fbnewsroomus.files.wordpress.com/2018/11/bsr-facebook-myanmar-hria_final.pdf" </w:instrText>
      </w:r>
      <w:r>
        <w:fldChar w:fldCharType="separate"/>
      </w:r>
      <w:r w:rsidRPr="001C1B82">
        <w:rPr>
          <w:rFonts w:eastAsia="Times New Roman" w:cs="Times New Roman"/>
          <w:szCs w:val="16"/>
        </w:rPr>
        <w:t>.</w:t>
      </w:r>
      <w:r>
        <w:fldChar w:fldCharType="end"/>
      </w:r>
      <w:r w:rsidRPr="001C1B82">
        <w:rPr>
          <w:rFonts w:eastAsia="Times New Roman" w:cs="Times New Roman"/>
          <w:szCs w:val="16"/>
        </w:rPr>
        <w:t xml:space="preserve"> </w:t>
      </w:r>
    </w:p>
  </w:footnote>
  <w:footnote w:id="380">
    <w:p w:rsidR="00673732" w:rsidRPr="001C1B82">
      <w:pPr>
        <w:pStyle w:val="footnotedescription"/>
        <w:spacing w:line="273" w:lineRule="auto"/>
        <w:ind w:left="360" w:right="30"/>
        <w:jc w:val="both"/>
        <w:rPr>
          <w:szCs w:val="16"/>
        </w:rPr>
      </w:pPr>
      <w:r w:rsidRPr="001C1B82">
        <w:rPr>
          <w:rStyle w:val="footnotemark"/>
          <w:szCs w:val="16"/>
        </w:rPr>
        <w:footnoteRef/>
      </w:r>
      <w:r w:rsidRPr="001C1B82">
        <w:rPr>
          <w:rFonts w:eastAsia="Times New Roman" w:cs="Times New Roman"/>
          <w:szCs w:val="16"/>
        </w:rPr>
        <w:t xml:space="preserve"> Philip N. Howard et al. ‘The IRA, Social Media and Political Polarization in the United States, 201-2018’ (Working Paper 2018.2, Oxford Project on Computational Propaganda). </w:t>
      </w:r>
    </w:p>
  </w:footnote>
  <w:footnote w:id="381">
    <w:p w:rsidR="00673732" w:rsidRPr="001C1B82">
      <w:pPr>
        <w:pStyle w:val="footnotedescription"/>
        <w:ind w:left="360"/>
        <w:rPr>
          <w:szCs w:val="16"/>
        </w:rPr>
      </w:pPr>
      <w:r w:rsidRPr="001C1B82">
        <w:rPr>
          <w:rStyle w:val="footnotemark"/>
          <w:szCs w:val="16"/>
        </w:rPr>
        <w:footnoteRef/>
      </w:r>
      <w:r w:rsidRPr="001C1B82">
        <w:rPr>
          <w:rFonts w:eastAsia="Times New Roman" w:cs="Times New Roman"/>
          <w:szCs w:val="16"/>
        </w:rPr>
        <w:t xml:space="preserve"> Samuel C. Woolley &amp; Philip N Howard (eds.), </w:t>
      </w:r>
      <w:r w:rsidRPr="001C1B82">
        <w:rPr>
          <w:rFonts w:eastAsia="Times New Roman" w:cs="Times New Roman"/>
          <w:i/>
          <w:szCs w:val="16"/>
        </w:rPr>
        <w:t>Computational Propaganda</w:t>
      </w:r>
      <w:r w:rsidRPr="001C1B82">
        <w:rPr>
          <w:rFonts w:eastAsia="Times New Roman" w:cs="Times New Roman"/>
          <w:szCs w:val="16"/>
        </w:rPr>
        <w:t xml:space="preserve"> (Oxford University Press, 2018). </w:t>
      </w:r>
    </w:p>
  </w:footnote>
  <w:footnote w:id="382">
    <w:p w:rsidR="00673732" w:rsidRPr="001C1B82">
      <w:pPr>
        <w:pStyle w:val="footnotedescription"/>
        <w:spacing w:line="257" w:lineRule="auto"/>
        <w:ind w:left="360" w:right="615"/>
        <w:jc w:val="both"/>
        <w:rPr>
          <w:szCs w:val="16"/>
        </w:rPr>
      </w:pPr>
      <w:r w:rsidRPr="001C1B82">
        <w:rPr>
          <w:rStyle w:val="footnotemark"/>
          <w:szCs w:val="16"/>
        </w:rPr>
        <w:footnoteRef/>
      </w:r>
      <w:r w:rsidRPr="001C1B82">
        <w:rPr>
          <w:rFonts w:eastAsia="Times New Roman" w:cs="Times New Roman"/>
          <w:szCs w:val="16"/>
        </w:rPr>
        <w:t xml:space="preserve"> As reported by ‘Hong Kong protests: YouTube takes down 200 channels spreading disinformation’ (The Guardian, 23 August 2019), available at </w:t>
      </w:r>
      <w:r>
        <w:fldChar w:fldCharType="begin"/>
      </w:r>
      <w:r>
        <w:instrText xml:space="preserve"> HYPERLINK "https://www.theguardian.com/technology/2019/aug/23/hong-kong-protests-youtube-takes-down-200-channels-spreading-disinformation" </w:instrText>
      </w:r>
      <w:r>
        <w:fldChar w:fldCharType="separate"/>
      </w:r>
      <w:r w:rsidRPr="001C1B82">
        <w:rPr>
          <w:rFonts w:eastAsia="Times New Roman" w:cs="Times New Roman"/>
          <w:color w:val="0563C1"/>
          <w:szCs w:val="16"/>
          <w:u w:val="single" w:color="0563C1"/>
        </w:rPr>
        <w:t>https://www.theguardian.com/technology/2019/aug/23/hong-kong-protests-youtube-takes-down</w:t>
      </w:r>
      <w:r>
        <w:fldChar w:fldCharType="end"/>
      </w:r>
      <w:r>
        <w:fldChar w:fldCharType="begin"/>
      </w:r>
      <w:r>
        <w:instrText xml:space="preserve"> HYPERLINK "https://www.theguardian.com/technology/2019/aug/23/hong-kong-protests-youtube-takes-down-200-channels-spreading-disinformation" </w:instrText>
      </w:r>
      <w:r>
        <w:fldChar w:fldCharType="separate"/>
      </w:r>
      <w:r w:rsidRPr="001C1B82">
        <w:rPr>
          <w:rFonts w:eastAsia="Times New Roman" w:cs="Times New Roman"/>
          <w:color w:val="0563C1"/>
          <w:szCs w:val="16"/>
          <w:u w:val="single" w:color="0563C1"/>
        </w:rPr>
        <w:t>200-channels-spreading-disinformation</w:t>
      </w:r>
      <w:r>
        <w:fldChar w:fldCharType="end"/>
      </w:r>
      <w:r>
        <w:fldChar w:fldCharType="begin"/>
      </w:r>
      <w:r>
        <w:instrText xml:space="preserve"> HYPERLINK "https://www.theguardian.com/technology/2019/aug/23/hong-kong-protests-youtube-takes-down-200-channels-spreading-disinformation" </w:instrText>
      </w:r>
      <w:r>
        <w:fldChar w:fldCharType="separate"/>
      </w:r>
      <w:r w:rsidRPr="001C1B82">
        <w:rPr>
          <w:rFonts w:eastAsia="Times New Roman" w:cs="Times New Roman"/>
          <w:szCs w:val="16"/>
        </w:rPr>
        <w:t>;</w:t>
      </w:r>
      <w:r>
        <w:fldChar w:fldCharType="end"/>
      </w:r>
      <w:r w:rsidRPr="001C1B82">
        <w:rPr>
          <w:rFonts w:eastAsia="Times New Roman" w:cs="Times New Roman"/>
          <w:szCs w:val="16"/>
        </w:rPr>
        <w:t xml:space="preserve"> Twitter Safety ‘information operations directed at Hong Kong’(Twitter Blog, 19 </w:t>
      </w:r>
    </w:p>
    <w:p w:rsidR="00673732" w:rsidRPr="001C1B82">
      <w:pPr>
        <w:pStyle w:val="footnotedescription"/>
        <w:spacing w:line="238" w:lineRule="auto"/>
        <w:ind w:left="360" w:right="614"/>
        <w:jc w:val="both"/>
        <w:rPr>
          <w:szCs w:val="16"/>
        </w:rPr>
      </w:pPr>
      <w:r w:rsidRPr="001C1B82">
        <w:rPr>
          <w:rFonts w:eastAsia="Times New Roman" w:cs="Times New Roman"/>
          <w:szCs w:val="16"/>
        </w:rPr>
        <w:t xml:space="preserve">August 2019), available at </w:t>
      </w:r>
      <w:r>
        <w:fldChar w:fldCharType="begin"/>
      </w:r>
      <w:r>
        <w:instrText xml:space="preserve"> HYPERLINK "https://blog.twitter.com/en_us/topics/company/2019/information_operations_directed_at_Hong_Kong.html" </w:instrText>
      </w:r>
      <w:r>
        <w:fldChar w:fldCharType="separate"/>
      </w:r>
      <w:r w:rsidRPr="001C1B82">
        <w:rPr>
          <w:rFonts w:eastAsia="Times New Roman" w:cs="Times New Roman"/>
          <w:color w:val="0563C1"/>
          <w:szCs w:val="16"/>
          <w:u w:val="single" w:color="0563C1"/>
        </w:rPr>
        <w:t>https://blog.twitter.com/en_us/topics/company/2019/information_operations_directed_at_Hong_Kong.html</w:t>
      </w:r>
      <w:r>
        <w:fldChar w:fldCharType="end"/>
      </w:r>
      <w:r>
        <w:fldChar w:fldCharType="begin"/>
      </w:r>
      <w:r>
        <w:instrText xml:space="preserve"> HYPERLINK "https://blog.twitter.com/en_us/topics/company/2019/information_operations_directed_at_Hong_Kong.html" </w:instrText>
      </w:r>
      <w:r>
        <w:fldChar w:fldCharType="separate"/>
      </w:r>
      <w:r w:rsidRPr="001C1B82">
        <w:rPr>
          <w:rFonts w:eastAsia="Times New Roman" w:cs="Times New Roman"/>
          <w:szCs w:val="16"/>
        </w:rPr>
        <w:t xml:space="preserve"> </w:t>
      </w:r>
      <w:r>
        <w:fldChar w:fldCharType="end"/>
      </w:r>
      <w:r w:rsidRPr="001C1B82">
        <w:rPr>
          <w:rFonts w:eastAsia="Times New Roman" w:cs="Times New Roman"/>
          <w:szCs w:val="16"/>
        </w:rPr>
        <w:t xml:space="preserve">and Nathaniel Gleicher, ‘Removing Coordinated Inauthentic Behavior from China’ (Facebook Newsroom, 19 August 2019), available at </w:t>
      </w:r>
      <w:r>
        <w:fldChar w:fldCharType="begin"/>
      </w:r>
      <w:r>
        <w:instrText xml:space="preserve"> HYPERLINK "https://newsroom.fb.com/news/2019/08/removing-cib-china/" </w:instrText>
      </w:r>
      <w:r>
        <w:fldChar w:fldCharType="separate"/>
      </w:r>
      <w:r w:rsidRPr="001C1B82">
        <w:rPr>
          <w:rFonts w:eastAsia="Times New Roman" w:cs="Times New Roman"/>
          <w:color w:val="0563C1"/>
          <w:szCs w:val="16"/>
          <w:u w:val="single" w:color="0563C1"/>
        </w:rPr>
        <w:t>https://newsroom.fb.com/news/2019/08/removing-cib-china/</w:t>
      </w:r>
      <w:r>
        <w:fldChar w:fldCharType="end"/>
      </w:r>
      <w:r>
        <w:fldChar w:fldCharType="begin"/>
      </w:r>
      <w:r>
        <w:instrText xml:space="preserve"> HYPERLINK "https://newsroom.fb.com/news/2019/08/removing-cib-china/" </w:instrText>
      </w:r>
      <w:r>
        <w:fldChar w:fldCharType="separate"/>
      </w:r>
      <w:r w:rsidRPr="001C1B82">
        <w:rPr>
          <w:rFonts w:eastAsia="Times New Roman" w:cs="Times New Roman"/>
          <w:szCs w:val="16"/>
        </w:rPr>
        <w:t>.</w:t>
      </w:r>
      <w:r>
        <w:fldChar w:fldCharType="end"/>
      </w:r>
      <w:r w:rsidRPr="001C1B82">
        <w:rPr>
          <w:rFonts w:eastAsia="Times New Roman" w:cs="Times New Roman"/>
          <w:szCs w:val="16"/>
        </w:rPr>
        <w:t xml:space="preserve"> </w:t>
      </w:r>
    </w:p>
  </w:footnote>
  <w:footnote w:id="383">
    <w:p w:rsidR="00673732" w:rsidRPr="001C1B82">
      <w:pPr>
        <w:pStyle w:val="footnotedescription"/>
        <w:spacing w:line="255" w:lineRule="auto"/>
        <w:ind w:left="360" w:right="613"/>
        <w:jc w:val="both"/>
        <w:rPr>
          <w:szCs w:val="16"/>
        </w:rPr>
      </w:pPr>
      <w:r w:rsidRPr="001C1B82">
        <w:rPr>
          <w:rStyle w:val="footnotemark"/>
          <w:szCs w:val="16"/>
        </w:rPr>
        <w:footnoteRef/>
      </w:r>
      <w:r w:rsidRPr="001C1B82">
        <w:rPr>
          <w:szCs w:val="16"/>
        </w:rPr>
        <w:t xml:space="preserve"> </w:t>
      </w:r>
      <w:r w:rsidRPr="001C1B82">
        <w:rPr>
          <w:rFonts w:eastAsia="Times New Roman" w:cs="Times New Roman"/>
          <w:szCs w:val="16"/>
        </w:rPr>
        <w:t>Steven Lee Myers and Paul Mozur, ‘China Is Waging a Disinformation War Against Hong Kong Protesters’(New York Times, 13 August 2019) Emily Stewart, How China used Facebook, Twitter, and YouTube to spread disinformation about the Hong Kong protests, (Vox, 23 August 2019).</w:t>
      </w:r>
      <w:r w:rsidRPr="001C1B82">
        <w:rPr>
          <w:rFonts w:eastAsia="Times New Roman" w:cs="Times New Roman"/>
          <w:b/>
          <w:i/>
          <w:szCs w:val="16"/>
        </w:rPr>
        <w:t xml:space="preserve"> </w:t>
      </w:r>
    </w:p>
  </w:footnote>
  <w:footnote w:id="384">
    <w:p w:rsidR="00673732" w:rsidRPr="001C1B82">
      <w:pPr>
        <w:pStyle w:val="footnotedescription"/>
        <w:spacing w:line="249" w:lineRule="auto"/>
        <w:ind w:left="360" w:right="612"/>
        <w:jc w:val="both"/>
        <w:rPr>
          <w:szCs w:val="16"/>
        </w:rPr>
      </w:pPr>
      <w:r w:rsidRPr="001C1B82">
        <w:rPr>
          <w:rStyle w:val="footnotemark"/>
          <w:szCs w:val="16"/>
        </w:rPr>
        <w:footnoteRef/>
      </w:r>
      <w:r w:rsidRPr="001C1B82">
        <w:rPr>
          <w:rFonts w:eastAsia="Times New Roman" w:cs="Times New Roman"/>
          <w:szCs w:val="16"/>
        </w:rPr>
        <w:t xml:space="preserve"> See, for instance, Carly Nyst and Nick Monaco, ‘State-sponsored trolling: How Governments Are Deploying Disinformation as Part of Broader Digital Harassment Campaigns’ (Institute for the Future &amp; Digital Intelligence-Futures Lab, 2018) and Claire Wardle &amp; Hossein Derakhshan, ‘Information Disorder. Toward an interdisciplinary framework for research and policymaking’ (Council of Europe Report DGI 09-2017, 27 September 2017). </w:t>
      </w:r>
    </w:p>
  </w:footnote>
  <w:footnote w:id="385">
    <w:p w:rsidR="00673732" w:rsidRPr="001C1B82">
      <w:pPr>
        <w:pStyle w:val="footnotedescription"/>
        <w:spacing w:line="262" w:lineRule="auto"/>
        <w:ind w:left="360"/>
        <w:rPr>
          <w:szCs w:val="16"/>
        </w:rPr>
      </w:pPr>
      <w:r w:rsidRPr="001C1B82">
        <w:rPr>
          <w:rStyle w:val="footnotemark"/>
          <w:szCs w:val="16"/>
        </w:rPr>
        <w:footnoteRef/>
      </w:r>
      <w:r w:rsidRPr="001C1B82">
        <w:rPr>
          <w:szCs w:val="16"/>
        </w:rPr>
        <w:t xml:space="preserve"> </w:t>
      </w:r>
      <w:r w:rsidRPr="001C1B82">
        <w:rPr>
          <w:rFonts w:eastAsia="Times New Roman" w:cs="Times New Roman"/>
          <w:szCs w:val="16"/>
        </w:rPr>
        <w:t xml:space="preserve">World Health Organisation, ‘Vaccine Safety Communication in the Digital Age’, April 2019, available at </w:t>
      </w:r>
      <w:r>
        <w:fldChar w:fldCharType="begin"/>
      </w:r>
      <w:r>
        <w:instrText xml:space="preserve"> HYPERLINK "https://www.who.int/vaccine_safety/publications/hi-light-vax-safe-digital-age/en/" </w:instrText>
      </w:r>
      <w:r>
        <w:fldChar w:fldCharType="separate"/>
      </w:r>
      <w:r w:rsidRPr="001C1B82">
        <w:rPr>
          <w:rFonts w:eastAsia="Times New Roman" w:cs="Times New Roman"/>
          <w:color w:val="0563C1"/>
          <w:szCs w:val="16"/>
          <w:u w:val="single" w:color="0563C1"/>
        </w:rPr>
        <w:t>https://www.who.int/vaccine_safety/publications/hi-light-vax-safe-digital-age/en/</w:t>
      </w:r>
      <w:r>
        <w:fldChar w:fldCharType="end"/>
      </w:r>
      <w:r>
        <w:fldChar w:fldCharType="begin"/>
      </w:r>
      <w:r>
        <w:instrText xml:space="preserve"> HYPERLINK "https://www.who.int/vaccine_safety/publications/hi-light-vax-safe-digital-age/en/" </w:instrText>
      </w:r>
      <w:r>
        <w:fldChar w:fldCharType="separate"/>
      </w:r>
      <w:r w:rsidRPr="001C1B82">
        <w:rPr>
          <w:rFonts w:eastAsia="Times New Roman" w:cs="Times New Roman"/>
          <w:szCs w:val="16"/>
        </w:rPr>
        <w:t>.</w:t>
      </w:r>
      <w:r>
        <w:fldChar w:fldCharType="end"/>
      </w:r>
      <w:r w:rsidRPr="001C1B82">
        <w:rPr>
          <w:rFonts w:eastAsia="Times New Roman" w:cs="Times New Roman"/>
          <w:szCs w:val="16"/>
        </w:rPr>
        <w:t xml:space="preserve"> </w:t>
      </w:r>
    </w:p>
  </w:footnote>
  <w:footnote w:id="386">
    <w:p w:rsidR="00673732" w:rsidRPr="001C1B82">
      <w:pPr>
        <w:pStyle w:val="footnotedescription"/>
        <w:ind w:left="360"/>
        <w:rPr>
          <w:szCs w:val="16"/>
        </w:rPr>
      </w:pPr>
      <w:r w:rsidRPr="001C1B82">
        <w:rPr>
          <w:rStyle w:val="footnotemark"/>
          <w:szCs w:val="16"/>
        </w:rPr>
        <w:footnoteRef/>
      </w:r>
      <w:r w:rsidRPr="001C1B82">
        <w:rPr>
          <w:rFonts w:eastAsia="Times New Roman" w:cs="Times New Roman"/>
          <w:szCs w:val="16"/>
        </w:rPr>
        <w:t xml:space="preserve"> Nicola Davis, ‘Lives at risk from surge in measles across Europe, expert warn’ (The Guardian, 29 August 2019). </w:t>
      </w:r>
    </w:p>
  </w:footnote>
  <w:footnote w:id="387">
    <w:p w:rsidR="00673732" w:rsidRPr="001C1B82">
      <w:pPr>
        <w:pStyle w:val="footnotedescription"/>
        <w:spacing w:line="242" w:lineRule="auto"/>
        <w:ind w:left="360"/>
        <w:rPr>
          <w:szCs w:val="16"/>
        </w:rPr>
      </w:pPr>
      <w:r w:rsidRPr="001C1B82">
        <w:rPr>
          <w:rStyle w:val="footnotemark"/>
          <w:szCs w:val="16"/>
        </w:rPr>
        <w:footnoteRef/>
      </w:r>
      <w:r w:rsidRPr="001C1B82">
        <w:rPr>
          <w:szCs w:val="16"/>
        </w:rPr>
        <w:t xml:space="preserve"> </w:t>
      </w:r>
      <w:r w:rsidRPr="001C1B82">
        <w:rPr>
          <w:rFonts w:eastAsia="Times New Roman" w:cs="Times New Roman"/>
          <w:szCs w:val="16"/>
        </w:rPr>
        <w:t xml:space="preserve">Office </w:t>
      </w:r>
      <w:r w:rsidRPr="001C1B82">
        <w:rPr>
          <w:rFonts w:eastAsia="Times New Roman" w:cs="Times New Roman"/>
          <w:szCs w:val="16"/>
        </w:rPr>
        <w:tab/>
        <w:t xml:space="preserve">for </w:t>
      </w:r>
      <w:r w:rsidRPr="001C1B82">
        <w:rPr>
          <w:rFonts w:eastAsia="Times New Roman" w:cs="Times New Roman"/>
          <w:szCs w:val="16"/>
        </w:rPr>
        <w:tab/>
        <w:t xml:space="preserve">National </w:t>
      </w:r>
      <w:r w:rsidRPr="001C1B82">
        <w:rPr>
          <w:rFonts w:eastAsia="Times New Roman" w:cs="Times New Roman"/>
          <w:szCs w:val="16"/>
        </w:rPr>
        <w:tab/>
        <w:t xml:space="preserve">Statistics, </w:t>
      </w:r>
      <w:r w:rsidRPr="001C1B82">
        <w:rPr>
          <w:rFonts w:eastAsia="Times New Roman" w:cs="Times New Roman"/>
          <w:szCs w:val="16"/>
        </w:rPr>
        <w:tab/>
        <w:t xml:space="preserve">Exploring </w:t>
      </w:r>
      <w:r w:rsidRPr="001C1B82">
        <w:rPr>
          <w:rFonts w:eastAsia="Times New Roman" w:cs="Times New Roman"/>
          <w:szCs w:val="16"/>
        </w:rPr>
        <w:tab/>
        <w:t xml:space="preserve">the </w:t>
      </w:r>
      <w:r w:rsidRPr="001C1B82">
        <w:rPr>
          <w:rFonts w:eastAsia="Times New Roman" w:cs="Times New Roman"/>
          <w:szCs w:val="16"/>
        </w:rPr>
        <w:tab/>
        <w:t xml:space="preserve">UK’s </w:t>
      </w:r>
      <w:r w:rsidRPr="001C1B82">
        <w:rPr>
          <w:rFonts w:eastAsia="Times New Roman" w:cs="Times New Roman"/>
          <w:szCs w:val="16"/>
        </w:rPr>
        <w:tab/>
        <w:t xml:space="preserve">digital </w:t>
      </w:r>
      <w:r w:rsidRPr="001C1B82">
        <w:rPr>
          <w:rFonts w:eastAsia="Times New Roman" w:cs="Times New Roman"/>
          <w:szCs w:val="16"/>
        </w:rPr>
        <w:tab/>
        <w:t xml:space="preserve">divide, </w:t>
      </w:r>
      <w:r w:rsidRPr="001C1B82">
        <w:rPr>
          <w:rFonts w:eastAsia="Times New Roman" w:cs="Times New Roman"/>
          <w:szCs w:val="16"/>
        </w:rPr>
        <w:tab/>
        <w:t xml:space="preserve">4 </w:t>
      </w:r>
      <w:r w:rsidRPr="001C1B82">
        <w:rPr>
          <w:rFonts w:eastAsia="Times New Roman" w:cs="Times New Roman"/>
          <w:szCs w:val="16"/>
        </w:rPr>
        <w:tab/>
        <w:t xml:space="preserve">March </w:t>
      </w:r>
      <w:r w:rsidRPr="001C1B82">
        <w:rPr>
          <w:rFonts w:eastAsia="Times New Roman" w:cs="Times New Roman"/>
          <w:szCs w:val="16"/>
        </w:rPr>
        <w:tab/>
        <w:t xml:space="preserve">2019, </w:t>
      </w:r>
      <w:r w:rsidRPr="001C1B82">
        <w:rPr>
          <w:rFonts w:eastAsia="Times New Roman" w:cs="Times New Roman"/>
          <w:szCs w:val="16"/>
        </w:rPr>
        <w:tab/>
        <w:t xml:space="preserve">available </w:t>
      </w:r>
      <w:r w:rsidRPr="001C1B82">
        <w:rPr>
          <w:rFonts w:eastAsia="Times New Roman" w:cs="Times New Roman"/>
          <w:szCs w:val="16"/>
        </w:rPr>
        <w:tab/>
        <w:t xml:space="preserve">at </w:t>
      </w:r>
      <w:r>
        <w:fldChar w:fldCharType="begin"/>
      </w:r>
      <w:r>
        <w:instrText xml:space="preserve"> HYPERLINK "https://www.ons.gov.uk/peoplepopulationandcommunity/householdcharacteristics/homeinternetandsocialmediausage/articles/exploringtheuksdigitaldivide/2019-03-04" \l "why-does-digital-exclusion-matter" </w:instrText>
      </w:r>
      <w:r>
        <w:fldChar w:fldCharType="separate"/>
      </w:r>
      <w:r w:rsidRPr="001C1B82">
        <w:rPr>
          <w:rFonts w:eastAsia="Times New Roman" w:cs="Times New Roman"/>
          <w:color w:val="0563C1"/>
          <w:szCs w:val="16"/>
          <w:u w:val="single" w:color="0563C1"/>
        </w:rPr>
        <w:t xml:space="preserve">https://www.ons.gov.uk/peoplepopulationandcommunity/householdcharacteristics/homeinternetandsocialmediausage/articles </w:t>
      </w:r>
      <w:r>
        <w:fldChar w:fldCharType="end"/>
      </w:r>
      <w:r>
        <w:fldChar w:fldCharType="begin"/>
      </w:r>
      <w:r>
        <w:instrText xml:space="preserve"> HYPERLINK "https://www.ons.gov.uk/peoplepopulationandcommunity/householdcharacteristics/homeinternetandsocialmediausage/articles/exploringtheuksdigitaldivide/2019-03-04" \l "why-does-digital-exclusion-matter" </w:instrText>
      </w:r>
      <w:r>
        <w:fldChar w:fldCharType="separate"/>
      </w:r>
      <w:r w:rsidRPr="001C1B82">
        <w:rPr>
          <w:rFonts w:eastAsia="Times New Roman" w:cs="Times New Roman"/>
          <w:color w:val="0563C1"/>
          <w:szCs w:val="16"/>
          <w:u w:val="single" w:color="0563C1"/>
        </w:rPr>
        <w:t>/exploringtheuksdigitaldivide/2019-03-04#why-does-digital-exclusion-matter</w:t>
      </w:r>
      <w:r>
        <w:fldChar w:fldCharType="end"/>
      </w:r>
      <w:r>
        <w:fldChar w:fldCharType="begin"/>
      </w:r>
      <w:r>
        <w:instrText xml:space="preserve"> HYPERLINK "https://www.ons.gov.uk/peoplepopulationandcommunity/householdcharacteristics/homeinternetandsocialmediausage/articles/exploringtheuksdigitaldivide/2019-03-04" \l "why-does-digital-exclusion-matter" </w:instrText>
      </w:r>
      <w:r>
        <w:fldChar w:fldCharType="separate"/>
      </w:r>
      <w:r w:rsidRPr="001C1B82">
        <w:rPr>
          <w:rFonts w:eastAsia="Times New Roman" w:cs="Times New Roman"/>
          <w:szCs w:val="16"/>
        </w:rPr>
        <w:t>.</w:t>
      </w:r>
      <w:r>
        <w:fldChar w:fldCharType="end"/>
      </w:r>
      <w:r w:rsidRPr="001C1B82">
        <w:rPr>
          <w:rFonts w:eastAsia="Times New Roman" w:cs="Times New Roman"/>
          <w:szCs w:val="16"/>
        </w:rPr>
        <w:t xml:space="preserve"> </w:t>
      </w:r>
    </w:p>
  </w:footnote>
  <w:footnote w:id="388">
    <w:p w:rsidR="00673732" w:rsidRPr="001C1B82">
      <w:pPr>
        <w:pStyle w:val="footnotedescription"/>
        <w:spacing w:line="276" w:lineRule="auto"/>
        <w:ind w:left="360" w:right="260"/>
        <w:jc w:val="both"/>
        <w:rPr>
          <w:szCs w:val="16"/>
        </w:rPr>
      </w:pPr>
      <w:r w:rsidRPr="001C1B82">
        <w:rPr>
          <w:rStyle w:val="footnotemark"/>
          <w:szCs w:val="16"/>
        </w:rPr>
        <w:footnoteRef/>
      </w:r>
      <w:r w:rsidRPr="001C1B82">
        <w:rPr>
          <w:rFonts w:eastAsia="Times New Roman" w:cs="Times New Roman"/>
          <w:szCs w:val="16"/>
        </w:rPr>
        <w:t xml:space="preserve"> European Commission, A multi-dimensional approach to disinformation. Report of the independent High level Group on fake news online disinformation (March 2018). </w:t>
      </w:r>
    </w:p>
  </w:footnote>
  <w:footnote w:id="389">
    <w:p w:rsidR="00673732" w:rsidRPr="001C1B82">
      <w:pPr>
        <w:pStyle w:val="footnotedescription"/>
        <w:spacing w:line="257" w:lineRule="auto"/>
        <w:ind w:left="360" w:right="214"/>
        <w:rPr>
          <w:szCs w:val="16"/>
        </w:rPr>
      </w:pPr>
      <w:r w:rsidRPr="001C1B82">
        <w:rPr>
          <w:rStyle w:val="footnotemark"/>
          <w:szCs w:val="16"/>
        </w:rPr>
        <w:footnoteRef/>
      </w:r>
      <w:r w:rsidRPr="001C1B82">
        <w:rPr>
          <w:rFonts w:eastAsia="Times New Roman" w:cs="Times New Roman"/>
          <w:szCs w:val="16"/>
        </w:rPr>
        <w:t xml:space="preserve"> Natalie Nougayrede, ‘In this age of propaganda, we must defend ourselves. Here’s how’ (The Guardian, 31 January 2018), available at </w:t>
      </w:r>
      <w:r>
        <w:fldChar w:fldCharType="begin"/>
      </w:r>
      <w:r>
        <w:instrText xml:space="preserve"> HYPERLINK "https://www.theguardian.com/commentisfree/2018/jan/31/propaganda-defend-russia-technology" </w:instrText>
      </w:r>
      <w:r>
        <w:fldChar w:fldCharType="separate"/>
      </w:r>
      <w:r w:rsidRPr="001C1B82">
        <w:rPr>
          <w:rFonts w:eastAsia="Times New Roman" w:cs="Times New Roman"/>
          <w:color w:val="0563C1"/>
          <w:szCs w:val="16"/>
          <w:u w:val="single" w:color="0563C1"/>
        </w:rPr>
        <w:t>https://www.theguardian.com/commentisfree/2018/jan/31/propaganda-defend-russia</w:t>
      </w:r>
      <w:r>
        <w:fldChar w:fldCharType="end"/>
      </w:r>
      <w:r>
        <w:fldChar w:fldCharType="begin"/>
      </w:r>
      <w:r>
        <w:instrText xml:space="preserve"> HYPERLINK "https://www.theguardian.com/commentisfree/2018/jan/31/propaganda-defend-russia-technology" </w:instrText>
      </w:r>
      <w:r>
        <w:fldChar w:fldCharType="separate"/>
      </w:r>
      <w:r w:rsidRPr="001C1B82">
        <w:rPr>
          <w:rFonts w:eastAsia="Times New Roman" w:cs="Times New Roman"/>
          <w:color w:val="0563C1"/>
          <w:szCs w:val="16"/>
          <w:u w:val="single" w:color="0563C1"/>
        </w:rPr>
        <w:t>technology</w:t>
      </w:r>
      <w:r>
        <w:fldChar w:fldCharType="end"/>
      </w:r>
      <w:r>
        <w:fldChar w:fldCharType="begin"/>
      </w:r>
      <w:r>
        <w:instrText xml:space="preserve"> HYPERLINK "https://www.theguardian.com/commentisfree/2018/jan/31/propaganda-defend-russia-technology" </w:instrText>
      </w:r>
      <w:r>
        <w:fldChar w:fldCharType="separate"/>
      </w:r>
      <w:r w:rsidRPr="001C1B82">
        <w:rPr>
          <w:rFonts w:eastAsia="Times New Roman" w:cs="Times New Roman"/>
          <w:szCs w:val="16"/>
        </w:rPr>
        <w:t>.</w:t>
      </w:r>
      <w:r>
        <w:fldChar w:fldCharType="end"/>
      </w:r>
      <w:r w:rsidRPr="001C1B82">
        <w:rPr>
          <w:rFonts w:eastAsia="Times New Roman" w:cs="Times New Roman"/>
          <w:szCs w:val="16"/>
        </w:rPr>
        <w:t xml:space="preserve"> </w:t>
      </w:r>
    </w:p>
  </w:footnote>
  <w:footnote w:id="390">
    <w:p w:rsidR="00673732" w:rsidRPr="001C1B82">
      <w:pPr>
        <w:pStyle w:val="footnotedescription"/>
        <w:spacing w:line="255" w:lineRule="auto"/>
        <w:ind w:left="360"/>
        <w:rPr>
          <w:szCs w:val="16"/>
        </w:rPr>
      </w:pPr>
      <w:r w:rsidRPr="001C1B82">
        <w:rPr>
          <w:rStyle w:val="footnotemark"/>
          <w:szCs w:val="16"/>
        </w:rPr>
        <w:footnoteRef/>
      </w:r>
      <w:r w:rsidRPr="001C1B82">
        <w:rPr>
          <w:szCs w:val="16"/>
        </w:rPr>
        <w:t xml:space="preserve"> </w:t>
      </w:r>
      <w:r w:rsidRPr="001C1B82">
        <w:rPr>
          <w:rFonts w:eastAsia="Times New Roman" w:cs="Times New Roman"/>
          <w:szCs w:val="16"/>
        </w:rPr>
        <w:t xml:space="preserve">Poynter, ‘A guide to anti-misinformation actions around the world’, available at </w:t>
      </w:r>
      <w:r>
        <w:fldChar w:fldCharType="begin"/>
      </w:r>
      <w:r>
        <w:instrText xml:space="preserve"> HYPERLINK "https://www.poynter.org/ifcn/anti-misinformation-actions/" </w:instrText>
      </w:r>
      <w:r>
        <w:fldChar w:fldCharType="separate"/>
      </w:r>
      <w:r w:rsidRPr="001C1B82">
        <w:rPr>
          <w:rFonts w:eastAsia="Times New Roman" w:cs="Times New Roman"/>
          <w:color w:val="0563C1"/>
          <w:szCs w:val="16"/>
          <w:u w:val="single" w:color="0563C1"/>
        </w:rPr>
        <w:t>https://www.poynter.org/ifcn/anti</w:t>
      </w:r>
      <w:r>
        <w:fldChar w:fldCharType="end"/>
      </w:r>
      <w:r>
        <w:fldChar w:fldCharType="begin"/>
      </w:r>
      <w:r>
        <w:instrText xml:space="preserve"> HYPERLINK "https://www.poynter.org/ifcn/anti-misinformation-actions/" </w:instrText>
      </w:r>
      <w:r>
        <w:fldChar w:fldCharType="separate"/>
      </w:r>
      <w:r w:rsidRPr="001C1B82">
        <w:rPr>
          <w:rFonts w:eastAsia="Times New Roman" w:cs="Times New Roman"/>
          <w:color w:val="0563C1"/>
          <w:szCs w:val="16"/>
          <w:u w:val="single" w:color="0563C1"/>
        </w:rPr>
        <w:t>misinformation-actions/</w:t>
      </w:r>
      <w:r>
        <w:fldChar w:fldCharType="end"/>
      </w:r>
      <w:r>
        <w:fldChar w:fldCharType="begin"/>
      </w:r>
      <w:r>
        <w:instrText xml:space="preserve"> HYPERLINK "https://www.poynter.org/ifcn/anti-misinformation-actions/" </w:instrText>
      </w:r>
      <w:r>
        <w:fldChar w:fldCharType="separate"/>
      </w:r>
      <w:r w:rsidRPr="001C1B82">
        <w:rPr>
          <w:rFonts w:eastAsia="Times New Roman" w:cs="Times New Roman"/>
          <w:color w:val="0563C1"/>
          <w:szCs w:val="16"/>
          <w:u w:val="single" w:color="0563C1"/>
        </w:rPr>
        <w:t>.</w:t>
      </w:r>
      <w:r>
        <w:fldChar w:fldCharType="end"/>
      </w:r>
      <w:r w:rsidRPr="001C1B82">
        <w:rPr>
          <w:rFonts w:eastAsia="Times New Roman" w:cs="Times New Roman"/>
          <w:szCs w:val="16"/>
        </w:rPr>
        <w:t xml:space="preserve"> </w:t>
      </w:r>
    </w:p>
  </w:footnote>
  <w:footnote w:id="391">
    <w:p w:rsidR="00673732" w:rsidRPr="001C1B82">
      <w:pPr>
        <w:pStyle w:val="footnotedescription"/>
        <w:spacing w:after="2" w:line="247" w:lineRule="auto"/>
        <w:ind w:left="360" w:right="613"/>
        <w:jc w:val="both"/>
        <w:rPr>
          <w:szCs w:val="16"/>
        </w:rPr>
      </w:pPr>
      <w:r w:rsidRPr="001C1B82">
        <w:rPr>
          <w:rStyle w:val="footnotemark"/>
          <w:szCs w:val="16"/>
        </w:rPr>
        <w:footnoteRef/>
      </w:r>
      <w:r w:rsidRPr="001C1B82">
        <w:rPr>
          <w:rFonts w:eastAsia="Times New Roman" w:cs="Times New Roman"/>
          <w:szCs w:val="16"/>
        </w:rPr>
        <w:t xml:space="preserve"> See also the Joint Declaration on ‘“Fake News,” Disinformation and Propaganda’, The United Nations (UN) Special Rapporteur on Freedom of Opinion and Expression, the Organization for Security and Co-operation in Europe (OSCE) Representative on Freedom of the Media, the Organization of American States (OAS) Special Rapporteur on Freedom of Expression and the African Commission on Human and Peoples’ Rights (ACHPR) Special Rapporteur on Freedom of Expression and Access to Information (3 March 2017), available a</w:t>
      </w:r>
      <w:r>
        <w:fldChar w:fldCharType="begin"/>
      </w:r>
      <w:r>
        <w:instrText xml:space="preserve"> HYPERLINK "https://www.osce.org/fom/302796" </w:instrText>
      </w:r>
      <w:r>
        <w:fldChar w:fldCharType="separate"/>
      </w:r>
      <w:r w:rsidRPr="001C1B82">
        <w:rPr>
          <w:rFonts w:eastAsia="Times New Roman" w:cs="Times New Roman"/>
          <w:szCs w:val="16"/>
        </w:rPr>
        <w:t xml:space="preserve">t </w:t>
      </w:r>
      <w:r>
        <w:fldChar w:fldCharType="end"/>
      </w:r>
      <w:r>
        <w:fldChar w:fldCharType="begin"/>
      </w:r>
      <w:r>
        <w:instrText xml:space="preserve"> HYPERLINK "https://www.osce.org/fom/302796" </w:instrText>
      </w:r>
      <w:r>
        <w:fldChar w:fldCharType="separate"/>
      </w:r>
      <w:r w:rsidRPr="001C1B82">
        <w:rPr>
          <w:rFonts w:eastAsia="Times New Roman" w:cs="Times New Roman"/>
          <w:color w:val="0563C1"/>
          <w:szCs w:val="16"/>
          <w:u w:val="single" w:color="0563C1"/>
        </w:rPr>
        <w:t>https://www.osce.org/fom/302796</w:t>
      </w:r>
      <w:r>
        <w:fldChar w:fldCharType="end"/>
      </w:r>
      <w:r>
        <w:fldChar w:fldCharType="begin"/>
      </w:r>
      <w:r>
        <w:instrText xml:space="preserve"> HYPERLINK "https://www.osce.org/fom/302796" </w:instrText>
      </w:r>
      <w:r>
        <w:fldChar w:fldCharType="separate"/>
      </w:r>
      <w:r w:rsidRPr="001C1B82">
        <w:rPr>
          <w:rFonts w:eastAsia="Times New Roman" w:cs="Times New Roman"/>
          <w:szCs w:val="16"/>
        </w:rPr>
        <w:t>.</w:t>
      </w:r>
      <w:r>
        <w:fldChar w:fldCharType="end"/>
      </w:r>
      <w:r w:rsidRPr="001C1B82">
        <w:rPr>
          <w:rFonts w:eastAsia="Times New Roman" w:cs="Times New Roman"/>
          <w:szCs w:val="16"/>
        </w:rPr>
        <w:t xml:space="preserve"> </w:t>
      </w:r>
    </w:p>
  </w:footnote>
  <w:footnote w:id="392">
    <w:p w:rsidR="00673732" w:rsidRPr="001C1B82">
      <w:pPr>
        <w:pStyle w:val="footnotedescription"/>
        <w:ind w:left="360"/>
        <w:rPr>
          <w:szCs w:val="16"/>
        </w:rPr>
      </w:pPr>
      <w:r w:rsidRPr="001C1B82">
        <w:rPr>
          <w:rStyle w:val="footnotemark"/>
          <w:szCs w:val="16"/>
        </w:rPr>
        <w:footnoteRef/>
      </w:r>
      <w:r w:rsidRPr="001C1B82">
        <w:rPr>
          <w:rFonts w:eastAsia="Times New Roman" w:cs="Times New Roman"/>
          <w:szCs w:val="16"/>
        </w:rPr>
        <w:t xml:space="preserve"> Reporters Without Borders, 2019 World Press Freedom Index, available a</w:t>
      </w:r>
      <w:r>
        <w:fldChar w:fldCharType="begin"/>
      </w:r>
      <w:r>
        <w:instrText xml:space="preserve"> HYPERLINK "https://rsf.org/en/ranking" </w:instrText>
      </w:r>
      <w:r>
        <w:fldChar w:fldCharType="separate"/>
      </w:r>
      <w:r w:rsidRPr="001C1B82">
        <w:rPr>
          <w:rFonts w:eastAsia="Times New Roman" w:cs="Times New Roman"/>
          <w:szCs w:val="16"/>
        </w:rPr>
        <w:t xml:space="preserve">t </w:t>
      </w:r>
      <w:r>
        <w:fldChar w:fldCharType="end"/>
      </w:r>
      <w:r>
        <w:fldChar w:fldCharType="begin"/>
      </w:r>
      <w:r>
        <w:instrText xml:space="preserve"> HYPERLINK "https://rsf.org/en/ranking" </w:instrText>
      </w:r>
      <w:r>
        <w:fldChar w:fldCharType="separate"/>
      </w:r>
      <w:r w:rsidRPr="001C1B82">
        <w:rPr>
          <w:rFonts w:eastAsia="Times New Roman" w:cs="Times New Roman"/>
          <w:color w:val="0563C1"/>
          <w:szCs w:val="16"/>
          <w:u w:val="single" w:color="0563C1"/>
        </w:rPr>
        <w:t>https://rsf.org/en/ranking</w:t>
      </w:r>
      <w:r>
        <w:fldChar w:fldCharType="end"/>
      </w:r>
      <w:r>
        <w:fldChar w:fldCharType="begin"/>
      </w:r>
      <w:r>
        <w:instrText xml:space="preserve"> HYPERLINK "https://rsf.org/en/ranking" </w:instrText>
      </w:r>
      <w:r>
        <w:fldChar w:fldCharType="separate"/>
      </w:r>
      <w:r w:rsidRPr="001C1B82">
        <w:rPr>
          <w:rFonts w:eastAsia="Times New Roman" w:cs="Times New Roman"/>
          <w:szCs w:val="16"/>
        </w:rPr>
        <w:t>.</w:t>
      </w:r>
      <w:r>
        <w:fldChar w:fldCharType="end"/>
      </w:r>
      <w:r w:rsidRPr="001C1B82">
        <w:rPr>
          <w:rFonts w:eastAsia="Times New Roman" w:cs="Times New Roman"/>
          <w:szCs w:val="16"/>
        </w:rPr>
        <w:t xml:space="preserve"> </w:t>
      </w:r>
    </w:p>
  </w:footnote>
  <w:footnote w:id="393">
    <w:p w:rsidR="00673732" w:rsidRPr="001C1B82">
      <w:pPr>
        <w:pStyle w:val="footnotedescription"/>
        <w:spacing w:line="273" w:lineRule="auto"/>
        <w:ind w:left="360"/>
        <w:rPr>
          <w:szCs w:val="16"/>
        </w:rPr>
      </w:pPr>
      <w:r w:rsidRPr="001C1B82">
        <w:rPr>
          <w:rStyle w:val="footnotemark"/>
          <w:szCs w:val="16"/>
        </w:rPr>
        <w:footnoteRef/>
      </w:r>
      <w:r w:rsidRPr="001C1B82">
        <w:rPr>
          <w:rFonts w:eastAsia="Times New Roman" w:cs="Times New Roman"/>
          <w:szCs w:val="16"/>
        </w:rPr>
        <w:t xml:space="preserve"> ‘Cutting the Funding of Disinformation: The Ad-Tech Solution’ (Global Disinformation Index, May 2019), available at </w:t>
      </w:r>
      <w:r>
        <w:fldChar w:fldCharType="begin"/>
      </w:r>
      <w:r>
        <w:instrText xml:space="preserve"> HYPERLINK "https://disinformationindex.org/wp-content/uploads/2019/05/GDI_Report_Screen_AW2.pdf" </w:instrText>
      </w:r>
      <w:r>
        <w:fldChar w:fldCharType="separate"/>
      </w:r>
      <w:r w:rsidRPr="001C1B82">
        <w:rPr>
          <w:rFonts w:eastAsia="Times New Roman" w:cs="Times New Roman"/>
          <w:color w:val="0563C1"/>
          <w:szCs w:val="16"/>
          <w:u w:val="single" w:color="0563C1"/>
        </w:rPr>
        <w:t>https://disinformationindex.org/wp-content/uploads/2019/05/GDI_Report_Screen_AW2.pdf</w:t>
      </w:r>
      <w:r>
        <w:fldChar w:fldCharType="end"/>
      </w:r>
      <w:r>
        <w:fldChar w:fldCharType="begin"/>
      </w:r>
      <w:r>
        <w:instrText xml:space="preserve"> HYPERLINK "https://disinformationindex.org/wp-content/uploads/2019/05/GDI_Report_Screen_AW2.pdf" </w:instrText>
      </w:r>
      <w:r>
        <w:fldChar w:fldCharType="separate"/>
      </w:r>
      <w:r w:rsidRPr="001C1B82">
        <w:rPr>
          <w:rFonts w:eastAsia="Times New Roman" w:cs="Times New Roman"/>
          <w:szCs w:val="16"/>
        </w:rPr>
        <w:t>.</w:t>
      </w:r>
      <w:r>
        <w:fldChar w:fldCharType="end"/>
      </w:r>
      <w:r w:rsidRPr="001C1B82">
        <w:rPr>
          <w:rFonts w:eastAsia="Times New Roman" w:cs="Times New Roman"/>
          <w:szCs w:val="16"/>
        </w:rPr>
        <w:t xml:space="preserve">  </w:t>
      </w:r>
    </w:p>
  </w:footnote>
  <w:footnote w:id="394">
    <w:p w:rsidR="00673732" w:rsidRPr="001C1B82">
      <w:pPr>
        <w:pStyle w:val="footnotedescription"/>
        <w:spacing w:line="273" w:lineRule="auto"/>
        <w:ind w:left="360" w:right="391"/>
        <w:jc w:val="both"/>
        <w:rPr>
          <w:szCs w:val="16"/>
        </w:rPr>
      </w:pPr>
      <w:r w:rsidRPr="001C1B82">
        <w:rPr>
          <w:rStyle w:val="footnotemark"/>
          <w:szCs w:val="16"/>
        </w:rPr>
        <w:footnoteRef/>
      </w:r>
      <w:r w:rsidRPr="001C1B82">
        <w:rPr>
          <w:rFonts w:eastAsia="Times New Roman" w:cs="Times New Roman"/>
          <w:szCs w:val="16"/>
        </w:rPr>
        <w:t xml:space="preserve"> Douglas Guilbeault, ‘Digital Marketing in The Disinformation Age’, 71 Columbia SIPA Journal of International Affairs 1.5, 17 September 2018, available a</w:t>
      </w:r>
      <w:r>
        <w:fldChar w:fldCharType="begin"/>
      </w:r>
      <w:r>
        <w:instrText xml:space="preserve"> HYPERLINK "https://jia.sipa.columbia.edu/digital-marketing-disinformation-age" </w:instrText>
      </w:r>
      <w:r>
        <w:fldChar w:fldCharType="separate"/>
      </w:r>
      <w:r w:rsidRPr="001C1B82">
        <w:rPr>
          <w:rFonts w:eastAsia="Times New Roman" w:cs="Times New Roman"/>
          <w:szCs w:val="16"/>
        </w:rPr>
        <w:t xml:space="preserve">t </w:t>
      </w:r>
      <w:r>
        <w:fldChar w:fldCharType="end"/>
      </w:r>
      <w:r>
        <w:fldChar w:fldCharType="begin"/>
      </w:r>
      <w:r>
        <w:instrText xml:space="preserve"> HYPERLINK "https://jia.sipa.columbia.edu/digital-marketing-disinformation-age" </w:instrText>
      </w:r>
      <w:r>
        <w:fldChar w:fldCharType="separate"/>
      </w:r>
      <w:r w:rsidRPr="001C1B82">
        <w:rPr>
          <w:rFonts w:eastAsia="Times New Roman" w:cs="Times New Roman"/>
          <w:color w:val="0563C1"/>
          <w:szCs w:val="16"/>
          <w:u w:val="single" w:color="0563C1"/>
        </w:rPr>
        <w:t>https://jia.sipa.columbia.edu/digital-marketing-disinformation-age</w:t>
      </w:r>
      <w:r>
        <w:fldChar w:fldCharType="end"/>
      </w:r>
      <w:r>
        <w:fldChar w:fldCharType="begin"/>
      </w:r>
      <w:r>
        <w:instrText xml:space="preserve"> HYPERLINK "https://jia.sipa.columbia.edu/digital-marketing-disinformation-age" </w:instrText>
      </w:r>
      <w:r>
        <w:fldChar w:fldCharType="separate"/>
      </w:r>
      <w:r w:rsidRPr="001C1B82">
        <w:rPr>
          <w:rFonts w:eastAsia="Times New Roman" w:cs="Times New Roman"/>
          <w:szCs w:val="16"/>
        </w:rPr>
        <w:t>.</w:t>
      </w:r>
      <w:r>
        <w:fldChar w:fldCharType="end"/>
      </w:r>
      <w:r w:rsidRPr="001C1B82">
        <w:rPr>
          <w:rFonts w:eastAsia="Times New Roman" w:cs="Times New Roman"/>
          <w:szCs w:val="16"/>
        </w:rPr>
        <w:t xml:space="preserve"> </w:t>
      </w:r>
    </w:p>
  </w:footnote>
  <w:footnote w:id="395">
    <w:p w:rsidR="00673732" w:rsidRPr="001C1B82">
      <w:pPr>
        <w:pStyle w:val="footnotedescription"/>
        <w:spacing w:line="255" w:lineRule="auto"/>
        <w:ind w:left="360" w:right="615"/>
        <w:jc w:val="both"/>
        <w:rPr>
          <w:szCs w:val="16"/>
        </w:rPr>
      </w:pPr>
      <w:r w:rsidRPr="001C1B82">
        <w:rPr>
          <w:rStyle w:val="footnotemark"/>
          <w:szCs w:val="16"/>
        </w:rPr>
        <w:footnoteRef/>
      </w:r>
      <w:r w:rsidRPr="001C1B82">
        <w:rPr>
          <w:rFonts w:eastAsia="Times New Roman" w:cs="Times New Roman"/>
          <w:szCs w:val="16"/>
        </w:rPr>
        <w:t xml:space="preserve"> See, for example, digital companies’ reports to the European Commission on the implementation of the Code of Practice against Disinformation (January 2019), available at </w:t>
      </w:r>
      <w:r>
        <w:fldChar w:fldCharType="begin"/>
      </w:r>
      <w:r>
        <w:instrText xml:space="preserve"> HYPERLINK "https://ec.europa.eu/digital-single-market/en/news/first-results-eu-code-practice-against-disinformation" </w:instrText>
      </w:r>
      <w:r>
        <w:fldChar w:fldCharType="separate"/>
      </w:r>
      <w:r w:rsidRPr="001C1B82">
        <w:rPr>
          <w:rFonts w:eastAsia="Times New Roman" w:cs="Times New Roman"/>
          <w:color w:val="0563C1"/>
          <w:szCs w:val="16"/>
          <w:u w:val="single" w:color="0563C1"/>
        </w:rPr>
        <w:t>https://ec.europa.eu/digital-single-market/en/news/first-results-eu-code</w:t>
      </w:r>
      <w:r>
        <w:fldChar w:fldCharType="end"/>
      </w:r>
      <w:r>
        <w:fldChar w:fldCharType="begin"/>
      </w:r>
      <w:r>
        <w:instrText xml:space="preserve"> HYPERLINK "https://ec.europa.eu/digital-single-market/en/news/first-results-eu-code-practice-against-disinformation" </w:instrText>
      </w:r>
      <w:r>
        <w:fldChar w:fldCharType="separate"/>
      </w:r>
      <w:r w:rsidRPr="001C1B82">
        <w:rPr>
          <w:rFonts w:eastAsia="Times New Roman" w:cs="Times New Roman"/>
          <w:color w:val="0563C1"/>
          <w:szCs w:val="16"/>
          <w:u w:val="single" w:color="0563C1"/>
        </w:rPr>
        <w:t>practice-against-disinformation</w:t>
      </w:r>
      <w:r>
        <w:fldChar w:fldCharType="end"/>
      </w:r>
      <w:r>
        <w:fldChar w:fldCharType="begin"/>
      </w:r>
      <w:r>
        <w:instrText xml:space="preserve"> HYPERLINK "https://ec.europa.eu/digital-single-market/en/news/first-results-eu-code-practice-against-disinformation" </w:instrText>
      </w:r>
      <w:r>
        <w:fldChar w:fldCharType="separate"/>
      </w:r>
      <w:r w:rsidRPr="001C1B82">
        <w:rPr>
          <w:rFonts w:eastAsia="Times New Roman" w:cs="Times New Roman"/>
          <w:szCs w:val="16"/>
        </w:rPr>
        <w:t>.</w:t>
      </w:r>
      <w:r>
        <w:fldChar w:fldCharType="end"/>
      </w:r>
      <w:r>
        <w:fldChar w:fldCharType="begin"/>
      </w:r>
      <w:r>
        <w:instrText xml:space="preserve"> HYPERLINK "https://ec.europa.eu/digital-single-market/en/news/first-results-eu-code-practice-against-disinformation" </w:instrText>
      </w:r>
      <w:r>
        <w:fldChar w:fldCharType="separate"/>
      </w:r>
      <w:r w:rsidRPr="001C1B82">
        <w:rPr>
          <w:rFonts w:eastAsia="Times New Roman" w:cs="Times New Roman"/>
          <w:szCs w:val="16"/>
        </w:rPr>
        <w:t xml:space="preserve"> </w:t>
      </w:r>
      <w:r>
        <w:fldChar w:fldCharType="end"/>
      </w:r>
    </w:p>
  </w:footnote>
  <w:footnote w:id="396">
    <w:p w:rsidR="00673732" w:rsidRPr="001C1B82">
      <w:pPr>
        <w:pStyle w:val="footnotedescription"/>
        <w:spacing w:line="273" w:lineRule="auto"/>
        <w:ind w:left="360"/>
        <w:jc w:val="both"/>
        <w:rPr>
          <w:szCs w:val="16"/>
        </w:rPr>
      </w:pPr>
      <w:r w:rsidRPr="001C1B82">
        <w:rPr>
          <w:rStyle w:val="footnotemark"/>
          <w:szCs w:val="16"/>
        </w:rPr>
        <w:footnoteRef/>
      </w:r>
      <w:r w:rsidRPr="001C1B82">
        <w:rPr>
          <w:rFonts w:eastAsia="Times New Roman" w:cs="Times New Roman"/>
          <w:szCs w:val="16"/>
        </w:rPr>
        <w:t xml:space="preserve"> See Lorna McGregor, Daragh Murray, and Vivian Ng, “International Human Rights Law as a Framework for Algorithmic Accountability” (2019) 68(2) International &amp; Comparative Law Quarterly, 309-343.  </w:t>
      </w:r>
    </w:p>
  </w:footnote>
  <w:footnote w:id="397">
    <w:p w:rsidR="00673732" w:rsidRPr="001C1B82">
      <w:pPr>
        <w:pStyle w:val="footnotedescription"/>
        <w:spacing w:line="280" w:lineRule="auto"/>
        <w:rPr>
          <w:szCs w:val="16"/>
        </w:rPr>
      </w:pPr>
      <w:r w:rsidRPr="001C1B82">
        <w:rPr>
          <w:rStyle w:val="footnotemark"/>
          <w:szCs w:val="16"/>
        </w:rPr>
        <w:footnoteRef/>
      </w:r>
      <w:r w:rsidRPr="001C1B82">
        <w:rPr>
          <w:szCs w:val="16"/>
        </w:rPr>
        <w:t xml:space="preserve"> A study found that: “respondents who were </w:t>
      </w:r>
      <w:r w:rsidRPr="001C1B82">
        <w:rPr>
          <w:i/>
          <w:szCs w:val="16"/>
        </w:rPr>
        <w:t>less</w:t>
      </w:r>
      <w:r w:rsidRPr="001C1B82">
        <w:rPr>
          <w:szCs w:val="16"/>
        </w:rPr>
        <w:t xml:space="preserve"> politically efficacious and less interested in politics received relatively </w:t>
      </w:r>
      <w:r w:rsidRPr="001C1B82">
        <w:rPr>
          <w:i/>
          <w:szCs w:val="16"/>
        </w:rPr>
        <w:t>greater</w:t>
      </w:r>
      <w:r w:rsidRPr="001C1B82">
        <w:rPr>
          <w:szCs w:val="16"/>
        </w:rPr>
        <w:t xml:space="preserve"> cognitive and influence benefits from dual screening the debate.” Chadwick, A., O’Loughlin, B., &amp; Vaccari, C. (2017) </w:t>
      </w:r>
      <w:r w:rsidRPr="001C1B82">
        <w:rPr>
          <w:i/>
          <w:szCs w:val="16"/>
        </w:rPr>
        <w:t>Why People Dual Screen Political Debates and Why It Matters for Democratic Engagement,</w:t>
      </w:r>
      <w:r w:rsidRPr="001C1B82">
        <w:rPr>
          <w:szCs w:val="16"/>
        </w:rPr>
        <w:t xml:space="preserve"> Journal of Broadcasting &amp; Electronic Media, 61:2, 220-239, Available at: </w:t>
      </w:r>
      <w:r>
        <w:fldChar w:fldCharType="begin"/>
      </w:r>
      <w:r>
        <w:instrText xml:space="preserve"> HYPERLINK "https://www.tandfonline.com/doi/full/10.1080/08838151.2017.1309415" </w:instrText>
      </w:r>
      <w:r>
        <w:fldChar w:fldCharType="separate"/>
      </w:r>
      <w:r w:rsidRPr="001C1B82">
        <w:rPr>
          <w:color w:val="1155CC"/>
          <w:szCs w:val="16"/>
          <w:u w:val="single" w:color="1155CC"/>
        </w:rPr>
        <w:t>https://www.tandfonline.com/doi/full/10.1080/08838151.2017.1309415</w:t>
      </w:r>
      <w:r>
        <w:fldChar w:fldCharType="end"/>
      </w:r>
      <w:r>
        <w:fldChar w:fldCharType="begin"/>
      </w:r>
      <w:r>
        <w:instrText xml:space="preserve"> HYPERLINK "https://www.tandfonline.com/doi/full/10.1080/08838151.2017.1309415" </w:instrText>
      </w:r>
      <w:r>
        <w:fldChar w:fldCharType="separate"/>
      </w:r>
      <w:r w:rsidRPr="001C1B82">
        <w:rPr>
          <w:szCs w:val="16"/>
        </w:rPr>
        <w:t xml:space="preserve"> </w:t>
      </w:r>
      <w:r>
        <w:fldChar w:fldCharType="end"/>
      </w:r>
    </w:p>
  </w:footnote>
  <w:footnote w:id="398">
    <w:p w:rsidR="00673732" w:rsidRPr="001C1B82">
      <w:pPr>
        <w:pStyle w:val="footnotedescription"/>
        <w:spacing w:line="293" w:lineRule="auto"/>
        <w:rPr>
          <w:szCs w:val="16"/>
        </w:rPr>
      </w:pPr>
      <w:r w:rsidRPr="001C1B82">
        <w:rPr>
          <w:rStyle w:val="footnotemark"/>
          <w:szCs w:val="16"/>
        </w:rPr>
        <w:footnoteRef/>
      </w:r>
      <w:r w:rsidRPr="001C1B82">
        <w:rPr>
          <w:szCs w:val="16"/>
        </w:rPr>
        <w:t xml:space="preserve"> Ranie, L., Smith, A., Anderson, M. and Toor, S. (2018). </w:t>
      </w:r>
      <w:r w:rsidRPr="001C1B82">
        <w:rPr>
          <w:i/>
          <w:szCs w:val="16"/>
        </w:rPr>
        <w:t>Activism in the Social Media Age</w:t>
      </w:r>
      <w:r w:rsidRPr="001C1B82">
        <w:rPr>
          <w:szCs w:val="16"/>
        </w:rPr>
        <w:t xml:space="preserve">. [online] Pew Research Center: Internet, Science &amp; Tech. Available at: </w:t>
      </w:r>
    </w:p>
    <w:p w:rsidR="00673732" w:rsidRPr="001C1B82">
      <w:pPr>
        <w:pStyle w:val="footnotedescription"/>
        <w:spacing w:line="276" w:lineRule="auto"/>
        <w:rPr>
          <w:szCs w:val="16"/>
        </w:rPr>
      </w:pPr>
      <w:r>
        <w:fldChar w:fldCharType="begin"/>
      </w:r>
      <w:r>
        <w:instrText xml:space="preserve"> HYPERLINK "https://www.pewinternet.org/2018/07/11/public-attitudes-toward-political-engagement-on-social-media/" </w:instrText>
      </w:r>
      <w:r>
        <w:fldChar w:fldCharType="separate"/>
      </w:r>
      <w:r w:rsidRPr="001C1B82">
        <w:rPr>
          <w:color w:val="0000FF"/>
          <w:szCs w:val="16"/>
          <w:u w:val="single" w:color="0000FF"/>
        </w:rPr>
        <w:t>https://www.pewinternet.org/2018/07/11/public-attitudes-toward-political-engagement-on-social</w:t>
      </w:r>
      <w:r>
        <w:fldChar w:fldCharType="end"/>
      </w:r>
      <w:r>
        <w:fldChar w:fldCharType="begin"/>
      </w:r>
      <w:r>
        <w:instrText xml:space="preserve"> HYPERLINK "https://www.pewinternet.org/2018/07/11/public-attitudes-toward-political-engagement-on-social-media/" </w:instrText>
      </w:r>
      <w:r>
        <w:fldChar w:fldCharType="separate"/>
      </w:r>
      <w:r w:rsidRPr="001C1B82">
        <w:rPr>
          <w:color w:val="0000FF"/>
          <w:szCs w:val="16"/>
          <w:u w:val="single" w:color="0000FF"/>
        </w:rPr>
        <w:t>media/</w:t>
      </w:r>
      <w:r>
        <w:fldChar w:fldCharType="end"/>
      </w:r>
      <w:r>
        <w:fldChar w:fldCharType="begin"/>
      </w:r>
      <w:r>
        <w:instrText xml:space="preserve"> HYPERLINK "https://www.pewinternet.org/2018/07/11/public-attitudes-toward-political-engagement-on-social-media/" </w:instrText>
      </w:r>
      <w:r>
        <w:fldChar w:fldCharType="separate"/>
      </w:r>
      <w:r w:rsidRPr="001C1B82">
        <w:rPr>
          <w:szCs w:val="16"/>
        </w:rPr>
        <w:t xml:space="preserve"> </w:t>
      </w:r>
      <w:r>
        <w:fldChar w:fldCharType="end"/>
      </w:r>
      <w:r w:rsidRPr="001C1B82">
        <w:rPr>
          <w:szCs w:val="16"/>
        </w:rPr>
        <w:t xml:space="preserve">  </w:t>
      </w:r>
    </w:p>
  </w:footnote>
  <w:footnote w:id="399">
    <w:p w:rsidR="00673732" w:rsidRPr="001C1B82">
      <w:pPr>
        <w:pStyle w:val="footnotedescription"/>
        <w:spacing w:line="296" w:lineRule="auto"/>
        <w:rPr>
          <w:szCs w:val="16"/>
        </w:rPr>
      </w:pPr>
      <w:r w:rsidRPr="001C1B82">
        <w:rPr>
          <w:rStyle w:val="footnotemark"/>
          <w:szCs w:val="16"/>
        </w:rPr>
        <w:footnoteRef/>
      </w:r>
      <w:r w:rsidRPr="001C1B82">
        <w:rPr>
          <w:szCs w:val="16"/>
        </w:rPr>
        <w:t xml:space="preserve"> Fox, R. (2019). </w:t>
      </w:r>
      <w:r w:rsidRPr="001C1B82">
        <w:rPr>
          <w:i/>
          <w:szCs w:val="16"/>
        </w:rPr>
        <w:t>Government squandered public education opportunity with dismissive response to anti-Trump State Visit e-petition</w:t>
      </w:r>
      <w:r w:rsidRPr="001C1B82">
        <w:rPr>
          <w:szCs w:val="16"/>
        </w:rPr>
        <w:t xml:space="preserve">. [online] Hansardsociety.org.uk. Available at: </w:t>
      </w:r>
    </w:p>
    <w:p w:rsidR="00673732" w:rsidRPr="001C1B82">
      <w:pPr>
        <w:pStyle w:val="footnotedescription"/>
        <w:spacing w:line="276" w:lineRule="auto"/>
        <w:rPr>
          <w:szCs w:val="16"/>
        </w:rPr>
      </w:pPr>
      <w:r>
        <w:fldChar w:fldCharType="begin"/>
      </w:r>
      <w:r>
        <w:instrText xml:space="preserve"> HYPERLINK "https://www.hansardsociety.org.uk/blog/government-squandered-public-education-opportunity-with-dismissive-response" </w:instrText>
      </w:r>
      <w:r>
        <w:fldChar w:fldCharType="separate"/>
      </w:r>
      <w:r w:rsidRPr="001C1B82">
        <w:rPr>
          <w:color w:val="0000FF"/>
          <w:szCs w:val="16"/>
          <w:u w:val="single" w:color="0000FF"/>
        </w:rPr>
        <w:t>https://www.hansardsociety.org.uk/blog/government-squandered-public-education-opportunity-with</w:t>
      </w:r>
      <w:r>
        <w:fldChar w:fldCharType="end"/>
      </w:r>
      <w:r>
        <w:fldChar w:fldCharType="begin"/>
      </w:r>
      <w:r>
        <w:instrText xml:space="preserve"> HYPERLINK "https://www.hansardsociety.org.uk/blog/government-squandered-public-education-opportunity-with-dismissive-response" </w:instrText>
      </w:r>
      <w:r>
        <w:fldChar w:fldCharType="separate"/>
      </w:r>
      <w:r w:rsidRPr="001C1B82">
        <w:rPr>
          <w:color w:val="0000FF"/>
          <w:szCs w:val="16"/>
          <w:u w:val="single" w:color="0000FF"/>
        </w:rPr>
        <w:t>dismissive-response</w:t>
      </w:r>
      <w:r>
        <w:fldChar w:fldCharType="end"/>
      </w:r>
      <w:r>
        <w:fldChar w:fldCharType="begin"/>
      </w:r>
      <w:r>
        <w:instrText xml:space="preserve"> HYPERLINK "https://www.hansardsociety.org.uk/blog/government-squandered-public-education-opportunity-with-dismissive-response" </w:instrText>
      </w:r>
      <w:r>
        <w:fldChar w:fldCharType="separate"/>
      </w:r>
      <w:r w:rsidRPr="001C1B82">
        <w:rPr>
          <w:szCs w:val="16"/>
        </w:rPr>
        <w:t xml:space="preserve"> </w:t>
      </w:r>
      <w:r>
        <w:fldChar w:fldCharType="end"/>
      </w:r>
      <w:r w:rsidRPr="001C1B82">
        <w:rPr>
          <w:szCs w:val="16"/>
        </w:rPr>
        <w:t xml:space="preserve"> </w:t>
      </w:r>
    </w:p>
    <w:p w:rsidR="00673732" w:rsidRPr="001C1B82">
      <w:pPr>
        <w:pStyle w:val="footnotedescription"/>
        <w:rPr>
          <w:szCs w:val="16"/>
        </w:rPr>
      </w:pPr>
      <w:r w:rsidRPr="001C1B82">
        <w:rPr>
          <w:szCs w:val="16"/>
        </w:rPr>
        <w:t xml:space="preserve"> </w:t>
      </w:r>
    </w:p>
  </w:footnote>
  <w:footnote w:id="400">
    <w:p w:rsidR="00673732" w:rsidRPr="001C1B82">
      <w:pPr>
        <w:pStyle w:val="footnotedescription"/>
        <w:spacing w:line="283" w:lineRule="auto"/>
        <w:rPr>
          <w:szCs w:val="16"/>
        </w:rPr>
      </w:pPr>
      <w:r w:rsidRPr="001C1B82">
        <w:rPr>
          <w:rStyle w:val="footnotemark"/>
          <w:szCs w:val="16"/>
        </w:rPr>
        <w:footnoteRef/>
      </w:r>
      <w:r w:rsidRPr="001C1B82">
        <w:rPr>
          <w:szCs w:val="16"/>
        </w:rPr>
        <w:t xml:space="preserve"> A recent survey in the US showed that 62% of Americans believed that social media companies had too much control over the mix of news that people see, and 55% say that the role social media companies play in delivering the news on their sites results in a worse mix of news. Shearer, E. and Grieco, E. (2019). </w:t>
      </w:r>
      <w:r w:rsidRPr="001C1B82">
        <w:rPr>
          <w:i/>
          <w:szCs w:val="16"/>
        </w:rPr>
        <w:t>Americans Are Wary of the Role Social Media Sites Play in Delivering the News</w:t>
      </w:r>
      <w:r w:rsidRPr="001C1B82">
        <w:rPr>
          <w:szCs w:val="16"/>
        </w:rPr>
        <w:t xml:space="preserve">. </w:t>
      </w:r>
    </w:p>
    <w:p w:rsidR="00673732" w:rsidRPr="001C1B82">
      <w:pPr>
        <w:pStyle w:val="footnotedescription"/>
        <w:spacing w:after="13"/>
        <w:rPr>
          <w:szCs w:val="16"/>
        </w:rPr>
      </w:pPr>
      <w:r w:rsidRPr="001C1B82">
        <w:rPr>
          <w:szCs w:val="16"/>
        </w:rPr>
        <w:t xml:space="preserve">[online] Pew Research Center's Journalism Project. Available at: </w:t>
      </w:r>
    </w:p>
    <w:p w:rsidR="00673732" w:rsidRPr="001C1B82">
      <w:pPr>
        <w:pStyle w:val="footnotedescription"/>
        <w:spacing w:line="276" w:lineRule="auto"/>
        <w:rPr>
          <w:szCs w:val="16"/>
        </w:rPr>
      </w:pPr>
      <w:r>
        <w:fldChar w:fldCharType="begin"/>
      </w:r>
      <w:r>
        <w:instrText xml:space="preserve"> HYPERLINK "https://www.journalism.org/2019/10/02/americans-are-wary-of-the-role-social-media-sites-play-in-delivering-the-news/" </w:instrText>
      </w:r>
      <w:r>
        <w:fldChar w:fldCharType="separate"/>
      </w:r>
      <w:r w:rsidRPr="001C1B82">
        <w:rPr>
          <w:color w:val="0000FF"/>
          <w:szCs w:val="16"/>
          <w:u w:val="single" w:color="0000FF"/>
        </w:rPr>
        <w:t>https://www.journalism.org/2019/10/02/americans-are-wary-of-the-role-social-media-sites-play-in</w:t>
      </w:r>
      <w:r>
        <w:fldChar w:fldCharType="end"/>
      </w:r>
      <w:r>
        <w:fldChar w:fldCharType="begin"/>
      </w:r>
      <w:r>
        <w:instrText xml:space="preserve"> HYPERLINK "https://www.journalism.org/2019/10/02/americans-are-wary-of-the-role-social-media-sites-play-in-delivering-the-news/" </w:instrText>
      </w:r>
      <w:r>
        <w:fldChar w:fldCharType="separate"/>
      </w:r>
      <w:r w:rsidRPr="001C1B82">
        <w:rPr>
          <w:color w:val="0000FF"/>
          <w:szCs w:val="16"/>
          <w:u w:val="single" w:color="0000FF"/>
        </w:rPr>
        <w:t>delivering-the-news/</w:t>
      </w:r>
      <w:r>
        <w:fldChar w:fldCharType="end"/>
      </w:r>
      <w:r>
        <w:fldChar w:fldCharType="begin"/>
      </w:r>
      <w:r>
        <w:instrText xml:space="preserve"> HYPERLINK "https://www.journalism.org/2019/10/02/americans-are-wary-of-the-role-social-media-sites-play-in-delivering-the-news/" </w:instrText>
      </w:r>
      <w:r>
        <w:fldChar w:fldCharType="separate"/>
      </w:r>
      <w:r w:rsidRPr="001C1B82">
        <w:rPr>
          <w:szCs w:val="16"/>
        </w:rPr>
        <w:t xml:space="preserve"> </w:t>
      </w:r>
      <w:r>
        <w:fldChar w:fldCharType="end"/>
      </w:r>
    </w:p>
  </w:footnote>
  <w:footnote w:id="401">
    <w:p w:rsidR="00673732" w:rsidRPr="001C1B82">
      <w:pPr>
        <w:pStyle w:val="footnotedescription"/>
        <w:spacing w:line="324" w:lineRule="auto"/>
        <w:rPr>
          <w:szCs w:val="16"/>
        </w:rPr>
      </w:pPr>
      <w:r w:rsidRPr="001C1B82">
        <w:rPr>
          <w:rStyle w:val="footnotemark"/>
          <w:szCs w:val="16"/>
        </w:rPr>
        <w:footnoteRef/>
      </w:r>
      <w:r w:rsidRPr="001C1B82">
        <w:rPr>
          <w:szCs w:val="16"/>
        </w:rPr>
        <w:t xml:space="preserve"> Zuboff, S. (2019).</w:t>
      </w:r>
      <w:r w:rsidRPr="001C1B82">
        <w:rPr>
          <w:i/>
          <w:szCs w:val="16"/>
        </w:rPr>
        <w:t>The Age of Surveillance Capitalism: The Fight for a Human Future at the New Frontier of Power.</w:t>
      </w:r>
      <w:r w:rsidRPr="001C1B82">
        <w:rPr>
          <w:szCs w:val="16"/>
        </w:rPr>
        <w:t xml:space="preserve"> London: Profile Books. </w:t>
      </w:r>
    </w:p>
    <w:p w:rsidR="00673732" w:rsidRPr="001C1B82">
      <w:pPr>
        <w:pStyle w:val="footnotedescription"/>
        <w:rPr>
          <w:szCs w:val="16"/>
        </w:rPr>
      </w:pPr>
      <w:r w:rsidRPr="001C1B82">
        <w:rPr>
          <w:szCs w:val="16"/>
        </w:rPr>
        <w:t xml:space="preserve"> </w:t>
      </w:r>
    </w:p>
  </w:footnote>
  <w:footnote w:id="402">
    <w:p w:rsidR="00673732" w:rsidRPr="001C1B82">
      <w:pPr>
        <w:pStyle w:val="footnotedescription"/>
        <w:spacing w:line="286" w:lineRule="auto"/>
        <w:ind w:right="167"/>
        <w:rPr>
          <w:szCs w:val="16"/>
        </w:rPr>
      </w:pPr>
      <w:r w:rsidRPr="001C1B82">
        <w:rPr>
          <w:rStyle w:val="footnotemark"/>
          <w:szCs w:val="16"/>
        </w:rPr>
        <w:footnoteRef/>
      </w:r>
      <w:r w:rsidRPr="001C1B82">
        <w:rPr>
          <w:szCs w:val="16"/>
        </w:rPr>
        <w:t xml:space="preserve"> Acerbi, A. (2019) </w:t>
      </w:r>
      <w:r w:rsidRPr="001C1B82">
        <w:rPr>
          <w:i/>
          <w:szCs w:val="16"/>
        </w:rPr>
        <w:t>Cognitive attraction and online misinformation</w:t>
      </w:r>
      <w:r w:rsidRPr="001C1B82">
        <w:rPr>
          <w:szCs w:val="16"/>
        </w:rPr>
        <w:t>,</w:t>
      </w:r>
      <w:r>
        <w:fldChar w:fldCharType="begin"/>
      </w:r>
      <w:r>
        <w:instrText xml:space="preserve"> HYPERLINK "https://www.nature.com/palcomms" </w:instrText>
      </w:r>
      <w:r>
        <w:fldChar w:fldCharType="separate"/>
      </w:r>
      <w:r w:rsidRPr="001C1B82">
        <w:rPr>
          <w:szCs w:val="16"/>
        </w:rPr>
        <w:t xml:space="preserve"> Palgrave Communications </w:t>
      </w:r>
      <w:r>
        <w:fldChar w:fldCharType="end"/>
      </w:r>
      <w:r w:rsidRPr="001C1B82">
        <w:rPr>
          <w:szCs w:val="16"/>
        </w:rPr>
        <w:t xml:space="preserve">volume 5, Article number: 15. Available at: </w:t>
      </w:r>
      <w:r>
        <w:fldChar w:fldCharType="begin"/>
      </w:r>
      <w:r>
        <w:instrText xml:space="preserve"> HYPERLINK "https://www.nature.com/articles/s41599-019-0224-y" \l "Bib1" </w:instrText>
      </w:r>
      <w:r>
        <w:fldChar w:fldCharType="separate"/>
      </w:r>
      <w:r w:rsidRPr="001C1B82">
        <w:rPr>
          <w:color w:val="0000FF"/>
          <w:szCs w:val="16"/>
          <w:u w:val="single" w:color="0000FF"/>
        </w:rPr>
        <w:t>https://www.nature.com/articles/s41599-019-0224</w:t>
      </w:r>
      <w:r>
        <w:fldChar w:fldCharType="end"/>
      </w:r>
      <w:r>
        <w:fldChar w:fldCharType="begin"/>
      </w:r>
      <w:r>
        <w:instrText xml:space="preserve"> HYPERLINK "https://www.nature.com/articles/s41599-019-0224-y" \l "Bib1" </w:instrText>
      </w:r>
      <w:r>
        <w:fldChar w:fldCharType="separate"/>
      </w:r>
      <w:r w:rsidRPr="001C1B82">
        <w:rPr>
          <w:color w:val="0000FF"/>
          <w:szCs w:val="16"/>
          <w:u w:val="single" w:color="0000FF"/>
        </w:rPr>
        <w:t>y#Bib1</w:t>
      </w:r>
      <w:r>
        <w:fldChar w:fldCharType="end"/>
      </w:r>
      <w:r>
        <w:fldChar w:fldCharType="begin"/>
      </w:r>
      <w:r>
        <w:instrText xml:space="preserve"> HYPERLINK "https://www.nature.com/articles/s41599-019-0224-y" \l "Bib1" </w:instrText>
      </w:r>
      <w:r>
        <w:fldChar w:fldCharType="separate"/>
      </w:r>
      <w:r w:rsidRPr="001C1B82">
        <w:rPr>
          <w:szCs w:val="16"/>
        </w:rPr>
        <w:t xml:space="preserve"> </w:t>
      </w:r>
      <w:r>
        <w:fldChar w:fldCharType="end"/>
      </w:r>
      <w:r w:rsidRPr="001C1B82">
        <w:rPr>
          <w:szCs w:val="16"/>
        </w:rPr>
        <w:t xml:space="preserve"> </w:t>
      </w:r>
    </w:p>
  </w:footnote>
  <w:footnote w:id="403">
    <w:p w:rsidR="00673732" w:rsidRPr="001C1B82">
      <w:pPr>
        <w:pStyle w:val="footnotedescription"/>
        <w:spacing w:line="303" w:lineRule="auto"/>
        <w:rPr>
          <w:szCs w:val="16"/>
        </w:rPr>
      </w:pPr>
      <w:r w:rsidRPr="001C1B82">
        <w:rPr>
          <w:rStyle w:val="footnotemark"/>
          <w:szCs w:val="16"/>
        </w:rPr>
        <w:footnoteRef/>
      </w:r>
      <w:r w:rsidRPr="001C1B82">
        <w:rPr>
          <w:szCs w:val="16"/>
        </w:rPr>
        <w:t xml:space="preserve"> Chaslot, G. (2019) </w:t>
      </w:r>
      <w:r w:rsidRPr="001C1B82">
        <w:rPr>
          <w:i/>
          <w:szCs w:val="16"/>
        </w:rPr>
        <w:t xml:space="preserve">The Toxic Potential of YouTube’s Feedback Loop, </w:t>
      </w:r>
      <w:r w:rsidRPr="001C1B82">
        <w:rPr>
          <w:szCs w:val="16"/>
        </w:rPr>
        <w:t xml:space="preserve">Wired Magazine. Available at </w:t>
      </w:r>
      <w:r>
        <w:fldChar w:fldCharType="begin"/>
      </w:r>
      <w:r>
        <w:instrText xml:space="preserve"> HYPERLINK "https://www.wired.com/story/the-toxic-potential-of-youtubes-feedback-loop/" </w:instrText>
      </w:r>
      <w:r>
        <w:fldChar w:fldCharType="separate"/>
      </w:r>
      <w:r w:rsidRPr="001C1B82">
        <w:rPr>
          <w:color w:val="0000FF"/>
          <w:szCs w:val="16"/>
          <w:u w:val="single" w:color="0000FF"/>
        </w:rPr>
        <w:t>https://www.wired.com/story/the-toxic-potential-of-youtubes-feedback-loop/</w:t>
      </w:r>
      <w:r>
        <w:fldChar w:fldCharType="end"/>
      </w:r>
      <w:r>
        <w:fldChar w:fldCharType="begin"/>
      </w:r>
      <w:r>
        <w:instrText xml:space="preserve"> HYPERLINK "https://www.wired.com/story/the-toxic-potential-of-youtubes-feedback-loop/" </w:instrText>
      </w:r>
      <w:r>
        <w:fldChar w:fldCharType="separate"/>
      </w:r>
      <w:r w:rsidRPr="001C1B82">
        <w:rPr>
          <w:szCs w:val="16"/>
        </w:rPr>
        <w:t xml:space="preserve"> </w:t>
      </w:r>
      <w:r>
        <w:fldChar w:fldCharType="end"/>
      </w:r>
      <w:r w:rsidRPr="001C1B82">
        <w:rPr>
          <w:szCs w:val="16"/>
        </w:rPr>
        <w:t xml:space="preserve"> </w:t>
      </w:r>
    </w:p>
  </w:footnote>
  <w:footnote w:id="404">
    <w:p w:rsidR="00673732" w:rsidRPr="001C1B82">
      <w:pPr>
        <w:pStyle w:val="footnotedescription"/>
        <w:spacing w:after="2" w:line="308" w:lineRule="auto"/>
        <w:rPr>
          <w:szCs w:val="16"/>
        </w:rPr>
      </w:pPr>
      <w:r w:rsidRPr="001C1B82">
        <w:rPr>
          <w:rStyle w:val="footnotemark"/>
          <w:szCs w:val="16"/>
        </w:rPr>
        <w:footnoteRef/>
      </w:r>
      <w:r w:rsidRPr="001C1B82">
        <w:rPr>
          <w:szCs w:val="16"/>
        </w:rPr>
        <w:t xml:space="preserve"> Powell, A., Joshi, A., Carfantan, P., Bourke, G., Hutchinson, I. and Eichholzer, A. (2019) </w:t>
      </w:r>
      <w:r w:rsidRPr="001C1B82">
        <w:rPr>
          <w:i/>
          <w:szCs w:val="16"/>
        </w:rPr>
        <w:t xml:space="preserve">Understanding and Explaining Automated Decisions. </w:t>
      </w:r>
      <w:r w:rsidRPr="001C1B82">
        <w:rPr>
          <w:szCs w:val="16"/>
        </w:rPr>
        <w:t xml:space="preserve">Available at SSRN: </w:t>
      </w:r>
    </w:p>
    <w:p w:rsidR="00673732" w:rsidRPr="001C1B82">
      <w:pPr>
        <w:pStyle w:val="footnotedescription"/>
        <w:rPr>
          <w:szCs w:val="16"/>
        </w:rPr>
      </w:pPr>
      <w:r>
        <w:fldChar w:fldCharType="begin"/>
      </w:r>
      <w:r>
        <w:instrText xml:space="preserve"> HYPERLINK "https://ssrn.com/abstract=3309779" </w:instrText>
      </w:r>
      <w:r>
        <w:fldChar w:fldCharType="separate"/>
      </w:r>
      <w:r w:rsidRPr="001C1B82">
        <w:rPr>
          <w:color w:val="0000FF"/>
          <w:szCs w:val="16"/>
          <w:u w:val="single" w:color="0000FF"/>
        </w:rPr>
        <w:t>https://ssrn.com/abstract=3309779</w:t>
      </w:r>
      <w:r>
        <w:fldChar w:fldCharType="end"/>
      </w:r>
      <w:r>
        <w:fldChar w:fldCharType="begin"/>
      </w:r>
      <w:r>
        <w:instrText xml:space="preserve"> HYPERLINK "https://ssrn.com/abstract=3309779" </w:instrText>
      </w:r>
      <w:r>
        <w:fldChar w:fldCharType="separate"/>
      </w:r>
      <w:r w:rsidRPr="001C1B82">
        <w:rPr>
          <w:szCs w:val="16"/>
        </w:rPr>
        <w:t xml:space="preserve"> </w:t>
      </w:r>
      <w:r>
        <w:fldChar w:fldCharType="end"/>
      </w:r>
      <w:r w:rsidRPr="001C1B82">
        <w:rPr>
          <w:szCs w:val="16"/>
        </w:rPr>
        <w:t xml:space="preserve">or </w:t>
      </w:r>
      <w:r>
        <w:fldChar w:fldCharType="begin"/>
      </w:r>
      <w:r>
        <w:instrText xml:space="preserve"> HYPERLINK "https://dx.doi.org/10.2139/ssrn.3309779" </w:instrText>
      </w:r>
      <w:r>
        <w:fldChar w:fldCharType="separate"/>
      </w:r>
      <w:r w:rsidRPr="001C1B82">
        <w:rPr>
          <w:color w:val="0000FF"/>
          <w:szCs w:val="16"/>
          <w:u w:val="single" w:color="0000FF"/>
        </w:rPr>
        <w:t>http://dx.doi.org/10.2139/ssrn.3309779</w:t>
      </w:r>
      <w:r>
        <w:fldChar w:fldCharType="end"/>
      </w:r>
      <w:r>
        <w:fldChar w:fldCharType="begin"/>
      </w:r>
      <w:r>
        <w:instrText xml:space="preserve"> HYPERLINK "https://dx.doi.org/10.2139/ssrn.3309779" </w:instrText>
      </w:r>
      <w:r>
        <w:fldChar w:fldCharType="separate"/>
      </w:r>
      <w:r w:rsidRPr="001C1B82">
        <w:rPr>
          <w:color w:val="0000FF"/>
          <w:szCs w:val="16"/>
        </w:rPr>
        <w:t xml:space="preserve"> </w:t>
      </w:r>
      <w:r>
        <w:fldChar w:fldCharType="end"/>
      </w:r>
      <w:r>
        <w:fldChar w:fldCharType="begin"/>
      </w:r>
      <w:r>
        <w:instrText xml:space="preserve"> HYPERLINK "https://dx.doi.org/10.2139/ssrn.3309779" </w:instrText>
      </w:r>
      <w:r>
        <w:fldChar w:fldCharType="separate"/>
      </w:r>
      <w:r w:rsidRPr="001C1B82">
        <w:rPr>
          <w:szCs w:val="16"/>
        </w:rPr>
        <w:t xml:space="preserve"> </w:t>
      </w:r>
      <w:r>
        <w:fldChar w:fldCharType="end"/>
      </w:r>
    </w:p>
  </w:footnote>
  <w:footnote w:id="405">
    <w:p w:rsidR="00673732" w:rsidRPr="001C1B82">
      <w:pPr>
        <w:pStyle w:val="footnotedescription"/>
        <w:spacing w:line="288" w:lineRule="auto"/>
        <w:rPr>
          <w:szCs w:val="16"/>
        </w:rPr>
      </w:pPr>
      <w:r w:rsidRPr="001C1B82">
        <w:rPr>
          <w:rStyle w:val="footnotemark"/>
          <w:szCs w:val="16"/>
        </w:rPr>
        <w:footnoteRef/>
      </w:r>
      <w:r w:rsidRPr="001C1B82">
        <w:rPr>
          <w:szCs w:val="16"/>
        </w:rPr>
        <w:t xml:space="preserve"> Bastos, M. and Walker, S.T. (2018) </w:t>
      </w:r>
      <w:r w:rsidRPr="001C1B82">
        <w:rPr>
          <w:i/>
          <w:szCs w:val="16"/>
        </w:rPr>
        <w:t>‘Facebook’s data lockdown is a disaster for academic researchers’</w:t>
      </w:r>
      <w:r w:rsidRPr="001C1B82">
        <w:rPr>
          <w:szCs w:val="16"/>
        </w:rPr>
        <w:t xml:space="preserve">, 18 April. Available at </w:t>
      </w:r>
      <w:r>
        <w:fldChar w:fldCharType="begin"/>
      </w:r>
      <w:r>
        <w:instrText xml:space="preserve"> HYPERLINK "http://www.city.ac.uk/news/2018/april/facebook-data-academic-research" </w:instrText>
      </w:r>
      <w:r>
        <w:fldChar w:fldCharType="separate"/>
      </w:r>
      <w:r w:rsidRPr="001C1B82">
        <w:rPr>
          <w:color w:val="0000FF"/>
          <w:szCs w:val="16"/>
          <w:u w:val="single" w:color="0000FF"/>
        </w:rPr>
        <w:t>www.city.ac.uk/news/2018/april/facebook-data-academic</w:t>
      </w:r>
      <w:r>
        <w:fldChar w:fldCharType="end"/>
      </w:r>
      <w:r>
        <w:fldChar w:fldCharType="begin"/>
      </w:r>
      <w:r>
        <w:instrText xml:space="preserve"> HYPERLINK "http://www.city.ac.uk/news/2018/april/facebook-data-academic-research" </w:instrText>
      </w:r>
      <w:r>
        <w:fldChar w:fldCharType="separate"/>
      </w:r>
      <w:r w:rsidRPr="001C1B82">
        <w:rPr>
          <w:color w:val="0000FF"/>
          <w:szCs w:val="16"/>
          <w:u w:val="single" w:color="0000FF"/>
        </w:rPr>
        <w:t>research</w:t>
      </w:r>
      <w:r>
        <w:fldChar w:fldCharType="end"/>
      </w:r>
      <w:r>
        <w:fldChar w:fldCharType="begin"/>
      </w:r>
      <w:r>
        <w:instrText xml:space="preserve"> HYPERLINK "http://www.city.ac.uk/news/2018/april/facebook-data-academic-research" </w:instrText>
      </w:r>
      <w:r>
        <w:fldChar w:fldCharType="separate"/>
      </w:r>
      <w:r w:rsidRPr="001C1B82">
        <w:rPr>
          <w:szCs w:val="16"/>
        </w:rPr>
        <w:t>;</w:t>
      </w:r>
      <w:r>
        <w:fldChar w:fldCharType="end"/>
      </w:r>
      <w:r w:rsidRPr="001C1B82">
        <w:rPr>
          <w:szCs w:val="16"/>
        </w:rPr>
        <w:t xml:space="preserve"> Hotham, T. (2018) ‘</w:t>
      </w:r>
      <w:r w:rsidRPr="001C1B82">
        <w:rPr>
          <w:i/>
          <w:szCs w:val="16"/>
        </w:rPr>
        <w:t>Facebook risk starting a war on knowledge’</w:t>
      </w:r>
      <w:r w:rsidRPr="001C1B82">
        <w:rPr>
          <w:szCs w:val="16"/>
        </w:rPr>
        <w:t xml:space="preserve">, The Conversation, 17 </w:t>
      </w:r>
    </w:p>
    <w:p w:rsidR="00673732" w:rsidRPr="001C1B82">
      <w:pPr>
        <w:pStyle w:val="footnotedescription"/>
        <w:spacing w:line="273" w:lineRule="auto"/>
        <w:rPr>
          <w:szCs w:val="16"/>
        </w:rPr>
      </w:pPr>
      <w:r w:rsidRPr="001C1B82">
        <w:rPr>
          <w:szCs w:val="16"/>
        </w:rPr>
        <w:t xml:space="preserve">August. Available at </w:t>
      </w:r>
      <w:r>
        <w:fldChar w:fldCharType="begin"/>
      </w:r>
      <w:r>
        <w:instrText xml:space="preserve"> HYPERLINK "https://theconversation.com/facebook-risks-starting-a-war-on-knowledge-101646" </w:instrText>
      </w:r>
      <w:r>
        <w:fldChar w:fldCharType="separate"/>
      </w:r>
      <w:r w:rsidRPr="001C1B82">
        <w:rPr>
          <w:color w:val="0000FF"/>
          <w:szCs w:val="16"/>
          <w:u w:val="single" w:color="0000FF"/>
        </w:rPr>
        <w:t>https://theconversation.com/facebook-risks-starting-a-war-on-knowledge</w:t>
      </w:r>
      <w:r>
        <w:fldChar w:fldCharType="end"/>
      </w:r>
      <w:r>
        <w:fldChar w:fldCharType="begin"/>
      </w:r>
      <w:r>
        <w:instrText xml:space="preserve"> HYPERLINK "https://theconversation.com/facebook-risks-starting-a-war-on-knowledge-101646" </w:instrText>
      </w:r>
      <w:r>
        <w:fldChar w:fldCharType="separate"/>
      </w:r>
      <w:r w:rsidRPr="001C1B82">
        <w:rPr>
          <w:color w:val="0000FF"/>
          <w:szCs w:val="16"/>
          <w:u w:val="single" w:color="0000FF"/>
        </w:rPr>
        <w:t>101646</w:t>
      </w:r>
      <w:r>
        <w:fldChar w:fldCharType="end"/>
      </w:r>
      <w:r>
        <w:fldChar w:fldCharType="begin"/>
      </w:r>
      <w:r>
        <w:instrText xml:space="preserve"> HYPERLINK "https://theconversation.com/facebook-risks-starting-a-war-on-knowledge-101646" </w:instrText>
      </w:r>
      <w:r>
        <w:fldChar w:fldCharType="separate"/>
      </w:r>
      <w:r w:rsidRPr="001C1B82">
        <w:rPr>
          <w:szCs w:val="16"/>
        </w:rPr>
        <w:t xml:space="preserve"> </w:t>
      </w:r>
      <w:r>
        <w:fldChar w:fldCharType="end"/>
      </w:r>
    </w:p>
  </w:footnote>
  <w:footnote w:id="406">
    <w:p w:rsidR="00673732" w:rsidRPr="001C1B82">
      <w:pPr>
        <w:pStyle w:val="footnotedescription"/>
        <w:spacing w:line="280" w:lineRule="auto"/>
        <w:rPr>
          <w:szCs w:val="16"/>
        </w:rPr>
      </w:pPr>
      <w:r w:rsidRPr="001C1B82">
        <w:rPr>
          <w:rStyle w:val="footnotemark"/>
          <w:szCs w:val="16"/>
        </w:rPr>
        <w:footnoteRef/>
      </w:r>
      <w:r w:rsidRPr="001C1B82">
        <w:rPr>
          <w:szCs w:val="16"/>
        </w:rPr>
        <w:t xml:space="preserve"> Kim, E.-M. and Yang, S. (2016) </w:t>
      </w:r>
      <w:r w:rsidRPr="001C1B82">
        <w:rPr>
          <w:i/>
          <w:szCs w:val="16"/>
        </w:rPr>
        <w:t>Internet literacy and digital natives’ civic engagement: Internet skill literacy or internet information literacy?</w:t>
      </w:r>
      <w:r w:rsidRPr="001C1B82">
        <w:rPr>
          <w:szCs w:val="16"/>
        </w:rPr>
        <w:t xml:space="preserve">, Journal of Youth Studies, 19(4), 438–56. doi:10.1080/13676261.2015.1083961; Martens, H. and Hobbs, R. (2015) </w:t>
      </w:r>
      <w:r w:rsidRPr="001C1B82">
        <w:rPr>
          <w:i/>
          <w:szCs w:val="16"/>
        </w:rPr>
        <w:t>How media literacy supports civic engagement in a digital age</w:t>
      </w:r>
      <w:r w:rsidRPr="001C1B82">
        <w:rPr>
          <w:szCs w:val="16"/>
        </w:rPr>
        <w:t xml:space="preserve">’ Atlantic Journal of Communication, 23(2), 120–37. doi:10.1080/15456870.2014.961636; Hobbs, R. (2010) </w:t>
      </w:r>
      <w:r w:rsidRPr="001C1B82">
        <w:rPr>
          <w:i/>
          <w:szCs w:val="16"/>
        </w:rPr>
        <w:t>Digital and media literacy: A plan of action</w:t>
      </w:r>
      <w:r w:rsidRPr="001C1B82">
        <w:rPr>
          <w:szCs w:val="16"/>
        </w:rPr>
        <w:t xml:space="preserve">. Available at </w:t>
      </w:r>
      <w:r>
        <w:fldChar w:fldCharType="begin"/>
      </w:r>
      <w:r>
        <w:instrText xml:space="preserve"> HYPERLINK "http://mediaeducationlab.com/sites/mediaeducationlab.com/files/Hobbs%20Digital%20and%20Media%20Literacy%20Plan%20of%20Action.pdf" </w:instrText>
      </w:r>
      <w:r>
        <w:fldChar w:fldCharType="separate"/>
      </w:r>
      <w:r w:rsidRPr="001C1B82">
        <w:rPr>
          <w:color w:val="0000FF"/>
          <w:szCs w:val="16"/>
          <w:u w:val="single" w:color="0000FF"/>
        </w:rPr>
        <w:t>http://mediaeducationlab.com/sites/mediaeducationlab.com/files/Hobbs%20Digital%20and%20Media</w:t>
      </w:r>
      <w:r>
        <w:fldChar w:fldCharType="end"/>
      </w:r>
    </w:p>
  </w:footnote>
  <w:footnote w:id="407">
    <w:p w:rsidR="00673732" w:rsidRPr="001C1B82">
      <w:pPr>
        <w:pStyle w:val="footnotedescription"/>
        <w:spacing w:line="294" w:lineRule="auto"/>
        <w:rPr>
          <w:szCs w:val="16"/>
        </w:rPr>
      </w:pPr>
      <w:r w:rsidRPr="001C1B82">
        <w:rPr>
          <w:rStyle w:val="footnotemark"/>
          <w:szCs w:val="16"/>
        </w:rPr>
        <w:footnoteRef/>
      </w:r>
      <w:r w:rsidRPr="001C1B82">
        <w:rPr>
          <w:szCs w:val="16"/>
        </w:rPr>
        <w:t xml:space="preserve"> Jeong, S.H., Cho, H. and Hwang, Y. (2012) </w:t>
      </w:r>
      <w:r w:rsidRPr="001C1B82">
        <w:rPr>
          <w:i/>
          <w:szCs w:val="16"/>
        </w:rPr>
        <w:t>Media literacy interventions: A meta-analytic review</w:t>
      </w:r>
      <w:r w:rsidRPr="001C1B82">
        <w:rPr>
          <w:szCs w:val="16"/>
        </w:rPr>
        <w:t xml:space="preserve">, Journal of Communication, 62(3), 454–72. doi:10.1111/j.1460-2466.2012.01643.x. </w:t>
      </w:r>
    </w:p>
  </w:footnote>
  <w:footnote w:id="408">
    <w:p w:rsidR="00673732" w:rsidRPr="001C1B82">
      <w:pPr>
        <w:pStyle w:val="footnotedescription"/>
        <w:spacing w:after="37"/>
        <w:jc w:val="both"/>
        <w:rPr>
          <w:szCs w:val="16"/>
        </w:rPr>
      </w:pPr>
      <w:r w:rsidRPr="001C1B82">
        <w:rPr>
          <w:rStyle w:val="footnotemark"/>
          <w:szCs w:val="16"/>
        </w:rPr>
        <w:footnoteRef/>
      </w:r>
      <w:r w:rsidRPr="001C1B82">
        <w:rPr>
          <w:szCs w:val="16"/>
        </w:rPr>
        <w:t xml:space="preserve"> Polizzi, G., Taylor, R., (2019) </w:t>
      </w:r>
      <w:r w:rsidRPr="001C1B82">
        <w:rPr>
          <w:i/>
          <w:szCs w:val="16"/>
        </w:rPr>
        <w:t xml:space="preserve">Misinformation, digital literacy and the school curriculum. Media Policy </w:t>
      </w:r>
    </w:p>
    <w:p w:rsidR="00673732" w:rsidRPr="001C1B82">
      <w:pPr>
        <w:pStyle w:val="footnotedescription"/>
        <w:spacing w:line="275" w:lineRule="auto"/>
        <w:rPr>
          <w:szCs w:val="16"/>
        </w:rPr>
      </w:pPr>
      <w:r w:rsidRPr="001C1B82">
        <w:rPr>
          <w:i/>
          <w:szCs w:val="16"/>
        </w:rPr>
        <w:t>Brief 22</w:t>
      </w:r>
      <w:r w:rsidRPr="001C1B82">
        <w:rPr>
          <w:szCs w:val="16"/>
        </w:rPr>
        <w:t>. London: Media Policy Project, London School of Economics and Political Science. Media Policy Project, London School of Economics and Political Science, London, UK. Available at</w:t>
      </w:r>
      <w:r>
        <w:fldChar w:fldCharType="begin"/>
      </w:r>
      <w:r>
        <w:instrText xml:space="preserve"> HYPERLINK "http://eprints.lse.ac.uk/101083/" </w:instrText>
      </w:r>
      <w:r>
        <w:fldChar w:fldCharType="separate"/>
      </w:r>
      <w:r w:rsidRPr="001C1B82">
        <w:rPr>
          <w:szCs w:val="16"/>
        </w:rPr>
        <w:t xml:space="preserve"> </w:t>
      </w:r>
      <w:r>
        <w:fldChar w:fldCharType="end"/>
      </w:r>
      <w:r>
        <w:fldChar w:fldCharType="begin"/>
      </w:r>
      <w:r>
        <w:instrText xml:space="preserve"> HYPERLINK "http://eprints.lse.ac.uk/101083/" </w:instrText>
      </w:r>
      <w:r>
        <w:fldChar w:fldCharType="separate"/>
      </w:r>
      <w:r w:rsidRPr="001C1B82">
        <w:rPr>
          <w:color w:val="1155CC"/>
          <w:szCs w:val="16"/>
          <w:u w:val="single" w:color="1155CC"/>
        </w:rPr>
        <w:t>http://eprints.lse.ac.uk/101083/</w:t>
      </w:r>
      <w:r>
        <w:fldChar w:fldCharType="end"/>
      </w:r>
      <w:r>
        <w:fldChar w:fldCharType="begin"/>
      </w:r>
      <w:r>
        <w:instrText xml:space="preserve"> HYPERLINK "http://eprints.lse.ac.uk/101083/" </w:instrText>
      </w:r>
      <w:r>
        <w:fldChar w:fldCharType="separate"/>
      </w:r>
      <w:r w:rsidRPr="001C1B82">
        <w:rPr>
          <w:szCs w:val="16"/>
        </w:rPr>
        <w:t xml:space="preserve"> </w:t>
      </w:r>
      <w:r>
        <w:fldChar w:fldCharType="end"/>
      </w:r>
    </w:p>
  </w:footnote>
  <w:footnote w:id="409">
    <w:p w:rsidR="00673732" w:rsidRPr="001C1B82">
      <w:pPr>
        <w:pStyle w:val="footnotedescription"/>
        <w:spacing w:after="32"/>
        <w:rPr>
          <w:szCs w:val="16"/>
        </w:rPr>
      </w:pPr>
      <w:r w:rsidRPr="001C1B82">
        <w:rPr>
          <w:rStyle w:val="footnotemark"/>
          <w:szCs w:val="16"/>
        </w:rPr>
        <w:footnoteRef/>
      </w:r>
      <w:r w:rsidRPr="001C1B82">
        <w:rPr>
          <w:szCs w:val="16"/>
        </w:rPr>
        <w:t xml:space="preserve"> Livingstone, S. (2008) </w:t>
      </w:r>
      <w:r w:rsidRPr="001C1B82">
        <w:rPr>
          <w:i/>
          <w:szCs w:val="16"/>
        </w:rPr>
        <w:t>Engaging with media – A matter of literacy?</w:t>
      </w:r>
      <w:r w:rsidRPr="001C1B82">
        <w:rPr>
          <w:szCs w:val="16"/>
        </w:rPr>
        <w:t xml:space="preserve">, Communication, Culture &amp; </w:t>
      </w:r>
    </w:p>
    <w:p w:rsidR="00673732" w:rsidRPr="001C1B82">
      <w:pPr>
        <w:pStyle w:val="footnotedescription"/>
        <w:rPr>
          <w:szCs w:val="16"/>
        </w:rPr>
      </w:pPr>
      <w:r w:rsidRPr="001C1B82">
        <w:rPr>
          <w:szCs w:val="16"/>
        </w:rPr>
        <w:t xml:space="preserve">Critique, 1(1), 51–62. Available at </w:t>
      </w:r>
      <w:r>
        <w:fldChar w:fldCharType="begin"/>
      </w:r>
      <w:r>
        <w:instrText xml:space="preserve"> HYPERLINK "http://eprints.lse.ac.uk/4264" </w:instrText>
      </w:r>
      <w:r>
        <w:fldChar w:fldCharType="separate"/>
      </w:r>
      <w:r w:rsidRPr="001C1B82">
        <w:rPr>
          <w:color w:val="0000FF"/>
          <w:szCs w:val="16"/>
          <w:u w:val="single" w:color="0000FF"/>
        </w:rPr>
        <w:t>http://eprints.lse.ac.uk/4264</w:t>
      </w:r>
      <w:r>
        <w:fldChar w:fldCharType="end"/>
      </w:r>
      <w:r>
        <w:fldChar w:fldCharType="begin"/>
      </w:r>
      <w:r>
        <w:instrText xml:space="preserve"> HYPERLINK "http://eprints.lse.ac.uk/4264" </w:instrText>
      </w:r>
      <w:r>
        <w:fldChar w:fldCharType="separate"/>
      </w:r>
      <w:r w:rsidRPr="001C1B82">
        <w:rPr>
          <w:szCs w:val="16"/>
        </w:rPr>
        <w:t xml:space="preserve"> </w:t>
      </w:r>
      <w:r>
        <w:fldChar w:fldCharType="end"/>
      </w:r>
      <w:r w:rsidRPr="001C1B82">
        <w:rPr>
          <w:szCs w:val="16"/>
        </w:rPr>
        <w:t xml:space="preserve">  </w:t>
      </w:r>
    </w:p>
  </w:footnote>
  <w:footnote w:id="410">
    <w:p w:rsidR="00673732" w:rsidRPr="001C1B82">
      <w:pPr>
        <w:pStyle w:val="footnotedescription"/>
        <w:spacing w:line="310" w:lineRule="auto"/>
        <w:rPr>
          <w:szCs w:val="16"/>
        </w:rPr>
      </w:pPr>
      <w:r w:rsidRPr="001C1B82">
        <w:rPr>
          <w:rStyle w:val="footnotemark"/>
          <w:szCs w:val="16"/>
        </w:rPr>
        <w:footnoteRef/>
      </w:r>
      <w:r w:rsidRPr="001C1B82">
        <w:rPr>
          <w:szCs w:val="16"/>
        </w:rPr>
        <w:t xml:space="preserve"> Livingstone, S. (2018). Media Literacy: what are the challenges and how can we move towards a solution?. [Blog] </w:t>
      </w:r>
      <w:r w:rsidRPr="001C1B82">
        <w:rPr>
          <w:i/>
          <w:szCs w:val="16"/>
        </w:rPr>
        <w:t>LSE Media Policy Project</w:t>
      </w:r>
      <w:r w:rsidRPr="001C1B82">
        <w:rPr>
          <w:szCs w:val="16"/>
        </w:rPr>
        <w:t xml:space="preserve">. Available at: </w:t>
      </w:r>
    </w:p>
    <w:p w:rsidR="00673732" w:rsidRPr="001C1B82">
      <w:pPr>
        <w:pStyle w:val="footnotedescription"/>
        <w:spacing w:line="243" w:lineRule="auto"/>
        <w:rPr>
          <w:szCs w:val="16"/>
        </w:rPr>
      </w:pPr>
      <w:r>
        <w:fldChar w:fldCharType="begin"/>
      </w:r>
      <w:r>
        <w:instrText xml:space="preserve"> HYPERLINK "https://blogs.lse.ac.uk/mediapolicyproject/2018/10/25/media-literacy-what-are-the-challenges-and-how-can-we-move-towards-a-solution/" </w:instrText>
      </w:r>
      <w:r>
        <w:fldChar w:fldCharType="separate"/>
      </w:r>
      <w:r w:rsidRPr="001C1B82">
        <w:rPr>
          <w:color w:val="0000FF"/>
          <w:szCs w:val="16"/>
          <w:u w:val="single" w:color="0000FF"/>
        </w:rPr>
        <w:t>https://blogs.lse.ac.uk/mediapolicyproject/2018/10/25/media-literacy-what-are-the-challenges-and</w:t>
      </w:r>
      <w:r>
        <w:fldChar w:fldCharType="end"/>
      </w:r>
      <w:r>
        <w:fldChar w:fldCharType="begin"/>
      </w:r>
      <w:r>
        <w:instrText xml:space="preserve"> HYPERLINK "https://blogs.lse.ac.uk/mediapolicyproject/2018/10/25/media-literacy-what-are-the-challenges-and-how-can-we-move-towards-a-solution/" </w:instrText>
      </w:r>
      <w:r>
        <w:fldChar w:fldCharType="separate"/>
      </w:r>
      <w:r w:rsidRPr="001C1B82">
        <w:rPr>
          <w:color w:val="0000FF"/>
          <w:szCs w:val="16"/>
          <w:u w:val="single" w:color="0000FF"/>
        </w:rPr>
        <w:t>how-can-we-move-towards-a-solution/</w:t>
      </w:r>
      <w:r>
        <w:fldChar w:fldCharType="end"/>
      </w:r>
      <w:r>
        <w:fldChar w:fldCharType="begin"/>
      </w:r>
      <w:r>
        <w:instrText xml:space="preserve"> HYPERLINK "https://blogs.lse.ac.uk/mediapolicyproject/2018/10/25/media-literacy-what-are-the-challenges-and-how-can-we-move-towards-a-solution/" </w:instrText>
      </w:r>
      <w:r>
        <w:fldChar w:fldCharType="separate"/>
      </w:r>
      <w:r w:rsidRPr="001C1B82">
        <w:rPr>
          <w:szCs w:val="16"/>
        </w:rPr>
        <w:t xml:space="preserve"> </w:t>
      </w:r>
      <w:r>
        <w:fldChar w:fldCharType="end"/>
      </w:r>
      <w:r w:rsidRPr="001C1B82">
        <w:rPr>
          <w:szCs w:val="16"/>
        </w:rPr>
        <w:t xml:space="preserve">  </w:t>
      </w:r>
    </w:p>
  </w:footnote>
  <w:footnote w:id="411">
    <w:p w:rsidR="00673732" w:rsidRPr="001C1B82">
      <w:pPr>
        <w:pStyle w:val="footnotedescription"/>
        <w:spacing w:line="294" w:lineRule="auto"/>
        <w:rPr>
          <w:szCs w:val="16"/>
        </w:rPr>
      </w:pPr>
      <w:r w:rsidRPr="001C1B82">
        <w:rPr>
          <w:rStyle w:val="footnotemark"/>
          <w:szCs w:val="16"/>
        </w:rPr>
        <w:footnoteRef/>
      </w:r>
      <w:r w:rsidRPr="001C1B82">
        <w:rPr>
          <w:szCs w:val="16"/>
        </w:rPr>
        <w:t xml:space="preserve"> Leathern, R. (2018) </w:t>
      </w:r>
      <w:r w:rsidRPr="001C1B82">
        <w:rPr>
          <w:i/>
          <w:szCs w:val="16"/>
        </w:rPr>
        <w:t>Shining a light on ads with political content</w:t>
      </w:r>
      <w:r w:rsidRPr="001C1B82">
        <w:rPr>
          <w:szCs w:val="16"/>
        </w:rPr>
        <w:t xml:space="preserve">, 24 May. Available at </w:t>
      </w:r>
      <w:r>
        <w:fldChar w:fldCharType="begin"/>
      </w:r>
      <w:r>
        <w:instrText xml:space="preserve"> HYPERLINK "https://newsroom.fb.com/news/2018/05/ads-with-political-content/" </w:instrText>
      </w:r>
      <w:r>
        <w:fldChar w:fldCharType="separate"/>
      </w:r>
      <w:r w:rsidRPr="001C1B82">
        <w:rPr>
          <w:color w:val="0000FF"/>
          <w:szCs w:val="16"/>
          <w:u w:val="single" w:color="0000FF"/>
        </w:rPr>
        <w:t>https://newsroom.fb.com/news/2018/05/ads-with-political-content/</w:t>
      </w:r>
      <w:r>
        <w:fldChar w:fldCharType="end"/>
      </w:r>
      <w:r>
        <w:fldChar w:fldCharType="begin"/>
      </w:r>
      <w:r>
        <w:instrText xml:space="preserve"> HYPERLINK "https://newsroom.fb.com/news/2018/05/ads-with-political-content/" </w:instrText>
      </w:r>
      <w:r>
        <w:fldChar w:fldCharType="separate"/>
      </w:r>
      <w:r w:rsidRPr="001C1B82">
        <w:rPr>
          <w:szCs w:val="16"/>
        </w:rPr>
        <w:t xml:space="preserve"> </w:t>
      </w:r>
      <w:r>
        <w:fldChar w:fldCharType="end"/>
      </w:r>
      <w:r w:rsidRPr="001C1B82">
        <w:rPr>
          <w:szCs w:val="16"/>
        </w:rPr>
        <w:t xml:space="preserve">  </w:t>
      </w:r>
    </w:p>
  </w:footnote>
  <w:footnote w:id="412">
    <w:p w:rsidR="00673732" w:rsidRPr="001C1B82">
      <w:pPr>
        <w:pStyle w:val="footnotedescription"/>
        <w:spacing w:line="285" w:lineRule="auto"/>
        <w:rPr>
          <w:szCs w:val="16"/>
        </w:rPr>
      </w:pPr>
      <w:r w:rsidRPr="001C1B82">
        <w:rPr>
          <w:rStyle w:val="footnotemark"/>
          <w:szCs w:val="16"/>
        </w:rPr>
        <w:footnoteRef/>
      </w:r>
      <w:r w:rsidRPr="001C1B82">
        <w:rPr>
          <w:szCs w:val="16"/>
        </w:rPr>
        <w:t xml:space="preserve"> The Electoral Commission (2018) </w:t>
      </w:r>
      <w:r w:rsidRPr="001C1B82">
        <w:rPr>
          <w:i/>
          <w:szCs w:val="16"/>
        </w:rPr>
        <w:t>Digital campaigning: Increasing transparency for voters</w:t>
      </w:r>
      <w:r w:rsidRPr="001C1B82">
        <w:rPr>
          <w:szCs w:val="16"/>
        </w:rPr>
        <w:t xml:space="preserve">. Available at </w:t>
      </w:r>
      <w:r>
        <w:fldChar w:fldCharType="begin"/>
      </w:r>
      <w:r>
        <w:instrText xml:space="preserve"> HYPERLINK "http://www.electoralcommission.org.uk/__data/assets/pdf_file/0010/244594/Digital-campaigning-improving-transparency-for-voters.pdf" </w:instrText>
      </w:r>
      <w:r>
        <w:fldChar w:fldCharType="separate"/>
      </w:r>
      <w:r w:rsidRPr="001C1B82">
        <w:rPr>
          <w:color w:val="0000FF"/>
          <w:szCs w:val="16"/>
          <w:u w:val="single" w:color="0000FF"/>
        </w:rPr>
        <w:t>www.electoralcommission.org.uk/__data/assets/pdf_file/0010/244594/Digital-campaigning</w:t>
      </w:r>
      <w:r>
        <w:fldChar w:fldCharType="end"/>
      </w:r>
      <w:r>
        <w:fldChar w:fldCharType="begin"/>
      </w:r>
      <w:r>
        <w:instrText xml:space="preserve"> HYPERLINK "http://www.electoralcommission.org.uk/__data/assets/pdf_file/0010/244594/Digital-campaigning-improving-transparency-for-voters.pdf" </w:instrText>
      </w:r>
      <w:r>
        <w:fldChar w:fldCharType="separate"/>
      </w:r>
      <w:r w:rsidRPr="001C1B82">
        <w:rPr>
          <w:color w:val="0000FF"/>
          <w:szCs w:val="16"/>
          <w:u w:val="single" w:color="0000FF"/>
        </w:rPr>
        <w:t>improving-transparency-for-voters.pdf</w:t>
      </w:r>
      <w:r>
        <w:fldChar w:fldCharType="end"/>
      </w:r>
      <w:r>
        <w:fldChar w:fldCharType="begin"/>
      </w:r>
      <w:r>
        <w:instrText xml:space="preserve"> HYPERLINK "http://www.electoralcommission.org.uk/__data/assets/pdf_file/0010/244594/Digital-campaigning-improving-transparency-for-voters.pdf" </w:instrText>
      </w:r>
      <w:r>
        <w:fldChar w:fldCharType="separate"/>
      </w:r>
      <w:r w:rsidRPr="001C1B82">
        <w:rPr>
          <w:szCs w:val="16"/>
        </w:rPr>
        <w:t xml:space="preserve"> </w:t>
      </w:r>
      <w:r>
        <w:fldChar w:fldCharType="end"/>
      </w:r>
      <w:r w:rsidRPr="001C1B82">
        <w:rPr>
          <w:szCs w:val="16"/>
        </w:rPr>
        <w:t xml:space="preserve"> </w:t>
      </w:r>
    </w:p>
  </w:footnote>
  <w:footnote w:id="413">
    <w:p w:rsidR="00673732" w:rsidRPr="001C1B82">
      <w:pPr>
        <w:pStyle w:val="footnotedescription"/>
        <w:spacing w:line="286" w:lineRule="auto"/>
        <w:rPr>
          <w:szCs w:val="16"/>
        </w:rPr>
      </w:pPr>
      <w:r w:rsidRPr="001C1B82">
        <w:rPr>
          <w:rStyle w:val="footnotemark"/>
          <w:szCs w:val="16"/>
        </w:rPr>
        <w:footnoteRef/>
      </w:r>
      <w:r w:rsidRPr="001C1B82">
        <w:rPr>
          <w:szCs w:val="16"/>
        </w:rPr>
        <w:t xml:space="preserve"> Information Commissioner’s Office (2018) </w:t>
      </w:r>
      <w:r w:rsidRPr="001C1B82">
        <w:rPr>
          <w:i/>
          <w:szCs w:val="16"/>
        </w:rPr>
        <w:t>Democracy disrupted? Personal information and political influence</w:t>
      </w:r>
      <w:r w:rsidRPr="001C1B82">
        <w:rPr>
          <w:szCs w:val="16"/>
        </w:rPr>
        <w:t xml:space="preserve">. Available at </w:t>
      </w:r>
      <w:r>
        <w:fldChar w:fldCharType="begin"/>
      </w:r>
      <w:r>
        <w:instrText xml:space="preserve"> HYPERLINK "https://ico.org.uk/media/action-weve-taken/2259369/democracy-disrupted-110718.pdf" </w:instrText>
      </w:r>
      <w:r>
        <w:fldChar w:fldCharType="separate"/>
      </w:r>
      <w:r w:rsidRPr="001C1B82">
        <w:rPr>
          <w:color w:val="0000FF"/>
          <w:szCs w:val="16"/>
          <w:u w:val="single" w:color="0000FF"/>
        </w:rPr>
        <w:t>https://ico.org.uk/media/action-weve-taken/2259369/democracy-disrupted</w:t>
      </w:r>
      <w:r>
        <w:fldChar w:fldCharType="end"/>
      </w:r>
      <w:r>
        <w:fldChar w:fldCharType="begin"/>
      </w:r>
      <w:r>
        <w:instrText xml:space="preserve"> HYPERLINK "https://ico.org.uk/media/action-weve-taken/2259369/democracy-disrupted-110718.pdf" </w:instrText>
      </w:r>
      <w:r>
        <w:fldChar w:fldCharType="separate"/>
      </w:r>
      <w:r w:rsidRPr="001C1B82">
        <w:rPr>
          <w:color w:val="0000FF"/>
          <w:szCs w:val="16"/>
          <w:u w:val="single" w:color="0000FF"/>
        </w:rPr>
        <w:t>110718.pdf</w:t>
      </w:r>
      <w:r>
        <w:fldChar w:fldCharType="end"/>
      </w:r>
      <w:r>
        <w:fldChar w:fldCharType="begin"/>
      </w:r>
      <w:r>
        <w:instrText xml:space="preserve"> HYPERLINK "https://ico.org.uk/media/action-weve-taken/2259369/democracy-disrupted-110718.pdf" </w:instrText>
      </w:r>
      <w:r>
        <w:fldChar w:fldCharType="separate"/>
      </w:r>
      <w:r w:rsidRPr="001C1B82">
        <w:rPr>
          <w:szCs w:val="16"/>
        </w:rPr>
        <w:t xml:space="preserve"> </w:t>
      </w:r>
      <w:r>
        <w:fldChar w:fldCharType="end"/>
      </w:r>
      <w:r w:rsidRPr="001C1B82">
        <w:rPr>
          <w:szCs w:val="16"/>
        </w:rPr>
        <w:t xml:space="preserve"> </w:t>
      </w:r>
    </w:p>
  </w:footnote>
  <w:footnote w:id="414">
    <w:p w:rsidR="00673732" w:rsidRPr="001C1B82">
      <w:pPr>
        <w:pStyle w:val="footnotedescription"/>
        <w:spacing w:line="285" w:lineRule="auto"/>
        <w:rPr>
          <w:szCs w:val="16"/>
        </w:rPr>
      </w:pPr>
      <w:r w:rsidRPr="001C1B82">
        <w:rPr>
          <w:rStyle w:val="footnotemark"/>
          <w:szCs w:val="16"/>
        </w:rPr>
        <w:footnoteRef/>
      </w:r>
      <w:r w:rsidRPr="001C1B82">
        <w:rPr>
          <w:szCs w:val="16"/>
        </w:rPr>
        <w:t xml:space="preserve"> Ofcom (2018) ‘</w:t>
      </w:r>
      <w:r w:rsidRPr="001C1B82">
        <w:rPr>
          <w:i/>
          <w:szCs w:val="16"/>
        </w:rPr>
        <w:t>Eight in ten Internet users have concerns about going online’</w:t>
      </w:r>
      <w:r w:rsidRPr="001C1B82">
        <w:rPr>
          <w:szCs w:val="16"/>
        </w:rPr>
        <w:t xml:space="preserve">, 18 September. Available at </w:t>
      </w:r>
      <w:r>
        <w:fldChar w:fldCharType="begin"/>
      </w:r>
      <w:r>
        <w:instrText xml:space="preserve"> HYPERLINK "http://www.ofcom.org.uk/about-ofcom/latest/features-and-news/eight-in-ten-have-online-concerns" </w:instrText>
      </w:r>
      <w:r>
        <w:fldChar w:fldCharType="separate"/>
      </w:r>
      <w:r w:rsidRPr="001C1B82">
        <w:rPr>
          <w:color w:val="0000FF"/>
          <w:szCs w:val="16"/>
          <w:u w:val="single" w:color="0000FF"/>
        </w:rPr>
        <w:t>www.ofcom.org.uk/about-ofcom/latest/features-and-news/eight-in-ten-have-online</w:t>
      </w:r>
      <w:r>
        <w:fldChar w:fldCharType="end"/>
      </w:r>
      <w:r>
        <w:fldChar w:fldCharType="begin"/>
      </w:r>
      <w:r>
        <w:instrText xml:space="preserve"> HYPERLINK "http://www.ofcom.org.uk/about-ofcom/latest/features-and-news/eight-in-ten-have-online-concerns" </w:instrText>
      </w:r>
      <w:r>
        <w:fldChar w:fldCharType="separate"/>
      </w:r>
      <w:r w:rsidRPr="001C1B82">
        <w:rPr>
          <w:color w:val="0000FF"/>
          <w:szCs w:val="16"/>
          <w:u w:val="single" w:color="0000FF"/>
        </w:rPr>
        <w:t>concerns</w:t>
      </w:r>
      <w:r>
        <w:fldChar w:fldCharType="end"/>
      </w:r>
      <w:r>
        <w:fldChar w:fldCharType="begin"/>
      </w:r>
      <w:r>
        <w:instrText xml:space="preserve"> HYPERLINK "http://www.ofcom.org.uk/about-ofcom/latest/features-and-news/eight-in-ten-have-online-concerns" </w:instrText>
      </w:r>
      <w:r>
        <w:fldChar w:fldCharType="separate"/>
      </w:r>
      <w:r w:rsidRPr="001C1B82">
        <w:rPr>
          <w:szCs w:val="16"/>
        </w:rPr>
        <w:t xml:space="preserve"> </w:t>
      </w:r>
      <w:r>
        <w:fldChar w:fldCharType="end"/>
      </w:r>
      <w:r w:rsidRPr="001C1B82">
        <w:rPr>
          <w:szCs w:val="16"/>
        </w:rPr>
        <w:t xml:space="preserve">  </w:t>
      </w:r>
    </w:p>
  </w:footnote>
  <w:footnote w:id="415">
    <w:p w:rsidR="00673732" w:rsidRPr="001C1B82">
      <w:pPr>
        <w:pStyle w:val="footnotedescription"/>
        <w:spacing w:line="268" w:lineRule="auto"/>
        <w:rPr>
          <w:szCs w:val="16"/>
        </w:rPr>
      </w:pPr>
      <w:r w:rsidRPr="001C1B82">
        <w:rPr>
          <w:rStyle w:val="footnotemark"/>
          <w:szCs w:val="16"/>
        </w:rPr>
        <w:footnoteRef/>
      </w:r>
      <w:r w:rsidRPr="001C1B82">
        <w:rPr>
          <w:szCs w:val="16"/>
        </w:rPr>
        <w:t xml:space="preserve"> Electoralcommission.org.uk. (2019). </w:t>
      </w:r>
      <w:r w:rsidRPr="001C1B82">
        <w:rPr>
          <w:i/>
          <w:szCs w:val="16"/>
        </w:rPr>
        <w:t>Transparent digital campaigning</w:t>
      </w:r>
      <w:r w:rsidRPr="001C1B82">
        <w:rPr>
          <w:szCs w:val="16"/>
        </w:rPr>
        <w:t xml:space="preserve">. [online] Available at: </w:t>
      </w:r>
      <w:r>
        <w:fldChar w:fldCharType="begin"/>
      </w:r>
      <w:r>
        <w:instrText xml:space="preserve"> HYPERLINK "https://www.electoralcommission.org.uk/who-we-are-and-what-we-do/changing-electoral-law/transparent-digital-campaigning" </w:instrText>
      </w:r>
      <w:r>
        <w:fldChar w:fldCharType="separate"/>
      </w:r>
      <w:r w:rsidRPr="001C1B82">
        <w:rPr>
          <w:color w:val="0000FF"/>
          <w:szCs w:val="16"/>
          <w:u w:val="single" w:color="0000FF"/>
        </w:rPr>
        <w:t>https://www.electoralcommission.org.uk/who-we-are-and-what-we-do/changing-electoral</w:t>
      </w:r>
      <w:r>
        <w:fldChar w:fldCharType="end"/>
      </w:r>
      <w:r>
        <w:fldChar w:fldCharType="begin"/>
      </w:r>
      <w:r>
        <w:instrText xml:space="preserve"> HYPERLINK "https://www.electoralcommission.org.uk/who-we-are-and-what-we-do/changing-electoral-law/transparent-digital-campaigning" </w:instrText>
      </w:r>
      <w:r>
        <w:fldChar w:fldCharType="separate"/>
      </w:r>
      <w:r w:rsidRPr="001C1B82">
        <w:rPr>
          <w:color w:val="0000FF"/>
          <w:szCs w:val="16"/>
          <w:u w:val="single" w:color="0000FF"/>
        </w:rPr>
        <w:t>law/transparent-digital-campaigning</w:t>
      </w:r>
      <w:r>
        <w:fldChar w:fldCharType="end"/>
      </w:r>
      <w:r>
        <w:fldChar w:fldCharType="begin"/>
      </w:r>
      <w:r>
        <w:instrText xml:space="preserve"> HYPERLINK "https://www.electoralcommission.org.uk/who-we-are-and-what-we-do/changing-electoral-law/transparent-digital-campaigning" </w:instrText>
      </w:r>
      <w:r>
        <w:fldChar w:fldCharType="separate"/>
      </w:r>
      <w:r w:rsidRPr="001C1B82">
        <w:rPr>
          <w:szCs w:val="16"/>
        </w:rPr>
        <w:t xml:space="preserve"> </w:t>
      </w:r>
      <w:r>
        <w:fldChar w:fldCharType="end"/>
      </w:r>
      <w:r w:rsidRPr="001C1B82">
        <w:rPr>
          <w:szCs w:val="16"/>
        </w:rPr>
        <w:t xml:space="preserve"> </w:t>
      </w:r>
    </w:p>
  </w:footnote>
  <w:footnote w:id="416">
    <w:p w:rsidR="00673732" w:rsidRPr="001C1B82">
      <w:pPr>
        <w:pStyle w:val="footnotedescription"/>
        <w:spacing w:line="299" w:lineRule="auto"/>
        <w:rPr>
          <w:szCs w:val="16"/>
        </w:rPr>
      </w:pPr>
      <w:r w:rsidRPr="001C1B82">
        <w:rPr>
          <w:rStyle w:val="footnotemark"/>
          <w:szCs w:val="16"/>
        </w:rPr>
        <w:footnoteRef/>
      </w:r>
      <w:r w:rsidRPr="001C1B82">
        <w:rPr>
          <w:szCs w:val="16"/>
        </w:rPr>
        <w:t xml:space="preserve"> Karpf, D. (2012) </w:t>
      </w:r>
      <w:r w:rsidRPr="001C1B82">
        <w:rPr>
          <w:i/>
          <w:szCs w:val="16"/>
        </w:rPr>
        <w:t>The MoveOn Effect: The Unexpected Transformation of American Political Advocacy</w:t>
      </w:r>
      <w:r w:rsidRPr="001C1B82">
        <w:rPr>
          <w:szCs w:val="16"/>
        </w:rPr>
        <w:t xml:space="preserve">, Oxford University Press. </w:t>
      </w:r>
    </w:p>
  </w:footnote>
  <w:footnote w:id="417">
    <w:p w:rsidR="00673732" w:rsidRPr="001C1B82">
      <w:pPr>
        <w:pStyle w:val="footnotedescription"/>
        <w:spacing w:line="288" w:lineRule="auto"/>
        <w:rPr>
          <w:szCs w:val="16"/>
        </w:rPr>
      </w:pPr>
      <w:r w:rsidRPr="001C1B82">
        <w:rPr>
          <w:rStyle w:val="footnotemark"/>
          <w:szCs w:val="16"/>
        </w:rPr>
        <w:footnoteRef/>
      </w:r>
      <w:r w:rsidRPr="001C1B82">
        <w:rPr>
          <w:szCs w:val="16"/>
        </w:rPr>
        <w:t xml:space="preserve"> Barocas, S. (2012) </w:t>
      </w:r>
      <w:r w:rsidRPr="001C1B82">
        <w:rPr>
          <w:i/>
          <w:szCs w:val="16"/>
        </w:rPr>
        <w:t>The price of precision: Voter microtargeting and its potential harms to the democratic process</w:t>
      </w:r>
      <w:r w:rsidRPr="001C1B82">
        <w:rPr>
          <w:szCs w:val="16"/>
        </w:rPr>
        <w:t xml:space="preserve">. In Proceedings of the first edition workshop on Politics, elections and data (pp. 31-36). ACM. </w:t>
      </w:r>
    </w:p>
  </w:footnote>
  <w:footnote w:id="418">
    <w:p w:rsidR="00673732" w:rsidRPr="001C1B82">
      <w:pPr>
        <w:pStyle w:val="footnotedescription"/>
        <w:spacing w:line="299" w:lineRule="auto"/>
        <w:rPr>
          <w:szCs w:val="16"/>
        </w:rPr>
      </w:pPr>
      <w:r w:rsidRPr="001C1B82">
        <w:rPr>
          <w:rStyle w:val="footnotemark"/>
          <w:szCs w:val="16"/>
        </w:rPr>
        <w:footnoteRef/>
      </w:r>
      <w:r w:rsidRPr="001C1B82">
        <w:rPr>
          <w:szCs w:val="16"/>
        </w:rPr>
        <w:t xml:space="preserve"> Sunshine Hillygus, D &amp; Shields, T. (2009) </w:t>
      </w:r>
      <w:r w:rsidRPr="001C1B82">
        <w:rPr>
          <w:i/>
          <w:szCs w:val="16"/>
        </w:rPr>
        <w:t xml:space="preserve">The Persuadable Voter: Wedge Issues in Presidential Campaigns, </w:t>
      </w:r>
      <w:r w:rsidRPr="001C1B82">
        <w:rPr>
          <w:szCs w:val="16"/>
        </w:rPr>
        <w:t xml:space="preserve">Princeton University Press. </w:t>
      </w:r>
    </w:p>
  </w:footnote>
  <w:footnote w:id="419">
    <w:p w:rsidR="00673732" w:rsidRPr="001C1B82">
      <w:pPr>
        <w:pStyle w:val="footnotedescription"/>
        <w:spacing w:line="288" w:lineRule="auto"/>
        <w:rPr>
          <w:szCs w:val="16"/>
        </w:rPr>
      </w:pPr>
      <w:r w:rsidRPr="001C1B82">
        <w:rPr>
          <w:rStyle w:val="footnotemark"/>
          <w:szCs w:val="16"/>
        </w:rPr>
        <w:footnoteRef/>
      </w:r>
      <w:r w:rsidRPr="001C1B82">
        <w:rPr>
          <w:szCs w:val="16"/>
        </w:rPr>
        <w:t xml:space="preserve"> Privacy International. (2019). </w:t>
      </w:r>
      <w:r w:rsidRPr="001C1B82">
        <w:rPr>
          <w:i/>
          <w:szCs w:val="16"/>
        </w:rPr>
        <w:t>Social media companies have failed to provide adequate advertising transparency to users globally</w:t>
      </w:r>
      <w:r w:rsidRPr="001C1B82">
        <w:rPr>
          <w:szCs w:val="16"/>
        </w:rPr>
        <w:t xml:space="preserve">. [online] Available at: </w:t>
      </w:r>
      <w:r>
        <w:fldChar w:fldCharType="begin"/>
      </w:r>
      <w:r>
        <w:instrText xml:space="preserve"> HYPERLINK "https://privacyinternational.org/long-read/3244/social-media-companies-have-failed-provide-adequate-advertising-transparency-users" </w:instrText>
      </w:r>
      <w:r>
        <w:fldChar w:fldCharType="separate"/>
      </w:r>
      <w:r w:rsidRPr="001C1B82">
        <w:rPr>
          <w:color w:val="0000FF"/>
          <w:szCs w:val="16"/>
          <w:u w:val="single" w:color="0000FF"/>
        </w:rPr>
        <w:t>https://privacyinternational.org/long</w:t>
      </w:r>
      <w:r>
        <w:fldChar w:fldCharType="end"/>
      </w:r>
      <w:r>
        <w:fldChar w:fldCharType="begin"/>
      </w:r>
      <w:r>
        <w:instrText xml:space="preserve"> HYPERLINK "https://privacyinternational.org/long-read/3244/social-media-companies-have-failed-provide-adequate-advertising-transparency-users" </w:instrText>
      </w:r>
      <w:r>
        <w:fldChar w:fldCharType="separate"/>
      </w:r>
      <w:r w:rsidRPr="001C1B82">
        <w:rPr>
          <w:color w:val="0000FF"/>
          <w:szCs w:val="16"/>
          <w:u w:val="single" w:color="0000FF"/>
        </w:rPr>
        <w:t>read/3244/social-media-companies-have-failed-provide-adequate-advertising-transparency-users</w:t>
      </w:r>
      <w:r>
        <w:fldChar w:fldCharType="end"/>
      </w:r>
      <w:r>
        <w:fldChar w:fldCharType="begin"/>
      </w:r>
      <w:r>
        <w:instrText xml:space="preserve"> HYPERLINK "https://privacyinternational.org/long-read/3244/social-media-companies-have-failed-provide-adequate-advertising-transparency-users" </w:instrText>
      </w:r>
      <w:r>
        <w:fldChar w:fldCharType="separate"/>
      </w:r>
      <w:r w:rsidRPr="001C1B82">
        <w:rPr>
          <w:szCs w:val="16"/>
        </w:rPr>
        <w:t xml:space="preserve"> </w:t>
      </w:r>
      <w:r>
        <w:fldChar w:fldCharType="end"/>
      </w:r>
      <w:r w:rsidRPr="001C1B82">
        <w:rPr>
          <w:szCs w:val="16"/>
        </w:rPr>
        <w:t xml:space="preserve"> </w:t>
      </w:r>
    </w:p>
  </w:footnote>
  <w:footnote w:id="420">
    <w:p w:rsidR="00673732" w:rsidRPr="001C1B82">
      <w:pPr>
        <w:pStyle w:val="footnotedescription"/>
        <w:spacing w:line="286" w:lineRule="auto"/>
        <w:rPr>
          <w:szCs w:val="16"/>
        </w:rPr>
      </w:pPr>
      <w:r w:rsidRPr="001C1B82">
        <w:rPr>
          <w:rStyle w:val="footnotemark"/>
          <w:szCs w:val="16"/>
        </w:rPr>
        <w:footnoteRef/>
      </w:r>
      <w:r w:rsidRPr="001C1B82">
        <w:rPr>
          <w:szCs w:val="16"/>
        </w:rPr>
        <w:t xml:space="preserve"> The Mozilla Blog. (2019). </w:t>
      </w:r>
      <w:r w:rsidRPr="001C1B82">
        <w:rPr>
          <w:i/>
          <w:szCs w:val="16"/>
        </w:rPr>
        <w:t>Facebook and Google: This is What an Effective Ad Archive API Looks Like – The Mozilla Blog</w:t>
      </w:r>
      <w:r w:rsidRPr="001C1B82">
        <w:rPr>
          <w:szCs w:val="16"/>
        </w:rPr>
        <w:t xml:space="preserve">. [online] Available at: </w:t>
      </w:r>
      <w:r>
        <w:fldChar w:fldCharType="begin"/>
      </w:r>
      <w:r>
        <w:instrText xml:space="preserve"> HYPERLINK "https://blog.mozilla.org/blog/2019/03/27/facebook-and-google-this-is-what-an-effective-ad-archive-api-looks-like/" </w:instrText>
      </w:r>
      <w:r>
        <w:fldChar w:fldCharType="separate"/>
      </w:r>
      <w:r w:rsidRPr="001C1B82">
        <w:rPr>
          <w:color w:val="0000FF"/>
          <w:szCs w:val="16"/>
          <w:u w:val="single" w:color="0000FF"/>
        </w:rPr>
        <w:t>https://blog.mozilla.org/blog/2019/03/27/facebook-and</w:t>
      </w:r>
      <w:r>
        <w:fldChar w:fldCharType="end"/>
      </w:r>
      <w:r>
        <w:fldChar w:fldCharType="begin"/>
      </w:r>
      <w:r>
        <w:instrText xml:space="preserve"> HYPERLINK "https://blog.mozilla.org/blog/2019/03/27/facebook-and-google-this-is-what-an-effective-ad-archive-api-looks-like/" </w:instrText>
      </w:r>
      <w:r>
        <w:fldChar w:fldCharType="separate"/>
      </w:r>
      <w:r w:rsidRPr="001C1B82">
        <w:rPr>
          <w:color w:val="0000FF"/>
          <w:szCs w:val="16"/>
          <w:u w:val="single" w:color="0000FF"/>
        </w:rPr>
        <w:t>google-this-is-what-an-effective-ad-archive-api-looks-like/</w:t>
      </w:r>
      <w:r>
        <w:fldChar w:fldCharType="end"/>
      </w:r>
      <w:r>
        <w:fldChar w:fldCharType="begin"/>
      </w:r>
      <w:r>
        <w:instrText xml:space="preserve"> HYPERLINK "https://blog.mozilla.org/blog/2019/03/27/facebook-and-google-this-is-what-an-effective-ad-archive-api-looks-like/" </w:instrText>
      </w:r>
      <w:r>
        <w:fldChar w:fldCharType="separate"/>
      </w:r>
      <w:r w:rsidRPr="001C1B82">
        <w:rPr>
          <w:szCs w:val="16"/>
        </w:rPr>
        <w:t xml:space="preserve"> </w:t>
      </w:r>
      <w:r>
        <w:fldChar w:fldCharType="end"/>
      </w:r>
      <w:r w:rsidRPr="001C1B82">
        <w:rPr>
          <w:szCs w:val="16"/>
        </w:rPr>
        <w:t xml:space="preserve"> </w:t>
      </w:r>
    </w:p>
  </w:footnote>
  <w:footnote w:id="421">
    <w:p w:rsidR="00673732" w:rsidRPr="001C1B82">
      <w:pPr>
        <w:pStyle w:val="footnotedescription"/>
        <w:spacing w:line="247" w:lineRule="auto"/>
        <w:rPr>
          <w:szCs w:val="16"/>
        </w:rPr>
      </w:pPr>
      <w:r w:rsidRPr="001C1B82">
        <w:rPr>
          <w:rStyle w:val="footnotemark"/>
          <w:szCs w:val="16"/>
        </w:rPr>
        <w:footnoteRef/>
      </w:r>
      <w:r w:rsidRPr="001C1B82">
        <w:rPr>
          <w:szCs w:val="16"/>
        </w:rPr>
        <w:t xml:space="preserve"> Diresta, R. (2018) </w:t>
      </w:r>
      <w:r w:rsidRPr="001C1B82">
        <w:rPr>
          <w:i/>
          <w:szCs w:val="16"/>
        </w:rPr>
        <w:t>Free Speech Is Not the Same as Free Reach</w:t>
      </w:r>
      <w:r w:rsidRPr="001C1B82">
        <w:rPr>
          <w:szCs w:val="16"/>
        </w:rPr>
        <w:t xml:space="preserve">, Wired Magazine. Available at: </w:t>
      </w:r>
      <w:r>
        <w:fldChar w:fldCharType="begin"/>
      </w:r>
      <w:r>
        <w:instrText xml:space="preserve"> HYPERLINK "https://www.wired.com/story/free-speech-is-not-the-same-as-free-reach/" </w:instrText>
      </w:r>
      <w:r>
        <w:fldChar w:fldCharType="separate"/>
      </w:r>
      <w:r w:rsidRPr="001C1B82">
        <w:rPr>
          <w:color w:val="0000FF"/>
          <w:szCs w:val="16"/>
          <w:u w:val="single" w:color="0000FF"/>
        </w:rPr>
        <w:t>https://www.wired.com/story/free-speech-is-not-the-same-as-free-reach/</w:t>
      </w:r>
      <w:r>
        <w:fldChar w:fldCharType="end"/>
      </w:r>
      <w:r>
        <w:fldChar w:fldCharType="begin"/>
      </w:r>
      <w:r>
        <w:instrText xml:space="preserve"> HYPERLINK "https://www.wired.com/story/free-speech-is-not-the-same-as-free-reach/" </w:instrText>
      </w:r>
      <w:r>
        <w:fldChar w:fldCharType="separate"/>
      </w:r>
      <w:r w:rsidRPr="001C1B82">
        <w:rPr>
          <w:szCs w:val="16"/>
        </w:rPr>
        <w:t xml:space="preserve"> </w:t>
      </w:r>
      <w:r>
        <w:fldChar w:fldCharType="end"/>
      </w:r>
    </w:p>
  </w:footnote>
  <w:footnote w:id="422">
    <w:p w:rsidR="00673732" w:rsidRPr="001C1B82">
      <w:pPr>
        <w:pStyle w:val="footnotedescription"/>
        <w:spacing w:line="288" w:lineRule="auto"/>
        <w:rPr>
          <w:szCs w:val="16"/>
        </w:rPr>
      </w:pPr>
      <w:r w:rsidRPr="001C1B82">
        <w:rPr>
          <w:rStyle w:val="footnotemark"/>
          <w:szCs w:val="16"/>
        </w:rPr>
        <w:footnoteRef/>
      </w:r>
      <w:r w:rsidRPr="001C1B82">
        <w:rPr>
          <w:szCs w:val="16"/>
        </w:rPr>
        <w:t xml:space="preserve"> Joubert, M. and van Schalkwyk, F. (2019). </w:t>
      </w:r>
      <w:r w:rsidRPr="001C1B82">
        <w:rPr>
          <w:i/>
          <w:szCs w:val="16"/>
        </w:rPr>
        <w:t>Why anti-vaccine beliefs and ideas spread so fast on the internet</w:t>
      </w:r>
      <w:r w:rsidRPr="001C1B82">
        <w:rPr>
          <w:szCs w:val="16"/>
        </w:rPr>
        <w:t xml:space="preserve">. [online] The Conversation. Available at: </w:t>
      </w:r>
      <w:r>
        <w:fldChar w:fldCharType="begin"/>
      </w:r>
      <w:r>
        <w:instrText xml:space="preserve"> HYPERLINK "https://theconversation.com/why-anti-vaccine-beliefs-and-ideas-spread-so-fast-on-the-internet-111431" </w:instrText>
      </w:r>
      <w:r>
        <w:fldChar w:fldCharType="separate"/>
      </w:r>
      <w:r w:rsidRPr="001C1B82">
        <w:rPr>
          <w:color w:val="0000FF"/>
          <w:szCs w:val="16"/>
          <w:u w:val="single" w:color="0000FF"/>
        </w:rPr>
        <w:t>https://theconversation.com/why-anti-vaccine</w:t>
      </w:r>
      <w:r>
        <w:fldChar w:fldCharType="end"/>
      </w:r>
      <w:r>
        <w:fldChar w:fldCharType="begin"/>
      </w:r>
      <w:r>
        <w:instrText xml:space="preserve"> HYPERLINK "https://theconversation.com/why-anti-vaccine-beliefs-and-ideas-spread-so-fast-on-the-internet-111431" </w:instrText>
      </w:r>
      <w:r>
        <w:fldChar w:fldCharType="separate"/>
      </w:r>
      <w:r w:rsidRPr="001C1B82">
        <w:rPr>
          <w:color w:val="0000FF"/>
          <w:szCs w:val="16"/>
          <w:u w:val="single" w:color="0000FF"/>
        </w:rPr>
        <w:t>beliefs-and-ideas-spread-so-fast-on-the-internet-111431</w:t>
      </w:r>
      <w:r>
        <w:fldChar w:fldCharType="end"/>
      </w:r>
      <w:r>
        <w:fldChar w:fldCharType="begin"/>
      </w:r>
      <w:r>
        <w:instrText xml:space="preserve"> HYPERLINK "https://theconversation.com/why-anti-vaccine-beliefs-and-ideas-spread-so-fast-on-the-internet-111431" </w:instrText>
      </w:r>
      <w:r>
        <w:fldChar w:fldCharType="separate"/>
      </w:r>
      <w:r w:rsidRPr="001C1B82">
        <w:rPr>
          <w:szCs w:val="16"/>
        </w:rPr>
        <w:t xml:space="preserve"> </w:t>
      </w:r>
      <w:r>
        <w:fldChar w:fldCharType="end"/>
      </w:r>
      <w:r w:rsidRPr="001C1B82">
        <w:rPr>
          <w:szCs w:val="16"/>
        </w:rPr>
        <w:t xml:space="preserve"> </w:t>
      </w:r>
    </w:p>
  </w:footnote>
  <w:footnote w:id="423">
    <w:p w:rsidR="00673732" w:rsidRPr="001C1B82">
      <w:pPr>
        <w:pStyle w:val="footnotedescription"/>
        <w:spacing w:line="268" w:lineRule="auto"/>
        <w:rPr>
          <w:szCs w:val="16"/>
        </w:rPr>
      </w:pPr>
      <w:r w:rsidRPr="001C1B82">
        <w:rPr>
          <w:rStyle w:val="footnotemark"/>
          <w:szCs w:val="16"/>
        </w:rPr>
        <w:footnoteRef/>
      </w:r>
      <w:r w:rsidRPr="001C1B82">
        <w:rPr>
          <w:szCs w:val="16"/>
        </w:rPr>
        <w:t xml:space="preserve"> The Trust Project. (2018). </w:t>
      </w:r>
      <w:r w:rsidRPr="001C1B82">
        <w:rPr>
          <w:i/>
          <w:szCs w:val="16"/>
        </w:rPr>
        <w:t>Trust Indicators boost readers’ perceptions of news credibility</w:t>
      </w:r>
      <w:r w:rsidRPr="001C1B82">
        <w:rPr>
          <w:szCs w:val="16"/>
        </w:rPr>
        <w:t xml:space="preserve">. [online] Available at: </w:t>
      </w:r>
      <w:r>
        <w:fldChar w:fldCharType="begin"/>
      </w:r>
      <w:r>
        <w:instrText xml:space="preserve"> HYPERLINK "https://thetrustproject.org/trust-indicators-boost-readers-perceptions-of-news-credibility/" </w:instrText>
      </w:r>
      <w:r>
        <w:fldChar w:fldCharType="separate"/>
      </w:r>
      <w:r w:rsidRPr="001C1B82">
        <w:rPr>
          <w:color w:val="0000FF"/>
          <w:szCs w:val="16"/>
          <w:u w:val="single" w:color="0000FF"/>
        </w:rPr>
        <w:t>https://thetrustproject.org/trust-indicators-boost-readers-perceptions-of-news</w:t>
      </w:r>
      <w:r>
        <w:fldChar w:fldCharType="end"/>
      </w:r>
      <w:r>
        <w:fldChar w:fldCharType="begin"/>
      </w:r>
      <w:r>
        <w:instrText xml:space="preserve"> HYPERLINK "https://thetrustproject.org/trust-indicators-boost-readers-perceptions-of-news-credibility/" </w:instrText>
      </w:r>
      <w:r>
        <w:fldChar w:fldCharType="separate"/>
      </w:r>
      <w:r w:rsidRPr="001C1B82">
        <w:rPr>
          <w:color w:val="0000FF"/>
          <w:szCs w:val="16"/>
          <w:u w:val="single" w:color="0000FF"/>
        </w:rPr>
        <w:t>credibility/</w:t>
      </w:r>
      <w:r>
        <w:fldChar w:fldCharType="end"/>
      </w:r>
      <w:r>
        <w:fldChar w:fldCharType="begin"/>
      </w:r>
      <w:r>
        <w:instrText xml:space="preserve"> HYPERLINK "https://thetrustproject.org/trust-indicators-boost-readers-perceptions-of-news-credibility/" </w:instrText>
      </w:r>
      <w:r>
        <w:fldChar w:fldCharType="separate"/>
      </w:r>
      <w:r w:rsidRPr="001C1B82">
        <w:rPr>
          <w:szCs w:val="16"/>
        </w:rPr>
        <w:t xml:space="preserve"> </w:t>
      </w:r>
      <w:r>
        <w:fldChar w:fldCharType="end"/>
      </w:r>
      <w:r w:rsidRPr="001C1B82">
        <w:rPr>
          <w:szCs w:val="16"/>
        </w:rPr>
        <w:t xml:space="preserve">  </w:t>
      </w:r>
    </w:p>
    <w:p w:rsidR="00673732" w:rsidRPr="001C1B82">
      <w:pPr>
        <w:pStyle w:val="footnotedescription"/>
        <w:rPr>
          <w:szCs w:val="16"/>
        </w:rPr>
      </w:pPr>
      <w:r w:rsidRPr="001C1B82">
        <w:rPr>
          <w:szCs w:val="16"/>
        </w:rPr>
        <w:t xml:space="preserve"> </w:t>
      </w:r>
    </w:p>
  </w:footnote>
  <w:footnote w:id="424">
    <w:p w:rsidR="00673732" w:rsidRPr="001C1B82">
      <w:pPr>
        <w:pStyle w:val="footnotedescription"/>
        <w:spacing w:after="6"/>
        <w:ind w:left="1"/>
        <w:rPr>
          <w:szCs w:val="16"/>
        </w:rPr>
      </w:pPr>
      <w:r w:rsidRPr="001C1B82">
        <w:rPr>
          <w:rStyle w:val="footnotemark"/>
          <w:szCs w:val="16"/>
        </w:rPr>
        <w:footnoteRef/>
      </w:r>
      <w:r w:rsidRPr="001C1B82">
        <w:rPr>
          <w:rFonts w:eastAsia="Calibri" w:cs="Calibri"/>
          <w:szCs w:val="16"/>
        </w:rPr>
        <w:t xml:space="preserve"> Rethinking the rights of children for the digital age, Prof. Sonia Livingstone, LSE, March 2019 </w:t>
      </w:r>
    </w:p>
  </w:footnote>
  <w:footnote w:id="425">
    <w:p w:rsidR="00673732" w:rsidRPr="001C1B82">
      <w:pPr>
        <w:pStyle w:val="footnotedescription"/>
        <w:ind w:left="1"/>
        <w:rPr>
          <w:szCs w:val="16"/>
        </w:rPr>
      </w:pPr>
      <w:r w:rsidRPr="001C1B82">
        <w:rPr>
          <w:rStyle w:val="footnotemark"/>
          <w:szCs w:val="16"/>
        </w:rPr>
        <w:footnoteRef/>
      </w:r>
      <w:r w:rsidRPr="001C1B82">
        <w:rPr>
          <w:szCs w:val="16"/>
        </w:rPr>
        <w:t xml:space="preserve"> </w:t>
      </w:r>
      <w:r>
        <w:fldChar w:fldCharType="begin"/>
      </w:r>
      <w:r>
        <w:instrText xml:space="preserve"> HYPERLINK "https://www.ofcom.org.uk/__data/assets/pdf_file/0020/108182/children-parents-media-use-attitudes-2017.pdf" </w:instrText>
      </w:r>
      <w:r>
        <w:fldChar w:fldCharType="separate"/>
      </w:r>
      <w:r w:rsidRPr="001C1B82">
        <w:rPr>
          <w:rFonts w:eastAsia="Calibri" w:cs="Calibri"/>
          <w:szCs w:val="16"/>
          <w:u w:val="single" w:color="000000"/>
        </w:rPr>
        <w:t>Children and Parents: Media Use and Attitudes Report</w:t>
      </w:r>
      <w:r>
        <w:fldChar w:fldCharType="end"/>
      </w:r>
      <w:r>
        <w:fldChar w:fldCharType="begin"/>
      </w:r>
      <w:r>
        <w:instrText xml:space="preserve"> HYPERLINK "https://www.ofcom.org.uk/__data/assets/pdf_file/0020/108182/children-parents-media-use-attitudes-2017.pdf"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Ofcom, 29 November 2017 </w:t>
      </w:r>
    </w:p>
  </w:footnote>
  <w:footnote w:id="426">
    <w:p w:rsidR="00673732" w:rsidRPr="001C1B82">
      <w:pPr>
        <w:pStyle w:val="footnotedescription"/>
        <w:spacing w:line="254" w:lineRule="auto"/>
        <w:ind w:left="1"/>
        <w:rPr>
          <w:szCs w:val="16"/>
        </w:rPr>
      </w:pPr>
      <w:r w:rsidRPr="001C1B82">
        <w:rPr>
          <w:rStyle w:val="footnotemark"/>
          <w:szCs w:val="16"/>
        </w:rPr>
        <w:footnoteRef/>
      </w:r>
      <w:r w:rsidRPr="001C1B82">
        <w:rPr>
          <w:rFonts w:eastAsia="Calibri" w:cs="Calibri"/>
          <w:szCs w:val="16"/>
        </w:rPr>
        <w:t xml:space="preserve"> For example, some children of all ages have been shown to consider as trustworthy information that appears in advertisements, and to be unable to identify certain types of paid-for content - P. 7, 33, 38</w:t>
      </w:r>
      <w:r>
        <w:fldChar w:fldCharType="begin"/>
      </w:r>
      <w:r>
        <w:instrText xml:space="preserve"> HYPERLINK "https://www.ofcom.org.uk/__data/assets/pdf_file/0022/108283/children-media-lives-2017.pdf" </w:instrText>
      </w:r>
      <w:r>
        <w:fldChar w:fldCharType="separate"/>
      </w:r>
      <w:r w:rsidRPr="001C1B82">
        <w:rPr>
          <w:rFonts w:eastAsia="Calibri" w:cs="Calibri"/>
          <w:szCs w:val="16"/>
        </w:rPr>
        <w:t xml:space="preserve">, </w:t>
      </w:r>
      <w:r>
        <w:fldChar w:fldCharType="end"/>
      </w:r>
      <w:r>
        <w:fldChar w:fldCharType="begin"/>
      </w:r>
      <w:r>
        <w:instrText xml:space="preserve"> HYPERLINK "https://www.ofcom.org.uk/__data/assets/pdf_file/0022/108283/children-media-lives-2017.pdf" </w:instrText>
      </w:r>
      <w:r>
        <w:fldChar w:fldCharType="separate"/>
      </w:r>
      <w:r w:rsidRPr="001C1B82">
        <w:rPr>
          <w:rFonts w:eastAsia="Calibri" w:cs="Calibri"/>
          <w:szCs w:val="16"/>
          <w:u w:val="single" w:color="000000"/>
        </w:rPr>
        <w:t>Children’s Media Lives</w:t>
      </w:r>
      <w:r>
        <w:fldChar w:fldCharType="end"/>
      </w:r>
      <w:r>
        <w:fldChar w:fldCharType="begin"/>
      </w:r>
      <w:r>
        <w:instrText xml:space="preserve"> HYPERLINK "https://www.ofcom.org.uk/__data/assets/pdf_file/0022/108283/children-media-lives-2017.pdf"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Ofcom, 29 November 2017  </w:t>
      </w:r>
    </w:p>
  </w:footnote>
  <w:footnote w:id="427">
    <w:p w:rsidR="00673732" w:rsidRPr="001C1B82">
      <w:pPr>
        <w:pStyle w:val="footnotedescription"/>
        <w:ind w:left="1" w:right="1815"/>
        <w:rPr>
          <w:szCs w:val="16"/>
        </w:rPr>
      </w:pPr>
      <w:r w:rsidRPr="001C1B82">
        <w:rPr>
          <w:rStyle w:val="footnotemark"/>
          <w:szCs w:val="16"/>
        </w:rPr>
        <w:footnoteRef/>
      </w:r>
      <w:r w:rsidRPr="001C1B82">
        <w:rPr>
          <w:szCs w:val="16"/>
        </w:rPr>
        <w:t xml:space="preserve"> </w:t>
      </w:r>
      <w:r>
        <w:fldChar w:fldCharType="begin"/>
      </w:r>
      <w:r>
        <w:instrText xml:space="preserve"> HYPERLINK "https://www.mentalhealthtoday.co.uk/news/mental-health-disorders/who-recognises-gaming-disorder-as-a-mental-health-condition" </w:instrText>
      </w:r>
      <w:r>
        <w:fldChar w:fldCharType="separate"/>
      </w:r>
      <w:r w:rsidRPr="001C1B82">
        <w:rPr>
          <w:rFonts w:eastAsia="Calibri" w:cs="Calibri"/>
          <w:color w:val="0563C1"/>
          <w:szCs w:val="16"/>
          <w:u w:val="single" w:color="0563C1"/>
        </w:rPr>
        <w:t>WHO recognises Gaming Disorder as a mental health condition</w:t>
      </w:r>
      <w:r>
        <w:fldChar w:fldCharType="end"/>
      </w:r>
      <w:r>
        <w:fldChar w:fldCharType="begin"/>
      </w:r>
      <w:r>
        <w:instrText xml:space="preserve"> HYPERLINK "https://www.mentalhealthtoday.co.uk/news/mental-health-disorders/who-recognises-gaming-disorder-as-a-mental-health-condition"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Mental Health Today, June 2018 </w:t>
      </w:r>
      <w:r w:rsidRPr="001C1B82">
        <w:rPr>
          <w:rFonts w:eastAsia="Calibri" w:cs="Calibri"/>
          <w:szCs w:val="16"/>
          <w:vertAlign w:val="superscript"/>
        </w:rPr>
        <w:t>5</w:t>
      </w:r>
      <w:r w:rsidRPr="001C1B82">
        <w:rPr>
          <w:rFonts w:eastAsia="Calibri" w:cs="Calibri"/>
          <w:szCs w:val="16"/>
        </w:rPr>
        <w:t xml:space="preserve"> Towards an Internet Safety Strategy, 5Rights, January 2019 </w:t>
      </w:r>
    </w:p>
  </w:footnote>
  <w:footnote w:id="428">
    <w:p w:rsidR="00673732" w:rsidRPr="001C1B82">
      <w:pPr>
        <w:pStyle w:val="footnotedescription"/>
        <w:ind w:left="1"/>
        <w:rPr>
          <w:szCs w:val="16"/>
        </w:rPr>
      </w:pPr>
      <w:r w:rsidRPr="001C1B82">
        <w:rPr>
          <w:rStyle w:val="footnotemark"/>
          <w:szCs w:val="16"/>
        </w:rPr>
        <w:footnoteRef/>
      </w:r>
      <w:r w:rsidRPr="001C1B82">
        <w:rPr>
          <w:szCs w:val="16"/>
        </w:rPr>
        <w:t xml:space="preserve"> </w:t>
      </w:r>
      <w:r w:rsidRPr="001C1B82">
        <w:rPr>
          <w:rFonts w:eastAsia="Calibri" w:cs="Calibri"/>
          <w:szCs w:val="16"/>
        </w:rPr>
        <w:t xml:space="preserve">Towards an Internet Safety Strategy, 5Rights, January 2019 </w:t>
      </w:r>
    </w:p>
  </w:footnote>
  <w:footnote w:id="429">
    <w:p w:rsidR="00673732" w:rsidRPr="001C1B82">
      <w:pPr>
        <w:pStyle w:val="footnotedescription"/>
        <w:spacing w:line="248" w:lineRule="auto"/>
        <w:ind w:left="1"/>
        <w:rPr>
          <w:szCs w:val="16"/>
        </w:rPr>
      </w:pPr>
      <w:r w:rsidRPr="001C1B82">
        <w:rPr>
          <w:rStyle w:val="footnotemark"/>
          <w:szCs w:val="16"/>
        </w:rPr>
        <w:footnoteRef/>
      </w:r>
      <w:r w:rsidRPr="001C1B82">
        <w:rPr>
          <w:rFonts w:eastAsia="Calibri" w:cs="Calibri"/>
          <w:szCs w:val="16"/>
        </w:rPr>
        <w:t xml:space="preserve"> E.g. se</w:t>
      </w:r>
      <w:r>
        <w:fldChar w:fldCharType="begin"/>
      </w:r>
      <w:r>
        <w:instrText xml:space="preserve"> HYPERLINK "https://ec.europa.eu/info/publications/study-impact-marketing-through-social-media-online-games-and-mobile-applications-childrens-behaviour_en" </w:instrText>
      </w:r>
      <w:r>
        <w:fldChar w:fldCharType="separate"/>
      </w:r>
      <w:r w:rsidRPr="001C1B82">
        <w:rPr>
          <w:rFonts w:eastAsia="Calibri" w:cs="Calibri"/>
          <w:szCs w:val="16"/>
        </w:rPr>
        <w:t xml:space="preserve">e </w:t>
      </w:r>
      <w:r>
        <w:fldChar w:fldCharType="end"/>
      </w:r>
      <w:r>
        <w:fldChar w:fldCharType="begin"/>
      </w:r>
      <w:r>
        <w:instrText xml:space="preserve"> HYPERLINK "https://ec.europa.eu/info/publications/study-impact-marketing-through-social-media-online-games-and-mobile-applications-childrens-behaviour_en" </w:instrText>
      </w:r>
      <w:r>
        <w:fldChar w:fldCharType="separate"/>
      </w:r>
      <w:r w:rsidRPr="001C1B82">
        <w:rPr>
          <w:rFonts w:eastAsia="Calibri" w:cs="Calibri"/>
          <w:color w:val="0563C1"/>
          <w:szCs w:val="16"/>
          <w:u w:val="single" w:color="0563C1"/>
        </w:rPr>
        <w:t>Study on the impact of marketing through social media, online games and mobile applications on children’s</w:t>
      </w:r>
      <w:r>
        <w:fldChar w:fldCharType="end"/>
      </w:r>
      <w:r>
        <w:fldChar w:fldCharType="begin"/>
      </w:r>
      <w:r>
        <w:instrText xml:space="preserve"> HYPERLINK "https://ec.europa.eu/info/publications/study-impact-marketing-through-social-media-online-games-and-mobile-applications-childrens-behaviour_en" </w:instrText>
      </w:r>
      <w:r>
        <w:fldChar w:fldCharType="separate"/>
      </w:r>
      <w:r w:rsidRPr="001C1B82">
        <w:rPr>
          <w:rFonts w:eastAsia="Calibri" w:cs="Calibri"/>
          <w:color w:val="0563C1"/>
          <w:szCs w:val="16"/>
        </w:rPr>
        <w:t xml:space="preserve"> </w:t>
      </w:r>
      <w:r>
        <w:fldChar w:fldCharType="end"/>
      </w:r>
      <w:r>
        <w:fldChar w:fldCharType="begin"/>
      </w:r>
      <w:r>
        <w:instrText xml:space="preserve"> HYPERLINK "https://ec.europa.eu/info/publications/study-impact-marketing-through-social-media-online-games-and-mobile-applications-childrens-behaviour_en" </w:instrText>
      </w:r>
      <w:r>
        <w:fldChar w:fldCharType="separate"/>
      </w:r>
      <w:r w:rsidRPr="001C1B82">
        <w:rPr>
          <w:rFonts w:eastAsia="Calibri" w:cs="Calibri"/>
          <w:color w:val="0563C1"/>
          <w:szCs w:val="16"/>
          <w:u w:val="single" w:color="0563C1"/>
        </w:rPr>
        <w:t>behaviour</w:t>
      </w:r>
      <w:r>
        <w:fldChar w:fldCharType="end"/>
      </w:r>
      <w:r>
        <w:fldChar w:fldCharType="begin"/>
      </w:r>
      <w:r>
        <w:instrText xml:space="preserve"> HYPERLINK "https://ec.europa.eu/info/publications/study-impact-marketing-through-social-media-online-games-and-mobile-applications-childrens-behaviour_en"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European Commission, March 2016 </w:t>
      </w:r>
    </w:p>
  </w:footnote>
  <w:footnote w:id="430">
    <w:p w:rsidR="00673732" w:rsidRPr="001C1B82">
      <w:pPr>
        <w:pStyle w:val="footnotedescription"/>
        <w:ind w:left="1"/>
        <w:jc w:val="both"/>
        <w:rPr>
          <w:szCs w:val="16"/>
        </w:rPr>
      </w:pPr>
      <w:r w:rsidRPr="001C1B82">
        <w:rPr>
          <w:rStyle w:val="footnotemark"/>
          <w:szCs w:val="16"/>
        </w:rPr>
        <w:footnoteRef/>
      </w:r>
      <w:r w:rsidRPr="001C1B82">
        <w:rPr>
          <w:szCs w:val="16"/>
        </w:rPr>
        <w:t xml:space="preserve"> </w:t>
      </w:r>
      <w:r>
        <w:fldChar w:fldCharType="begin"/>
      </w:r>
      <w:r>
        <w:instrText xml:space="preserve"> HYPERLINK "https://www.theguardian.com/society/2018/sep/16/councils-use-377000-peoples-data-in-efforts-to-predict-child-abuse" </w:instrText>
      </w:r>
      <w:r>
        <w:fldChar w:fldCharType="separate"/>
      </w:r>
      <w:r w:rsidRPr="001C1B82">
        <w:rPr>
          <w:rFonts w:eastAsia="Calibri" w:cs="Calibri"/>
          <w:szCs w:val="16"/>
          <w:u w:val="single" w:color="000000"/>
        </w:rPr>
        <w:t>https://www.theguardian.com/society/2018/sep/16/councils-use-377000-peoples-data-in-efforts-to-predict-child-abuse</w:t>
      </w:r>
      <w:r>
        <w:fldChar w:fldCharType="end"/>
      </w:r>
      <w:r>
        <w:fldChar w:fldCharType="begin"/>
      </w:r>
      <w:r>
        <w:instrText xml:space="preserve"> HYPERLINK "https://www.theguardian.com/society/2018/sep/16/councils-use-377000-peoples-data-in-efforts-to-predict-child-abuse" </w:instrText>
      </w:r>
      <w:r>
        <w:fldChar w:fldCharType="separate"/>
      </w:r>
      <w:r w:rsidRPr="001C1B82">
        <w:rPr>
          <w:rFonts w:eastAsia="Calibri" w:cs="Calibri"/>
          <w:szCs w:val="16"/>
        </w:rPr>
        <w:t xml:space="preserve">  </w:t>
      </w:r>
      <w:r>
        <w:fldChar w:fldCharType="end"/>
      </w:r>
    </w:p>
  </w:footnote>
  <w:footnote w:id="431">
    <w:p w:rsidR="00673732" w:rsidRPr="001C1B82">
      <w:pPr>
        <w:pStyle w:val="footnotedescription"/>
        <w:ind w:left="1"/>
        <w:rPr>
          <w:szCs w:val="16"/>
        </w:rPr>
      </w:pPr>
      <w:r w:rsidRPr="001C1B82">
        <w:rPr>
          <w:rStyle w:val="footnotemark"/>
          <w:szCs w:val="16"/>
        </w:rPr>
        <w:footnoteRef/>
      </w:r>
      <w:r w:rsidRPr="001C1B82">
        <w:rPr>
          <w:szCs w:val="16"/>
        </w:rPr>
        <w:t xml:space="preserve"> </w:t>
      </w:r>
      <w:r>
        <w:fldChar w:fldCharType="begin"/>
      </w:r>
      <w:r>
        <w:instrText xml:space="preserve"> HYPERLINK "https://www.rcpch.ac.uk/resources/personal-child-health-record-pchr" </w:instrText>
      </w:r>
      <w:r>
        <w:fldChar w:fldCharType="separate"/>
      </w:r>
      <w:r w:rsidRPr="001C1B82">
        <w:rPr>
          <w:rFonts w:eastAsia="Calibri" w:cs="Calibri"/>
          <w:szCs w:val="16"/>
          <w:u w:val="single" w:color="000000"/>
        </w:rPr>
        <w:t>https://www.rcpch.ac.uk/resources/personal-child-health-record-pchr</w:t>
      </w:r>
      <w:r>
        <w:fldChar w:fldCharType="end"/>
      </w:r>
      <w:r>
        <w:fldChar w:fldCharType="begin"/>
      </w:r>
      <w:r>
        <w:instrText xml:space="preserve"> HYPERLINK "https://www.rcpch.ac.uk/resources/personal-child-health-record-pchr" </w:instrText>
      </w:r>
      <w:r>
        <w:fldChar w:fldCharType="separate"/>
      </w:r>
      <w:r w:rsidRPr="001C1B82">
        <w:rPr>
          <w:rFonts w:eastAsia="Calibri" w:cs="Calibri"/>
          <w:szCs w:val="16"/>
        </w:rPr>
        <w:t xml:space="preserve">  </w:t>
      </w:r>
      <w:r>
        <w:fldChar w:fldCharType="end"/>
      </w:r>
    </w:p>
  </w:footnote>
  <w:footnote w:id="432">
    <w:p w:rsidR="00673732" w:rsidRPr="001C1B82">
      <w:pPr>
        <w:pStyle w:val="footnotedescription"/>
        <w:spacing w:after="7"/>
        <w:ind w:left="1"/>
        <w:rPr>
          <w:szCs w:val="16"/>
        </w:rPr>
      </w:pPr>
      <w:r w:rsidRPr="001C1B82">
        <w:rPr>
          <w:rStyle w:val="footnotemark"/>
          <w:szCs w:val="16"/>
        </w:rPr>
        <w:footnoteRef/>
      </w:r>
      <w:r w:rsidRPr="001C1B82">
        <w:rPr>
          <w:rFonts w:eastAsia="Calibri" w:cs="Calibri"/>
          <w:szCs w:val="16"/>
        </w:rPr>
        <w:t xml:space="preserve"> Children and Parents: Media Use and Attitudes Report, Ofcom, November 2017 </w:t>
      </w:r>
    </w:p>
  </w:footnote>
  <w:footnote w:id="433">
    <w:p w:rsidR="00673732" w:rsidRPr="001C1B82">
      <w:pPr>
        <w:pStyle w:val="footnotedescription"/>
        <w:ind w:left="1"/>
        <w:rPr>
          <w:szCs w:val="16"/>
        </w:rPr>
      </w:pPr>
      <w:r w:rsidRPr="001C1B82">
        <w:rPr>
          <w:rStyle w:val="footnotemark"/>
          <w:szCs w:val="16"/>
        </w:rPr>
        <w:footnoteRef/>
      </w:r>
      <w:r w:rsidRPr="001C1B82">
        <w:rPr>
          <w:szCs w:val="16"/>
        </w:rPr>
        <w:t xml:space="preserve"> </w:t>
      </w:r>
      <w:r>
        <w:fldChar w:fldCharType="begin"/>
      </w:r>
      <w:r>
        <w:instrText xml:space="preserve"> HYPERLINK "https://www.asa.org.uk/resource/recognition-of-advertising-online-marketing-to-children-under-12.html" </w:instrText>
      </w:r>
      <w:r>
        <w:fldChar w:fldCharType="separate"/>
      </w:r>
      <w:r w:rsidRPr="001C1B82">
        <w:rPr>
          <w:rFonts w:eastAsia="Calibri" w:cs="Calibri"/>
          <w:szCs w:val="16"/>
          <w:u w:val="single" w:color="000000"/>
        </w:rPr>
        <w:t>Recognition of advertising: online marketing to children under 12</w:t>
      </w:r>
      <w:r>
        <w:fldChar w:fldCharType="end"/>
      </w:r>
      <w:r>
        <w:fldChar w:fldCharType="begin"/>
      </w:r>
      <w:r>
        <w:instrText xml:space="preserve"> HYPERLINK "https://www.asa.org.uk/resource/recognition-of-advertising-online-marketing-to-children-under-12.html"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Advertising Standards Authority, 2017 </w:t>
      </w:r>
    </w:p>
  </w:footnote>
  <w:footnote w:id="434">
    <w:p w:rsidR="00673732" w:rsidRPr="001C1B82">
      <w:pPr>
        <w:pStyle w:val="footnotedescription"/>
        <w:spacing w:line="270" w:lineRule="auto"/>
        <w:ind w:left="1"/>
        <w:rPr>
          <w:szCs w:val="16"/>
        </w:rPr>
      </w:pPr>
      <w:r w:rsidRPr="001C1B82">
        <w:rPr>
          <w:rStyle w:val="footnotemark"/>
          <w:szCs w:val="16"/>
        </w:rPr>
        <w:footnoteRef/>
      </w:r>
      <w:r w:rsidRPr="001C1B82">
        <w:rPr>
          <w:rFonts w:eastAsia="Calibri" w:cs="Calibri"/>
          <w:szCs w:val="16"/>
        </w:rPr>
        <w:t xml:space="preserve"> Oral and written evidence, UK Advertising in a Digital Age, House of Lords Select Committee on Communications, April 2018 </w:t>
      </w:r>
    </w:p>
  </w:footnote>
  <w:footnote w:id="435">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"https://www.parliament.uk/petitions-committee" </w:instrText>
      </w:r>
      <w:r>
        <w:fldChar w:fldCharType="separate"/>
      </w:r>
      <w:r w:rsidRPr="001C1B82">
        <w:rPr>
          <w:rFonts w:eastAsia="Calibri" w:cs="Calibri"/>
          <w:color w:val="0563C1"/>
          <w:szCs w:val="16"/>
          <w:u w:val="single" w:color="0563C1"/>
        </w:rPr>
        <w:t>https://www.UK Parliament.uk/petitions-committee</w:t>
      </w:r>
      <w:r>
        <w:fldChar w:fldCharType="end"/>
      </w:r>
      <w:r>
        <w:fldChar w:fldCharType="begin"/>
      </w:r>
      <w:r>
        <w:instrText xml:space="preserve"> HYPERLINK "https://www.parliament.uk/petitions-committee"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436">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"https://www.parliament.uk/business/committees/committees-a-z/commons-select/petitions-committee/inquiries/parliament-2017/fireworks-inquiry-17-19/" </w:instrText>
      </w:r>
      <w:r>
        <w:fldChar w:fldCharType="separate"/>
      </w:r>
      <w:r w:rsidRPr="001C1B82">
        <w:rPr>
          <w:rFonts w:eastAsia="Calibri" w:cs="Calibri"/>
          <w:color w:val="0563C1"/>
          <w:szCs w:val="16"/>
          <w:u w:val="single" w:color="0563C1"/>
        </w:rPr>
        <w:t>https://www.UK Parliament.uk/business/committees/committees-a-z/commons-select/petitions</w:t>
      </w:r>
      <w:r>
        <w:fldChar w:fldCharType="end"/>
      </w:r>
      <w:r>
        <w:fldChar w:fldCharType="begin"/>
      </w:r>
      <w:r>
        <w:instrText xml:space="preserve"> HYPERLINK "https://www.parliament.uk/business/committees/committees-a-z/commons-select/petitions-committee/inquiries/parliament-2017/fireworks-inquiry-17-19/" </w:instrText>
      </w:r>
      <w:r>
        <w:fldChar w:fldCharType="separate"/>
      </w:r>
      <w:r w:rsidRPr="001C1B82">
        <w:rPr>
          <w:rFonts w:eastAsia="Calibri" w:cs="Calibri"/>
          <w:color w:val="0563C1"/>
          <w:szCs w:val="16"/>
          <w:u w:val="single" w:color="0563C1"/>
        </w:rPr>
        <w:t>committee/inquiries/UK Parliament-2017/fireworks-inquiry-17-19/</w:t>
      </w:r>
      <w:r>
        <w:fldChar w:fldCharType="end"/>
      </w:r>
      <w:r>
        <w:fldChar w:fldCharType="begin"/>
      </w:r>
      <w:r>
        <w:instrText xml:space="preserve"> HYPERLINK "https://www.parliament.uk/business/committees/committees-a-z/commons-select/petitions-committee/inquiries/parliament-2017/fireworks-inquiry-17-19/"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437">
    <w:p w:rsidR="00673732" w:rsidRPr="001C1B82">
      <w:pPr>
        <w:pStyle w:val="footnotedescription"/>
        <w:spacing w:after="2"/>
        <w:rPr>
          <w:szCs w:val="16"/>
        </w:rPr>
      </w:pPr>
      <w:r w:rsidRPr="001C1B82">
        <w:rPr>
          <w:rStyle w:val="footnotemark"/>
          <w:szCs w:val="16"/>
        </w:rPr>
        <w:footnoteRef/>
      </w:r>
      <w:r w:rsidRPr="001C1B82">
        <w:rPr>
          <w:szCs w:val="16"/>
        </w:rPr>
        <w:t xml:space="preserve"> </w:t>
      </w:r>
      <w:r>
        <w:fldChar w:fldCharType="begin"/>
      </w:r>
      <w:r>
        <w:instrText xml:space="preserve"> HYPERLINK "https://www.parliament.uk/get-involved/have-your-say-on-laws/digital-debates/" </w:instrText>
      </w:r>
      <w:r>
        <w:fldChar w:fldCharType="separate"/>
      </w:r>
      <w:r w:rsidRPr="001C1B82">
        <w:rPr>
          <w:rFonts w:eastAsia="Calibri" w:cs="Calibri"/>
          <w:color w:val="0563C1"/>
          <w:szCs w:val="16"/>
          <w:u w:val="single" w:color="0563C1"/>
        </w:rPr>
        <w:t>https://www.UK Parliament.uk/get-involved/have-your-say-on-laws/digital-debates/</w:t>
      </w:r>
      <w:r>
        <w:fldChar w:fldCharType="end"/>
      </w:r>
      <w:r>
        <w:fldChar w:fldCharType="begin"/>
      </w:r>
      <w:r>
        <w:instrText xml:space="preserve"> HYPERLINK "https://www.parliament.uk/get-involved/have-your-say-on-laws/digital-debates/"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438">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"https://twitter.com/CommonsForeign/status/1169211408225046528" </w:instrText>
      </w:r>
      <w:r>
        <w:fldChar w:fldCharType="separate"/>
      </w:r>
      <w:r w:rsidRPr="001C1B82">
        <w:rPr>
          <w:rFonts w:eastAsia="Calibri" w:cs="Calibri"/>
          <w:color w:val="0563C1"/>
          <w:szCs w:val="16"/>
          <w:u w:val="single" w:color="0563C1"/>
        </w:rPr>
        <w:t>https://twitter.com/CommonsForeign/status/1169211408225046528</w:t>
      </w:r>
      <w:r>
        <w:fldChar w:fldCharType="end"/>
      </w:r>
      <w:r>
        <w:fldChar w:fldCharType="begin"/>
      </w:r>
      <w:r>
        <w:instrText xml:space="preserve"> HYPERLINK "https://twitter.com/CommonsForeign/status/1169211408225046528"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439">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"https://twitter.com/CommonsSTC/status/1065905720930037760" </w:instrText>
      </w:r>
      <w:r>
        <w:fldChar w:fldCharType="separate"/>
      </w:r>
      <w:r w:rsidRPr="001C1B82">
        <w:rPr>
          <w:rFonts w:eastAsia="Calibri" w:cs="Calibri"/>
          <w:color w:val="0563C1"/>
          <w:szCs w:val="16"/>
          <w:u w:val="single" w:color="0563C1"/>
        </w:rPr>
        <w:t>https://twitter.com/CommonsSTC/status/1065905720930037760</w:t>
      </w:r>
      <w:r>
        <w:fldChar w:fldCharType="end"/>
      </w:r>
      <w:r>
        <w:fldChar w:fldCharType="begin"/>
      </w:r>
      <w:r>
        <w:instrText xml:space="preserve"> HYPERLINK "https://twitter.com/CommonsSTC/status/1065905720930037760" </w:instrText>
      </w:r>
      <w:r>
        <w:fldChar w:fldCharType="separate"/>
      </w:r>
      <w:r w:rsidRPr="001C1B82">
        <w:rPr>
          <w:rFonts w:eastAsia="Calibri" w:cs="Calibri"/>
          <w:szCs w:val="16"/>
        </w:rPr>
        <w:t xml:space="preserve"> </w:t>
      </w:r>
      <w:r>
        <w:fldChar w:fldCharType="end"/>
      </w:r>
    </w:p>
  </w:footnote>
  <w:footnote w:id="440">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"https://twitter.com/CommonsEd/status/413275232670322688" </w:instrText>
      </w:r>
      <w:r>
        <w:fldChar w:fldCharType="separate"/>
      </w:r>
      <w:r w:rsidRPr="001C1B82">
        <w:rPr>
          <w:rFonts w:eastAsia="Calibri" w:cs="Calibri"/>
          <w:color w:val="0563C1"/>
          <w:szCs w:val="16"/>
          <w:u w:val="single" w:color="0563C1"/>
        </w:rPr>
        <w:t>https://twitter.com/CommonsEd/status/413275232670322688</w:t>
      </w:r>
      <w:r>
        <w:fldChar w:fldCharType="end"/>
      </w:r>
      <w:r>
        <w:fldChar w:fldCharType="begin"/>
      </w:r>
      <w:r>
        <w:instrText xml:space="preserve"> HYPERLINK "https://twitter.com/CommonsEd/status/413275232670322688" </w:instrText>
      </w:r>
      <w:r>
        <w:fldChar w:fldCharType="separate"/>
      </w:r>
      <w:r w:rsidRPr="001C1B82">
        <w:rPr>
          <w:rFonts w:eastAsia="Calibri" w:cs="Calibri"/>
          <w:szCs w:val="16"/>
        </w:rPr>
        <w:t xml:space="preserve"> </w:t>
      </w:r>
      <w:r>
        <w:fldChar w:fldCharType="end"/>
      </w:r>
    </w:p>
  </w:footnote>
  <w:footnote w:id="441">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"https://www.mumsnet.com/Talk/site_stuff/2703400-MNHQ-here-Tell-us-what-you-think-about-the-Child-Maintenance-Service" </w:instrText>
      </w:r>
      <w:r>
        <w:fldChar w:fldCharType="separate"/>
      </w:r>
      <w:r w:rsidRPr="001C1B82">
        <w:rPr>
          <w:rFonts w:eastAsia="Calibri" w:cs="Calibri"/>
          <w:color w:val="0563C1"/>
          <w:szCs w:val="16"/>
          <w:u w:val="single" w:color="0563C1"/>
        </w:rPr>
        <w:t>https://www.mumsnet.com/Talk/site_stuff/2703400-MNHQ-here-Tell-us-what-you-think-about-the-Child</w:t>
      </w:r>
      <w:r>
        <w:fldChar w:fldCharType="end"/>
      </w:r>
      <w:r>
        <w:fldChar w:fldCharType="begin"/>
      </w:r>
      <w:r>
        <w:instrText xml:space="preserve"> HYPERLINK "https://www.mumsnet.com/Talk/site_stuff/2703400-MNHQ-here-Tell-us-what-you-think-about-the-Child-Maintenance-Service" </w:instrText>
      </w:r>
      <w:r>
        <w:fldChar w:fldCharType="separate"/>
      </w:r>
      <w:r w:rsidRPr="001C1B82">
        <w:rPr>
          <w:rFonts w:eastAsia="Calibri" w:cs="Calibri"/>
          <w:color w:val="0563C1"/>
          <w:szCs w:val="16"/>
          <w:u w:val="single" w:color="0563C1"/>
        </w:rPr>
        <w:t>Maintenance-Service</w:t>
      </w:r>
      <w:r>
        <w:fldChar w:fldCharType="end"/>
      </w:r>
      <w:r>
        <w:fldChar w:fldCharType="begin"/>
      </w:r>
      <w:r>
        <w:instrText xml:space="preserve"> HYPERLINK "https://www.mumsnet.com/Talk/site_stuff/2703400-MNHQ-here-Tell-us-what-you-think-about-the-Child-Maintenance-Service"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442">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"https://www.parliament.uk/business/committees/committees-a-z/commons-select/petitions-committee/inquiries/parliament-2017/fireworks-inquiry-17-19/" </w:instrText>
      </w:r>
      <w:r>
        <w:fldChar w:fldCharType="separate"/>
      </w:r>
      <w:r w:rsidRPr="001C1B82">
        <w:rPr>
          <w:rFonts w:eastAsia="Calibri" w:cs="Calibri"/>
          <w:color w:val="0563C1"/>
          <w:szCs w:val="16"/>
          <w:u w:val="single" w:color="0563C1"/>
        </w:rPr>
        <w:t>https://www.UK Parliament.uk/business/committees/committees-a-z/commons-select/petitions</w:t>
      </w:r>
      <w:r>
        <w:fldChar w:fldCharType="end"/>
      </w:r>
      <w:r>
        <w:fldChar w:fldCharType="begin"/>
      </w:r>
      <w:r>
        <w:instrText xml:space="preserve"> HYPERLINK "https://www.parliament.uk/business/committees/committees-a-z/commons-select/petitions-committee/inquiries/parliament-2017/fireworks-inquiry-17-19/" </w:instrText>
      </w:r>
      <w:r>
        <w:fldChar w:fldCharType="separate"/>
      </w:r>
      <w:r w:rsidRPr="001C1B82">
        <w:rPr>
          <w:rFonts w:eastAsia="Calibri" w:cs="Calibri"/>
          <w:color w:val="0563C1"/>
          <w:szCs w:val="16"/>
          <w:u w:val="single" w:color="0563C1"/>
        </w:rPr>
        <w:t>committee/inquiries/UK Parliament-2017/fireworks-inquiry-17-19/</w:t>
      </w:r>
      <w:r>
        <w:fldChar w:fldCharType="end"/>
      </w:r>
      <w:r>
        <w:fldChar w:fldCharType="begin"/>
      </w:r>
      <w:r>
        <w:instrText xml:space="preserve"> HYPERLINK "https://www.parliament.uk/business/committees/committees-a-z/commons-select/petitions-committee/inquiries/parliament-2017/fireworks-inquiry-17-19/" </w:instrText>
      </w:r>
      <w:r>
        <w:fldChar w:fldCharType="separate"/>
      </w:r>
      <w:r w:rsidRPr="001C1B82">
        <w:rPr>
          <w:rFonts w:eastAsia="Calibri" w:cs="Calibri"/>
          <w:szCs w:val="16"/>
        </w:rPr>
        <w:t xml:space="preserve"> </w:t>
      </w:r>
      <w:r>
        <w:fldChar w:fldCharType="end"/>
      </w:r>
    </w:p>
  </w:footnote>
  <w:footnote w:id="443">
    <w:p w:rsidR="00673732" w:rsidRPr="001C1B82">
      <w:pPr>
        <w:pStyle w:val="footnotedescription"/>
        <w:rPr>
          <w:szCs w:val="16"/>
        </w:rPr>
      </w:pPr>
      <w:r w:rsidRPr="001C1B82">
        <w:rPr>
          <w:rStyle w:val="footnotemark"/>
          <w:szCs w:val="16"/>
        </w:rPr>
        <w:footnoteRef/>
      </w:r>
      <w:r w:rsidRPr="001C1B82">
        <w:rPr>
          <w:szCs w:val="16"/>
        </w:rPr>
        <w:t xml:space="preserve"> </w:t>
      </w:r>
      <w:r w:rsidRPr="001C1B82">
        <w:rPr>
          <w:rFonts w:eastAsia="Calibri" w:cs="Calibri"/>
          <w:color w:val="0563C1"/>
          <w:szCs w:val="16"/>
          <w:u w:val="single" w:color="0563C1"/>
        </w:rPr>
        <w:t>https://publications.UK Parliament.uk/pa/cm201719/cmselect/cmsctech/822/822.pdf</w:t>
      </w:r>
      <w:r w:rsidRPr="001C1B82">
        <w:rPr>
          <w:rFonts w:eastAsia="Calibri" w:cs="Calibri"/>
          <w:szCs w:val="16"/>
        </w:rPr>
        <w:t xml:space="preserve"> </w:t>
      </w:r>
    </w:p>
  </w:footnote>
  <w:footnote w:id="444">
    <w:p w:rsidR="00673732" w:rsidRPr="001C1B82">
      <w:pPr>
        <w:pStyle w:val="footnotedescription"/>
        <w:spacing w:after="1"/>
        <w:rPr>
          <w:szCs w:val="16"/>
        </w:rPr>
      </w:pPr>
      <w:r w:rsidRPr="001C1B82">
        <w:rPr>
          <w:rStyle w:val="footnotemark"/>
          <w:szCs w:val="16"/>
        </w:rPr>
        <w:footnoteRef/>
      </w:r>
      <w:r w:rsidRPr="001C1B82">
        <w:rPr>
          <w:szCs w:val="16"/>
        </w:rPr>
        <w:t xml:space="preserve"> </w:t>
      </w:r>
      <w:r>
        <w:fldChar w:fldCharType="begin"/>
      </w:r>
      <w:r>
        <w:instrText xml:space="preserve"> HYPERLINK "https://www.parliament.uk/mps-lords-and-offices/offices/commons/hcio/about-our-service/" </w:instrText>
      </w:r>
      <w:r>
        <w:fldChar w:fldCharType="separate"/>
      </w:r>
      <w:r w:rsidRPr="001C1B82">
        <w:rPr>
          <w:rFonts w:eastAsia="Calibri" w:cs="Calibri"/>
          <w:color w:val="0563C1"/>
          <w:szCs w:val="16"/>
          <w:u w:val="single" w:color="0563C1"/>
        </w:rPr>
        <w:t>https://www.UK Parliament.uk/mps-lords-and-offices/offices/commons/hcio/about-our-service/</w:t>
      </w:r>
      <w:r>
        <w:fldChar w:fldCharType="end"/>
      </w:r>
      <w:r>
        <w:fldChar w:fldCharType="begin"/>
      </w:r>
      <w:r>
        <w:instrText xml:space="preserve"> HYPERLINK "https://www.parliament.uk/mps-lords-and-offices/offices/commons/hcio/about-our-service/" </w:instrText>
      </w:r>
      <w:r>
        <w:fldChar w:fldCharType="separate"/>
      </w:r>
      <w:r w:rsidRPr="001C1B82">
        <w:rPr>
          <w:rFonts w:eastAsia="Calibri" w:cs="Calibri"/>
          <w:szCs w:val="16"/>
        </w:rPr>
        <w:t xml:space="preserve"> </w:t>
      </w:r>
      <w:r>
        <w:fldChar w:fldCharType="end"/>
      </w:r>
    </w:p>
  </w:footnote>
  <w:footnote w:id="445">
    <w:p w:rsidR="00673732" w:rsidRPr="001C1B82">
      <w:pPr>
        <w:pStyle w:val="footnotedescription"/>
        <w:spacing w:after="3"/>
        <w:rPr>
          <w:szCs w:val="16"/>
        </w:rPr>
      </w:pPr>
      <w:r w:rsidRPr="001C1B82">
        <w:rPr>
          <w:rStyle w:val="footnotemark"/>
          <w:szCs w:val="16"/>
        </w:rPr>
        <w:footnoteRef/>
      </w:r>
      <w:r w:rsidRPr="001C1B82">
        <w:rPr>
          <w:szCs w:val="16"/>
        </w:rPr>
        <w:t xml:space="preserve"> </w:t>
      </w:r>
      <w:r>
        <w:fldChar w:fldCharType="begin"/>
      </w:r>
      <w:r>
        <w:instrText xml:space="preserve"> HYPERLINK "https://twitter.com/UKParliament/status/1176521596674158598" </w:instrText>
      </w:r>
      <w:r>
        <w:fldChar w:fldCharType="separate"/>
      </w:r>
      <w:r w:rsidRPr="001C1B82">
        <w:rPr>
          <w:rFonts w:eastAsia="Calibri" w:cs="Calibri"/>
          <w:color w:val="0563C1"/>
          <w:szCs w:val="16"/>
          <w:u w:val="single" w:color="0563C1"/>
        </w:rPr>
        <w:t>https://twitter.com/UKUK Parliament/status/1176521596674158598</w:t>
      </w:r>
      <w:r>
        <w:fldChar w:fldCharType="end"/>
      </w:r>
      <w:r>
        <w:fldChar w:fldCharType="begin"/>
      </w:r>
      <w:r>
        <w:instrText xml:space="preserve"> HYPERLINK "https://twitter.com/UKParliament/status/1176521596674158598"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446">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"https://www.nesta.org.uk/report/smarter-select-committees/" </w:instrText>
      </w:r>
      <w:r>
        <w:fldChar w:fldCharType="separate"/>
      </w:r>
      <w:r w:rsidRPr="001C1B82">
        <w:rPr>
          <w:rFonts w:eastAsia="Calibri" w:cs="Calibri"/>
          <w:color w:val="0563C1"/>
          <w:szCs w:val="16"/>
          <w:u w:val="single" w:color="0563C1"/>
        </w:rPr>
        <w:t>https://www.nesta.org.uk/report/smarter-select-committees/</w:t>
      </w:r>
      <w:r>
        <w:fldChar w:fldCharType="end"/>
      </w:r>
      <w:r>
        <w:fldChar w:fldCharType="begin"/>
      </w:r>
      <w:r>
        <w:instrText xml:space="preserve"> HYPERLINK "https://www.nesta.org.uk/report/smarter-select-committees/"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447">
    <w:p w:rsidR="00673732" w:rsidRPr="001C1B82">
      <w:pPr>
        <w:pStyle w:val="footnotedescription"/>
        <w:spacing w:after="3" w:line="254" w:lineRule="auto"/>
        <w:ind w:right="1232"/>
        <w:rPr>
          <w:szCs w:val="16"/>
        </w:rPr>
      </w:pPr>
      <w:r w:rsidRPr="001C1B82">
        <w:rPr>
          <w:rStyle w:val="footnotemark"/>
          <w:szCs w:val="16"/>
        </w:rPr>
        <w:footnoteRef/>
      </w:r>
      <w:r w:rsidRPr="001C1B82">
        <w:rPr>
          <w:szCs w:val="16"/>
        </w:rPr>
        <w:t xml:space="preserve"> </w:t>
      </w:r>
      <w:r>
        <w:fldChar w:fldCharType="begin"/>
      </w:r>
      <w:r>
        <w:instrText xml:space="preserve"> HYPERLINK "https://www.parliament.uk/business/committees/committees-a-z/commons-select/petitions-committee/inquiries/parliament-2015/funding-for-research-into-brain-tumours/" </w:instrText>
      </w:r>
      <w:r>
        <w:fldChar w:fldCharType="separate"/>
      </w:r>
      <w:r w:rsidRPr="001C1B82">
        <w:rPr>
          <w:rFonts w:eastAsia="Calibri" w:cs="Calibri"/>
          <w:color w:val="0563C1"/>
          <w:szCs w:val="16"/>
          <w:u w:val="single" w:color="0563C1"/>
        </w:rPr>
        <w:t>https://www.UK Parliament.uk/business/committees/committees-a-z/commons-select/petitions</w:t>
      </w:r>
      <w:r>
        <w:fldChar w:fldCharType="end"/>
      </w:r>
      <w:r>
        <w:fldChar w:fldCharType="begin"/>
      </w:r>
      <w:r>
        <w:instrText xml:space="preserve"> HYPERLINK "https://www.parliament.uk/business/committees/committees-a-z/commons-select/petitions-committee/inquiries/parliament-2015/funding-for-research-into-brain-tumours/" </w:instrText>
      </w:r>
      <w:r>
        <w:fldChar w:fldCharType="separate"/>
      </w:r>
      <w:r w:rsidRPr="001C1B82">
        <w:rPr>
          <w:rFonts w:eastAsia="Calibri" w:cs="Calibri"/>
          <w:color w:val="0563C1"/>
          <w:szCs w:val="16"/>
          <w:u w:val="single" w:color="0563C1"/>
        </w:rPr>
        <w:t>committee/inquiries/UK Parliament-2015/funding-for-research-into-brain-tumours/</w:t>
      </w:r>
      <w:r>
        <w:fldChar w:fldCharType="end"/>
      </w:r>
      <w:r>
        <w:fldChar w:fldCharType="begin"/>
      </w:r>
      <w:r>
        <w:instrText xml:space="preserve"> HYPERLINK "https://www.parliament.uk/business/committees/committees-a-z/commons-select/petitions-committee/inquiries/parliament-2015/funding-for-research-into-brain-tumours/" </w:instrText>
      </w:r>
      <w:r>
        <w:fldChar w:fldCharType="separate"/>
      </w:r>
      <w:r w:rsidRPr="001C1B82">
        <w:rPr>
          <w:rFonts w:eastAsia="Calibri" w:cs="Calibri"/>
          <w:szCs w:val="16"/>
        </w:rPr>
        <w:t xml:space="preserve"> </w:t>
      </w:r>
      <w:r>
        <w:fldChar w:fldCharType="end"/>
      </w:r>
      <w:r w:rsidRPr="001C1B82">
        <w:rPr>
          <w:rFonts w:eastAsia="Calibri" w:cs="Calibri"/>
          <w:szCs w:val="16"/>
          <w:vertAlign w:val="superscript"/>
        </w:rPr>
        <w:t>14</w:t>
      </w:r>
      <w:r>
        <w:fldChar w:fldCharType="begin"/>
      </w:r>
      <w:r>
        <w:instrText xml:space="preserve"> HYPERLINK "https://www.parliament.uk/about/podcasts/parliament-explained-podcast/" </w:instrText>
      </w:r>
      <w:r>
        <w:fldChar w:fldCharType="separate"/>
      </w:r>
      <w:r w:rsidRPr="001C1B82">
        <w:rPr>
          <w:rFonts w:eastAsia="Calibri" w:cs="Calibri"/>
          <w:szCs w:val="16"/>
        </w:rPr>
        <w:t xml:space="preserve"> </w:t>
      </w:r>
      <w:r>
        <w:fldChar w:fldCharType="end"/>
      </w:r>
      <w:r>
        <w:fldChar w:fldCharType="begin"/>
      </w:r>
      <w:r>
        <w:instrText xml:space="preserve"> HYPERLINK "https://www.parliament.uk/about/podcasts/parliament-explained-podcast/" </w:instrText>
      </w:r>
      <w:r>
        <w:fldChar w:fldCharType="separate"/>
      </w:r>
      <w:r w:rsidRPr="001C1B82">
        <w:rPr>
          <w:rFonts w:eastAsia="Calibri" w:cs="Calibri"/>
          <w:color w:val="0563C1"/>
          <w:szCs w:val="16"/>
          <w:u w:val="single" w:color="0563C1"/>
        </w:rPr>
        <w:t>https://www.UK Parliament.uk/about/podcasts/UK Parliament-explained-podcast/</w:t>
      </w:r>
      <w:r>
        <w:fldChar w:fldCharType="end"/>
      </w:r>
      <w:r>
        <w:fldChar w:fldCharType="begin"/>
      </w:r>
      <w:r>
        <w:instrText xml:space="preserve"> HYPERLINK "https://www.parliament.uk/about/podcasts/parliament-explained-podcast/"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448">
    <w:p w:rsidR="00673732" w:rsidRPr="001C1B82">
      <w:pPr>
        <w:pStyle w:val="footnotedescription"/>
        <w:spacing w:line="260" w:lineRule="auto"/>
        <w:ind w:right="1981"/>
        <w:rPr>
          <w:szCs w:val="16"/>
        </w:rPr>
      </w:pPr>
      <w:r w:rsidRPr="001C1B82">
        <w:rPr>
          <w:rStyle w:val="footnotemark"/>
          <w:szCs w:val="16"/>
        </w:rPr>
        <w:footnoteRef/>
      </w:r>
      <w:r w:rsidRPr="001C1B82">
        <w:rPr>
          <w:szCs w:val="16"/>
        </w:rPr>
        <w:t xml:space="preserve"> </w:t>
      </w:r>
      <w:r>
        <w:fldChar w:fldCharType="begin"/>
      </w:r>
      <w:r>
        <w:instrText xml:space="preserve"> HYPERLINK "https://parliament.trydiscourse.com/t/welcome-to-uk-parliament-discourse/7" </w:instrText>
      </w:r>
      <w:r>
        <w:fldChar w:fldCharType="separate"/>
      </w:r>
      <w:r w:rsidRPr="001C1B82">
        <w:rPr>
          <w:rFonts w:eastAsia="Calibri" w:cs="Calibri"/>
          <w:color w:val="0563C1"/>
          <w:szCs w:val="16"/>
          <w:u w:val="single" w:color="0563C1"/>
        </w:rPr>
        <w:t>https://UK Parliament.trydiscourse.com/t/welcome-to-uk-UK Parliament-discourse/7</w:t>
      </w:r>
      <w:r>
        <w:fldChar w:fldCharType="end"/>
      </w:r>
      <w:r>
        <w:fldChar w:fldCharType="begin"/>
      </w:r>
      <w:r>
        <w:instrText xml:space="preserve"> HYPERLINK "https://parliament.trydiscourse.com/t/welcome-to-uk-parliament-discourse/7"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r w:rsidRPr="001C1B82">
        <w:rPr>
          <w:rFonts w:eastAsia="Calibri" w:cs="Calibri"/>
          <w:szCs w:val="16"/>
          <w:vertAlign w:val="superscript"/>
        </w:rPr>
        <w:t>16</w:t>
      </w:r>
      <w:r>
        <w:fldChar w:fldCharType="begin"/>
      </w:r>
      <w:r>
        <w:instrText xml:space="preserve"> HYPERLINK "https://www.london.gov.uk/talk-london/" </w:instrText>
      </w:r>
      <w:r>
        <w:fldChar w:fldCharType="separate"/>
      </w:r>
      <w:r w:rsidRPr="001C1B82">
        <w:rPr>
          <w:rFonts w:eastAsia="Calibri" w:cs="Calibri"/>
          <w:szCs w:val="16"/>
        </w:rPr>
        <w:t xml:space="preserve"> </w:t>
      </w:r>
      <w:r>
        <w:fldChar w:fldCharType="end"/>
      </w:r>
      <w:r>
        <w:fldChar w:fldCharType="begin"/>
      </w:r>
      <w:r>
        <w:instrText xml:space="preserve"> HYPERLINK "https://www.london.gov.uk/talk-london/" </w:instrText>
      </w:r>
      <w:r>
        <w:fldChar w:fldCharType="separate"/>
      </w:r>
      <w:r w:rsidRPr="001C1B82">
        <w:rPr>
          <w:rFonts w:eastAsia="Calibri" w:cs="Calibri"/>
          <w:color w:val="0563C1"/>
          <w:szCs w:val="16"/>
          <w:u w:val="single" w:color="0563C1"/>
        </w:rPr>
        <w:t>https://www.london.gov.uk/talk-london/</w:t>
      </w:r>
      <w:r>
        <w:fldChar w:fldCharType="end"/>
      </w:r>
      <w:r>
        <w:fldChar w:fldCharType="begin"/>
      </w:r>
      <w:r>
        <w:instrText xml:space="preserve"> HYPERLINK "https://www.london.gov.uk/talk-london/"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449">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"https://www.parliament.uk/get-involved/attend-an-event/" </w:instrText>
      </w:r>
      <w:r>
        <w:fldChar w:fldCharType="separate"/>
      </w:r>
      <w:r w:rsidRPr="001C1B82">
        <w:rPr>
          <w:rFonts w:eastAsia="Calibri" w:cs="Calibri"/>
          <w:color w:val="0563C1"/>
          <w:szCs w:val="16"/>
          <w:u w:val="single" w:color="0563C1"/>
        </w:rPr>
        <w:t>https://www.UK Parliament.uk/get-involved/attend-an-event/</w:t>
      </w:r>
      <w:r>
        <w:fldChar w:fldCharType="end"/>
      </w:r>
      <w:r>
        <w:fldChar w:fldCharType="begin"/>
      </w:r>
      <w:r>
        <w:instrText xml:space="preserve"> HYPERLINK "https://www.parliament.uk/get-involved/attend-an-event/" </w:instrText>
      </w:r>
      <w:r>
        <w:fldChar w:fldCharType="separate"/>
      </w:r>
      <w:r w:rsidRPr="001C1B82">
        <w:rPr>
          <w:rFonts w:eastAsia="Calibri" w:cs="Calibri"/>
          <w:szCs w:val="16"/>
        </w:rPr>
        <w:t xml:space="preserve">  </w:t>
      </w:r>
      <w:r>
        <w:fldChar w:fldCharType="end"/>
      </w:r>
    </w:p>
  </w:footnote>
  <w:footnote w:id="450">
    <w:p w:rsidR="00673732" w:rsidRPr="001C1B82">
      <w:pPr>
        <w:pStyle w:val="footnotedescription"/>
        <w:spacing w:after="3"/>
        <w:rPr>
          <w:szCs w:val="16"/>
        </w:rPr>
      </w:pPr>
      <w:r w:rsidRPr="001C1B82">
        <w:rPr>
          <w:rStyle w:val="footnotemark"/>
          <w:szCs w:val="16"/>
        </w:rPr>
        <w:footnoteRef/>
      </w:r>
      <w:r w:rsidRPr="001C1B82">
        <w:rPr>
          <w:szCs w:val="16"/>
        </w:rPr>
        <w:t xml:space="preserve"> </w:t>
      </w:r>
      <w:r>
        <w:fldChar w:fldCharType="begin"/>
      </w:r>
      <w:r>
        <w:instrText xml:space="preserve"> HYPERLINK "https://www.parliament.uk/education/teacher-training-cpd-opportunities/" </w:instrText>
      </w:r>
      <w:r>
        <w:fldChar w:fldCharType="separate"/>
      </w:r>
      <w:r w:rsidRPr="001C1B82">
        <w:rPr>
          <w:rFonts w:eastAsia="Calibri" w:cs="Calibri"/>
          <w:color w:val="0563C1"/>
          <w:szCs w:val="16"/>
          <w:u w:val="single" w:color="0563C1"/>
        </w:rPr>
        <w:t>https://www.UK Parliament.uk/education/teacher-training-cpd-opportunities/</w:t>
      </w:r>
      <w:r>
        <w:fldChar w:fldCharType="end"/>
      </w:r>
      <w:r>
        <w:fldChar w:fldCharType="begin"/>
      </w:r>
      <w:r>
        <w:instrText xml:space="preserve"> HYPERLINK "https://www.parliament.uk/education/teacher-training-cpd-opportunities/" </w:instrText>
      </w:r>
      <w:r>
        <w:fldChar w:fldCharType="separate"/>
      </w:r>
      <w:r w:rsidRPr="001C1B82">
        <w:rPr>
          <w:rFonts w:eastAsia="Calibri" w:cs="Calibri"/>
          <w:szCs w:val="16"/>
        </w:rPr>
        <w:t xml:space="preserve"> </w:t>
      </w:r>
      <w:r>
        <w:fldChar w:fldCharType="end"/>
      </w:r>
    </w:p>
  </w:footnote>
  <w:footnote w:id="451">
    <w:p w:rsidR="00673732" w:rsidRPr="001C1B82">
      <w:pPr>
        <w:pStyle w:val="footnotedescription"/>
        <w:spacing w:after="5"/>
        <w:rPr>
          <w:szCs w:val="16"/>
        </w:rPr>
      </w:pPr>
      <w:r w:rsidRPr="001C1B82">
        <w:rPr>
          <w:rStyle w:val="footnotemark"/>
          <w:szCs w:val="16"/>
        </w:rPr>
        <w:footnoteRef/>
      </w:r>
      <w:r w:rsidRPr="001C1B82">
        <w:rPr>
          <w:szCs w:val="16"/>
        </w:rPr>
        <w:t xml:space="preserve"> </w:t>
      </w:r>
      <w:r>
        <w:fldChar w:fldCharType="begin"/>
      </w:r>
      <w:r>
        <w:instrText xml:space="preserve"> HYPERLINK "https://www.futurelearn.com/" </w:instrText>
      </w:r>
      <w:r>
        <w:fldChar w:fldCharType="separate"/>
      </w:r>
      <w:r w:rsidRPr="001C1B82">
        <w:rPr>
          <w:rFonts w:eastAsia="Calibri" w:cs="Calibri"/>
          <w:color w:val="0563C1"/>
          <w:szCs w:val="16"/>
          <w:u w:val="single" w:color="0563C1"/>
        </w:rPr>
        <w:t>https://www.futurelearn.com/</w:t>
      </w:r>
      <w:r>
        <w:fldChar w:fldCharType="end"/>
      </w:r>
      <w:r>
        <w:fldChar w:fldCharType="begin"/>
      </w:r>
      <w:r>
        <w:instrText xml:space="preserve"> HYPERLINK "https://www.futurelearn.com/" </w:instrText>
      </w:r>
      <w:r>
        <w:fldChar w:fldCharType="separate"/>
      </w:r>
      <w:r w:rsidRPr="001C1B82">
        <w:rPr>
          <w:rFonts w:eastAsia="Calibri" w:cs="Calibri"/>
          <w:szCs w:val="16"/>
        </w:rPr>
        <w:t xml:space="preserve">  </w:t>
      </w:r>
      <w:r>
        <w:fldChar w:fldCharType="end"/>
      </w:r>
    </w:p>
  </w:footnote>
  <w:footnote w:id="452">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"https://www.futurelearn.com/courses/uk-parliament-select-committees" </w:instrText>
      </w:r>
      <w:r>
        <w:fldChar w:fldCharType="separate"/>
      </w:r>
      <w:r w:rsidRPr="001C1B82">
        <w:rPr>
          <w:rFonts w:eastAsia="Calibri" w:cs="Calibri"/>
          <w:color w:val="0563C1"/>
          <w:szCs w:val="16"/>
          <w:u w:val="single" w:color="0563C1"/>
        </w:rPr>
        <w:t>https://www.futurelearn.com/courses/uk-UK Parliament-select-committees</w:t>
      </w:r>
      <w:r>
        <w:fldChar w:fldCharType="end"/>
      </w:r>
      <w:r>
        <w:fldChar w:fldCharType="begin"/>
      </w:r>
      <w:r>
        <w:instrText xml:space="preserve"> HYPERLINK "https://www.futurelearn.com/courses/uk-parliament-select-committees"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453">
    <w:p w:rsidR="00673732" w:rsidRPr="001C1B82">
      <w:pPr>
        <w:pStyle w:val="footnotedescription"/>
        <w:spacing w:after="6"/>
        <w:rPr>
          <w:szCs w:val="16"/>
        </w:rPr>
      </w:pPr>
      <w:r w:rsidRPr="001C1B82">
        <w:rPr>
          <w:rStyle w:val="footnotemark"/>
          <w:szCs w:val="16"/>
        </w:rPr>
        <w:footnoteRef/>
      </w:r>
      <w:r w:rsidRPr="001C1B82">
        <w:rPr>
          <w:szCs w:val="16"/>
        </w:rPr>
        <w:t xml:space="preserve"> </w:t>
      </w:r>
      <w:r>
        <w:fldChar w:fldCharType="begin"/>
      </w:r>
      <w:r>
        <w:instrText xml:space="preserve"> HYPERLINK "https://www.parliament.uk/education/" </w:instrText>
      </w:r>
      <w:r>
        <w:fldChar w:fldCharType="separate"/>
      </w:r>
      <w:r w:rsidRPr="001C1B82">
        <w:rPr>
          <w:rFonts w:eastAsia="Calibri" w:cs="Calibri"/>
          <w:color w:val="0563C1"/>
          <w:szCs w:val="16"/>
          <w:u w:val="single" w:color="0563C1"/>
        </w:rPr>
        <w:t>https://www.UK Parliament.uk/education/</w:t>
      </w:r>
      <w:r>
        <w:fldChar w:fldCharType="end"/>
      </w:r>
      <w:r>
        <w:fldChar w:fldCharType="begin"/>
      </w:r>
      <w:r>
        <w:instrText xml:space="preserve"> HYPERLINK "https://www.parliament.uk/education/" </w:instrText>
      </w:r>
      <w:r>
        <w:fldChar w:fldCharType="separate"/>
      </w:r>
      <w:r w:rsidRPr="001C1B82">
        <w:rPr>
          <w:rFonts w:eastAsia="Calibri" w:cs="Calibri"/>
          <w:szCs w:val="16"/>
        </w:rPr>
        <w:t xml:space="preserve"> </w:t>
      </w:r>
      <w:r>
        <w:fldChar w:fldCharType="end"/>
      </w:r>
    </w:p>
  </w:footnote>
  <w:footnote w:id="454">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"https://www.parliament.uk/education/teaching-resources-lesson-plans/" </w:instrText>
      </w:r>
      <w:r>
        <w:fldChar w:fldCharType="separate"/>
      </w:r>
      <w:r w:rsidRPr="001C1B82">
        <w:rPr>
          <w:rFonts w:eastAsia="Calibri" w:cs="Calibri"/>
          <w:color w:val="0563C1"/>
          <w:szCs w:val="16"/>
          <w:u w:val="single" w:color="0563C1"/>
        </w:rPr>
        <w:t>https://www.UK Parliament.uk/education/teaching-resources-lesson-plans/</w:t>
      </w:r>
      <w:r>
        <w:fldChar w:fldCharType="end"/>
      </w:r>
      <w:r>
        <w:fldChar w:fldCharType="begin"/>
      </w:r>
      <w:r>
        <w:instrText xml:space="preserve"> HYPERLINK "https://www.parliament.uk/education/teaching-resources-lesson-plans/"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 </w:t>
      </w:r>
    </w:p>
  </w:footnote>
  <w:footnote w:id="455">
    <w:p w:rsidR="00673732" w:rsidRPr="001C1B82">
      <w:pPr>
        <w:pStyle w:val="footnotedescription"/>
        <w:spacing w:line="251" w:lineRule="auto"/>
        <w:rPr>
          <w:szCs w:val="16"/>
        </w:rPr>
      </w:pPr>
      <w:r w:rsidRPr="001C1B82">
        <w:rPr>
          <w:rStyle w:val="footnotemark"/>
          <w:szCs w:val="16"/>
        </w:rPr>
        <w:footnoteRef/>
      </w:r>
      <w:r w:rsidRPr="001C1B82">
        <w:rPr>
          <w:szCs w:val="16"/>
        </w:rPr>
        <w:t xml:space="preserve"> </w:t>
      </w:r>
      <w:r w:rsidRPr="001C1B82">
        <w:rPr>
          <w:rFonts w:eastAsia="Calibri" w:cs="Calibri"/>
          <w:szCs w:val="16"/>
        </w:rPr>
        <w:t xml:space="preserve">Counterfactuals are defined as ‘the quality of decisions that would have been taken if the algorithmic technology were not in place’. See </w:t>
      </w:r>
      <w:r>
        <w:fldChar w:fldCharType="begin"/>
      </w:r>
      <w:r>
        <w:instrText xml:space="preserve"> HYPERLINK "https://www.rss.org.uk/Images/PDF/influencing-change/2017/RSS%20evidence%20on%20the%20use%20of%20algorithms%20in%20decision%20making%20April%202017.pdf" </w:instrText>
      </w:r>
      <w:r>
        <w:fldChar w:fldCharType="separate"/>
      </w:r>
      <w:r w:rsidRPr="001C1B82">
        <w:rPr>
          <w:rFonts w:eastAsia="Calibri" w:cs="Calibri"/>
          <w:color w:val="0563C1"/>
          <w:szCs w:val="16"/>
          <w:u w:val="single" w:color="0563C1"/>
        </w:rPr>
        <w:t>RSS evidence</w:t>
      </w:r>
      <w:r>
        <w:fldChar w:fldCharType="end"/>
      </w:r>
      <w:r>
        <w:fldChar w:fldCharType="begin"/>
      </w:r>
      <w:r>
        <w:instrText xml:space="preserve"> HYPERLINK "https://www.rss.org.uk/Images/PDF/influencing-change/2017/RSS%20evidence%20on%20the%20use%20of%20algorithms%20in%20decision%20making%20April%202017.pdf" </w:instrText>
      </w:r>
      <w:r>
        <w:fldChar w:fldCharType="separate"/>
      </w:r>
      <w:r w:rsidRPr="001C1B82">
        <w:rPr>
          <w:rFonts w:eastAsia="Calibri" w:cs="Calibri"/>
          <w:szCs w:val="16"/>
        </w:rPr>
        <w:t xml:space="preserve"> </w:t>
      </w:r>
      <w:r>
        <w:fldChar w:fldCharType="end"/>
      </w:r>
      <w:r w:rsidRPr="001C1B82">
        <w:rPr>
          <w:rFonts w:eastAsia="Calibri" w:cs="Calibri"/>
          <w:szCs w:val="16"/>
        </w:rPr>
        <w:t xml:space="preserve">to 2017 Science and Technology inquiry on the use of algorithms in decision-making.  </w:t>
      </w:r>
    </w:p>
  </w:footnote>
  <w:footnote w:id="456">
    <w:p w:rsidR="00673732" w:rsidRPr="001C1B82">
      <w:pPr>
        <w:pStyle w:val="footnotedescription"/>
        <w:spacing w:line="276" w:lineRule="auto"/>
        <w:ind w:left="142" w:hanging="142"/>
        <w:rPr>
          <w:szCs w:val="16"/>
        </w:rPr>
      </w:pPr>
      <w:r w:rsidRPr="001C1B82">
        <w:rPr>
          <w:rStyle w:val="footnotemark"/>
          <w:szCs w:val="16"/>
        </w:rPr>
        <w:footnoteRef/>
      </w:r>
      <w:r w:rsidRPr="001C1B82">
        <w:rPr>
          <w:szCs w:val="16"/>
        </w:rPr>
        <w:t xml:space="preserve"> For an overview of this process, see "Regulatory complaint concerning massive, web-wide data breach by Google and other “ad tech” companies under Europe’s GDPR", Brave, 12 September 2018 (URL: </w:t>
      </w:r>
    </w:p>
    <w:p w:rsidR="00673732" w:rsidRPr="001C1B82">
      <w:pPr>
        <w:pStyle w:val="footnotedescription"/>
        <w:spacing w:line="238" w:lineRule="auto"/>
        <w:ind w:left="142"/>
        <w:rPr>
          <w:szCs w:val="16"/>
        </w:rPr>
      </w:pPr>
      <w:r w:rsidRPr="001C1B82">
        <w:rPr>
          <w:szCs w:val="16"/>
        </w:rPr>
        <w:t xml:space="preserve">https://brave.com/adtech-data-breach-complaint/). See additional evidence at </w:t>
      </w:r>
      <w:r>
        <w:fldChar w:fldCharType="begin"/>
      </w:r>
      <w:r>
        <w:instrText xml:space="preserve"> HYPERLINK "https://brave.com/rtb-evidence/" </w:instrText>
      </w:r>
      <w:r>
        <w:fldChar w:fldCharType="separate"/>
      </w:r>
      <w:r w:rsidRPr="001C1B82">
        <w:rPr>
          <w:color w:val="0000FF"/>
          <w:szCs w:val="16"/>
          <w:u w:val="single" w:color="0000FF"/>
        </w:rPr>
        <w:t>https://brave.com/rtb</w:t>
      </w:r>
      <w:r>
        <w:fldChar w:fldCharType="end"/>
      </w:r>
      <w:r>
        <w:fldChar w:fldCharType="begin"/>
      </w:r>
      <w:r>
        <w:instrText xml:space="preserve"> HYPERLINK "https://brave.com/rtb-evidence/" </w:instrText>
      </w:r>
      <w:r>
        <w:fldChar w:fldCharType="separate"/>
      </w:r>
      <w:r w:rsidRPr="001C1B82">
        <w:rPr>
          <w:color w:val="0000FF"/>
          <w:szCs w:val="16"/>
          <w:u w:val="single" w:color="0000FF"/>
        </w:rPr>
        <w:t>evidence/</w:t>
      </w:r>
      <w:r>
        <w:fldChar w:fldCharType="end"/>
      </w:r>
      <w:r>
        <w:fldChar w:fldCharType="begin"/>
      </w:r>
      <w:r>
        <w:instrText xml:space="preserve"> HYPERLINK "https://brave.com/rtb-evidence/" </w:instrText>
      </w:r>
      <w:r>
        <w:fldChar w:fldCharType="separate"/>
      </w:r>
      <w:r w:rsidRPr="001C1B82">
        <w:rPr>
          <w:szCs w:val="16"/>
        </w:rPr>
        <w:t>.</w:t>
      </w:r>
      <w:r>
        <w:fldChar w:fldCharType="end"/>
      </w:r>
      <w:r w:rsidRPr="001C1B82">
        <w:rPr>
          <w:szCs w:val="16"/>
        </w:rPr>
        <w:t xml:space="preserve">  </w:t>
      </w:r>
    </w:p>
  </w:footnote>
  <w:footnote w:id="457">
    <w:p w:rsidR="00673732" w:rsidRPr="001C1B82">
      <w:pPr>
        <w:pStyle w:val="footnotedescription"/>
        <w:spacing w:line="248" w:lineRule="auto"/>
        <w:ind w:left="142" w:hanging="142"/>
        <w:rPr>
          <w:szCs w:val="16"/>
        </w:rPr>
      </w:pPr>
      <w:r w:rsidRPr="001C1B82">
        <w:rPr>
          <w:rStyle w:val="footnotemark"/>
          <w:szCs w:val="16"/>
        </w:rPr>
        <w:footnoteRef/>
      </w:r>
      <w:r w:rsidRPr="001C1B82">
        <w:rPr>
          <w:szCs w:val="16"/>
        </w:rPr>
        <w:t xml:space="preserve"> See Google’s RTB “Publisher Verticals” list, which is referred to in several contexts from the Google Authorized Buyers Proto (URL:</w:t>
      </w:r>
      <w:r>
        <w:fldChar w:fldCharType="begin"/>
      </w:r>
      <w:r>
        <w:instrText xml:space="preserve"> HYPERLINK "https://developers.google.com/authorized-buyers/rtb/downloads/publisher-verticals" </w:instrText>
      </w:r>
      <w:r>
        <w:fldChar w:fldCharType="separate"/>
      </w:r>
      <w:r w:rsidRPr="001C1B82">
        <w:rPr>
          <w:szCs w:val="16"/>
        </w:rPr>
        <w:t xml:space="preserve"> https://developers.google.com/authorized-buyers/rtb/downloads/publisher</w:t>
      </w:r>
      <w:r>
        <w:fldChar w:fldCharType="end"/>
      </w:r>
      <w:r>
        <w:fldChar w:fldCharType="begin"/>
      </w:r>
      <w:r>
        <w:instrText xml:space="preserve"> HYPERLINK "https://developers.google.com/authorized-buyers/rtb/downloads/publisher-verticals" </w:instrText>
      </w:r>
      <w:r>
        <w:fldChar w:fldCharType="separate"/>
      </w:r>
      <w:r w:rsidRPr="001C1B82">
        <w:rPr>
          <w:szCs w:val="16"/>
        </w:rPr>
        <w:t>verticals)</w:t>
      </w:r>
      <w:r>
        <w:fldChar w:fldCharType="end"/>
      </w:r>
      <w:r w:rsidRPr="001C1B82">
        <w:rPr>
          <w:szCs w:val="16"/>
        </w:rPr>
        <w:t xml:space="preserve">; see also IAB OpenRTB “content taxonomies” list, which is referred to in several contexts in the IAB OpenRTB AdCOM API </w:t>
      </w:r>
      <w:r>
        <w:fldChar w:fldCharType="begin"/>
      </w:r>
      <w:r>
        <w:instrText xml:space="preserve"> HYPERLINK "https://www.iab.com/wp-content/uploads/2017/11/IAB_Tech_Lab_Content_Taxonomy_V2_Final_2017-11.xlsx" </w:instrText>
      </w:r>
      <w:r>
        <w:fldChar w:fldCharType="separate"/>
      </w:r>
      <w:r w:rsidRPr="001C1B82">
        <w:rPr>
          <w:szCs w:val="16"/>
        </w:rPr>
        <w:t>(https://www.iab.com/wp</w:t>
      </w:r>
      <w:r>
        <w:fldChar w:fldCharType="end"/>
      </w:r>
      <w:r>
        <w:fldChar w:fldCharType="begin"/>
      </w:r>
      <w:r>
        <w:instrText xml:space="preserve"> HYPERLINK "https://www.iab.com/wp-content/uploads/2017/11/IAB_Tech_Lab_Content_Taxonomy_V2_Final_2017-11.xlsx" </w:instrText>
      </w:r>
      <w:r>
        <w:fldChar w:fldCharType="separate"/>
      </w:r>
      <w:r w:rsidRPr="001C1B82">
        <w:rPr>
          <w:szCs w:val="16"/>
        </w:rPr>
        <w:t>content/uploads/2017/11/IAB_Tech_Lab_Content_Taxonomy_V2_Final_2017-11.xlsx)</w:t>
      </w:r>
      <w:r>
        <w:fldChar w:fldCharType="end"/>
      </w:r>
      <w:r w:rsidRPr="001C1B82">
        <w:rPr>
          <w:szCs w:val="16"/>
        </w:rPr>
        <w:t xml:space="preserve">.    </w:t>
      </w:r>
    </w:p>
  </w:footnote>
  <w:footnote w:id="458">
    <w:p w:rsidR="00673732" w:rsidRPr="001C1B82">
      <w:pPr>
        <w:pStyle w:val="footnotedescription"/>
        <w:spacing w:line="251" w:lineRule="auto"/>
        <w:ind w:left="142" w:hanging="142"/>
        <w:rPr>
          <w:szCs w:val="16"/>
        </w:rPr>
      </w:pPr>
      <w:r w:rsidRPr="001C1B82">
        <w:rPr>
          <w:rStyle w:val="footnotemark"/>
          <w:szCs w:val="16"/>
        </w:rPr>
        <w:footnoteRef/>
      </w:r>
      <w:r w:rsidRPr="001C1B82">
        <w:rPr>
          <w:szCs w:val="16"/>
        </w:rPr>
        <w:t xml:space="preserve"> See "Examples of data in a bid request from IAB OpenRTB and Google Authorized Buyers’ specification documents” (URL:</w:t>
      </w:r>
      <w:r>
        <w:fldChar w:fldCharType="begin"/>
      </w:r>
      <w:r>
        <w:instrText xml:space="preserve"> HYPERLINK "http://fixad.tech/wp-content/uploads/2019/02/3-bid-request-examples.pdf" </w:instrText>
      </w:r>
      <w:r>
        <w:fldChar w:fldCharType="separate"/>
      </w:r>
      <w:r w:rsidRPr="001C1B82">
        <w:rPr>
          <w:szCs w:val="16"/>
        </w:rPr>
        <w:t xml:space="preserve"> http://fixad.tech/wp-content/uploads/2019/02/3-bid-request-examples.pdf)</w:t>
      </w:r>
      <w:r>
        <w:fldChar w:fldCharType="end"/>
      </w:r>
      <w:r w:rsidRPr="001C1B82">
        <w:rPr>
          <w:szCs w:val="16"/>
        </w:rPr>
        <w:t xml:space="preserve">, evidence submitted to the Irish Data Protection Commission, and UK Information Commissioner's Office, 12 September 2018 and 20 February 2019.  </w:t>
      </w:r>
    </w:p>
  </w:footnote>
  <w:footnote w:id="459">
    <w:p w:rsidR="00673732" w:rsidRPr="001C1B82">
      <w:pPr>
        <w:pStyle w:val="footnotedescription"/>
        <w:spacing w:after="14"/>
        <w:rPr>
          <w:szCs w:val="16"/>
        </w:rPr>
      </w:pPr>
      <w:r w:rsidRPr="001C1B82">
        <w:rPr>
          <w:rStyle w:val="footnotemark"/>
          <w:szCs w:val="16"/>
        </w:rPr>
        <w:footnoteRef/>
      </w:r>
      <w:r w:rsidRPr="001C1B82">
        <w:rPr>
          <w:szCs w:val="16"/>
        </w:rPr>
        <w:t xml:space="preserve"> See “Object: geo” in AdCOM Specification v1.0, Beta Draft”, IAB TechLab, 24 July 2018 (URL:  </w:t>
      </w:r>
    </w:p>
    <w:p w:rsidR="00673732" w:rsidRPr="001C1B82">
      <w:pPr>
        <w:pStyle w:val="footnotedescription"/>
        <w:spacing w:line="240" w:lineRule="auto"/>
        <w:ind w:left="142" w:hanging="142"/>
        <w:rPr>
          <w:szCs w:val="16"/>
        </w:rPr>
      </w:pPr>
      <w:r>
        <w:fldChar w:fldCharType="begin"/>
      </w:r>
      <w:r>
        <w:instrText xml:space="preserve"> HYPERLINK "https://github.com/InteractiveAdvertisingBureau/AdCOM/blob/master/AdCOM%20v1.0%20FINAL.md" </w:instrText>
      </w:r>
      <w:r>
        <w:fldChar w:fldCharType="separate"/>
      </w:r>
      <w:r w:rsidRPr="001C1B82">
        <w:rPr>
          <w:szCs w:val="16"/>
        </w:rPr>
        <w:t>https://github.com/InteractiveAdvertisingBureau/AdCOM/blob/master/AdCOM%20v1.0%20FINAL.md)</w:t>
      </w:r>
      <w:r>
        <w:fldChar w:fldCharType="end"/>
      </w:r>
      <w:r w:rsidRPr="001C1B82">
        <w:rPr>
          <w:szCs w:val="16"/>
        </w:rPr>
        <w:t xml:space="preserve">; and “Hyperlocal object”, “Point object”, “HyperlocalSet object” in Authorized Buyers Real-Time Bidding Proto”, Google, 23 April 2019 (URL:  </w:t>
      </w:r>
    </w:p>
    <w:p w:rsidR="00673732" w:rsidRPr="001C1B82">
      <w:pPr>
        <w:pStyle w:val="footnotedescription"/>
        <w:rPr>
          <w:szCs w:val="16"/>
        </w:rPr>
      </w:pPr>
      <w:r>
        <w:fldChar w:fldCharType="begin"/>
      </w:r>
      <w:r>
        <w:instrText xml:space="preserve"> HYPERLINK "https://developers.google.com/authorized-buyers/rtb/realtime-bidding-guide" </w:instrText>
      </w:r>
      <w:r>
        <w:fldChar w:fldCharType="separate"/>
      </w:r>
      <w:r w:rsidRPr="001C1B82">
        <w:rPr>
          <w:szCs w:val="16"/>
        </w:rPr>
        <w:t>https://developers.google.com/authorized-buyers/rtb/realtime-bidding-guide)</w:t>
      </w:r>
      <w:r>
        <w:fldChar w:fldCharType="end"/>
      </w:r>
      <w:r w:rsidRPr="001C1B82">
        <w:rPr>
          <w:szCs w:val="16"/>
        </w:rPr>
        <w:t xml:space="preserve">. </w:t>
      </w:r>
    </w:p>
  </w:footnote>
  <w:footnote w:id="460">
    <w:p w:rsidR="00673732" w:rsidRPr="001C1B82">
      <w:pPr>
        <w:pStyle w:val="footnotedescription"/>
        <w:spacing w:after="14"/>
        <w:rPr>
          <w:szCs w:val="16"/>
        </w:rPr>
      </w:pPr>
      <w:r w:rsidRPr="001C1B82">
        <w:rPr>
          <w:rStyle w:val="footnotemark"/>
          <w:szCs w:val="16"/>
        </w:rPr>
        <w:footnoteRef/>
      </w:r>
      <w:r w:rsidRPr="001C1B82">
        <w:rPr>
          <w:szCs w:val="16"/>
        </w:rPr>
        <w:t xml:space="preserve"> See “Object: user” in AdCOM Specification v1.0, Beta Draft”, IAB TechLab, 24 July 2018 (URL:  </w:t>
      </w:r>
    </w:p>
    <w:p w:rsidR="00673732" w:rsidRPr="001C1B82">
      <w:pPr>
        <w:pStyle w:val="footnotedescription"/>
        <w:spacing w:line="238" w:lineRule="auto"/>
        <w:ind w:left="142" w:hanging="142"/>
        <w:rPr>
          <w:szCs w:val="16"/>
        </w:rPr>
      </w:pPr>
      <w:r>
        <w:fldChar w:fldCharType="begin"/>
      </w:r>
      <w:r>
        <w:instrText xml:space="preserve"> HYPERLINK "https://github.com/InteractiveAdvertisingBureau/AdCOM/blob/master/AdCOM%20v1.0%20FINAL.md" </w:instrText>
      </w:r>
      <w:r>
        <w:fldChar w:fldCharType="separate"/>
      </w:r>
      <w:r w:rsidRPr="001C1B82">
        <w:rPr>
          <w:szCs w:val="16"/>
        </w:rPr>
        <w:t>https://github.com/InteractiveAdvertisingBureau/AdCOM/blob/master/AdCOM%20v1.0%20FINAL.md)</w:t>
      </w:r>
      <w:r>
        <w:fldChar w:fldCharType="end"/>
      </w:r>
      <w:r w:rsidRPr="001C1B82">
        <w:rPr>
          <w:szCs w:val="16"/>
        </w:rPr>
        <w:t xml:space="preserve">; “hosted_match_data”, “google_user_id”, and “UserList object” in Authorized Buyers Real-Time Bidding Proto”, Google, 23 April 2019 (URL:  </w:t>
      </w:r>
    </w:p>
    <w:p w:rsidR="00673732" w:rsidRPr="001C1B82">
      <w:pPr>
        <w:pStyle w:val="footnotedescription"/>
        <w:rPr>
          <w:szCs w:val="16"/>
        </w:rPr>
      </w:pPr>
      <w:r>
        <w:fldChar w:fldCharType="begin"/>
      </w:r>
      <w:r>
        <w:instrText xml:space="preserve"> HYPERLINK "https://developers.google.com/authorized-buyers/rtb/realtime-bidding-guide" </w:instrText>
      </w:r>
      <w:r>
        <w:fldChar w:fldCharType="separate"/>
      </w:r>
      <w:r w:rsidRPr="001C1B82">
        <w:rPr>
          <w:szCs w:val="16"/>
        </w:rPr>
        <w:t>https://developers.google.com/authorized-buyers/rtb/realtime-bidding-guide)</w:t>
      </w:r>
      <w:r>
        <w:fldChar w:fldCharType="end"/>
      </w:r>
      <w:r w:rsidRPr="001C1B82">
        <w:rPr>
          <w:szCs w:val="16"/>
        </w:rPr>
        <w:t xml:space="preserve">. </w:t>
      </w:r>
    </w:p>
  </w:footnote>
  <w:footnote w:id="461">
    <w:p w:rsidR="00673732" w:rsidRPr="001C1B82">
      <w:pPr>
        <w:pStyle w:val="footnotedescription"/>
        <w:spacing w:line="257" w:lineRule="auto"/>
        <w:ind w:left="142" w:hanging="142"/>
        <w:rPr>
          <w:szCs w:val="16"/>
        </w:rPr>
      </w:pPr>
      <w:r w:rsidRPr="001C1B82">
        <w:rPr>
          <w:rStyle w:val="footnotemark"/>
          <w:szCs w:val="16"/>
        </w:rPr>
        <w:footnoteRef/>
      </w:r>
      <w:r w:rsidRPr="001C1B82">
        <w:rPr>
          <w:szCs w:val="16"/>
        </w:rPr>
        <w:t xml:space="preserve"> For the scale of the data breach, see “Count of hundreds billions of bid request broadcasts”, evidence submitted to data protection authorities in UK &amp; Ireland (URL: </w:t>
      </w:r>
      <w:r>
        <w:fldChar w:fldCharType="begin"/>
      </w:r>
      <w:r>
        <w:instrText xml:space="preserve"> HYPERLINK "https://brave.com/wp-content/uploads/2019/07/Scale-billions-of-bid-requests-per-day-RAN2019061811075588.pdf" </w:instrText>
      </w:r>
      <w:r>
        <w:fldChar w:fldCharType="separate"/>
      </w:r>
      <w:r w:rsidRPr="001C1B82">
        <w:rPr>
          <w:szCs w:val="16"/>
        </w:rPr>
        <w:t>https://brave.com/wp</w:t>
      </w:r>
      <w:r>
        <w:fldChar w:fldCharType="end"/>
      </w:r>
      <w:r>
        <w:fldChar w:fldCharType="begin"/>
      </w:r>
      <w:r>
        <w:instrText xml:space="preserve"> HYPERLINK "https://brave.com/wp-content/uploads/2019/07/Scale-billions-of-bid-requests-per-day-RAN2019061811075588.pdf" </w:instrText>
      </w:r>
      <w:r>
        <w:fldChar w:fldCharType="separate"/>
      </w:r>
      <w:r w:rsidRPr="001C1B82">
        <w:rPr>
          <w:szCs w:val="16"/>
        </w:rPr>
        <w:t>content/uploads/2019/07/Scale-billions-of-bid-requests-per-day-RAN2019061811075588.pdf</w:t>
      </w:r>
      <w:r>
        <w:fldChar w:fldCharType="end"/>
      </w:r>
      <w:r>
        <w:fldChar w:fldCharType="begin"/>
      </w:r>
      <w:r>
        <w:instrText xml:space="preserve"> HYPERLINK "https://brave.com/wp-content/uploads/2019/07/Scale-billions-of-bid-requests-per-day-RAN2019061811075588.pdf" </w:instrText>
      </w:r>
      <w:r>
        <w:fldChar w:fldCharType="separate"/>
      </w:r>
      <w:r w:rsidRPr="001C1B82">
        <w:rPr>
          <w:szCs w:val="16"/>
        </w:rPr>
        <w:t>)</w:t>
      </w:r>
      <w:r>
        <w:fldChar w:fldCharType="end"/>
      </w:r>
      <w:r w:rsidRPr="001C1B82">
        <w:rPr>
          <w:szCs w:val="16"/>
        </w:rPr>
        <w:t xml:space="preserve">.  </w:t>
      </w:r>
    </w:p>
  </w:footnote>
  <w:footnote w:id="462">
    <w:p w:rsidR="00673732" w:rsidRPr="001C1B82">
      <w:pPr>
        <w:pStyle w:val="footnotedescription"/>
        <w:spacing w:after="14"/>
        <w:rPr>
          <w:szCs w:val="16"/>
        </w:rPr>
      </w:pPr>
      <w:r w:rsidRPr="001C1B82">
        <w:rPr>
          <w:rStyle w:val="footnotemark"/>
          <w:szCs w:val="16"/>
        </w:rPr>
        <w:footnoteRef/>
      </w:r>
      <w:r w:rsidRPr="001C1B82">
        <w:rPr>
          <w:szCs w:val="16"/>
        </w:rPr>
        <w:t xml:space="preserve"> “The impact of AI for digital advertisers”, Juniper Research, May 2019 </w:t>
      </w:r>
    </w:p>
    <w:p w:rsidR="00673732" w:rsidRPr="001C1B82">
      <w:pPr>
        <w:pStyle w:val="footnotedescription"/>
        <w:spacing w:line="238" w:lineRule="auto"/>
        <w:ind w:left="142"/>
        <w:rPr>
          <w:szCs w:val="16"/>
        </w:rPr>
      </w:pPr>
      <w:r w:rsidRPr="001C1B82">
        <w:rPr>
          <w:szCs w:val="16"/>
        </w:rPr>
        <w:t xml:space="preserve">(URL: </w:t>
      </w:r>
      <w:r>
        <w:fldChar w:fldCharType="begin"/>
      </w:r>
      <w:r>
        <w:instrText xml:space="preserve"> HYPERLINK "https://www.juniperresearch.com/document-library/white-papers/the-impact-of-ai-for-digital-advertisers" </w:instrText>
      </w:r>
      <w:r>
        <w:fldChar w:fldCharType="separate"/>
      </w:r>
      <w:r w:rsidRPr="001C1B82">
        <w:rPr>
          <w:szCs w:val="16"/>
        </w:rPr>
        <w:t>https://www.juniperresearch.com/document-library/white-papers/the-impact-of-ai-for-digital</w:t>
      </w:r>
      <w:r>
        <w:fldChar w:fldCharType="end"/>
      </w:r>
      <w:r>
        <w:fldChar w:fldCharType="begin"/>
      </w:r>
      <w:r>
        <w:instrText xml:space="preserve"> HYPERLINK "https://www.juniperresearch.com/document-library/white-papers/the-impact-of-ai-for-digital-advertisers" </w:instrText>
      </w:r>
      <w:r>
        <w:fldChar w:fldCharType="separate"/>
      </w:r>
      <w:r w:rsidRPr="001C1B82">
        <w:rPr>
          <w:szCs w:val="16"/>
        </w:rPr>
        <w:t>advertisers)</w:t>
      </w:r>
      <w:r>
        <w:fldChar w:fldCharType="end"/>
      </w:r>
      <w:r w:rsidRPr="001C1B82">
        <w:rPr>
          <w:szCs w:val="16"/>
        </w:rPr>
        <w:t xml:space="preserve">. In the US alone, the Association of National Advertisers estimates that at least $5.8 billion of their spend is stolen by ad fraud, in “2018-2019 Bot baseline: fraud in digital advertising”, Association of National Advertisers (URL: </w:t>
      </w:r>
      <w:r>
        <w:fldChar w:fldCharType="begin"/>
      </w:r>
      <w:r>
        <w:instrText xml:space="preserve"> HYPERLINK "https://www.ana.net/getfile/25093" </w:instrText>
      </w:r>
      <w:r>
        <w:fldChar w:fldCharType="separate"/>
      </w:r>
      <w:r w:rsidRPr="001C1B82">
        <w:rPr>
          <w:szCs w:val="16"/>
        </w:rPr>
        <w:t>https://www.ana.net/getfile/25093)</w:t>
      </w:r>
      <w:r>
        <w:fldChar w:fldCharType="end"/>
      </w:r>
      <w:r w:rsidRPr="001C1B82">
        <w:rPr>
          <w:szCs w:val="16"/>
        </w:rPr>
        <w:t xml:space="preserve">. </w:t>
      </w:r>
    </w:p>
  </w:footnote>
  <w:footnote w:id="463">
    <w:p w:rsidR="00673732" w:rsidRPr="001C1B82">
      <w:pPr>
        <w:pStyle w:val="footnotedescription"/>
        <w:spacing w:line="252" w:lineRule="auto"/>
        <w:ind w:left="142" w:right="31" w:hanging="142"/>
        <w:rPr>
          <w:szCs w:val="16"/>
        </w:rPr>
      </w:pPr>
      <w:r w:rsidRPr="001C1B82">
        <w:rPr>
          <w:rStyle w:val="footnotemark"/>
          <w:szCs w:val="16"/>
        </w:rPr>
        <w:footnoteRef/>
      </w:r>
      <w:r w:rsidRPr="001C1B82">
        <w:rPr>
          <w:szCs w:val="16"/>
        </w:rPr>
        <w:t xml:space="preserve"> See “Regulatory complaint concerning massive, web-wide data breach by Google and other “ad tech” companies under Europe’s GDPR”, Brave Insight, September 2018 (URL: </w:t>
      </w:r>
      <w:r>
        <w:fldChar w:fldCharType="begin"/>
      </w:r>
      <w:r>
        <w:instrText xml:space="preserve"> HYPERLINK "https://brave.com/adtech-data-breach-complaint/" </w:instrText>
      </w:r>
      <w:r>
        <w:fldChar w:fldCharType="separate"/>
      </w:r>
      <w:r w:rsidRPr="001C1B82">
        <w:rPr>
          <w:szCs w:val="16"/>
        </w:rPr>
        <w:t>https://brave.com/adtech-data</w:t>
      </w:r>
      <w:r>
        <w:fldChar w:fldCharType="end"/>
      </w:r>
      <w:r>
        <w:fldChar w:fldCharType="begin"/>
      </w:r>
      <w:r>
        <w:instrText xml:space="preserve"> HYPERLINK "https://brave.com/adtech-data-breach-complaint/" </w:instrText>
      </w:r>
      <w:r>
        <w:fldChar w:fldCharType="separate"/>
      </w:r>
      <w:r w:rsidRPr="001C1B82">
        <w:rPr>
          <w:szCs w:val="16"/>
        </w:rPr>
        <w:t>breach-complaint/)</w:t>
      </w:r>
      <w:r>
        <w:fldChar w:fldCharType="end"/>
      </w:r>
      <w:r w:rsidRPr="001C1B82">
        <w:rPr>
          <w:szCs w:val="16"/>
        </w:rPr>
        <w:t xml:space="preserve">. See a sample of the evidence submitted to European data protection authorities so far at </w:t>
      </w:r>
      <w:r>
        <w:fldChar w:fldCharType="begin"/>
      </w:r>
      <w:r>
        <w:instrText xml:space="preserve"> HYPERLINK "https://brave.com/rtb-evidence/" </w:instrText>
      </w:r>
      <w:r>
        <w:fldChar w:fldCharType="separate"/>
      </w:r>
      <w:r w:rsidRPr="001C1B82">
        <w:rPr>
          <w:szCs w:val="16"/>
        </w:rPr>
        <w:t>https://brave.com/rtb-evidence/.</w:t>
      </w:r>
      <w:r>
        <w:fldChar w:fldCharType="end"/>
      </w:r>
      <w:r w:rsidRPr="001C1B82">
        <w:rPr>
          <w:szCs w:val="16"/>
        </w:rPr>
        <w:t xml:space="preserve"> </w:t>
      </w:r>
    </w:p>
  </w:footnote>
  <w:footnote w:id="464">
    <w:p w:rsidR="00673732" w:rsidRPr="001C1B82">
      <w:pPr>
        <w:pStyle w:val="footnotedescription"/>
        <w:spacing w:line="276" w:lineRule="auto"/>
        <w:ind w:left="142" w:hanging="142"/>
        <w:rPr>
          <w:szCs w:val="16"/>
        </w:rPr>
      </w:pPr>
      <w:r w:rsidRPr="001C1B82">
        <w:rPr>
          <w:rStyle w:val="footnotemark"/>
          <w:szCs w:val="16"/>
        </w:rPr>
        <w:footnoteRef/>
      </w:r>
      <w:r w:rsidRPr="001C1B82">
        <w:rPr>
          <w:szCs w:val="16"/>
        </w:rPr>
        <w:t xml:space="preserve"> This includes Ireland and Belgian data protection authorities. See “Data Protection Commission opens statutory inquiry into Google Ireland Limited”, Data Protection Commission of Ireland, 22 may 2019 </w:t>
      </w:r>
    </w:p>
    <w:p w:rsidR="00673732" w:rsidRPr="001C1B82">
      <w:pPr>
        <w:pStyle w:val="footnotedescription"/>
        <w:spacing w:line="238" w:lineRule="auto"/>
        <w:ind w:left="142"/>
        <w:rPr>
          <w:szCs w:val="16"/>
        </w:rPr>
      </w:pPr>
      <w:r w:rsidRPr="001C1B82">
        <w:rPr>
          <w:szCs w:val="16"/>
        </w:rPr>
        <w:t xml:space="preserve">(URL: </w:t>
      </w:r>
      <w:r>
        <w:fldChar w:fldCharType="begin"/>
      </w:r>
      <w:r>
        <w:instrText xml:space="preserve"> HYPERLINK "https://www.dataprotection.ie/en/news-media/press-releases/data-protection-commission-opens-statutory-inquiry-google-ireland-limited" </w:instrText>
      </w:r>
      <w:r>
        <w:fldChar w:fldCharType="separate"/>
      </w:r>
      <w:r w:rsidRPr="001C1B82">
        <w:rPr>
          <w:szCs w:val="16"/>
        </w:rPr>
        <w:t xml:space="preserve">https://www.dataprotection.ie/en/news-media/press- </w:t>
      </w:r>
      <w:r>
        <w:fldChar w:fldCharType="end"/>
      </w:r>
      <w:r>
        <w:fldChar w:fldCharType="begin"/>
      </w:r>
      <w:r>
        <w:instrText xml:space="preserve"> HYPERLINK "https://www.dataprotection.ie/en/news-media/press-releases/data-protection-commission-opens-statutory-inquiry-google-ireland-limited" </w:instrText>
      </w:r>
      <w:r>
        <w:fldChar w:fldCharType="separate"/>
      </w:r>
      <w:r w:rsidRPr="001C1B82">
        <w:rPr>
          <w:szCs w:val="16"/>
        </w:rPr>
        <w:t>releases/data-protection-commission-opens-statutory-inquiry-google-ireland-limited)</w:t>
      </w:r>
      <w:r>
        <w:fldChar w:fldCharType="end"/>
      </w:r>
      <w:r w:rsidRPr="001C1B82">
        <w:rPr>
          <w:szCs w:val="16"/>
        </w:rPr>
        <w:t xml:space="preserve">; and letter from Peter Van den Eynde of the Gegevensbeschermingsautoriteit to Jef Ausloos and Pierre Dewitte, 8 October 2019.  </w:t>
      </w:r>
    </w:p>
  </w:footnote>
  <w:footnote w:id="465">
    <w:p w:rsidR="00673732" w:rsidRPr="001C1B82">
      <w:pPr>
        <w:pStyle w:val="footnotedescription"/>
        <w:spacing w:after="2" w:line="255" w:lineRule="auto"/>
        <w:ind w:right="309"/>
        <w:rPr>
          <w:szCs w:val="16"/>
        </w:rPr>
      </w:pPr>
      <w:r w:rsidRPr="001C1B82">
        <w:rPr>
          <w:rStyle w:val="footnotemark"/>
          <w:szCs w:val="16"/>
        </w:rPr>
        <w:footnoteRef/>
      </w:r>
      <w:r w:rsidRPr="001C1B82">
        <w:rPr>
          <w:rFonts w:eastAsia="Calibri" w:cs="Calibri"/>
          <w:szCs w:val="16"/>
        </w:rPr>
        <w:t xml:space="preserve"> Our work, including blogs, papers and submissions to Parliamentary Committees and consultations, can be found here: </w:t>
      </w:r>
      <w:r>
        <w:fldChar w:fldCharType="begin"/>
      </w:r>
      <w:r>
        <w:instrText xml:space="preserve"> HYPERLINK "https://www.carnegieuktrust.org.uk/project/harm-reduction-in-social-media/" </w:instrText>
      </w:r>
      <w:r>
        <w:fldChar w:fldCharType="separate"/>
      </w:r>
      <w:r w:rsidRPr="001C1B82">
        <w:rPr>
          <w:rFonts w:eastAsia="Calibri" w:cs="Calibri"/>
          <w:color w:val="0000FF"/>
          <w:szCs w:val="16"/>
          <w:u w:val="single" w:color="0000FF"/>
        </w:rPr>
        <w:t>https://www.carnegieuktrust.org.uk/project/harm-reduction-in-social-media/</w:t>
      </w:r>
      <w:r>
        <w:fldChar w:fldCharType="end"/>
      </w:r>
      <w:r>
        <w:fldChar w:fldCharType="begin"/>
      </w:r>
      <w:r>
        <w:instrText xml:space="preserve"> HYPERLINK "https://www.carnegieuktrust.org.uk/project/harm-reduction-in-social-media/" </w:instrText>
      </w:r>
      <w:r>
        <w:fldChar w:fldCharType="separate"/>
      </w:r>
      <w:r w:rsidRPr="001C1B82">
        <w:rPr>
          <w:rFonts w:eastAsia="Calibri" w:cs="Calibri"/>
          <w:szCs w:val="16"/>
        </w:rPr>
        <w:t xml:space="preserve"> </w:t>
      </w:r>
      <w:r>
        <w:fldChar w:fldCharType="end"/>
      </w:r>
      <w:r w:rsidRPr="001C1B82">
        <w:rPr>
          <w:rFonts w:eastAsia="Calibri" w:cs="Calibri"/>
          <w:szCs w:val="16"/>
          <w:vertAlign w:val="superscript"/>
        </w:rPr>
        <w:t>2</w:t>
      </w:r>
      <w:r>
        <w:fldChar w:fldCharType="begin"/>
      </w:r>
      <w:r>
        <w:instrText xml:space="preserve"> HYPERLINK "https://www.parliament.uk/business/committees/committees-a-z/lords-select/communications-committee/inquiries/parliament-2017/the-internet-to-regulate-or-not-to-regulate/" </w:instrText>
      </w:r>
      <w:r>
        <w:fldChar w:fldCharType="separate"/>
      </w:r>
      <w:r w:rsidRPr="001C1B82">
        <w:rPr>
          <w:rFonts w:eastAsia="Calibri" w:cs="Calibri"/>
          <w:szCs w:val="16"/>
        </w:rPr>
        <w:t xml:space="preserve"> </w:t>
      </w:r>
      <w:r>
        <w:fldChar w:fldCharType="end"/>
      </w:r>
      <w:r>
        <w:fldChar w:fldCharType="begin"/>
      </w:r>
      <w:r>
        <w:instrText xml:space="preserve"> HYPERLINK "https://www.parliament.uk/business/committees/committees-a-z/lords-select/communications-committee/inquiries/parliament-2017/the-internet-to-regulate-or-not-to-regulate/" </w:instrText>
      </w:r>
      <w:r>
        <w:fldChar w:fldCharType="separate"/>
      </w:r>
      <w:r w:rsidRPr="001C1B82">
        <w:rPr>
          <w:rFonts w:eastAsia="Calibri" w:cs="Calibri"/>
          <w:color w:val="0000FF"/>
          <w:szCs w:val="16"/>
          <w:u w:val="single" w:color="0000FF"/>
        </w:rPr>
        <w:t>https://www.parliament.uk/business/committees/committees-a-z/lords-select/communications</w:t>
      </w:r>
      <w:r>
        <w:fldChar w:fldCharType="end"/>
      </w:r>
      <w:r>
        <w:fldChar w:fldCharType="begin"/>
      </w:r>
      <w:r>
        <w:instrText xml:space="preserve"> HYPERLINK "https://www.parliament.uk/business/committees/committees-a-z/lords-select/communications-committee/inquiries/parliament-2017/the-internet-to-regulate-or-not-to-regulate/" </w:instrText>
      </w:r>
      <w:r>
        <w:fldChar w:fldCharType="separate"/>
      </w:r>
      <w:r w:rsidRPr="001C1B82">
        <w:rPr>
          <w:rFonts w:eastAsia="Calibri" w:cs="Calibri"/>
          <w:color w:val="0000FF"/>
          <w:szCs w:val="16"/>
          <w:u w:val="single" w:color="0000FF"/>
        </w:rPr>
        <w:t>committee/inquiries/parliament-2017/the-internet-to-regulate-or-not-to-regulate/</w:t>
      </w:r>
      <w:r>
        <w:fldChar w:fldCharType="end"/>
      </w:r>
      <w:r>
        <w:fldChar w:fldCharType="begin"/>
      </w:r>
      <w:r>
        <w:instrText xml:space="preserve"> HYPERLINK "https://www.parliament.uk/business/committees/committees-a-z/lords-select/communications-committee/inquiries/parliament-2017/the-internet-to-regulate-or-not-to-regulate/" </w:instrText>
      </w:r>
      <w:r>
        <w:fldChar w:fldCharType="separate"/>
      </w:r>
      <w:r w:rsidRPr="001C1B82">
        <w:rPr>
          <w:rFonts w:eastAsia="Calibri" w:cs="Calibri"/>
          <w:szCs w:val="16"/>
        </w:rPr>
        <w:t xml:space="preserve"> </w:t>
      </w:r>
      <w:r>
        <w:fldChar w:fldCharType="end"/>
      </w:r>
      <w:r w:rsidRPr="001C1B82">
        <w:rPr>
          <w:rFonts w:eastAsia="Calibri" w:cs="Calibri"/>
          <w:szCs w:val="16"/>
          <w:vertAlign w:val="superscript"/>
        </w:rPr>
        <w:t>3</w:t>
      </w:r>
      <w:r>
        <w:fldChar w:fldCharType="begin"/>
      </w:r>
      <w:r>
        <w:instrText xml:space="preserve"> HYPERLINK "https://publications.parliament.uk/pa/cm201719/cmselect/cmsctech/822/82202.htm" </w:instrText>
      </w:r>
      <w:r>
        <w:fldChar w:fldCharType="separate"/>
      </w:r>
      <w:r w:rsidRPr="001C1B82">
        <w:rPr>
          <w:rFonts w:eastAsia="Calibri" w:cs="Calibri"/>
          <w:szCs w:val="16"/>
        </w:rPr>
        <w:t xml:space="preserve"> </w:t>
      </w:r>
      <w:r>
        <w:fldChar w:fldCharType="end"/>
      </w:r>
      <w:r>
        <w:fldChar w:fldCharType="begin"/>
      </w:r>
      <w:r>
        <w:instrText xml:space="preserve"> HYPERLINK "https://publications.parliament.uk/pa/cm201719/cmselect/cmsctech/822/82202.htm" </w:instrText>
      </w:r>
      <w:r>
        <w:fldChar w:fldCharType="separate"/>
      </w:r>
      <w:r w:rsidRPr="001C1B82">
        <w:rPr>
          <w:rFonts w:eastAsia="Calibri" w:cs="Calibri"/>
          <w:color w:val="0000FF"/>
          <w:szCs w:val="16"/>
          <w:u w:val="single" w:color="0000FF"/>
        </w:rPr>
        <w:t>https://publications.parliament.uk/pa/cm201719/cmselect/cmsctech/822/82202.htm</w:t>
      </w:r>
      <w:r>
        <w:fldChar w:fldCharType="end"/>
      </w:r>
      <w:r>
        <w:fldChar w:fldCharType="begin"/>
      </w:r>
      <w:r>
        <w:instrText xml:space="preserve"> HYPERLINK "https://publications.parliament.uk/pa/cm201719/cmselect/cmsctech/822/82202.htm" </w:instrText>
      </w:r>
      <w:r>
        <w:fldChar w:fldCharType="separate"/>
      </w:r>
      <w:r w:rsidRPr="001C1B82">
        <w:rPr>
          <w:rFonts w:eastAsia="Calibri" w:cs="Calibri"/>
          <w:szCs w:val="16"/>
        </w:rPr>
        <w:t xml:space="preserve"> </w:t>
      </w:r>
      <w:r>
        <w:fldChar w:fldCharType="end"/>
      </w:r>
    </w:p>
  </w:footnote>
  <w:footnote w:id="466">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"https://www.gov.uk/government/consultations/online-harms-white-paper" </w:instrText>
      </w:r>
      <w:r>
        <w:fldChar w:fldCharType="separate"/>
      </w:r>
      <w:r w:rsidRPr="001C1B82">
        <w:rPr>
          <w:rFonts w:eastAsia="Calibri" w:cs="Calibri"/>
          <w:color w:val="0000FF"/>
          <w:szCs w:val="16"/>
          <w:u w:val="single" w:color="0000FF"/>
        </w:rPr>
        <w:t>https://www.gov.uk/government/consultations/online-harms-white-paper</w:t>
      </w:r>
      <w:r>
        <w:fldChar w:fldCharType="end"/>
      </w:r>
      <w:r>
        <w:fldChar w:fldCharType="begin"/>
      </w:r>
      <w:r>
        <w:instrText xml:space="preserve"> HYPERLINK "https://www.gov.uk/government/consultations/online-harms-white-paper" </w:instrText>
      </w:r>
      <w:r>
        <w:fldChar w:fldCharType="separate"/>
      </w:r>
      <w:r w:rsidRPr="001C1B82">
        <w:rPr>
          <w:rFonts w:eastAsia="Calibri" w:cs="Calibri"/>
          <w:szCs w:val="16"/>
        </w:rPr>
        <w:t xml:space="preserve"> </w:t>
      </w:r>
      <w:r>
        <w:fldChar w:fldCharType="end"/>
      </w:r>
    </w:p>
  </w:footnote>
  <w:footnote w:id="467">
    <w:p w:rsidR="00673732" w:rsidRPr="001C1B82">
      <w:pPr>
        <w:pStyle w:val="footnotedescription"/>
        <w:spacing w:line="258" w:lineRule="auto"/>
        <w:ind w:right="210"/>
        <w:rPr>
          <w:szCs w:val="16"/>
        </w:rPr>
      </w:pPr>
      <w:r w:rsidRPr="001C1B82">
        <w:rPr>
          <w:rStyle w:val="footnotemark"/>
          <w:szCs w:val="16"/>
        </w:rPr>
        <w:footnoteRef/>
      </w:r>
      <w:r w:rsidRPr="001C1B82">
        <w:rPr>
          <w:szCs w:val="16"/>
        </w:rPr>
        <w:t xml:space="preserve"> </w:t>
      </w:r>
      <w:r>
        <w:fldChar w:fldCharType="begin"/>
      </w:r>
      <w:r>
        <w:instrText xml:space="preserve"> HYPERLINK "http://www.iicom.org/images/iic/themes/news/Reports/French-social-media-framework---May-2019.pdf" </w:instrText>
      </w:r>
      <w:r>
        <w:fldChar w:fldCharType="separate"/>
      </w:r>
      <w:r w:rsidRPr="001C1B82">
        <w:rPr>
          <w:rFonts w:eastAsia="Calibri" w:cs="Calibri"/>
          <w:color w:val="0000FF"/>
          <w:szCs w:val="16"/>
          <w:u w:val="single" w:color="0000FF"/>
        </w:rPr>
        <w:t>http://www.iicom.org/images/iic/themes/news/Reports/French-social-media-framework---May-2019.pdf</w:t>
      </w:r>
      <w:r>
        <w:fldChar w:fldCharType="end"/>
      </w:r>
      <w:r>
        <w:fldChar w:fldCharType="begin"/>
      </w:r>
      <w:r>
        <w:instrText xml:space="preserve"> HYPERLINK "http://www.iicom.org/images/iic/themes/news/Reports/French-social-media-framework---May-2019.pdf" </w:instrText>
      </w:r>
      <w:r>
        <w:fldChar w:fldCharType="separate"/>
      </w:r>
      <w:r w:rsidRPr="001C1B82">
        <w:rPr>
          <w:rFonts w:eastAsia="Calibri" w:cs="Calibri"/>
          <w:szCs w:val="16"/>
        </w:rPr>
        <w:t xml:space="preserve"> </w:t>
      </w:r>
      <w:r>
        <w:fldChar w:fldCharType="end"/>
      </w:r>
      <w:r w:rsidRPr="001C1B82">
        <w:rPr>
          <w:rFonts w:eastAsia="Calibri" w:cs="Calibri"/>
          <w:szCs w:val="16"/>
          <w:vertAlign w:val="superscript"/>
        </w:rPr>
        <w:t>6</w:t>
      </w:r>
      <w:r>
        <w:fldChar w:fldCharType="begin"/>
      </w:r>
      <w:r>
        <w:instrText xml:space="preserve"> HYPERLINK "https://d1ssu070pg2v9i.cloudfront.net/pex/carnegie_uk_trust/2019/04/08091652/Online-harm-reduction-a-statutory-duty-of-care-and-regulator.pdf" </w:instrText>
      </w:r>
      <w:r>
        <w:fldChar w:fldCharType="separate"/>
      </w:r>
      <w:r w:rsidRPr="001C1B82">
        <w:rPr>
          <w:rFonts w:eastAsia="Calibri" w:cs="Calibri"/>
          <w:szCs w:val="16"/>
        </w:rPr>
        <w:t xml:space="preserve"> </w:t>
      </w:r>
      <w:r>
        <w:fldChar w:fldCharType="end"/>
      </w:r>
      <w:r>
        <w:fldChar w:fldCharType="begin"/>
      </w:r>
      <w:r>
        <w:instrText xml:space="preserve"> HYPERLINK "https://d1ssu070pg2v9i.cloudfront.net/pex/carnegie_uk_trust/2019/04/08091652/Online-harm-reduction-a-statutory-duty-of-care-and-regulator.pdf" </w:instrText>
      </w:r>
      <w:r>
        <w:fldChar w:fldCharType="separate"/>
      </w:r>
      <w:r w:rsidRPr="001C1B82">
        <w:rPr>
          <w:rFonts w:eastAsia="Calibri" w:cs="Calibri"/>
          <w:color w:val="0000FF"/>
          <w:szCs w:val="16"/>
          <w:u w:val="single" w:color="0000FF"/>
        </w:rPr>
        <w:t>https://d1ssu070pg2v9i.cloudfront.net/pex/carnegie_uk_trust/2019/04/08091652/Online-harm-reduction</w:t>
      </w:r>
      <w:r>
        <w:fldChar w:fldCharType="end"/>
      </w:r>
      <w:r>
        <w:fldChar w:fldCharType="begin"/>
      </w:r>
      <w:r>
        <w:instrText xml:space="preserve"> HYPERLINK "https://d1ssu070pg2v9i.cloudfront.net/pex/carnegie_uk_trust/2019/04/08091652/Online-harm-reduction-a-statutory-duty-of-care-and-regulator.pdf" </w:instrText>
      </w:r>
      <w:r>
        <w:fldChar w:fldCharType="separate"/>
      </w:r>
      <w:r w:rsidRPr="001C1B82">
        <w:rPr>
          <w:rFonts w:eastAsia="Calibri" w:cs="Calibri"/>
          <w:color w:val="0000FF"/>
          <w:szCs w:val="16"/>
          <w:u w:val="single" w:color="0000FF"/>
        </w:rPr>
        <w:t>a-statutory-duty-of-care-and-regulator.pdf</w:t>
      </w:r>
      <w:r>
        <w:fldChar w:fldCharType="end"/>
      </w:r>
      <w:r>
        <w:fldChar w:fldCharType="begin"/>
      </w:r>
      <w:r>
        <w:instrText xml:space="preserve"> HYPERLINK "https://d1ssu070pg2v9i.cloudfront.net/pex/carnegie_uk_trust/2019/04/08091652/Online-harm-reduction-a-statutory-duty-of-care-and-regulator.pdf" </w:instrText>
      </w:r>
      <w:r>
        <w:fldChar w:fldCharType="separate"/>
      </w:r>
      <w:r w:rsidRPr="001C1B82">
        <w:rPr>
          <w:rFonts w:eastAsia="Calibri" w:cs="Calibri"/>
          <w:szCs w:val="16"/>
        </w:rPr>
        <w:t xml:space="preserve"> </w:t>
      </w:r>
      <w:r>
        <w:fldChar w:fldCharType="end"/>
      </w:r>
    </w:p>
  </w:footnote>
  <w:footnote w:id="468">
    <w:p w:rsidR="00673732" w:rsidRPr="001C1B82">
      <w:pPr>
        <w:pStyle w:val="footnotedescription"/>
        <w:spacing w:after="243"/>
        <w:rPr>
          <w:szCs w:val="16"/>
        </w:rPr>
      </w:pPr>
      <w:r w:rsidRPr="001C1B82">
        <w:rPr>
          <w:rStyle w:val="footnotemark"/>
          <w:szCs w:val="16"/>
        </w:rPr>
        <w:footnoteRef/>
      </w:r>
      <w:r w:rsidRPr="001C1B82">
        <w:rPr>
          <w:szCs w:val="16"/>
        </w:rPr>
        <w:t xml:space="preserve"> </w:t>
      </w:r>
      <w:r>
        <w:fldChar w:fldCharType="begin"/>
      </w:r>
      <w:r>
        <w:instrText xml:space="preserve"> HYPERLINK "https://d1ssu070pg2v9i.cloudfront.net/pex/carnegie_uk_trust/2019/07/01124836/Joint-submission-Dem-OHWP-final.pdf" </w:instrText>
      </w:r>
      <w:r>
        <w:fldChar w:fldCharType="separate"/>
      </w:r>
      <w:r w:rsidRPr="001C1B82">
        <w:rPr>
          <w:rFonts w:eastAsia="Calibri" w:cs="Calibri"/>
          <w:color w:val="0000FF"/>
          <w:szCs w:val="16"/>
          <w:u w:val="single" w:color="0000FF"/>
        </w:rPr>
        <w:t>https://d1ssu070pg2v9i.cloudfront.net/pex/carnegie_uk_trust/2019/07/01124836/Joint-submission-Dem</w:t>
      </w:r>
      <w:r>
        <w:fldChar w:fldCharType="end"/>
      </w:r>
      <w:r>
        <w:fldChar w:fldCharType="begin"/>
      </w:r>
      <w:r>
        <w:instrText xml:space="preserve"> HYPERLINK "https://d1ssu070pg2v9i.cloudfront.net/pex/carnegie_uk_trust/2019/07/01124836/Joint-submission-Dem-OHWP-final.pdf" </w:instrText>
      </w:r>
      <w:r>
        <w:fldChar w:fldCharType="separate"/>
      </w:r>
      <w:r w:rsidRPr="001C1B82">
        <w:rPr>
          <w:rFonts w:eastAsia="Calibri" w:cs="Calibri"/>
          <w:color w:val="0000FF"/>
          <w:szCs w:val="16"/>
          <w:u w:val="single" w:color="0000FF"/>
        </w:rPr>
        <w:t>OHWP-final.pdf</w:t>
      </w:r>
      <w:r>
        <w:fldChar w:fldCharType="end"/>
      </w:r>
      <w:r>
        <w:fldChar w:fldCharType="begin"/>
      </w:r>
      <w:r>
        <w:instrText xml:space="preserve"> HYPERLINK "https://d1ssu070pg2v9i.cloudfront.net/pex/carnegie_uk_trust/2019/07/01124836/Joint-submission-Dem-OHWP-final.pdf" </w:instrText>
      </w:r>
      <w:r>
        <w:fldChar w:fldCharType="separate"/>
      </w:r>
      <w:r w:rsidRPr="001C1B82">
        <w:rPr>
          <w:rFonts w:eastAsia="Calibri" w:cs="Calibri"/>
          <w:szCs w:val="16"/>
        </w:rPr>
        <w:t xml:space="preserve"> </w:t>
      </w:r>
      <w:r>
        <w:fldChar w:fldCharType="end"/>
      </w:r>
    </w:p>
  </w:footnote>
  <w:footnote w:id="469">
    <w:p w:rsidR="00673732" w:rsidRPr="001C1B82">
      <w:pPr>
        <w:pStyle w:val="footnotedescription"/>
        <w:spacing w:line="277" w:lineRule="auto"/>
        <w:ind w:right="47"/>
        <w:rPr>
          <w:szCs w:val="16"/>
        </w:rPr>
      </w:pPr>
      <w:r w:rsidRPr="001C1B82">
        <w:rPr>
          <w:rStyle w:val="footnotemark"/>
          <w:szCs w:val="16"/>
        </w:rPr>
        <w:footnoteRef/>
      </w:r>
      <w:r w:rsidRPr="001C1B82">
        <w:rPr>
          <w:rFonts w:eastAsia="Calibri" w:cs="Calibri"/>
          <w:szCs w:val="16"/>
        </w:rPr>
        <w:t xml:space="preserve"> See for example work by the Behavioural Insight Team (April 2019), which looked at eg, how search results on mobiles influence our choices, how little we engage with online privacy notices and impacts on attention </w:t>
      </w:r>
    </w:p>
  </w:footnote>
  <w:footnote w:id="470">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"https://publications.parliament.uk/pa/jt201919/jtselect/jtrights/37/3702.htm" </w:instrText>
      </w:r>
      <w:r>
        <w:fldChar w:fldCharType="separate"/>
      </w:r>
      <w:r w:rsidRPr="001C1B82">
        <w:rPr>
          <w:rFonts w:eastAsia="Calibri" w:cs="Calibri"/>
          <w:color w:val="0000FF"/>
          <w:szCs w:val="16"/>
          <w:u w:val="single" w:color="0000FF"/>
        </w:rPr>
        <w:t>https://publications.parliament.uk/pa/jt201919/jtselect/jtrights/37/3702.htm</w:t>
      </w:r>
      <w:r>
        <w:fldChar w:fldCharType="end"/>
      </w:r>
      <w:r>
        <w:fldChar w:fldCharType="begin"/>
      </w:r>
      <w:r>
        <w:instrText xml:space="preserve"> HYPERLINK "https://publications.parliament.uk/pa/jt201919/jtselect/jtrights/37/3702.htm" </w:instrText>
      </w:r>
      <w:r>
        <w:fldChar w:fldCharType="separate"/>
      </w:r>
      <w:r w:rsidRPr="001C1B82">
        <w:rPr>
          <w:rFonts w:eastAsia="Calibri" w:cs="Calibri"/>
          <w:szCs w:val="16"/>
        </w:rPr>
        <w:t xml:space="preserve"> </w:t>
      </w:r>
      <w:r>
        <w:fldChar w:fldCharType="end"/>
      </w:r>
    </w:p>
  </w:footnote>
  <w:footnote w:id="471">
    <w:p w:rsidR="00673732" w:rsidRPr="001C1B82">
      <w:pPr>
        <w:pStyle w:val="footnotedescription"/>
        <w:spacing w:line="260" w:lineRule="auto"/>
        <w:rPr>
          <w:szCs w:val="16"/>
        </w:rPr>
      </w:pPr>
      <w:r w:rsidRPr="001C1B82">
        <w:rPr>
          <w:rStyle w:val="footnotemark"/>
          <w:szCs w:val="16"/>
        </w:rPr>
        <w:footnoteRef/>
      </w:r>
      <w:r w:rsidRPr="001C1B82">
        <w:rPr>
          <w:szCs w:val="16"/>
        </w:rPr>
        <w:t xml:space="preserve"> </w:t>
      </w:r>
      <w:r>
        <w:fldChar w:fldCharType="begin"/>
      </w:r>
      <w:r>
        <w:instrText xml:space="preserve"> HYPERLINK "https://www.electoralcommission.org.uk/who-we-are-and-what-we-do/changing-electoral-law/transparent-digital-campaigning" </w:instrText>
      </w:r>
      <w:r>
        <w:fldChar w:fldCharType="separate"/>
      </w:r>
      <w:r w:rsidRPr="001C1B82">
        <w:rPr>
          <w:rFonts w:eastAsia="Calibri" w:cs="Calibri"/>
          <w:color w:val="0000FF"/>
          <w:szCs w:val="16"/>
          <w:u w:val="single" w:color="0000FF"/>
        </w:rPr>
        <w:t>https://www.electoralcommission.org.uk/who-we-are-and-what-we-do/changing-electoral</w:t>
      </w:r>
      <w:r>
        <w:fldChar w:fldCharType="end"/>
      </w:r>
      <w:r>
        <w:fldChar w:fldCharType="begin"/>
      </w:r>
      <w:r>
        <w:instrText xml:space="preserve"> HYPERLINK "https://www.electoralcommission.org.uk/who-we-are-and-what-we-do/changing-electoral-law/transparent-digital-campaigning" </w:instrText>
      </w:r>
      <w:r>
        <w:fldChar w:fldCharType="separate"/>
      </w:r>
      <w:r w:rsidRPr="001C1B82">
        <w:rPr>
          <w:rFonts w:eastAsia="Calibri" w:cs="Calibri"/>
          <w:color w:val="0000FF"/>
          <w:szCs w:val="16"/>
          <w:u w:val="single" w:color="0000FF"/>
        </w:rPr>
        <w:t>law/transparent-digital-campaigning</w:t>
      </w:r>
      <w:r>
        <w:fldChar w:fldCharType="end"/>
      </w:r>
      <w:r>
        <w:fldChar w:fldCharType="begin"/>
      </w:r>
      <w:r>
        <w:instrText xml:space="preserve"> HYPERLINK "https://www.electoralcommission.org.uk/who-we-are-and-what-we-do/changing-electoral-law/transparent-digital-campaigning" </w:instrText>
      </w:r>
      <w:r>
        <w:fldChar w:fldCharType="separate"/>
      </w:r>
      <w:r w:rsidRPr="001C1B82">
        <w:rPr>
          <w:rFonts w:eastAsia="Calibri" w:cs="Calibri"/>
          <w:szCs w:val="16"/>
        </w:rPr>
        <w:t xml:space="preserve"> </w:t>
      </w:r>
      <w:r>
        <w:fldChar w:fldCharType="end"/>
      </w:r>
    </w:p>
  </w:footnote>
  <w:footnote w:id="472">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"https://ustr.gov/sites/default/files/files/agreements/FTA/USMCA/Text/19_Digital_Trade.pdf" </w:instrText>
      </w:r>
      <w:r>
        <w:fldChar w:fldCharType="separate"/>
      </w:r>
      <w:r w:rsidRPr="001C1B82">
        <w:rPr>
          <w:rFonts w:eastAsia="Calibri" w:cs="Calibri"/>
          <w:color w:val="0000FF"/>
          <w:szCs w:val="16"/>
          <w:u w:val="single" w:color="0000FF"/>
        </w:rPr>
        <w:t>https://ustr.gov/sites/default/files/files/agreements/FTA/USMCA/Text/19_Digital_Trade.pdf</w:t>
      </w:r>
      <w:r>
        <w:fldChar w:fldCharType="end"/>
      </w:r>
      <w:r>
        <w:fldChar w:fldCharType="begin"/>
      </w:r>
      <w:r>
        <w:instrText xml:space="preserve"> HYPERLINK "https://ustr.gov/sites/default/files/files/agreements/FTA/USMCA/Text/19_Digital_Trade.pdf" </w:instrText>
      </w:r>
      <w:r>
        <w:fldChar w:fldCharType="separate"/>
      </w:r>
      <w:r w:rsidRPr="001C1B82">
        <w:rPr>
          <w:rFonts w:eastAsia="Calibri" w:cs="Calibri"/>
          <w:szCs w:val="16"/>
        </w:rPr>
        <w:t xml:space="preserve"> </w:t>
      </w:r>
      <w:r>
        <w:fldChar w:fldCharType="end"/>
      </w:r>
    </w:p>
  </w:footnote>
  <w:footnote w:id="473">
    <w:p w:rsidR="00673732" w:rsidRPr="001C1B82">
      <w:pPr>
        <w:pStyle w:val="footnotedescription"/>
        <w:spacing w:after="1"/>
        <w:rPr>
          <w:szCs w:val="16"/>
        </w:rPr>
      </w:pPr>
      <w:r w:rsidRPr="001C1B82">
        <w:rPr>
          <w:rStyle w:val="footnotemark"/>
          <w:szCs w:val="16"/>
        </w:rPr>
        <w:footnoteRef/>
      </w:r>
      <w:r w:rsidRPr="001C1B82">
        <w:rPr>
          <w:szCs w:val="16"/>
        </w:rPr>
        <w:t xml:space="preserve"> </w:t>
      </w:r>
      <w:r>
        <w:fldChar w:fldCharType="begin"/>
      </w:r>
      <w:r>
        <w:instrText xml:space="preserve"> HYPERLINK "https://ec.europa.eu/commission/sites/beta-political/files/political-guidelines-next-commission_en.pdf" </w:instrText>
      </w:r>
      <w:r>
        <w:fldChar w:fldCharType="separate"/>
      </w:r>
      <w:r w:rsidRPr="001C1B82">
        <w:rPr>
          <w:rFonts w:eastAsia="Calibri" w:cs="Calibri"/>
          <w:color w:val="0000FF"/>
          <w:szCs w:val="16"/>
          <w:u w:val="single" w:color="0000FF"/>
        </w:rPr>
        <w:t>https://ec.europa.eu/commission/sites/beta-political/files/political-guidelines-next-commission_en.pdf</w:t>
      </w:r>
      <w:r>
        <w:fldChar w:fldCharType="end"/>
      </w:r>
      <w:r>
        <w:fldChar w:fldCharType="begin"/>
      </w:r>
      <w:r>
        <w:instrText xml:space="preserve"> HYPERLINK "https://ec.europa.eu/commission/sites/beta-political/files/political-guidelines-next-commission_en.pdf" </w:instrText>
      </w:r>
      <w:r>
        <w:fldChar w:fldCharType="separate"/>
      </w:r>
      <w:r w:rsidRPr="001C1B82">
        <w:rPr>
          <w:rFonts w:eastAsia="Calibri" w:cs="Calibri"/>
          <w:szCs w:val="16"/>
        </w:rPr>
        <w:t xml:space="preserve"> </w:t>
      </w:r>
      <w:r>
        <w:fldChar w:fldCharType="end"/>
      </w:r>
    </w:p>
  </w:footnote>
  <w:footnote w:id="474">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"https://www.france24.com/en/20190709-french-lower-parliament-passes-online-hate-speech-law" </w:instrText>
      </w:r>
      <w:r>
        <w:fldChar w:fldCharType="separate"/>
      </w:r>
      <w:r w:rsidRPr="001C1B82">
        <w:rPr>
          <w:rFonts w:eastAsia="Calibri" w:cs="Calibri"/>
          <w:color w:val="0000FF"/>
          <w:szCs w:val="16"/>
          <w:u w:val="single" w:color="0000FF"/>
        </w:rPr>
        <w:t>https://www.france24.com/en/20190709-french-lower-parliament-passes-online-hate-speech-law</w:t>
      </w:r>
      <w:r>
        <w:fldChar w:fldCharType="end"/>
      </w:r>
      <w:r>
        <w:fldChar w:fldCharType="begin"/>
      </w:r>
      <w:r>
        <w:instrText xml:space="preserve"> HYPERLINK "https://www.france24.com/en/20190709-french-lower-parliament-passes-online-hate-speech-law" </w:instrText>
      </w:r>
      <w:r>
        <w:fldChar w:fldCharType="separate"/>
      </w:r>
      <w:r w:rsidRPr="001C1B82">
        <w:rPr>
          <w:rFonts w:eastAsia="Calibri" w:cs="Calibri"/>
          <w:szCs w:val="16"/>
        </w:rPr>
        <w:t xml:space="preserve"> </w:t>
      </w:r>
      <w:r>
        <w:fldChar w:fldCharType="end"/>
      </w:r>
    </w:p>
  </w:footnote>
  <w:footnote w:id="475">
    <w:p w:rsidR="00673732" w:rsidRPr="001C1B82">
      <w:pPr>
        <w:pStyle w:val="footnotedescription"/>
        <w:spacing w:after="1"/>
        <w:rPr>
          <w:szCs w:val="16"/>
        </w:rPr>
      </w:pPr>
      <w:r w:rsidRPr="001C1B82">
        <w:rPr>
          <w:rStyle w:val="footnotemark"/>
          <w:szCs w:val="16"/>
        </w:rPr>
        <w:footnoteRef/>
      </w:r>
      <w:r w:rsidRPr="001C1B82">
        <w:rPr>
          <w:szCs w:val="16"/>
        </w:rPr>
        <w:t xml:space="preserve"> </w:t>
      </w:r>
      <w:r>
        <w:fldChar w:fldCharType="begin"/>
      </w:r>
      <w:r>
        <w:instrText xml:space="preserve"> HYPERLINK "https://www.dccae.gov.ie/en-ie/communications/consultations/Pages/Regulation-of-Harmful-Online-Content-and-the-Implementation-of-the-revised-Audiovisual-Media-Services-Directive.aspx" </w:instrText>
      </w:r>
      <w:r>
        <w:fldChar w:fldCharType="separate"/>
      </w:r>
      <w:r w:rsidRPr="001C1B82">
        <w:rPr>
          <w:rFonts w:eastAsia="Calibri" w:cs="Calibri"/>
          <w:color w:val="0000FF"/>
          <w:szCs w:val="16"/>
          <w:u w:val="single" w:color="0000FF"/>
        </w:rPr>
        <w:t>https://www.dccae.gov.ie/en-ie/communications/consultations/Pages/Regulation-of-Harmful-Online-</w:t>
      </w:r>
      <w:r>
        <w:fldChar w:fldCharType="end"/>
      </w:r>
    </w:p>
    <w:p w:rsidR="00673732" w:rsidRPr="001C1B82">
      <w:pPr>
        <w:pStyle w:val="footnotedescription"/>
        <w:rPr>
          <w:szCs w:val="16"/>
        </w:rPr>
      </w:pPr>
      <w:r>
        <w:fldChar w:fldCharType="begin"/>
      </w:r>
      <w:r>
        <w:instrText xml:space="preserve"> HYPERLINK "https://www.dccae.gov.ie/en-ie/communications/consultations/Pages/Regulation-of-Harmful-Online-Content-and-the-Implementation-of-the-revised-Audiovisual-Media-Services-Directive.aspx" </w:instrText>
      </w:r>
      <w:r>
        <w:fldChar w:fldCharType="separate"/>
      </w:r>
      <w:r w:rsidRPr="001C1B82">
        <w:rPr>
          <w:rFonts w:eastAsia="Calibri" w:cs="Calibri"/>
          <w:color w:val="0000FF"/>
          <w:szCs w:val="16"/>
          <w:u w:val="single" w:color="0000FF"/>
        </w:rPr>
        <w:t>Content-and-the-Implementation-of-the-revised-Audiovisual-Media-Services-Directive.aspx</w:t>
      </w:r>
      <w:r>
        <w:fldChar w:fldCharType="end"/>
      </w:r>
      <w:r>
        <w:fldChar w:fldCharType="begin"/>
      </w:r>
      <w:r>
        <w:instrText xml:space="preserve"> HYPERLINK "https://www.dccae.gov.ie/en-ie/communications/consultations/Pages/Regulation-of-Harmful-Online-Content-and-the-Implementation-of-the-revised-Audiovisual-Media-Services-Directive.aspx" </w:instrText>
      </w:r>
      <w:r>
        <w:fldChar w:fldCharType="separate"/>
      </w:r>
      <w:r w:rsidRPr="001C1B82">
        <w:rPr>
          <w:rFonts w:eastAsia="Calibri" w:cs="Calibri"/>
          <w:szCs w:val="16"/>
        </w:rPr>
        <w:t xml:space="preserve"> </w:t>
      </w:r>
      <w:r>
        <w:fldChar w:fldCharType="end"/>
      </w:r>
    </w:p>
  </w:footnote>
  <w:footnote w:id="476">
    <w:p w:rsidR="00673732" w:rsidRPr="001C1B82">
      <w:pPr>
        <w:pStyle w:val="footnotedescription"/>
        <w:spacing w:line="260" w:lineRule="auto"/>
        <w:rPr>
          <w:szCs w:val="16"/>
        </w:rPr>
      </w:pPr>
      <w:r w:rsidRPr="001C1B82">
        <w:rPr>
          <w:rStyle w:val="footnotemark"/>
          <w:szCs w:val="16"/>
        </w:rPr>
        <w:footnoteRef/>
      </w:r>
      <w:r w:rsidRPr="001C1B82">
        <w:rPr>
          <w:szCs w:val="16"/>
        </w:rPr>
        <w:t xml:space="preserve"> </w:t>
      </w:r>
      <w:r>
        <w:fldChar w:fldCharType="begin"/>
      </w:r>
      <w:r>
        <w:instrText xml:space="preserve"> HYPERLINK "https://www.independent.ie/irish-news/politics/new-law-to-regulate-political-advertising-online-during-elections-38665046.html" </w:instrText>
      </w:r>
      <w:r>
        <w:fldChar w:fldCharType="separate"/>
      </w:r>
      <w:r w:rsidRPr="001C1B82">
        <w:rPr>
          <w:rFonts w:eastAsia="Calibri" w:cs="Calibri"/>
          <w:color w:val="0000FF"/>
          <w:szCs w:val="16"/>
          <w:u w:val="single" w:color="0000FF"/>
        </w:rPr>
        <w:t>https://www.independent.ie/irish-news/politics/new-law-to-regulate-political-advertising-online-during</w:t>
      </w:r>
      <w:r>
        <w:fldChar w:fldCharType="end"/>
      </w:r>
      <w:r>
        <w:fldChar w:fldCharType="begin"/>
      </w:r>
      <w:r>
        <w:instrText xml:space="preserve"> HYPERLINK "https://www.independent.ie/irish-news/politics/new-law-to-regulate-political-advertising-online-during-elections-38665046.html" </w:instrText>
      </w:r>
      <w:r>
        <w:fldChar w:fldCharType="separate"/>
      </w:r>
      <w:r w:rsidRPr="001C1B82">
        <w:rPr>
          <w:rFonts w:eastAsia="Calibri" w:cs="Calibri"/>
          <w:color w:val="0000FF"/>
          <w:szCs w:val="16"/>
          <w:u w:val="single" w:color="0000FF"/>
        </w:rPr>
        <w:t>elections-38665046.html</w:t>
      </w:r>
      <w:r>
        <w:fldChar w:fldCharType="end"/>
      </w:r>
      <w:r>
        <w:fldChar w:fldCharType="begin"/>
      </w:r>
      <w:r>
        <w:instrText xml:space="preserve"> HYPERLINK "https://www.independent.ie/irish-news/politics/new-law-to-regulate-political-advertising-online-during-elections-38665046.html" </w:instrText>
      </w:r>
      <w:r>
        <w:fldChar w:fldCharType="separate"/>
      </w:r>
      <w:r w:rsidRPr="001C1B82">
        <w:rPr>
          <w:rFonts w:eastAsia="Calibri" w:cs="Calibri"/>
          <w:szCs w:val="16"/>
        </w:rPr>
        <w:t xml:space="preserve"> </w:t>
      </w:r>
      <w:r>
        <w:fldChar w:fldCharType="end"/>
      </w:r>
    </w:p>
  </w:footnote>
  <w:footnote w:id="477">
    <w:p w:rsidR="00673732" w:rsidRPr="001C1B82">
      <w:pPr>
        <w:pStyle w:val="footnotedescription"/>
        <w:rPr>
          <w:szCs w:val="16"/>
        </w:rPr>
      </w:pPr>
      <w:r w:rsidRPr="001C1B82">
        <w:rPr>
          <w:rStyle w:val="footnotemark"/>
          <w:szCs w:val="16"/>
        </w:rPr>
        <w:footnoteRef/>
      </w:r>
      <w:r w:rsidRPr="001C1B82">
        <w:rPr>
          <w:szCs w:val="16"/>
        </w:rPr>
        <w:t xml:space="preserve"> </w:t>
      </w:r>
      <w:r>
        <w:fldChar w:fldCharType="begin"/>
      </w:r>
      <w:r>
        <w:instrText xml:space="preserve"> HYPERLINK "http://adcontrarian.blogspot.com/2017/09/will-facebook-ever-stop-bullshitting.html" </w:instrText>
      </w:r>
      <w:r>
        <w:fldChar w:fldCharType="separate"/>
      </w:r>
      <w:r w:rsidRPr="001C1B82">
        <w:rPr>
          <w:rFonts w:eastAsia="Calibri" w:cs="Calibri"/>
          <w:color w:val="0563C1"/>
          <w:szCs w:val="16"/>
          <w:u w:val="single" w:color="0563C1"/>
        </w:rPr>
        <w:t>http://adcontrarian.blogspot.com/2017/09/will-facebook-ever-stop-bullshitting.html</w:t>
      </w:r>
      <w:r>
        <w:fldChar w:fldCharType="end"/>
      </w:r>
      <w:r>
        <w:fldChar w:fldCharType="begin"/>
      </w:r>
      <w:r>
        <w:instrText xml:space="preserve"> HYPERLINK "http://adcontrarian.blogspot.com/2017/09/will-facebook-ever-stop-bullshitting.html" </w:instrText>
      </w:r>
      <w:r>
        <w:fldChar w:fldCharType="separate"/>
      </w:r>
      <w:r w:rsidRPr="001C1B82">
        <w:rPr>
          <w:rFonts w:eastAsia="Calibri" w:cs="Calibri"/>
          <w:szCs w:val="16"/>
        </w:rPr>
        <w:t xml:space="preserve"> </w:t>
      </w:r>
      <w:r>
        <w:fldChar w:fldCharType="end"/>
      </w:r>
      <w:r>
        <w:fldChar w:fldCharType="begin"/>
      </w:r>
      <w:r>
        <w:instrText xml:space="preserve"> HYPERLINK "http://adcontrarian.blogspot.com/2017/09/will-facebook-ever-stop-bullshitting.html" </w:instrText>
      </w:r>
      <w:r>
        <w:fldChar w:fldCharType="separate"/>
      </w:r>
      <w:r w:rsidRPr="001C1B82">
        <w:rPr>
          <w:rFonts w:eastAsia="Calibri" w:cs="Calibri"/>
          <w:szCs w:val="16"/>
        </w:rPr>
        <w:t xml:space="preserve"> </w:t>
      </w:r>
      <w:r>
        <w:fldChar w:fldCharType="end"/>
      </w:r>
    </w:p>
    <w:p w:rsidR="00673732" w:rsidRPr="001C1B82">
      <w:pPr>
        <w:pStyle w:val="footnotedescription"/>
        <w:spacing w:line="238" w:lineRule="auto"/>
        <w:rPr>
          <w:szCs w:val="16"/>
        </w:rPr>
      </w:pPr>
      <w:r w:rsidRPr="001C1B82">
        <w:rPr>
          <w:rFonts w:eastAsia="Calibri" w:cs="Calibri"/>
          <w:szCs w:val="16"/>
        </w:rPr>
        <w:t xml:space="preserve">3 See:  Children and advertising on social media websites, ASA Compliance Survey, July 2013 (https://www.asa.org.uk/asset/FA34B8D32E1B-4A14-892FCECFD09938EB/) </w:t>
      </w:r>
    </w:p>
  </w:footnote>
  <w:footnote w:id="478">
    <w:p w:rsidR="00673732" w:rsidRPr="001C1B82">
      <w:pPr>
        <w:pStyle w:val="footnotedescription"/>
        <w:spacing w:line="276" w:lineRule="auto"/>
        <w:jc w:val="both"/>
        <w:rPr>
          <w:szCs w:val="16"/>
        </w:rPr>
      </w:pPr>
      <w:r w:rsidRPr="001C1B82">
        <w:rPr>
          <w:rStyle w:val="footnotemark"/>
          <w:szCs w:val="16"/>
        </w:rPr>
        <w:footnoteRef/>
      </w:r>
      <w:r w:rsidRPr="001C1B82">
        <w:rPr>
          <w:szCs w:val="16"/>
        </w:rPr>
        <w:t xml:space="preserve"> We have outlined our concerns in evidence to the Public Administration and Constitutional Affairs Committee last year (</w:t>
      </w:r>
      <w:r>
        <w:fldChar w:fldCharType="begin"/>
      </w:r>
      <w:r>
        <w:instrText xml:space="preserve"> HYPERLINK "http://data.parliament.uk/WrittenEvidence/CommitteeEvidence.svc/EvidenceDocument/Public%20Administration%20and%20Constitutional%20Affairs%20Committee%20/Electoral%20Law/Written/102694.html" </w:instrText>
      </w:r>
      <w:r>
        <w:fldChar w:fldCharType="separate"/>
      </w:r>
      <w:r w:rsidRPr="001C1B82">
        <w:rPr>
          <w:color w:val="0563C1"/>
          <w:szCs w:val="16"/>
          <w:u w:val="single" w:color="0563C1"/>
        </w:rPr>
        <w:t>link</w:t>
      </w:r>
      <w:r>
        <w:fldChar w:fldCharType="end"/>
      </w:r>
      <w:r>
        <w:fldChar w:fldCharType="begin"/>
      </w:r>
      <w:r>
        <w:instrText xml:space="preserve"> HYPERLINK "http://data.parliament.uk/WrittenEvidence/CommitteeEvidence.svc/EvidenceDocument/Public%20Administration%20and%20Constitutional%20Affairs%20Committee%20/Electoral%20Law/Written/102694.html" </w:instrText>
      </w:r>
      <w:r>
        <w:fldChar w:fldCharType="separate"/>
      </w:r>
      <w:r w:rsidRPr="001C1B82">
        <w:rPr>
          <w:szCs w:val="16"/>
        </w:rPr>
        <w:t>)</w:t>
      </w:r>
      <w:r>
        <w:fldChar w:fldCharType="end"/>
      </w:r>
      <w:r w:rsidRPr="001C1B82">
        <w:rPr>
          <w:szCs w:val="16"/>
        </w:rPr>
        <w:t xml:space="preserve">. </w:t>
      </w:r>
    </w:p>
  </w:footnote>
  <w:footnote w:id="479">
    <w:p w:rsidR="00673732" w:rsidRPr="001C1B82">
      <w:pPr>
        <w:pStyle w:val="footnotedescription"/>
        <w:rPr>
          <w:szCs w:val="16"/>
        </w:rPr>
      </w:pPr>
      <w:r w:rsidRPr="001C1B82">
        <w:rPr>
          <w:rStyle w:val="footnotemark"/>
          <w:szCs w:val="16"/>
        </w:rPr>
        <w:footnoteRef/>
      </w:r>
      <w:r w:rsidRPr="001C1B82">
        <w:rPr>
          <w:szCs w:val="16"/>
        </w:rPr>
        <w:t xml:space="preserve"> </w:t>
      </w:r>
      <w:r w:rsidRPr="001C1B82">
        <w:rPr>
          <w:i/>
          <w:szCs w:val="16"/>
        </w:rPr>
        <w:t>Daily Mail</w:t>
      </w:r>
      <w:r w:rsidRPr="001C1B82">
        <w:rPr>
          <w:szCs w:val="16"/>
        </w:rPr>
        <w:t xml:space="preserve">, 27 February 2018; </w:t>
      </w:r>
      <w:r w:rsidRPr="001C1B82">
        <w:rPr>
          <w:i/>
          <w:szCs w:val="16"/>
        </w:rPr>
        <w:t>The Guardian</w:t>
      </w:r>
      <w:r w:rsidRPr="001C1B82">
        <w:rPr>
          <w:szCs w:val="16"/>
        </w:rPr>
        <w:t xml:space="preserve">, 28 February 2018. </w:t>
      </w:r>
    </w:p>
  </w:footnote>
  <w:footnote w:id="480">
    <w:p w:rsidR="00673732" w:rsidRPr="001C1B82">
      <w:pPr>
        <w:pStyle w:val="footnotedescription"/>
        <w:spacing w:line="246" w:lineRule="auto"/>
        <w:ind w:right="4"/>
        <w:jc w:val="both"/>
        <w:rPr>
          <w:szCs w:val="16"/>
        </w:rPr>
      </w:pPr>
      <w:r w:rsidRPr="001C1B82">
        <w:rPr>
          <w:rStyle w:val="footnotemark"/>
          <w:szCs w:val="16"/>
        </w:rPr>
        <w:footnoteRef/>
      </w:r>
      <w:r w:rsidRPr="001C1B82">
        <w:rPr>
          <w:rFonts w:eastAsia="Calibri" w:cs="Calibri"/>
          <w:szCs w:val="16"/>
        </w:rPr>
        <w:t xml:space="preserve"> See, for example, my following publications, on which this evidence draws: 'The Impact of the Internet on Parliaments: a Legislative Studies Framework', </w:t>
      </w:r>
      <w:r w:rsidRPr="001C1B82">
        <w:rPr>
          <w:rFonts w:eastAsia="Calibri" w:cs="Calibri"/>
          <w:i/>
          <w:szCs w:val="16"/>
        </w:rPr>
        <w:t>Parliamentary Affairs</w:t>
      </w:r>
      <w:r w:rsidRPr="001C1B82">
        <w:rPr>
          <w:rFonts w:eastAsia="Calibri" w:cs="Calibri"/>
          <w:szCs w:val="16"/>
        </w:rPr>
        <w:t xml:space="preserve">, 2007; 'Parliamentary Functions Portrayed on European Parliaments' Websites', </w:t>
      </w:r>
      <w:r w:rsidRPr="001C1B82">
        <w:rPr>
          <w:rFonts w:eastAsia="Calibri" w:cs="Calibri"/>
          <w:i/>
          <w:szCs w:val="16"/>
        </w:rPr>
        <w:t>Revista de Sociologia e Política</w:t>
      </w:r>
      <w:r w:rsidRPr="001C1B82">
        <w:rPr>
          <w:rFonts w:eastAsia="Calibri" w:cs="Calibri"/>
          <w:szCs w:val="16"/>
        </w:rPr>
        <w:t xml:space="preserve">, 2009; How Deeply are Parliaments Engaging on Social Media?’, </w:t>
      </w:r>
      <w:r w:rsidRPr="001C1B82">
        <w:rPr>
          <w:rFonts w:eastAsia="Calibri" w:cs="Calibri"/>
          <w:i/>
          <w:szCs w:val="16"/>
        </w:rPr>
        <w:t>Information Polit</w:t>
      </w:r>
      <w:r w:rsidRPr="001C1B82">
        <w:rPr>
          <w:rFonts w:eastAsia="Calibri" w:cs="Calibri"/>
          <w:szCs w:val="16"/>
        </w:rPr>
        <w:t xml:space="preserve">y, 2013 (with D. Bender); ‘Integrating the view of the public into the formal legislative process: public reading stage in the UK House of Commons’, </w:t>
      </w:r>
      <w:r w:rsidRPr="001C1B82">
        <w:rPr>
          <w:rFonts w:eastAsia="Calibri" w:cs="Calibri"/>
          <w:i/>
          <w:szCs w:val="16"/>
        </w:rPr>
        <w:t>The Journal of Legislative Studies</w:t>
      </w:r>
      <w:r w:rsidRPr="001C1B82">
        <w:rPr>
          <w:rFonts w:eastAsia="Calibri" w:cs="Calibri"/>
          <w:szCs w:val="16"/>
        </w:rPr>
        <w:t xml:space="preserve">, 2017 (with L. Thompson); ‘Do Parliamentary Debates of e-Petitions Enhance Public Engagement with Parliament? An Analysis of Twitter Conversations’, </w:t>
      </w:r>
      <w:r w:rsidRPr="001C1B82">
        <w:rPr>
          <w:rFonts w:eastAsia="Calibri" w:cs="Calibri"/>
          <w:i/>
          <w:szCs w:val="16"/>
        </w:rPr>
        <w:t>Policy &amp; Internet</w:t>
      </w:r>
      <w:r w:rsidRPr="001C1B82">
        <w:rPr>
          <w:rFonts w:eastAsia="Calibri" w:cs="Calibri"/>
          <w:szCs w:val="16"/>
        </w:rPr>
        <w:t xml:space="preserve">, 2019 (with M. Asher, V. Spaiser); ‘Parliamentary petitions and public engagement: an empirical analysis of the role of e-petitions’, </w:t>
      </w:r>
      <w:r w:rsidRPr="001C1B82">
        <w:rPr>
          <w:rFonts w:eastAsia="Calibri" w:cs="Calibri"/>
          <w:i/>
          <w:szCs w:val="16"/>
        </w:rPr>
        <w:t>Policy &amp; Politics</w:t>
      </w:r>
      <w:r w:rsidRPr="001C1B82">
        <w:rPr>
          <w:rFonts w:eastAsia="Calibri" w:cs="Calibri"/>
          <w:szCs w:val="16"/>
        </w:rPr>
        <w:t xml:space="preserve">, 2019. </w:t>
      </w:r>
    </w:p>
  </w:footnote>
  <w:footnote w:id="481">
    <w:p w:rsidR="00C752DD" w:rsidP="00C752DD">
      <w:pPr>
        <w:pStyle w:val="footnotedescription"/>
      </w:pPr>
      <w:r>
        <w:rPr>
          <w:rStyle w:val="footnotemark"/>
        </w:rPr>
        <w:footnoteRef/>
      </w:r>
      <w:r>
        <w:t xml:space="preserve"> The draft code states: ‘If, as a public body, you use marketing or advertising methods to promote your interests, you must comply with the direct marketing rules... [Case study] Scenario B: A GP sends the following text message to a patient: “Our flu clinic is now open. If you would like a flu vaccination please call the surgery on 12345678 to make an appointment.” This is more likely to be considered to be direct marketing’ (ICO, </w:t>
      </w:r>
      <w:r>
        <w:rPr>
          <w:i/>
        </w:rPr>
        <w:t>Direct marketing code of practice Information Commissioner’s Office Draft code for consultation</w:t>
      </w:r>
      <w:r>
        <w:t>, January 2020, p.22).</w:t>
      </w:r>
      <w:r>
        <w:rPr>
          <w:rFonts w:ascii="Calibri" w:eastAsia="Calibri" w:hAnsi="Calibri" w:cs="Calibri"/>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360"/>
    </w:pPr>
    <w:r>
      <w:rPr>
        <w:rFonts w:ascii="Segoe UI Symbol" w:eastAsia="Segoe UI Symbol" w:hAnsi="Segoe UI Symbol" w:cs="Segoe UI Symbol"/>
      </w:rPr>
      <w:t>•</w:t>
    </w:r>
    <w:r>
      <w:rPr>
        <w:rFonts w:ascii="Arial" w:eastAsia="Arial" w:hAnsi="Arial" w:cs="Arial"/>
      </w:rPr>
      <w:t xml:space="preserve"> </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360"/>
    </w:pPr>
    <w:r>
      <w:rPr>
        <w:rFonts w:ascii="Segoe UI Symbol" w:eastAsia="Segoe UI Symbol" w:hAnsi="Segoe UI Symbol" w:cs="Segoe UI Symbol"/>
      </w:rPr>
      <w:t>•</w:t>
    </w:r>
    <w:r>
      <w:rPr>
        <w:rFonts w:ascii="Arial" w:eastAsia="Arial" w:hAnsi="Arial" w:cs="Arial"/>
      </w:rPr>
      <w:t xml:space="preserve"> </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360"/>
    </w:pPr>
    <w:r>
      <w:rPr>
        <w:rFonts w:ascii="Segoe UI Symbol" w:eastAsia="Segoe UI Symbol" w:hAnsi="Segoe UI Symbol" w:cs="Segoe UI Symbol"/>
      </w:rPr>
      <w:t>•</w:t>
    </w:r>
    <w:r>
      <w:rPr>
        <w:rFonts w:ascii="Arial" w:eastAsia="Arial" w:hAnsi="Arial" w:cs="Arial"/>
      </w:rPr>
      <w:t xml:space="preserve"> </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5C552C" w:rsidP="005C552C">
    <w:pPr>
      <w:pStyle w:val="Header"/>
    </w:pP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rsidRPr="005C552C" w:rsidP="005C552C">
    <w:pPr>
      <w:pStyle w:val="Header"/>
    </w:pP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2"/>
      <w:jc w:val="center"/>
    </w:pPr>
    <w:r>
      <w:rPr>
        <w:rFonts w:ascii="Arial" w:eastAsia="Arial" w:hAnsi="Arial" w:cs="Arial"/>
      </w:rPr>
      <w:t xml:space="preserve">OFFICIAL-SENSITIVE </w: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735"/>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hdr>
</file>

<file path=word/header1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735"/>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hdr>
</file>

<file path=word/header1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right="735"/>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hdr>
</file>

<file path=word/header1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1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360"/>
    </w:pPr>
    <w:r>
      <w:rPr>
        <w:rFonts w:ascii="Segoe UI Symbol" w:eastAsia="Segoe UI Symbol" w:hAnsi="Segoe UI Symbol" w:cs="Segoe UI Symbol"/>
        <w:sz w:val="20"/>
      </w:rPr>
      <w:t>•</w:t>
    </w:r>
    <w:r>
      <w:rPr>
        <w:rFonts w:ascii="Arial" w:eastAsia="Arial" w:hAnsi="Arial" w:cs="Arial"/>
        <w:sz w:val="20"/>
      </w:rPr>
      <w:t xml:space="preserve"> </w:t>
    </w:r>
  </w:p>
</w:hdr>
</file>

<file path=word/header2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360"/>
    </w:pPr>
    <w:r>
      <w:rPr>
        <w:rFonts w:ascii="Segoe UI Symbol" w:eastAsia="Segoe UI Symbol" w:hAnsi="Segoe UI Symbol" w:cs="Segoe UI Symbol"/>
        <w:sz w:val="20"/>
      </w:rPr>
      <w:t>•</w:t>
    </w:r>
    <w:r>
      <w:rPr>
        <w:rFonts w:ascii="Arial" w:eastAsia="Arial" w:hAnsi="Arial" w:cs="Arial"/>
        <w:sz w:val="20"/>
      </w:rPr>
      <w:t xml:space="preserve"> </w:t>
    </w:r>
  </w:p>
</w:hdr>
</file>

<file path=word/header2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360"/>
    </w:pPr>
    <w:r>
      <w:rPr>
        <w:rFonts w:ascii="Segoe UI Symbol" w:eastAsia="Segoe UI Symbol" w:hAnsi="Segoe UI Symbol" w:cs="Segoe UI Symbol"/>
        <w:sz w:val="20"/>
      </w:rPr>
      <w:t>•</w:t>
    </w:r>
    <w:r>
      <w:rPr>
        <w:rFonts w:ascii="Arial" w:eastAsia="Arial" w:hAnsi="Arial" w:cs="Arial"/>
        <w:sz w:val="20"/>
      </w:rPr>
      <w:t xml:space="preserve"> </w:t>
    </w:r>
  </w:p>
</w:hdr>
</file>

<file path=word/header2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pPr>
      <w:spacing w:after="0"/>
      <w:ind w:left="360"/>
    </w:pPr>
    <w:r>
      <w:rPr>
        <w:rFonts w:ascii="Segoe UI Symbol" w:eastAsia="Segoe UI Symbol" w:hAnsi="Segoe UI Symbol" w:cs="Segoe UI Symbol"/>
        <w:sz w:val="20"/>
      </w:rPr>
      <w:t>•</w:t>
    </w:r>
    <w:r>
      <w:rPr>
        <w:rFonts w:ascii="Arial" w:eastAsia="Arial" w:hAnsi="Arial" w:cs="Arial"/>
        <w:sz w:val="20"/>
      </w:rPr>
      <w:t xml:space="preserve"> </w:t>
    </w:r>
  </w:p>
</w:hdr>
</file>

<file path=word/header2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header2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373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D29B5"/>
    <w:multiLevelType w:val="hybridMultilevel"/>
    <w:tmpl w:val="5D8884BC"/>
    <w:lvl w:ilvl="0">
      <w:start w:val="1"/>
      <w:numFmt w:val="decimal"/>
      <w:lvlText w:val="%1."/>
      <w:lvlJc w:val="left"/>
      <w:pPr>
        <w:ind w:left="72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03"/>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23"/>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43"/>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563"/>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283"/>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03"/>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23"/>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43"/>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1">
    <w:nsid w:val="002A761D"/>
    <w:multiLevelType w:val="hybridMultilevel"/>
    <w:tmpl w:val="F438D12A"/>
    <w:lvl w:ilvl="0">
      <w:start w:val="3"/>
      <w:numFmt w:val="decimal"/>
      <w:lvlText w:val="%1."/>
      <w:lvlJc w:val="left"/>
      <w:pPr>
        <w:ind w:left="74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276"/>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996"/>
      </w:pPr>
      <w:rPr>
        <w:rFonts w:ascii="Arial" w:eastAsia="Arial" w:hAnsi="Arial" w:cs="Arial"/>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716"/>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436"/>
      </w:pPr>
      <w:rPr>
        <w:rFonts w:ascii="Arial" w:eastAsia="Arial" w:hAnsi="Arial" w:cs="Arial"/>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156"/>
      </w:pPr>
      <w:rPr>
        <w:rFonts w:ascii="Arial" w:eastAsia="Arial" w:hAnsi="Arial" w:cs="Arial"/>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876"/>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596"/>
      </w:pPr>
      <w:rPr>
        <w:rFonts w:ascii="Arial" w:eastAsia="Arial" w:hAnsi="Arial" w:cs="Arial"/>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316"/>
      </w:pPr>
      <w:rPr>
        <w:rFonts w:ascii="Arial" w:eastAsia="Arial" w:hAnsi="Arial" w:cs="Arial"/>
        <w:b w:val="0"/>
        <w:i w:val="0"/>
        <w:strike w:val="0"/>
        <w:dstrike w:val="0"/>
        <w:color w:val="000000"/>
        <w:sz w:val="22"/>
        <w:szCs w:val="22"/>
        <w:u w:val="none" w:color="000000"/>
        <w:bdr w:val="nil"/>
        <w:shd w:val="clear" w:color="auto" w:fill="auto"/>
        <w:vertAlign w:val="baseline"/>
      </w:rPr>
    </w:lvl>
  </w:abstractNum>
  <w:abstractNum w:abstractNumId="2">
    <w:nsid w:val="009D25EC"/>
    <w:multiLevelType w:val="hybridMultilevel"/>
    <w:tmpl w:val="EC4A5F9E"/>
    <w:lvl w:ilvl="0">
      <w:start w:val="1"/>
      <w:numFmt w:val="decimal"/>
      <w:lvlText w:val="%1."/>
      <w:lvlJc w:val="left"/>
      <w:pPr>
        <w:ind w:left="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1"/>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
    <w:nsid w:val="00E0302C"/>
    <w:multiLevelType w:val="multilevel"/>
    <w:tmpl w:val="BEE6069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ascii="Times New Roman" w:eastAsia="Times New Roman" w:hAnsi="Times New Roman" w:cs="Times New Roman"/>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0FC673A"/>
    <w:multiLevelType w:val="hybridMultilevel"/>
    <w:tmpl w:val="E4403000"/>
    <w:lvl w:ilvl="0">
      <w:start w:val="1"/>
      <w:numFmt w:val="bullet"/>
      <w:lvlText w:val="•"/>
      <w:lvlJc w:val="left"/>
      <w:pPr>
        <w:ind w:left="36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52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68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5">
    <w:nsid w:val="012053AF"/>
    <w:multiLevelType w:val="hybridMultilevel"/>
    <w:tmpl w:val="5058914A"/>
    <w:lvl w:ilvl="0">
      <w:start w:val="1"/>
      <w:numFmt w:val="lowerLetter"/>
      <w:lvlText w:val="%1."/>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84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6">
    <w:nsid w:val="02034A08"/>
    <w:multiLevelType w:val="hybridMultilevel"/>
    <w:tmpl w:val="B65EB9BE"/>
    <w:lvl w:ilvl="0">
      <w:start w:val="1"/>
      <w:numFmt w:val="decimal"/>
      <w:lvlText w:val="%1."/>
      <w:lvlJc w:val="left"/>
      <w:pPr>
        <w:ind w:left="705"/>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201F1E"/>
        <w:sz w:val="22"/>
        <w:szCs w:val="22"/>
        <w:u w:val="none" w:color="000000"/>
        <w:bdr w:val="nil"/>
        <w:shd w:val="clear" w:color="auto" w:fill="auto"/>
        <w:vertAlign w:val="baseline"/>
      </w:rPr>
    </w:lvl>
  </w:abstractNum>
  <w:abstractNum w:abstractNumId="7">
    <w:nsid w:val="0251162B"/>
    <w:multiLevelType w:val="multilevel"/>
    <w:tmpl w:val="5AEC6328"/>
    <w:lvl w:ilvl="0">
      <w:start w:val="4"/>
      <w:numFmt w:val="decimal"/>
      <w:lvlText w:val="%1."/>
      <w:lvlJc w:val="left"/>
      <w:pPr>
        <w:ind w:left="36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73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8">
    <w:nsid w:val="027918C6"/>
    <w:multiLevelType w:val="hybridMultilevel"/>
    <w:tmpl w:val="19844BC8"/>
    <w:lvl w:ilvl="0">
      <w:start w:val="38"/>
      <w:numFmt w:val="decimal"/>
      <w:lvlText w:val="%1)"/>
      <w:lvlJc w:val="left"/>
      <w:pPr>
        <w:ind w:left="36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9">
    <w:nsid w:val="02F05D49"/>
    <w:multiLevelType w:val="hybridMultilevel"/>
    <w:tmpl w:val="16E6E71E"/>
    <w:lvl w:ilvl="0">
      <w:start w:val="1"/>
      <w:numFmt w:val="bullet"/>
      <w:lvlText w:val="•"/>
      <w:lvlJc w:val="left"/>
      <w:pPr>
        <w:ind w:left="360"/>
      </w:pPr>
      <w:rPr>
        <w:rFonts w:ascii="Tahoma" w:eastAsia="Tahoma" w:hAnsi="Tahoma" w:cs="Tahoma"/>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540"/>
      </w:pPr>
      <w:rPr>
        <w:rFonts w:ascii="Tahoma" w:eastAsia="Tahoma" w:hAnsi="Tahoma" w:cs="Tahom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720"/>
      </w:pPr>
      <w:rPr>
        <w:rFonts w:ascii="Tahoma" w:eastAsia="Tahoma" w:hAnsi="Tahoma" w:cs="Tahom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1440"/>
      </w:pPr>
      <w:rPr>
        <w:rFonts w:ascii="Tahoma" w:eastAsia="Tahoma" w:hAnsi="Tahoma" w:cs="Tahom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160"/>
      </w:pPr>
      <w:rPr>
        <w:rFonts w:ascii="Tahoma" w:eastAsia="Tahoma" w:hAnsi="Tahoma" w:cs="Tahom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2880"/>
      </w:pPr>
      <w:rPr>
        <w:rFonts w:ascii="Tahoma" w:eastAsia="Tahoma" w:hAnsi="Tahoma" w:cs="Tahom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3600"/>
      </w:pPr>
      <w:rPr>
        <w:rFonts w:ascii="Tahoma" w:eastAsia="Tahoma" w:hAnsi="Tahoma" w:cs="Tahom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4320"/>
      </w:pPr>
      <w:rPr>
        <w:rFonts w:ascii="Tahoma" w:eastAsia="Tahoma" w:hAnsi="Tahoma" w:cs="Tahom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040"/>
      </w:pPr>
      <w:rPr>
        <w:rFonts w:ascii="Tahoma" w:eastAsia="Tahoma" w:hAnsi="Tahoma" w:cs="Tahoma"/>
        <w:b w:val="0"/>
        <w:i w:val="0"/>
        <w:strike w:val="0"/>
        <w:dstrike w:val="0"/>
        <w:color w:val="000000"/>
        <w:sz w:val="22"/>
        <w:szCs w:val="22"/>
        <w:u w:val="none" w:color="000000"/>
        <w:bdr w:val="nil"/>
        <w:shd w:val="clear" w:color="auto" w:fill="auto"/>
        <w:vertAlign w:val="baseline"/>
      </w:rPr>
    </w:lvl>
  </w:abstractNum>
  <w:abstractNum w:abstractNumId="10">
    <w:nsid w:val="03213C83"/>
    <w:multiLevelType w:val="hybridMultilevel"/>
    <w:tmpl w:val="428413A2"/>
    <w:lvl w:ilvl="0">
      <w:start w:val="56"/>
      <w:numFmt w:val="decimal"/>
      <w:lvlText w:val="%1."/>
      <w:lvlJc w:val="left"/>
      <w:pPr>
        <w:ind w:left="706"/>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il"/>
        <w:shd w:val="clear" w:color="auto" w:fill="auto"/>
        <w:vertAlign w:val="baseline"/>
      </w:rPr>
    </w:lvl>
  </w:abstractNum>
  <w:abstractNum w:abstractNumId="11">
    <w:nsid w:val="032268DF"/>
    <w:multiLevelType w:val="hybridMultilevel"/>
    <w:tmpl w:val="1A1AC844"/>
    <w:lvl w:ilvl="0">
      <w:start w:val="1"/>
      <w:numFmt w:val="decimal"/>
      <w:lvlText w:val="%1."/>
      <w:lvlJc w:val="left"/>
      <w:pPr>
        <w:ind w:left="1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1">
      <w:start w:val="1"/>
      <w:numFmt w:val="bullet"/>
      <w:lvlText w:val="•"/>
      <w:lvlJc w:val="left"/>
      <w:pPr>
        <w:ind w:left="722"/>
      </w:pPr>
      <w:rPr>
        <w:rFonts w:ascii="Arial" w:eastAsia="Arial" w:hAnsi="Arial" w:cs="Arial"/>
        <w:b w:val="0"/>
        <w:i w:val="0"/>
        <w:strike w:val="0"/>
        <w:dstrike w:val="0"/>
        <w:color w:val="000000"/>
        <w:sz w:val="20"/>
        <w:szCs w:val="20"/>
        <w:u w:val="none" w:color="000000"/>
        <w:bdr w:val="nil"/>
        <w:shd w:val="clear" w:color="auto" w:fill="auto"/>
        <w:vertAlign w:val="baseline"/>
      </w:rPr>
    </w:lvl>
    <w:lvl w:ilvl="2">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3">
      <w:start w:val="1"/>
      <w:numFmt w:val="bullet"/>
      <w:lvlText w:val="•"/>
      <w:lvlJc w:val="left"/>
      <w:pPr>
        <w:ind w:left="2160"/>
      </w:pPr>
      <w:rPr>
        <w:rFonts w:ascii="Arial" w:eastAsia="Arial" w:hAnsi="Arial" w:cs="Arial"/>
        <w:b w:val="0"/>
        <w:i w:val="0"/>
        <w:strike w:val="0"/>
        <w:dstrike w:val="0"/>
        <w:color w:val="000000"/>
        <w:sz w:val="20"/>
        <w:szCs w:val="20"/>
        <w:u w:val="none" w:color="000000"/>
        <w:bdr w:val="nil"/>
        <w:shd w:val="clear" w:color="auto" w:fill="auto"/>
        <w:vertAlign w:val="baseline"/>
      </w:rPr>
    </w:lvl>
    <w:lvl w:ilvl="4">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5">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6">
      <w:start w:val="1"/>
      <w:numFmt w:val="bullet"/>
      <w:lvlText w:val="•"/>
      <w:lvlJc w:val="left"/>
      <w:pPr>
        <w:ind w:left="4320"/>
      </w:pPr>
      <w:rPr>
        <w:rFonts w:ascii="Arial" w:eastAsia="Arial" w:hAnsi="Arial" w:cs="Arial"/>
        <w:b w:val="0"/>
        <w:i w:val="0"/>
        <w:strike w:val="0"/>
        <w:dstrike w:val="0"/>
        <w:color w:val="000000"/>
        <w:sz w:val="20"/>
        <w:szCs w:val="20"/>
        <w:u w:val="none" w:color="000000"/>
        <w:bdr w:val="nil"/>
        <w:shd w:val="clear" w:color="auto" w:fill="auto"/>
        <w:vertAlign w:val="baseline"/>
      </w:rPr>
    </w:lvl>
    <w:lvl w:ilvl="7">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8">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abstractNum>
  <w:abstractNum w:abstractNumId="12">
    <w:nsid w:val="049A336E"/>
    <w:multiLevelType w:val="hybridMultilevel"/>
    <w:tmpl w:val="9D1267F6"/>
    <w:lvl w:ilvl="0">
      <w:start w:val="1"/>
      <w:numFmt w:val="decimal"/>
      <w:lvlText w:val="%1."/>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
      <w:lvlJc w:val="left"/>
      <w:pPr>
        <w:ind w:left="721"/>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6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2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3">
    <w:nsid w:val="049D319D"/>
    <w:multiLevelType w:val="hybridMultilevel"/>
    <w:tmpl w:val="45787866"/>
    <w:lvl w:ilvl="0">
      <w:start w:val="1"/>
      <w:numFmt w:val="decimal"/>
      <w:lvlText w:val="%1."/>
      <w:lvlJc w:val="left"/>
      <w:pPr>
        <w:ind w:left="547"/>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26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98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70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42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414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86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58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300"/>
      </w:pPr>
      <w:rPr>
        <w:rFonts w:ascii="Verdana" w:eastAsia="Verdana" w:hAnsi="Verdana" w:cs="Verdana"/>
        <w:b w:val="0"/>
        <w:i/>
        <w:iCs/>
        <w:strike w:val="0"/>
        <w:dstrike w:val="0"/>
        <w:color w:val="000000"/>
        <w:sz w:val="22"/>
        <w:szCs w:val="22"/>
        <w:u w:val="none" w:color="000000"/>
        <w:bdr w:val="nil"/>
        <w:shd w:val="clear" w:color="auto" w:fill="auto"/>
        <w:vertAlign w:val="baseline"/>
      </w:rPr>
    </w:lvl>
  </w:abstractNum>
  <w:abstractNum w:abstractNumId="14">
    <w:nsid w:val="055535E1"/>
    <w:multiLevelType w:val="hybridMultilevel"/>
    <w:tmpl w:val="92AE98AA"/>
    <w:lvl w:ilvl="0">
      <w:start w:val="1"/>
      <w:numFmt w:val="bullet"/>
      <w:lvlText w:val="●"/>
      <w:lvlJc w:val="left"/>
      <w:pPr>
        <w:ind w:left="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5">
    <w:nsid w:val="05623A95"/>
    <w:multiLevelType w:val="hybridMultilevel"/>
    <w:tmpl w:val="5CEC57A6"/>
    <w:lvl w:ilvl="0">
      <w:start w:val="1"/>
      <w:numFmt w:val="decimal"/>
      <w:lvlText w:val="%1."/>
      <w:lvlJc w:val="left"/>
      <w:pPr>
        <w:ind w:left="736"/>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1">
      <w:start w:val="1"/>
      <w:numFmt w:val="lowerLetter"/>
      <w:lvlText w:val="%2"/>
      <w:lvlJc w:val="left"/>
      <w:pPr>
        <w:ind w:left="1454"/>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2">
      <w:start w:val="1"/>
      <w:numFmt w:val="lowerRoman"/>
      <w:lvlText w:val="%3"/>
      <w:lvlJc w:val="left"/>
      <w:pPr>
        <w:ind w:left="2174"/>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3">
      <w:start w:val="1"/>
      <w:numFmt w:val="decimal"/>
      <w:lvlText w:val="%4"/>
      <w:lvlJc w:val="left"/>
      <w:pPr>
        <w:ind w:left="2894"/>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4">
      <w:start w:val="1"/>
      <w:numFmt w:val="lowerLetter"/>
      <w:lvlText w:val="%5"/>
      <w:lvlJc w:val="left"/>
      <w:pPr>
        <w:ind w:left="3614"/>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5">
      <w:start w:val="1"/>
      <w:numFmt w:val="lowerRoman"/>
      <w:lvlText w:val="%6"/>
      <w:lvlJc w:val="left"/>
      <w:pPr>
        <w:ind w:left="4334"/>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6">
      <w:start w:val="1"/>
      <w:numFmt w:val="decimal"/>
      <w:lvlText w:val="%7"/>
      <w:lvlJc w:val="left"/>
      <w:pPr>
        <w:ind w:left="5054"/>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7">
      <w:start w:val="1"/>
      <w:numFmt w:val="lowerLetter"/>
      <w:lvlText w:val="%8"/>
      <w:lvlJc w:val="left"/>
      <w:pPr>
        <w:ind w:left="5774"/>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8">
      <w:start w:val="1"/>
      <w:numFmt w:val="lowerRoman"/>
      <w:lvlText w:val="%9"/>
      <w:lvlJc w:val="left"/>
      <w:pPr>
        <w:ind w:left="6494"/>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abstractNum>
  <w:abstractNum w:abstractNumId="16">
    <w:nsid w:val="057E6A6E"/>
    <w:multiLevelType w:val="hybridMultilevel"/>
    <w:tmpl w:val="A1FE1A16"/>
    <w:lvl w:ilvl="0">
      <w:start w:val="1"/>
      <w:numFmt w:val="bullet"/>
      <w:lvlText w:val="•"/>
      <w:lvlJc w:val="left"/>
      <w:pPr>
        <w:ind w:left="36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52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68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7">
    <w:nsid w:val="05CD472C"/>
    <w:multiLevelType w:val="multilevel"/>
    <w:tmpl w:val="341C7474"/>
    <w:lvl w:ilvl="0">
      <w:start w:val="4"/>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Restart w:val="0"/>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8">
    <w:nsid w:val="062F5B9E"/>
    <w:multiLevelType w:val="hybridMultilevel"/>
    <w:tmpl w:val="208E3850"/>
    <w:lvl w:ilvl="0">
      <w:start w:val="36"/>
      <w:numFmt w:val="decimal"/>
      <w:lvlText w:val="%1."/>
      <w:lvlJc w:val="left"/>
      <w:pPr>
        <w:ind w:left="706"/>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il"/>
        <w:shd w:val="clear" w:color="auto" w:fill="auto"/>
        <w:vertAlign w:val="baseline"/>
      </w:rPr>
    </w:lvl>
  </w:abstractNum>
  <w:abstractNum w:abstractNumId="19">
    <w:nsid w:val="068D059E"/>
    <w:multiLevelType w:val="hybridMultilevel"/>
    <w:tmpl w:val="5ACEF6B8"/>
    <w:lvl w:ilvl="0">
      <w:start w:val="22"/>
      <w:numFmt w:val="decimal"/>
      <w:lvlText w:val="%1."/>
      <w:lvlJc w:val="left"/>
      <w:pPr>
        <w:ind w:left="706"/>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il"/>
        <w:shd w:val="clear" w:color="auto" w:fill="auto"/>
        <w:vertAlign w:val="baseline"/>
      </w:rPr>
    </w:lvl>
  </w:abstractNum>
  <w:abstractNum w:abstractNumId="20">
    <w:nsid w:val="071A1816"/>
    <w:multiLevelType w:val="hybridMultilevel"/>
    <w:tmpl w:val="863403F6"/>
    <w:lvl w:ilvl="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828"/>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2">
      <w:start w:val="1"/>
      <w:numFmt w:val="lowerLetter"/>
      <w:lvlRestart w:val="0"/>
      <w:lvlText w:val="%3."/>
      <w:lvlJc w:val="left"/>
      <w:pPr>
        <w:ind w:left="1426"/>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016"/>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736"/>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456"/>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176"/>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896"/>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616"/>
      </w:pPr>
      <w:rPr>
        <w:rFonts w:ascii="Calibri" w:eastAsia="Calibri" w:hAnsi="Calibri" w:cs="Calibri"/>
        <w:b w:val="0"/>
        <w:i w:val="0"/>
        <w:strike w:val="0"/>
        <w:dstrike w:val="0"/>
        <w:color w:val="000000"/>
        <w:sz w:val="22"/>
        <w:szCs w:val="22"/>
        <w:u w:val="none" w:color="000000"/>
        <w:bdr w:val="nil"/>
        <w:shd w:val="clear" w:color="auto" w:fill="auto"/>
        <w:vertAlign w:val="baseline"/>
      </w:rPr>
    </w:lvl>
  </w:abstractNum>
  <w:abstractNum w:abstractNumId="21">
    <w:nsid w:val="07AA3D86"/>
    <w:multiLevelType w:val="hybridMultilevel"/>
    <w:tmpl w:val="EB12B49C"/>
    <w:lvl w:ilvl="0">
      <w:start w:val="6"/>
      <w:numFmt w:val="decimal"/>
      <w:lvlText w:val="%1."/>
      <w:lvlJc w:val="left"/>
      <w:pPr>
        <w:ind w:left="1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22">
    <w:nsid w:val="08196099"/>
    <w:multiLevelType w:val="multilevel"/>
    <w:tmpl w:val="484603AC"/>
    <w:lvl w:ilvl="0">
      <w:start w:val="5"/>
      <w:numFmt w:val="decimal"/>
      <w:lvlText w:val="%1."/>
      <w:lvlJc w:val="left"/>
      <w:pPr>
        <w:ind w:left="7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1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8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3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041"/>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3">
    <w:nsid w:val="08456EF6"/>
    <w:multiLevelType w:val="multilevel"/>
    <w:tmpl w:val="56988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08542D8D"/>
    <w:multiLevelType w:val="multilevel"/>
    <w:tmpl w:val="62D88720"/>
    <w:lvl w:ilvl="0">
      <w:start w:val="5"/>
      <w:numFmt w:val="decimal"/>
      <w:lvlText w:val="%1."/>
      <w:lvlJc w:val="left"/>
      <w:pPr>
        <w:ind w:left="72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5">
    <w:nsid w:val="086B15D3"/>
    <w:multiLevelType w:val="hybridMultilevel"/>
    <w:tmpl w:val="DFCAE8D4"/>
    <w:lvl w:ilvl="0">
      <w:start w:val="1"/>
      <w:numFmt w:val="decimal"/>
      <w:lvlText w:val="%1."/>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6">
    <w:nsid w:val="08723BF8"/>
    <w:multiLevelType w:val="hybridMultilevel"/>
    <w:tmpl w:val="D75A442A"/>
    <w:lvl w:ilvl="0">
      <w:start w:val="1"/>
      <w:numFmt w:val="bullet"/>
      <w:lvlText w:val="•"/>
      <w:lvlJc w:val="left"/>
      <w:pPr>
        <w:ind w:left="720"/>
      </w:pPr>
      <w:rPr>
        <w:rFonts w:ascii="Arial" w:eastAsia="Arial" w:hAnsi="Arial" w:cs="Arial"/>
        <w:b w:val="0"/>
        <w:i w:val="0"/>
        <w:strike w:val="0"/>
        <w:dstrike w:val="0"/>
        <w:color w:val="000000"/>
        <w:sz w:val="20"/>
        <w:szCs w:val="20"/>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0"/>
        <w:szCs w:val="20"/>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0"/>
        <w:szCs w:val="20"/>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abstractNum>
  <w:abstractNum w:abstractNumId="27">
    <w:nsid w:val="08C04C36"/>
    <w:multiLevelType w:val="hybridMultilevel"/>
    <w:tmpl w:val="010EC52C"/>
    <w:lvl w:ilvl="0">
      <w:start w:val="1"/>
      <w:numFmt w:val="bullet"/>
      <w:lvlText w:val="-"/>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0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8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5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2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9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6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4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121"/>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8">
    <w:nsid w:val="091B79C1"/>
    <w:multiLevelType w:val="hybridMultilevel"/>
    <w:tmpl w:val="60FACEC0"/>
    <w:lvl w:ilvl="0">
      <w:start w:val="67"/>
      <w:numFmt w:val="decimal"/>
      <w:lvlText w:val="%1."/>
      <w:lvlJc w:val="left"/>
      <w:pPr>
        <w:ind w:left="706"/>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il"/>
        <w:shd w:val="clear" w:color="auto" w:fill="auto"/>
        <w:vertAlign w:val="baseline"/>
      </w:rPr>
    </w:lvl>
  </w:abstractNum>
  <w:abstractNum w:abstractNumId="29">
    <w:nsid w:val="092C17B1"/>
    <w:multiLevelType w:val="hybridMultilevel"/>
    <w:tmpl w:val="1E0E5FE2"/>
    <w:lvl w:ilvl="0">
      <w:start w:val="34"/>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0">
    <w:nsid w:val="09A93CB9"/>
    <w:multiLevelType w:val="hybridMultilevel"/>
    <w:tmpl w:val="98E0304A"/>
    <w:lvl w:ilvl="0">
      <w:start w:val="7"/>
      <w:numFmt w:val="decimal"/>
      <w:lvlText w:val="%1."/>
      <w:lvlJc w:val="left"/>
      <w:pPr>
        <w:ind w:left="706"/>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il"/>
        <w:shd w:val="clear" w:color="auto" w:fill="auto"/>
        <w:vertAlign w:val="baseline"/>
      </w:rPr>
    </w:lvl>
  </w:abstractNum>
  <w:abstractNum w:abstractNumId="31">
    <w:nsid w:val="0B515648"/>
    <w:multiLevelType w:val="hybridMultilevel"/>
    <w:tmpl w:val="805AA50A"/>
    <w:lvl w:ilvl="0">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1">
      <w:start w:val="1"/>
      <w:numFmt w:val="bullet"/>
      <w:lvlText w:val="o"/>
      <w:lvlJc w:val="left"/>
      <w:pPr>
        <w:ind w:left="2088"/>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2">
      <w:start w:val="1"/>
      <w:numFmt w:val="bullet"/>
      <w:lvlText w:val="▪"/>
      <w:lvlJc w:val="left"/>
      <w:pPr>
        <w:ind w:left="2808"/>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3">
      <w:start w:val="1"/>
      <w:numFmt w:val="bullet"/>
      <w:lvlText w:val="•"/>
      <w:lvlJc w:val="left"/>
      <w:pPr>
        <w:ind w:left="3528"/>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4">
      <w:start w:val="1"/>
      <w:numFmt w:val="bullet"/>
      <w:lvlText w:val="o"/>
      <w:lvlJc w:val="left"/>
      <w:pPr>
        <w:ind w:left="4248"/>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5">
      <w:start w:val="1"/>
      <w:numFmt w:val="bullet"/>
      <w:lvlText w:val="▪"/>
      <w:lvlJc w:val="left"/>
      <w:pPr>
        <w:ind w:left="4968"/>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6">
      <w:start w:val="1"/>
      <w:numFmt w:val="bullet"/>
      <w:lvlText w:val="•"/>
      <w:lvlJc w:val="left"/>
      <w:pPr>
        <w:ind w:left="5688"/>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7">
      <w:start w:val="1"/>
      <w:numFmt w:val="bullet"/>
      <w:lvlText w:val="o"/>
      <w:lvlJc w:val="left"/>
      <w:pPr>
        <w:ind w:left="6408"/>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8">
      <w:start w:val="1"/>
      <w:numFmt w:val="bullet"/>
      <w:lvlText w:val="▪"/>
      <w:lvlJc w:val="left"/>
      <w:pPr>
        <w:ind w:left="7128"/>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abstractNum>
  <w:abstractNum w:abstractNumId="32">
    <w:nsid w:val="0B6C4D3E"/>
    <w:multiLevelType w:val="hybridMultilevel"/>
    <w:tmpl w:val="F5F6A656"/>
    <w:lvl w:ilvl="0">
      <w:start w:val="1"/>
      <w:numFmt w:val="bullet"/>
      <w:lvlText w:val="●"/>
      <w:lvlJc w:val="left"/>
      <w:pPr>
        <w:ind w:left="669"/>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8"/>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8"/>
      </w:pPr>
      <w:rPr>
        <w:rFonts w:ascii="Arial" w:eastAsia="Arial" w:hAnsi="Arial" w:cs="Aria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8"/>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8"/>
      </w:pPr>
      <w:rPr>
        <w:rFonts w:ascii="Arial" w:eastAsia="Arial" w:hAnsi="Arial" w:cs="Aria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8"/>
      </w:pPr>
      <w:rPr>
        <w:rFonts w:ascii="Arial" w:eastAsia="Arial" w:hAnsi="Arial" w:cs="Aria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8"/>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8"/>
      </w:pPr>
      <w:rPr>
        <w:rFonts w:ascii="Arial" w:eastAsia="Arial" w:hAnsi="Arial" w:cs="Aria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8"/>
      </w:pPr>
      <w:rPr>
        <w:rFonts w:ascii="Arial" w:eastAsia="Arial" w:hAnsi="Arial" w:cs="Arial"/>
        <w:b w:val="0"/>
        <w:i w:val="0"/>
        <w:strike w:val="0"/>
        <w:dstrike w:val="0"/>
        <w:color w:val="000000"/>
        <w:sz w:val="22"/>
        <w:szCs w:val="22"/>
        <w:u w:val="none" w:color="000000"/>
        <w:bdr w:val="nil"/>
        <w:shd w:val="clear" w:color="auto" w:fill="auto"/>
        <w:vertAlign w:val="baseline"/>
      </w:rPr>
    </w:lvl>
  </w:abstractNum>
  <w:abstractNum w:abstractNumId="33">
    <w:nsid w:val="0CB364E9"/>
    <w:multiLevelType w:val="hybridMultilevel"/>
    <w:tmpl w:val="3B06B760"/>
    <w:lvl w:ilvl="0">
      <w:start w:val="1"/>
      <w:numFmt w:val="decimal"/>
      <w:lvlText w:val="%1"/>
      <w:lvlJc w:val="left"/>
      <w:pPr>
        <w:ind w:left="100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4">
    <w:nsid w:val="0CFB2574"/>
    <w:multiLevelType w:val="hybridMultilevel"/>
    <w:tmpl w:val="01B0166E"/>
    <w:lvl w:ilvl="0">
      <w:start w:val="1"/>
      <w:numFmt w:val="bullet"/>
      <w:lvlText w:val="•"/>
      <w:lvlJc w:val="left"/>
      <w:pPr>
        <w:ind w:left="36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52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68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35">
    <w:nsid w:val="0D1B7A81"/>
    <w:multiLevelType w:val="hybridMultilevel"/>
    <w:tmpl w:val="0B6451FA"/>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1"/>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6">
    <w:nsid w:val="0D454386"/>
    <w:multiLevelType w:val="hybridMultilevel"/>
    <w:tmpl w:val="369C84D0"/>
    <w:lvl w:ilvl="0">
      <w:start w:val="1"/>
      <w:numFmt w:val="bullet"/>
      <w:lvlText w:val="•"/>
      <w:lvlJc w:val="left"/>
      <w:pPr>
        <w:ind w:left="720"/>
      </w:pPr>
      <w:rPr>
        <w:rFonts w:ascii="Arial" w:eastAsia="Arial" w:hAnsi="Arial" w:cs="Arial"/>
        <w:b w:val="0"/>
        <w:i w:val="0"/>
        <w:strike w:val="0"/>
        <w:dstrike w:val="0"/>
        <w:color w:val="000000"/>
        <w:sz w:val="20"/>
        <w:szCs w:val="20"/>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0"/>
        <w:szCs w:val="20"/>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0"/>
        <w:szCs w:val="20"/>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abstractNum>
  <w:abstractNum w:abstractNumId="37">
    <w:nsid w:val="0DCD2338"/>
    <w:multiLevelType w:val="multilevel"/>
    <w:tmpl w:val="8ABAAD2A"/>
    <w:lvl w:ilvl="0">
      <w:start w:val="3"/>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2"/>
      <w:numFmt w:val="decimal"/>
      <w:lvlText w:val="%1.%2"/>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Restart w:val="0"/>
      <w:lvlText w:val="%1.%2.%3"/>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8">
    <w:nsid w:val="0E1330AA"/>
    <w:multiLevelType w:val="hybridMultilevel"/>
    <w:tmpl w:val="335EEB08"/>
    <w:lvl w:ilvl="0">
      <w:start w:val="1"/>
      <w:numFmt w:val="decimal"/>
      <w:lvlText w:val="%1."/>
      <w:lvlJc w:val="left"/>
      <w:pPr>
        <w:ind w:left="3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9">
    <w:nsid w:val="0EE641E3"/>
    <w:multiLevelType w:val="multilevel"/>
    <w:tmpl w:val="D52A60D4"/>
    <w:lvl w:ilvl="0">
      <w:start w:val="3"/>
      <w:numFmt w:val="decimal"/>
      <w:lvlText w:val="%1."/>
      <w:lvlJc w:val="left"/>
      <w:pPr>
        <w:ind w:left="36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Text w:val="%1.%2.%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40">
    <w:nsid w:val="0F107F63"/>
    <w:multiLevelType w:val="multilevel"/>
    <w:tmpl w:val="77102F0A"/>
    <w:lvl w:ilvl="0">
      <w:start w:val="1"/>
      <w:numFmt w:val="decimal"/>
      <w:lvlText w:val="%1."/>
      <w:lvlJc w:val="left"/>
      <w:pPr>
        <w:ind w:left="72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1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41">
    <w:nsid w:val="0F8233E2"/>
    <w:multiLevelType w:val="multilevel"/>
    <w:tmpl w:val="51907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10F54C3D"/>
    <w:multiLevelType w:val="multilevel"/>
    <w:tmpl w:val="1DB03D10"/>
    <w:lvl w:ilvl="0">
      <w:start w:val="4"/>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3"/>
      <w:numFmt w:val="decimal"/>
      <w:lvlRestart w:val="0"/>
      <w:lvlText w:val="%1.%2."/>
      <w:lvlJc w:val="left"/>
      <w:pPr>
        <w:ind w:left="1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1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8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3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041"/>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43">
    <w:nsid w:val="110067CC"/>
    <w:multiLevelType w:val="hybridMultilevel"/>
    <w:tmpl w:val="9830080C"/>
    <w:lvl w:ilvl="0">
      <w:start w:val="2"/>
      <w:numFmt w:val="decimal"/>
      <w:lvlText w:val="%1."/>
      <w:lvlJc w:val="left"/>
      <w:pPr>
        <w:ind w:left="46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upperRoman"/>
      <w:lvlText w:val="%2."/>
      <w:lvlJc w:val="left"/>
      <w:pPr>
        <w:ind w:left="81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38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0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54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26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98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02"/>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44">
    <w:nsid w:val="120E4F79"/>
    <w:multiLevelType w:val="multilevel"/>
    <w:tmpl w:val="3F2001F6"/>
    <w:lvl w:ilvl="0">
      <w:start w:val="9"/>
      <w:numFmt w:val="decimal"/>
      <w:lvlText w:val="%1."/>
      <w:lvlJc w:val="left"/>
      <w:pPr>
        <w:ind w:left="72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45">
    <w:nsid w:val="128119C9"/>
    <w:multiLevelType w:val="multilevel"/>
    <w:tmpl w:val="E3386AAC"/>
    <w:lvl w:ilvl="0">
      <w:start w:val="15"/>
      <w:numFmt w:val="decimal"/>
      <w:lvlText w:val="%1."/>
      <w:lvlJc w:val="left"/>
      <w:pPr>
        <w:ind w:left="141" w:hanging="360"/>
      </w:pPr>
      <w:rPr>
        <w:rFonts w:ascii="Arial" w:eastAsia="Arial" w:hAnsi="Arial" w:cs="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nsid w:val="12921238"/>
    <w:multiLevelType w:val="hybridMultilevel"/>
    <w:tmpl w:val="321A7AB4"/>
    <w:lvl w:ilvl="0">
      <w:start w:val="1"/>
      <w:numFmt w:val="bullet"/>
      <w:lvlText w:val="•"/>
      <w:lvlJc w:val="left"/>
      <w:pPr>
        <w:ind w:left="36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90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Restart w:val="0"/>
      <w:lvlText w:val="•"/>
      <w:lvlJc w:val="left"/>
      <w:pPr>
        <w:ind w:left="1441"/>
      </w:pPr>
      <w:rPr>
        <w:rFonts w:ascii="Arial" w:eastAsia="Arial" w:hAnsi="Arial" w:cs="Aria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61"/>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8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0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21"/>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4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6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47">
    <w:nsid w:val="140C4629"/>
    <w:multiLevelType w:val="multilevel"/>
    <w:tmpl w:val="B43838BE"/>
    <w:lvl w:ilvl="0">
      <w:start w:val="100"/>
      <w:numFmt w:val="upperRoman"/>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5"/>
      <w:numFmt w:val="decimal"/>
      <w:lvlRestart w:val="0"/>
      <w:lvlText w:val="%1.%2"/>
      <w:lvlJc w:val="left"/>
      <w:pPr>
        <w:ind w:left="73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48">
    <w:nsid w:val="144D1457"/>
    <w:multiLevelType w:val="hybridMultilevel"/>
    <w:tmpl w:val="ED44133E"/>
    <w:lvl w:ilvl="0">
      <w:start w:val="1"/>
      <w:numFmt w:val="bullet"/>
      <w:lvlText w:val="•"/>
      <w:lvlJc w:val="left"/>
      <w:pPr>
        <w:ind w:left="36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9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Restart w:val="0"/>
      <w:lvlText w:val="•"/>
      <w:lvlJc w:val="left"/>
      <w:pPr>
        <w:ind w:left="1440"/>
      </w:pPr>
      <w:rPr>
        <w:rFonts w:ascii="Arial" w:eastAsia="Arial" w:hAnsi="Arial" w:cs="Aria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6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2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49">
    <w:nsid w:val="14CA4632"/>
    <w:multiLevelType w:val="hybridMultilevel"/>
    <w:tmpl w:val="4864AE58"/>
    <w:lvl w:ilvl="0">
      <w:start w:val="1"/>
      <w:numFmt w:val="decimal"/>
      <w:lvlText w:val="%1."/>
      <w:lvlJc w:val="left"/>
      <w:pPr>
        <w:ind w:left="720"/>
      </w:pPr>
      <w:rPr>
        <w:rFonts w:ascii="Tahoma" w:eastAsia="Tahoma" w:hAnsi="Tahoma" w:cs="Tahom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Tahoma" w:eastAsia="Tahoma" w:hAnsi="Tahoma" w:cs="Tahom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Tahoma" w:eastAsia="Tahoma" w:hAnsi="Tahoma" w:cs="Tahom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Tahoma" w:eastAsia="Tahoma" w:hAnsi="Tahoma" w:cs="Tahom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Tahoma" w:eastAsia="Tahoma" w:hAnsi="Tahoma" w:cs="Tahom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Tahoma" w:eastAsia="Tahoma" w:hAnsi="Tahoma" w:cs="Tahom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Tahoma" w:eastAsia="Tahoma" w:hAnsi="Tahoma" w:cs="Tahom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Tahoma" w:eastAsia="Tahoma" w:hAnsi="Tahoma" w:cs="Tahom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Tahoma" w:eastAsia="Tahoma" w:hAnsi="Tahoma" w:cs="Tahoma"/>
        <w:b w:val="0"/>
        <w:i w:val="0"/>
        <w:strike w:val="0"/>
        <w:dstrike w:val="0"/>
        <w:color w:val="000000"/>
        <w:sz w:val="22"/>
        <w:szCs w:val="22"/>
        <w:u w:val="none" w:color="000000"/>
        <w:bdr w:val="nil"/>
        <w:shd w:val="clear" w:color="auto" w:fill="auto"/>
        <w:vertAlign w:val="baseline"/>
      </w:rPr>
    </w:lvl>
  </w:abstractNum>
  <w:abstractNum w:abstractNumId="50">
    <w:nsid w:val="15022DD1"/>
    <w:multiLevelType w:val="multilevel"/>
    <w:tmpl w:val="D83626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nsid w:val="15690C29"/>
    <w:multiLevelType w:val="hybridMultilevel"/>
    <w:tmpl w:val="8558FEAC"/>
    <w:lvl w:ilvl="0">
      <w:start w:val="1"/>
      <w:numFmt w:val="bullet"/>
      <w:lvlText w:val="•"/>
      <w:lvlJc w:val="left"/>
      <w:pPr>
        <w:ind w:left="36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93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Restart w:val="0"/>
      <w:lvlText w:val="•"/>
      <w:lvlJc w:val="left"/>
      <w:pPr>
        <w:ind w:left="1501"/>
      </w:pPr>
      <w:rPr>
        <w:rFonts w:ascii="Arial" w:eastAsia="Arial" w:hAnsi="Arial" w:cs="Aria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22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9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8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1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8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52">
    <w:nsid w:val="156E55A4"/>
    <w:multiLevelType w:val="hybridMultilevel"/>
    <w:tmpl w:val="5BAAE1B8"/>
    <w:lvl w:ilvl="0">
      <w:start w:val="1"/>
      <w:numFmt w:val="bullet"/>
      <w:lvlText w:val="•"/>
      <w:lvlJc w:val="left"/>
      <w:pPr>
        <w:ind w:left="72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53">
    <w:nsid w:val="160C0E48"/>
    <w:multiLevelType w:val="hybridMultilevel"/>
    <w:tmpl w:val="33521C46"/>
    <w:lvl w:ilvl="0">
      <w:start w:val="1"/>
      <w:numFmt w:val="decimal"/>
      <w:lvlText w:val="%1)"/>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54">
    <w:nsid w:val="16597DB6"/>
    <w:multiLevelType w:val="hybridMultilevel"/>
    <w:tmpl w:val="E1C6E59A"/>
    <w:lvl w:ilvl="0">
      <w:start w:val="7"/>
      <w:numFmt w:val="decimal"/>
      <w:lvlText w:val="%1"/>
      <w:lvlJc w:val="left"/>
      <w:pPr>
        <w:ind w:left="122"/>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1">
      <w:start w:val="1"/>
      <w:numFmt w:val="lowerLetter"/>
      <w:lvlText w:val="%2"/>
      <w:lvlJc w:val="left"/>
      <w:pPr>
        <w:ind w:left="108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2">
      <w:start w:val="1"/>
      <w:numFmt w:val="lowerRoman"/>
      <w:lvlText w:val="%3"/>
      <w:lvlJc w:val="left"/>
      <w:pPr>
        <w:ind w:left="180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3">
      <w:start w:val="1"/>
      <w:numFmt w:val="decimal"/>
      <w:lvlText w:val="%4"/>
      <w:lvlJc w:val="left"/>
      <w:pPr>
        <w:ind w:left="252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4">
      <w:start w:val="1"/>
      <w:numFmt w:val="lowerLetter"/>
      <w:lvlText w:val="%5"/>
      <w:lvlJc w:val="left"/>
      <w:pPr>
        <w:ind w:left="324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5">
      <w:start w:val="1"/>
      <w:numFmt w:val="lowerRoman"/>
      <w:lvlText w:val="%6"/>
      <w:lvlJc w:val="left"/>
      <w:pPr>
        <w:ind w:left="396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6">
      <w:start w:val="1"/>
      <w:numFmt w:val="decimal"/>
      <w:lvlText w:val="%7"/>
      <w:lvlJc w:val="left"/>
      <w:pPr>
        <w:ind w:left="468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7">
      <w:start w:val="1"/>
      <w:numFmt w:val="lowerLetter"/>
      <w:lvlText w:val="%8"/>
      <w:lvlJc w:val="left"/>
      <w:pPr>
        <w:ind w:left="540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8">
      <w:start w:val="1"/>
      <w:numFmt w:val="lowerRoman"/>
      <w:lvlText w:val="%9"/>
      <w:lvlJc w:val="left"/>
      <w:pPr>
        <w:ind w:left="6120"/>
      </w:pPr>
      <w:rPr>
        <w:rFonts w:ascii="Verdana" w:eastAsia="Verdana" w:hAnsi="Verdana" w:cs="Verdana"/>
        <w:b w:val="0"/>
        <w:i w:val="0"/>
        <w:strike w:val="0"/>
        <w:dstrike w:val="0"/>
        <w:color w:val="000000"/>
        <w:sz w:val="16"/>
        <w:szCs w:val="16"/>
        <w:u w:val="none" w:color="000000"/>
        <w:bdr w:val="nil"/>
        <w:shd w:val="clear" w:color="auto" w:fill="auto"/>
        <w:vertAlign w:val="superscript"/>
      </w:rPr>
    </w:lvl>
  </w:abstractNum>
  <w:abstractNum w:abstractNumId="55">
    <w:nsid w:val="17B10909"/>
    <w:multiLevelType w:val="hybridMultilevel"/>
    <w:tmpl w:val="8F46EC7C"/>
    <w:lvl w:ilvl="0">
      <w:start w:val="12"/>
      <w:numFmt w:val="decimal"/>
      <w:lvlText w:val="%1."/>
      <w:lvlJc w:val="left"/>
      <w:pPr>
        <w:ind w:left="367"/>
      </w:pPr>
      <w:rPr>
        <w:rFonts w:ascii="Arial" w:eastAsia="Arial" w:hAnsi="Arial" w:cs="Arial"/>
        <w:b w:val="0"/>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081"/>
      </w:pPr>
      <w:rPr>
        <w:rFonts w:ascii="Arial" w:eastAsia="Arial" w:hAnsi="Arial" w:cs="Arial"/>
        <w:b w:val="0"/>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801"/>
      </w:pPr>
      <w:rPr>
        <w:rFonts w:ascii="Arial" w:eastAsia="Arial" w:hAnsi="Arial" w:cs="Arial"/>
        <w:b w:val="0"/>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521"/>
      </w:pPr>
      <w:rPr>
        <w:rFonts w:ascii="Arial" w:eastAsia="Arial" w:hAnsi="Arial" w:cs="Arial"/>
        <w:b w:val="0"/>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241"/>
      </w:pPr>
      <w:rPr>
        <w:rFonts w:ascii="Arial" w:eastAsia="Arial" w:hAnsi="Arial" w:cs="Arial"/>
        <w:b w:val="0"/>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3961"/>
      </w:pPr>
      <w:rPr>
        <w:rFonts w:ascii="Arial" w:eastAsia="Arial" w:hAnsi="Arial" w:cs="Arial"/>
        <w:b w:val="0"/>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681"/>
      </w:pPr>
      <w:rPr>
        <w:rFonts w:ascii="Arial" w:eastAsia="Arial" w:hAnsi="Arial" w:cs="Arial"/>
        <w:b w:val="0"/>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401"/>
      </w:pPr>
      <w:rPr>
        <w:rFonts w:ascii="Arial" w:eastAsia="Arial" w:hAnsi="Arial" w:cs="Arial"/>
        <w:b w:val="0"/>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121"/>
      </w:pPr>
      <w:rPr>
        <w:rFonts w:ascii="Arial" w:eastAsia="Arial" w:hAnsi="Arial" w:cs="Arial"/>
        <w:b w:val="0"/>
        <w:i/>
        <w:iCs/>
        <w:strike w:val="0"/>
        <w:dstrike w:val="0"/>
        <w:color w:val="000000"/>
        <w:sz w:val="22"/>
        <w:szCs w:val="22"/>
        <w:u w:val="none" w:color="000000"/>
        <w:bdr w:val="nil"/>
        <w:shd w:val="clear" w:color="auto" w:fill="auto"/>
        <w:vertAlign w:val="baseline"/>
      </w:rPr>
    </w:lvl>
  </w:abstractNum>
  <w:abstractNum w:abstractNumId="56">
    <w:nsid w:val="18E361E2"/>
    <w:multiLevelType w:val="hybridMultilevel"/>
    <w:tmpl w:val="CC709A08"/>
    <w:lvl w:ilvl="0">
      <w:start w:val="1"/>
      <w:numFmt w:val="bullet"/>
      <w:lvlText w:val="•"/>
      <w:lvlJc w:val="left"/>
      <w:pPr>
        <w:ind w:left="358"/>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52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68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57">
    <w:nsid w:val="18E9609C"/>
    <w:multiLevelType w:val="hybridMultilevel"/>
    <w:tmpl w:val="0C86E086"/>
    <w:lvl w:ilvl="0">
      <w:start w:val="9"/>
      <w:numFmt w:val="decimal"/>
      <w:lvlText w:val="%1."/>
      <w:lvlJc w:val="left"/>
      <w:pPr>
        <w:ind w:left="42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15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9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31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03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75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95"/>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58">
    <w:nsid w:val="18EE25E7"/>
    <w:multiLevelType w:val="hybridMultilevel"/>
    <w:tmpl w:val="98D48B12"/>
    <w:lvl w:ilvl="0">
      <w:start w:val="1"/>
      <w:numFmt w:val="decimal"/>
      <w:lvlText w:val="[%1]"/>
      <w:lvlJc w:val="left"/>
      <w:pPr>
        <w:ind w:left="37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59">
    <w:nsid w:val="19434BEB"/>
    <w:multiLevelType w:val="hybridMultilevel"/>
    <w:tmpl w:val="74BCD18C"/>
    <w:lvl w:ilvl="0">
      <w:start w:val="1"/>
      <w:numFmt w:val="decimal"/>
      <w:lvlText w:val="%1."/>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39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1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3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55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2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99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1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35"/>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60">
    <w:nsid w:val="198E1443"/>
    <w:multiLevelType w:val="multilevel"/>
    <w:tmpl w:val="26E22580"/>
    <w:lvl w:ilvl="0">
      <w:start w:val="100"/>
      <w:numFmt w:val="upperRoman"/>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4"/>
      <w:numFmt w:val="decimal"/>
      <w:lvlRestart w:val="0"/>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61">
    <w:nsid w:val="1A0A2830"/>
    <w:multiLevelType w:val="multilevel"/>
    <w:tmpl w:val="F16C822E"/>
    <w:lvl w:ilvl="0">
      <w:start w:val="1"/>
      <w:numFmt w:val="decimal"/>
      <w:lvlText w:val="%1."/>
      <w:lvlJc w:val="left"/>
      <w:pPr>
        <w:ind w:left="72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73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Text w:val="%1.%2.%3"/>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0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18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25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2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39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4681"/>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62">
    <w:nsid w:val="1A363C01"/>
    <w:multiLevelType w:val="hybridMultilevel"/>
    <w:tmpl w:val="6356710E"/>
    <w:lvl w:ilvl="0">
      <w:start w:val="1"/>
      <w:numFmt w:val="bullet"/>
      <w:lvlText w:val="•"/>
      <w:lvlJc w:val="left"/>
      <w:pPr>
        <w:ind w:left="721"/>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63">
    <w:nsid w:val="1A445C12"/>
    <w:multiLevelType w:val="multilevel"/>
    <w:tmpl w:val="CCAC5DA0"/>
    <w:lvl w:ilvl="0">
      <w:start w:val="13"/>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9"/>
      <w:numFmt w:val="decimal"/>
      <w:lvlText w:val="%1.%2"/>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Restart w:val="0"/>
      <w:lvlText w:val="%1.%2.%3"/>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64">
    <w:nsid w:val="1AF13733"/>
    <w:multiLevelType w:val="hybridMultilevel"/>
    <w:tmpl w:val="96B06C26"/>
    <w:lvl w:ilvl="0">
      <w:start w:val="66"/>
      <w:numFmt w:val="decimal"/>
      <w:lvlText w:val="%1)"/>
      <w:lvlJc w:val="left"/>
      <w:pPr>
        <w:ind w:left="36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722"/>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44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16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288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360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32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04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5760"/>
      </w:pPr>
      <w:rPr>
        <w:rFonts w:ascii="Verdana" w:eastAsia="Verdana" w:hAnsi="Verdana" w:cs="Verdana"/>
        <w:b w:val="0"/>
        <w:i/>
        <w:iCs/>
        <w:strike w:val="0"/>
        <w:dstrike w:val="0"/>
        <w:color w:val="000000"/>
        <w:sz w:val="22"/>
        <w:szCs w:val="22"/>
        <w:u w:val="none" w:color="000000"/>
        <w:bdr w:val="nil"/>
        <w:shd w:val="clear" w:color="auto" w:fill="auto"/>
        <w:vertAlign w:val="baseline"/>
      </w:rPr>
    </w:lvl>
  </w:abstractNum>
  <w:abstractNum w:abstractNumId="65">
    <w:nsid w:val="1B0963AB"/>
    <w:multiLevelType w:val="hybridMultilevel"/>
    <w:tmpl w:val="C75A576E"/>
    <w:lvl w:ilvl="0">
      <w:start w:val="1"/>
      <w:numFmt w:val="bullet"/>
      <w:lvlText w:val="•"/>
      <w:lvlJc w:val="left"/>
      <w:pPr>
        <w:ind w:left="72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66">
    <w:nsid w:val="1B536C0C"/>
    <w:multiLevelType w:val="hybridMultilevel"/>
    <w:tmpl w:val="C56E9CAA"/>
    <w:lvl w:ilvl="0">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1">
      <w:start w:val="1"/>
      <w:numFmt w:val="bullet"/>
      <w:lvlText w:val="o"/>
      <w:lvlJc w:val="left"/>
      <w:pPr>
        <w:ind w:left="216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2">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3">
      <w:start w:val="1"/>
      <w:numFmt w:val="bullet"/>
      <w:lvlText w:val="•"/>
      <w:lvlJc w:val="left"/>
      <w:pPr>
        <w:ind w:left="360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4">
      <w:start w:val="1"/>
      <w:numFmt w:val="bullet"/>
      <w:lvlText w:val="o"/>
      <w:lvlJc w:val="left"/>
      <w:pPr>
        <w:ind w:left="432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5">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6">
      <w:start w:val="1"/>
      <w:numFmt w:val="bullet"/>
      <w:lvlText w:val="•"/>
      <w:lvlJc w:val="left"/>
      <w:pPr>
        <w:ind w:left="576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7">
      <w:start w:val="1"/>
      <w:numFmt w:val="bullet"/>
      <w:lvlText w:val="o"/>
      <w:lvlJc w:val="left"/>
      <w:pPr>
        <w:ind w:left="648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8">
      <w:start w:val="1"/>
      <w:numFmt w:val="bullet"/>
      <w:lvlText w:val="▪"/>
      <w:lvlJc w:val="left"/>
      <w:pPr>
        <w:ind w:left="720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abstractNum>
  <w:abstractNum w:abstractNumId="67">
    <w:nsid w:val="1B70577A"/>
    <w:multiLevelType w:val="hybridMultilevel"/>
    <w:tmpl w:val="4F247FE8"/>
    <w:lvl w:ilvl="0">
      <w:start w:val="1"/>
      <w:numFmt w:val="decimal"/>
      <w:lvlText w:val="%1."/>
      <w:lvlJc w:val="left"/>
      <w:pPr>
        <w:ind w:left="358"/>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iCs/>
        <w:strike w:val="0"/>
        <w:dstrike w:val="0"/>
        <w:color w:val="000000"/>
        <w:sz w:val="22"/>
        <w:szCs w:val="22"/>
        <w:u w:val="none" w:color="000000"/>
        <w:bdr w:val="nil"/>
        <w:shd w:val="clear" w:color="auto" w:fill="auto"/>
        <w:vertAlign w:val="baseline"/>
      </w:rPr>
    </w:lvl>
  </w:abstractNum>
  <w:abstractNum w:abstractNumId="68">
    <w:nsid w:val="1BFA7D2B"/>
    <w:multiLevelType w:val="hybridMultilevel"/>
    <w:tmpl w:val="5A0022AC"/>
    <w:lvl w:ilvl="0">
      <w:start w:val="26"/>
      <w:numFmt w:val="decimal"/>
      <w:lvlText w:val="%1"/>
      <w:lvlJc w:val="left"/>
      <w:pPr>
        <w:ind w:left="187"/>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1">
      <w:start w:val="1"/>
      <w:numFmt w:val="lowerLetter"/>
      <w:lvlText w:val="%2"/>
      <w:lvlJc w:val="left"/>
      <w:pPr>
        <w:ind w:left="108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2">
      <w:start w:val="1"/>
      <w:numFmt w:val="lowerRoman"/>
      <w:lvlText w:val="%3"/>
      <w:lvlJc w:val="left"/>
      <w:pPr>
        <w:ind w:left="180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3">
      <w:start w:val="1"/>
      <w:numFmt w:val="decimal"/>
      <w:lvlText w:val="%4"/>
      <w:lvlJc w:val="left"/>
      <w:pPr>
        <w:ind w:left="252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4">
      <w:start w:val="1"/>
      <w:numFmt w:val="lowerLetter"/>
      <w:lvlText w:val="%5"/>
      <w:lvlJc w:val="left"/>
      <w:pPr>
        <w:ind w:left="324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5">
      <w:start w:val="1"/>
      <w:numFmt w:val="lowerRoman"/>
      <w:lvlText w:val="%6"/>
      <w:lvlJc w:val="left"/>
      <w:pPr>
        <w:ind w:left="396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6">
      <w:start w:val="1"/>
      <w:numFmt w:val="decimal"/>
      <w:lvlText w:val="%7"/>
      <w:lvlJc w:val="left"/>
      <w:pPr>
        <w:ind w:left="468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7">
      <w:start w:val="1"/>
      <w:numFmt w:val="lowerLetter"/>
      <w:lvlText w:val="%8"/>
      <w:lvlJc w:val="left"/>
      <w:pPr>
        <w:ind w:left="540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8">
      <w:start w:val="1"/>
      <w:numFmt w:val="lowerRoman"/>
      <w:lvlText w:val="%9"/>
      <w:lvlJc w:val="left"/>
      <w:pPr>
        <w:ind w:left="6120"/>
      </w:pPr>
      <w:rPr>
        <w:rFonts w:ascii="Verdana" w:eastAsia="Verdana" w:hAnsi="Verdana" w:cs="Verdana"/>
        <w:b w:val="0"/>
        <w:i w:val="0"/>
        <w:strike w:val="0"/>
        <w:dstrike w:val="0"/>
        <w:color w:val="000000"/>
        <w:sz w:val="16"/>
        <w:szCs w:val="16"/>
        <w:u w:val="none" w:color="000000"/>
        <w:bdr w:val="nil"/>
        <w:shd w:val="clear" w:color="auto" w:fill="auto"/>
        <w:vertAlign w:val="superscript"/>
      </w:rPr>
    </w:lvl>
  </w:abstractNum>
  <w:abstractNum w:abstractNumId="69">
    <w:nsid w:val="1C075F4F"/>
    <w:multiLevelType w:val="hybridMultilevel"/>
    <w:tmpl w:val="2B40C28E"/>
    <w:lvl w:ilvl="0">
      <w:start w:val="4"/>
      <w:numFmt w:val="decimal"/>
      <w:lvlText w:val="%1."/>
      <w:lvlJc w:val="left"/>
      <w:pPr>
        <w:ind w:left="356"/>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il"/>
        <w:shd w:val="clear" w:color="auto" w:fill="auto"/>
        <w:vertAlign w:val="baseline"/>
      </w:rPr>
    </w:lvl>
  </w:abstractNum>
  <w:abstractNum w:abstractNumId="70">
    <w:nsid w:val="1C145FC0"/>
    <w:multiLevelType w:val="multilevel"/>
    <w:tmpl w:val="03AAFB1C"/>
    <w:lvl w:ilvl="0">
      <w:start w:val="12"/>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Restart w:val="0"/>
      <w:lvlText w:val="%1.%2"/>
      <w:lvlJc w:val="left"/>
      <w:pPr>
        <w:ind w:left="142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789"/>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09"/>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29"/>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49"/>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69"/>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389"/>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09"/>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71">
    <w:nsid w:val="1D044C82"/>
    <w:multiLevelType w:val="hybridMultilevel"/>
    <w:tmpl w:val="CB8C62E0"/>
    <w:lvl w:ilvl="0">
      <w:start w:val="1"/>
      <w:numFmt w:val="lowerLetter"/>
      <w:lvlText w:val="%1."/>
      <w:lvlJc w:val="left"/>
      <w:pPr>
        <w:ind w:left="1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72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72">
    <w:nsid w:val="1D9B71BE"/>
    <w:multiLevelType w:val="hybridMultilevel"/>
    <w:tmpl w:val="94EA3A14"/>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73">
    <w:nsid w:val="1DF03954"/>
    <w:multiLevelType w:val="hybridMultilevel"/>
    <w:tmpl w:val="3AF2C96E"/>
    <w:lvl w:ilvl="0">
      <w:start w:val="1"/>
      <w:numFmt w:val="bullet"/>
      <w:lvlText w:val="•"/>
      <w:lvlJc w:val="left"/>
      <w:pPr>
        <w:ind w:left="72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344"/>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064"/>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784"/>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504"/>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224"/>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944"/>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664"/>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384"/>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74">
    <w:nsid w:val="1E100EED"/>
    <w:multiLevelType w:val="multilevel"/>
    <w:tmpl w:val="869231FC"/>
    <w:lvl w:ilvl="0">
      <w:start w:val="2"/>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2"/>
      <w:numFmt w:val="decimal"/>
      <w:lvlRestart w:val="0"/>
      <w:lvlText w:val="%1.%2"/>
      <w:lvlJc w:val="left"/>
      <w:pPr>
        <w:ind w:left="68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75">
    <w:nsid w:val="1E153AD0"/>
    <w:multiLevelType w:val="multilevel"/>
    <w:tmpl w:val="0E344FDE"/>
    <w:lvl w:ilvl="0">
      <w:start w:val="2"/>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2"/>
      <w:numFmt w:val="decimal"/>
      <w:lvlText w:val="%1.%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76">
    <w:nsid w:val="1E753253"/>
    <w:multiLevelType w:val="hybridMultilevel"/>
    <w:tmpl w:val="9424BC10"/>
    <w:lvl w:ilvl="0">
      <w:start w:val="1"/>
      <w:numFmt w:val="decimal"/>
      <w:lvlText w:val="%1."/>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77">
    <w:nsid w:val="1E932A02"/>
    <w:multiLevelType w:val="hybridMultilevel"/>
    <w:tmpl w:val="73CA82C4"/>
    <w:lvl w:ilvl="0">
      <w:start w:val="23"/>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78">
    <w:nsid w:val="1ECB1368"/>
    <w:multiLevelType w:val="hybridMultilevel"/>
    <w:tmpl w:val="6EB0E8A8"/>
    <w:lvl w:ilvl="0">
      <w:start w:val="1"/>
      <w:numFmt w:val="decimal"/>
      <w:lvlText w:val="%1)"/>
      <w:lvlJc w:val="left"/>
      <w:pPr>
        <w:ind w:left="352"/>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7"/>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7"/>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7"/>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7"/>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7"/>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7"/>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7"/>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7"/>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79">
    <w:nsid w:val="1F681A5C"/>
    <w:multiLevelType w:val="hybridMultilevel"/>
    <w:tmpl w:val="DFDA68B2"/>
    <w:lvl w:ilvl="0">
      <w:start w:val="2"/>
      <w:numFmt w:val="decimal"/>
      <w:lvlText w:val="%1."/>
      <w:lvlJc w:val="left"/>
      <w:pPr>
        <w:ind w:left="50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2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94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66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38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10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8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54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262"/>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80">
    <w:nsid w:val="1F71613E"/>
    <w:multiLevelType w:val="hybridMultilevel"/>
    <w:tmpl w:val="927C4978"/>
    <w:lvl w:ilvl="0">
      <w:start w:val="1"/>
      <w:numFmt w:val="bullet"/>
      <w:lvlText w:val="•"/>
      <w:lvlJc w:val="left"/>
      <w:pPr>
        <w:ind w:left="720"/>
      </w:pPr>
      <w:rPr>
        <w:rFonts w:ascii="Arial" w:eastAsia="Arial" w:hAnsi="Arial" w:cs="Arial"/>
        <w:b w:val="0"/>
        <w:i w:val="0"/>
        <w:strike w:val="0"/>
        <w:dstrike w:val="0"/>
        <w:color w:val="000000"/>
        <w:sz w:val="20"/>
        <w:szCs w:val="20"/>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0"/>
        <w:szCs w:val="20"/>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0"/>
        <w:szCs w:val="20"/>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abstractNum>
  <w:abstractNum w:abstractNumId="81">
    <w:nsid w:val="1FED6C2E"/>
    <w:multiLevelType w:val="hybridMultilevel"/>
    <w:tmpl w:val="C484A708"/>
    <w:lvl w:ilvl="0">
      <w:start w:val="6"/>
      <w:numFmt w:val="decimal"/>
      <w:lvlText w:val="%1."/>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82">
    <w:nsid w:val="201277CB"/>
    <w:multiLevelType w:val="hybridMultilevel"/>
    <w:tmpl w:val="06DCA798"/>
    <w:lvl w:ilvl="0">
      <w:start w:val="1"/>
      <w:numFmt w:val="bullet"/>
      <w:lvlText w:val="•"/>
      <w:lvlJc w:val="left"/>
      <w:pPr>
        <w:ind w:left="783"/>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9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21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935"/>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5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7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95"/>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81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53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83">
    <w:nsid w:val="20E12045"/>
    <w:multiLevelType w:val="hybridMultilevel"/>
    <w:tmpl w:val="5E80C718"/>
    <w:lvl w:ilvl="0">
      <w:start w:val="1"/>
      <w:numFmt w:val="decimal"/>
      <w:lvlText w:val="%1."/>
      <w:lvlJc w:val="left"/>
      <w:pPr>
        <w:ind w:left="3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12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4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6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8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00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72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4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66"/>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84">
    <w:nsid w:val="21602419"/>
    <w:multiLevelType w:val="hybridMultilevel"/>
    <w:tmpl w:val="26086DB0"/>
    <w:lvl w:ilvl="0">
      <w:start w:val="8"/>
      <w:numFmt w:val="decimal"/>
      <w:lvlText w:val="%1"/>
      <w:lvlJc w:val="left"/>
      <w:pPr>
        <w:ind w:left="161"/>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1">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2">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3">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4">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5">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6">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7">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8">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il"/>
        <w:shd w:val="clear" w:color="auto" w:fill="auto"/>
        <w:vertAlign w:val="superscript"/>
      </w:rPr>
    </w:lvl>
  </w:abstractNum>
  <w:abstractNum w:abstractNumId="85">
    <w:nsid w:val="216968F7"/>
    <w:multiLevelType w:val="hybridMultilevel"/>
    <w:tmpl w:val="260E3434"/>
    <w:lvl w:ilvl="0">
      <w:start w:val="1"/>
      <w:numFmt w:val="bullet"/>
      <w:lvlText w:val="•"/>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
      <w:lvlJc w:val="left"/>
      <w:pPr>
        <w:ind w:left="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86">
    <w:nsid w:val="217963FA"/>
    <w:multiLevelType w:val="hybridMultilevel"/>
    <w:tmpl w:val="7CC65678"/>
    <w:lvl w:ilvl="0">
      <w:start w:val="1"/>
      <w:numFmt w:val="decimal"/>
      <w:lvlText w:val="%1."/>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87">
    <w:nsid w:val="21824102"/>
    <w:multiLevelType w:val="hybridMultilevel"/>
    <w:tmpl w:val="548ABA9C"/>
    <w:lvl w:ilvl="0">
      <w:start w:val="1"/>
      <w:numFmt w:val="decimal"/>
      <w:lvlText w:val="%1."/>
      <w:lvlJc w:val="left"/>
      <w:pPr>
        <w:ind w:left="3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88">
    <w:nsid w:val="221D724E"/>
    <w:multiLevelType w:val="hybridMultilevel"/>
    <w:tmpl w:val="F9D87F96"/>
    <w:lvl w:ilvl="0">
      <w:start w:val="1"/>
      <w:numFmt w:val="bullet"/>
      <w:lvlText w:val="-"/>
      <w:lvlJc w:val="left"/>
      <w:pPr>
        <w:ind w:left="1449"/>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68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756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89">
    <w:nsid w:val="225A7C91"/>
    <w:multiLevelType w:val="hybridMultilevel"/>
    <w:tmpl w:val="3A88D3DA"/>
    <w:lvl w:ilvl="0">
      <w:start w:val="47"/>
      <w:numFmt w:val="decimal"/>
      <w:lvlText w:val="%1."/>
      <w:lvlJc w:val="left"/>
      <w:pPr>
        <w:ind w:left="706"/>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il"/>
        <w:shd w:val="clear" w:color="auto" w:fill="auto"/>
        <w:vertAlign w:val="baseline"/>
      </w:rPr>
    </w:lvl>
  </w:abstractNum>
  <w:abstractNum w:abstractNumId="90">
    <w:nsid w:val="22C7739F"/>
    <w:multiLevelType w:val="hybridMultilevel"/>
    <w:tmpl w:val="DF88E2D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1">
    <w:nsid w:val="22D16A40"/>
    <w:multiLevelType w:val="hybridMultilevel"/>
    <w:tmpl w:val="AE884E28"/>
    <w:lvl w:ilvl="0">
      <w:start w:val="1"/>
      <w:numFmt w:val="bullet"/>
      <w:lvlText w:val="●"/>
      <w:lvlJc w:val="left"/>
      <w:pPr>
        <w:ind w:left="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92">
    <w:nsid w:val="22F07B9C"/>
    <w:multiLevelType w:val="hybridMultilevel"/>
    <w:tmpl w:val="AEB01DA4"/>
    <w:lvl w:ilvl="0">
      <w:start w:val="1"/>
      <w:numFmt w:val="decimal"/>
      <w:lvlText w:val="%1."/>
      <w:lvlJc w:val="left"/>
      <w:pPr>
        <w:ind w:left="706"/>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il"/>
        <w:shd w:val="clear" w:color="auto" w:fill="auto"/>
        <w:vertAlign w:val="baseline"/>
      </w:rPr>
    </w:lvl>
  </w:abstractNum>
  <w:abstractNum w:abstractNumId="93">
    <w:nsid w:val="235C4A8E"/>
    <w:multiLevelType w:val="hybridMultilevel"/>
    <w:tmpl w:val="F24A89C0"/>
    <w:lvl w:ilvl="0">
      <w:start w:val="3"/>
      <w:numFmt w:val="decimal"/>
      <w:lvlText w:val="%1."/>
      <w:lvlJc w:val="left"/>
      <w:pPr>
        <w:ind w:left="7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366"/>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086"/>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06"/>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526"/>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246"/>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966"/>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686"/>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06"/>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94">
    <w:nsid w:val="2369282D"/>
    <w:multiLevelType w:val="hybridMultilevel"/>
    <w:tmpl w:val="F5F09732"/>
    <w:lvl w:ilvl="0">
      <w:start w:val="3"/>
      <w:numFmt w:val="lowerRoman"/>
      <w:lvlText w:val="%1"/>
      <w:lvlJc w:val="left"/>
      <w:pPr>
        <w:ind w:left="10"/>
      </w:pPr>
      <w:rPr>
        <w:rFonts w:ascii="Verdana" w:eastAsia="Verdana" w:hAnsi="Verdana" w:cs="Verdana"/>
        <w:b w:val="0"/>
        <w:i w:val="0"/>
        <w:strike w:val="0"/>
        <w:dstrike w:val="0"/>
        <w:color w:val="000000"/>
        <w:sz w:val="20"/>
        <w:szCs w:val="20"/>
        <w:u w:val="none" w:color="000000"/>
        <w:bdr w:val="nil"/>
        <w:shd w:val="clear" w:color="auto" w:fill="auto"/>
        <w:vertAlign w:val="superscript"/>
      </w:rPr>
    </w:lvl>
    <w:lvl w:ilvl="1">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il"/>
        <w:shd w:val="clear" w:color="auto" w:fill="auto"/>
        <w:vertAlign w:val="superscript"/>
      </w:rPr>
    </w:lvl>
    <w:lvl w:ilvl="2">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il"/>
        <w:shd w:val="clear" w:color="auto" w:fill="auto"/>
        <w:vertAlign w:val="superscript"/>
      </w:rPr>
    </w:lvl>
    <w:lvl w:ilvl="3">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il"/>
        <w:shd w:val="clear" w:color="auto" w:fill="auto"/>
        <w:vertAlign w:val="superscript"/>
      </w:rPr>
    </w:lvl>
    <w:lvl w:ilvl="4">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il"/>
        <w:shd w:val="clear" w:color="auto" w:fill="auto"/>
        <w:vertAlign w:val="superscript"/>
      </w:rPr>
    </w:lvl>
    <w:lvl w:ilvl="5">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il"/>
        <w:shd w:val="clear" w:color="auto" w:fill="auto"/>
        <w:vertAlign w:val="superscript"/>
      </w:rPr>
    </w:lvl>
    <w:lvl w:ilvl="6">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il"/>
        <w:shd w:val="clear" w:color="auto" w:fill="auto"/>
        <w:vertAlign w:val="superscript"/>
      </w:rPr>
    </w:lvl>
    <w:lvl w:ilvl="7">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il"/>
        <w:shd w:val="clear" w:color="auto" w:fill="auto"/>
        <w:vertAlign w:val="superscript"/>
      </w:rPr>
    </w:lvl>
    <w:lvl w:ilvl="8">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il"/>
        <w:shd w:val="clear" w:color="auto" w:fill="auto"/>
        <w:vertAlign w:val="superscript"/>
      </w:rPr>
    </w:lvl>
  </w:abstractNum>
  <w:abstractNum w:abstractNumId="95">
    <w:nsid w:val="237E4C87"/>
    <w:multiLevelType w:val="hybridMultilevel"/>
    <w:tmpl w:val="23D4D776"/>
    <w:lvl w:ilvl="0">
      <w:start w:val="1"/>
      <w:numFmt w:val="decimal"/>
      <w:lvlText w:val="%1"/>
      <w:lvlJc w:val="left"/>
      <w:pPr>
        <w:ind w:left="92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96">
    <w:nsid w:val="2480015C"/>
    <w:multiLevelType w:val="multilevel"/>
    <w:tmpl w:val="B5CE4A84"/>
    <w:lvl w:ilvl="0">
      <w:start w:val="6"/>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Restart w:val="0"/>
      <w:lvlText w:val="%1.%2"/>
      <w:lvlJc w:val="left"/>
      <w:pPr>
        <w:ind w:left="1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97">
    <w:nsid w:val="268C07D9"/>
    <w:multiLevelType w:val="hybridMultilevel"/>
    <w:tmpl w:val="68342C0A"/>
    <w:lvl w:ilvl="0">
      <w:start w:val="1"/>
      <w:numFmt w:val="decimal"/>
      <w:lvlText w:val="%1."/>
      <w:lvlJc w:val="left"/>
      <w:pPr>
        <w:ind w:left="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98">
    <w:nsid w:val="269C559A"/>
    <w:multiLevelType w:val="hybridMultilevel"/>
    <w:tmpl w:val="95FED71C"/>
    <w:lvl w:ilvl="0">
      <w:start w:val="1"/>
      <w:numFmt w:val="bullet"/>
      <w:lvlText w:val="•"/>
      <w:lvlJc w:val="left"/>
      <w:pPr>
        <w:ind w:left="720"/>
      </w:pPr>
      <w:rPr>
        <w:rFonts w:ascii="Arial" w:eastAsia="Arial" w:hAnsi="Arial" w:cs="Arial"/>
        <w:b w:val="0"/>
        <w:i w:val="0"/>
        <w:strike w:val="0"/>
        <w:dstrike w:val="0"/>
        <w:color w:val="000000"/>
        <w:sz w:val="20"/>
        <w:szCs w:val="20"/>
        <w:u w:val="none" w:color="000000"/>
        <w:bdr w:val="nil"/>
        <w:shd w:val="clear" w:color="auto" w:fill="auto"/>
        <w:vertAlign w:val="baseline"/>
      </w:rPr>
    </w:lvl>
    <w:lvl w:ilvl="1">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2">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3">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4">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5">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6">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7">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8">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abstractNum>
  <w:abstractNum w:abstractNumId="99">
    <w:nsid w:val="27006F1A"/>
    <w:multiLevelType w:val="hybridMultilevel"/>
    <w:tmpl w:val="F348B390"/>
    <w:lvl w:ilvl="0">
      <w:start w:val="1"/>
      <w:numFmt w:val="decimal"/>
      <w:lvlText w:val="%1."/>
      <w:lvlJc w:val="left"/>
      <w:pPr>
        <w:ind w:left="1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100">
    <w:nsid w:val="2758047D"/>
    <w:multiLevelType w:val="hybridMultilevel"/>
    <w:tmpl w:val="C6123070"/>
    <w:lvl w:ilvl="0">
      <w:start w:val="1"/>
      <w:numFmt w:val="decimal"/>
      <w:lvlText w:val="%1."/>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01">
    <w:nsid w:val="277E546B"/>
    <w:multiLevelType w:val="hybridMultilevel"/>
    <w:tmpl w:val="B2C25FE8"/>
    <w:lvl w:ilvl="0">
      <w:start w:val="11"/>
      <w:numFmt w:val="decimal"/>
      <w:lvlText w:val="%1."/>
      <w:lvlJc w:val="left"/>
      <w:pPr>
        <w:ind w:left="3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
      <w:lvlJc w:val="left"/>
      <w:pPr>
        <w:ind w:left="1083"/>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80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525"/>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24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96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685"/>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40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12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02">
    <w:nsid w:val="279F2DB1"/>
    <w:multiLevelType w:val="hybridMultilevel"/>
    <w:tmpl w:val="59EC220A"/>
    <w:lvl w:ilvl="0">
      <w:start w:val="1"/>
      <w:numFmt w:val="decimal"/>
      <w:lvlText w:val="%1."/>
      <w:lvlJc w:val="left"/>
      <w:pPr>
        <w:ind w:left="1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2"/>
      <w:numFmt w:val="upperLetter"/>
      <w:lvlRestart w:val="0"/>
      <w:lvlText w:val="%2."/>
      <w:lvlJc w:val="left"/>
      <w:pPr>
        <w:ind w:left="72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4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6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3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0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6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103">
    <w:nsid w:val="28881E85"/>
    <w:multiLevelType w:val="multilevel"/>
    <w:tmpl w:val="F4F60F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4">
    <w:nsid w:val="290C5F52"/>
    <w:multiLevelType w:val="multilevel"/>
    <w:tmpl w:val="515A3EAC"/>
    <w:lvl w:ilvl="0">
      <w:start w:val="13"/>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5"/>
      <w:numFmt w:val="decimal"/>
      <w:lvlText w:val="%1.%2"/>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Restart w:val="0"/>
      <w:lvlText w:val="%1.%2.%3"/>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05">
    <w:nsid w:val="29FC7168"/>
    <w:multiLevelType w:val="hybridMultilevel"/>
    <w:tmpl w:val="D5665AAE"/>
    <w:lvl w:ilvl="0">
      <w:start w:val="15"/>
      <w:numFmt w:val="decimal"/>
      <w:lvlText w:val="%1."/>
      <w:lvlJc w:val="left"/>
      <w:pPr>
        <w:ind w:left="45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
      <w:lvlJc w:val="left"/>
      <w:pPr>
        <w:ind w:left="720"/>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6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2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06">
    <w:nsid w:val="2AE72647"/>
    <w:multiLevelType w:val="hybridMultilevel"/>
    <w:tmpl w:val="692643C6"/>
    <w:lvl w:ilvl="0">
      <w:start w:val="12"/>
      <w:numFmt w:val="decimal"/>
      <w:lvlText w:val="%1."/>
      <w:lvlJc w:val="left"/>
      <w:pPr>
        <w:ind w:left="1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107">
    <w:nsid w:val="2B7C670A"/>
    <w:multiLevelType w:val="multilevel"/>
    <w:tmpl w:val="5FF6C34E"/>
    <w:lvl w:ilvl="0">
      <w:start w:val="1"/>
      <w:numFmt w:val="decimal"/>
      <w:lvlText w:val="%1."/>
      <w:lvlJc w:val="left"/>
      <w:pPr>
        <w:ind w:left="36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1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08">
    <w:nsid w:val="2BF8170F"/>
    <w:multiLevelType w:val="hybridMultilevel"/>
    <w:tmpl w:val="B1D6F65E"/>
    <w:lvl w:ilvl="0">
      <w:start w:val="1"/>
      <w:numFmt w:val="bullet"/>
      <w:lvlText w:val="•"/>
      <w:lvlJc w:val="left"/>
      <w:pPr>
        <w:ind w:left="361"/>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52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68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09">
    <w:nsid w:val="2D2234BD"/>
    <w:multiLevelType w:val="hybridMultilevel"/>
    <w:tmpl w:val="DCA42E5A"/>
    <w:lvl w:ilvl="0">
      <w:start w:val="14"/>
      <w:numFmt w:val="decimal"/>
      <w:lvlText w:val="%1."/>
      <w:lvlJc w:val="left"/>
      <w:pPr>
        <w:ind w:left="1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1">
      <w:start w:val="1"/>
      <w:numFmt w:val="bullet"/>
      <w:lvlText w:val="•"/>
      <w:lvlJc w:val="left"/>
      <w:pPr>
        <w:ind w:left="721"/>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6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2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10">
    <w:nsid w:val="2D5F5EE7"/>
    <w:multiLevelType w:val="multilevel"/>
    <w:tmpl w:val="2820C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nsid w:val="2D6B150C"/>
    <w:multiLevelType w:val="hybridMultilevel"/>
    <w:tmpl w:val="5EE4EF38"/>
    <w:lvl w:ilvl="0">
      <w:start w:val="1"/>
      <w:numFmt w:val="decimal"/>
      <w:lvlText w:val="%1."/>
      <w:lvlJc w:val="left"/>
      <w:pPr>
        <w:ind w:left="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12">
    <w:nsid w:val="2E704A2B"/>
    <w:multiLevelType w:val="hybridMultilevel"/>
    <w:tmpl w:val="306CF07C"/>
    <w:lvl w:ilvl="0">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il"/>
        <w:shd w:val="clear" w:color="auto" w:fill="auto"/>
        <w:vertAlign w:val="baseline"/>
      </w:rPr>
    </w:lvl>
  </w:abstractNum>
  <w:abstractNum w:abstractNumId="113">
    <w:nsid w:val="2E842950"/>
    <w:multiLevelType w:val="multilevel"/>
    <w:tmpl w:val="17A67E7C"/>
    <w:lvl w:ilvl="0">
      <w:start w:val="8"/>
      <w:numFmt w:val="decimal"/>
      <w:lvlText w:val="%1."/>
      <w:lvlJc w:val="left"/>
      <w:pPr>
        <w:ind w:left="0" w:firstLine="0"/>
      </w:pPr>
      <w:rPr>
        <w:rFonts w:ascii="Arial" w:eastAsia="Arial" w:hAnsi="Arial" w:cs="Arial"/>
        <w:color w:val="222222"/>
        <w:sz w:val="22"/>
        <w:szCs w:val="22"/>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114">
    <w:nsid w:val="2F2306CD"/>
    <w:multiLevelType w:val="hybridMultilevel"/>
    <w:tmpl w:val="34AE5C4C"/>
    <w:lvl w:ilvl="0">
      <w:start w:val="62"/>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15">
    <w:nsid w:val="2F366B31"/>
    <w:multiLevelType w:val="hybridMultilevel"/>
    <w:tmpl w:val="E62E2220"/>
    <w:lvl w:ilvl="0">
      <w:start w:val="4"/>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16">
    <w:nsid w:val="2F731143"/>
    <w:multiLevelType w:val="hybridMultilevel"/>
    <w:tmpl w:val="ED289582"/>
    <w:lvl w:ilvl="0">
      <w:start w:val="1"/>
      <w:numFmt w:val="bullet"/>
      <w:lvlText w:val="•"/>
      <w:lvlJc w:val="left"/>
      <w:pPr>
        <w:ind w:left="36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Restart w:val="0"/>
      <w:lvlText w:val="•"/>
      <w:lvlJc w:val="left"/>
      <w:pPr>
        <w:ind w:left="723"/>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44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61"/>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8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0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21"/>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4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6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17">
    <w:nsid w:val="30D04586"/>
    <w:multiLevelType w:val="hybridMultilevel"/>
    <w:tmpl w:val="C038D36A"/>
    <w:lvl w:ilvl="0">
      <w:start w:val="1"/>
      <w:numFmt w:val="decimal"/>
      <w:lvlText w:val="%1."/>
      <w:lvlJc w:val="left"/>
      <w:pPr>
        <w:ind w:left="1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1">
      <w:start w:val="1"/>
      <w:numFmt w:val="decimal"/>
      <w:lvlText w:val="%2."/>
      <w:lvlJc w:val="left"/>
      <w:pPr>
        <w:ind w:left="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18">
    <w:nsid w:val="31D61D36"/>
    <w:multiLevelType w:val="hybridMultilevel"/>
    <w:tmpl w:val="B3682C06"/>
    <w:lvl w:ilvl="0">
      <w:start w:val="1"/>
      <w:numFmt w:val="decimal"/>
      <w:lvlText w:val="%1."/>
      <w:lvlJc w:val="left"/>
      <w:pPr>
        <w:ind w:left="7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19">
    <w:nsid w:val="31E71789"/>
    <w:multiLevelType w:val="hybridMultilevel"/>
    <w:tmpl w:val="46023E9C"/>
    <w:lvl w:ilvl="0">
      <w:start w:val="1"/>
      <w:numFmt w:val="decimal"/>
      <w:lvlText w:val="%1."/>
      <w:lvlJc w:val="left"/>
      <w:pPr>
        <w:ind w:left="706"/>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1">
      <w:start w:val="1"/>
      <w:numFmt w:val="bullet"/>
      <w:lvlText w:val="•"/>
      <w:lvlJc w:val="left"/>
      <w:pPr>
        <w:ind w:left="1081"/>
      </w:pPr>
      <w:rPr>
        <w:rFonts w:ascii="Arial" w:eastAsia="Arial" w:hAnsi="Arial" w:cs="Arial"/>
        <w:b w:val="0"/>
        <w:i w:val="0"/>
        <w:strike w:val="0"/>
        <w:dstrike w:val="0"/>
        <w:color w:val="000000"/>
        <w:sz w:val="20"/>
        <w:szCs w:val="20"/>
        <w:u w:val="none" w:color="000000"/>
        <w:bdr w:val="nil"/>
        <w:shd w:val="clear" w:color="auto" w:fill="auto"/>
        <w:vertAlign w:val="baseline"/>
      </w:rPr>
    </w:lvl>
    <w:lvl w:ilvl="2">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3">
      <w:start w:val="1"/>
      <w:numFmt w:val="bullet"/>
      <w:lvlText w:val="•"/>
      <w:lvlJc w:val="left"/>
      <w:pPr>
        <w:ind w:left="2160"/>
      </w:pPr>
      <w:rPr>
        <w:rFonts w:ascii="Arial" w:eastAsia="Arial" w:hAnsi="Arial" w:cs="Arial"/>
        <w:b w:val="0"/>
        <w:i w:val="0"/>
        <w:strike w:val="0"/>
        <w:dstrike w:val="0"/>
        <w:color w:val="000000"/>
        <w:sz w:val="20"/>
        <w:szCs w:val="20"/>
        <w:u w:val="none" w:color="000000"/>
        <w:bdr w:val="nil"/>
        <w:shd w:val="clear" w:color="auto" w:fill="auto"/>
        <w:vertAlign w:val="baseline"/>
      </w:rPr>
    </w:lvl>
    <w:lvl w:ilvl="4">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5">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6">
      <w:start w:val="1"/>
      <w:numFmt w:val="bullet"/>
      <w:lvlText w:val="•"/>
      <w:lvlJc w:val="left"/>
      <w:pPr>
        <w:ind w:left="4320"/>
      </w:pPr>
      <w:rPr>
        <w:rFonts w:ascii="Arial" w:eastAsia="Arial" w:hAnsi="Arial" w:cs="Arial"/>
        <w:b w:val="0"/>
        <w:i w:val="0"/>
        <w:strike w:val="0"/>
        <w:dstrike w:val="0"/>
        <w:color w:val="000000"/>
        <w:sz w:val="20"/>
        <w:szCs w:val="20"/>
        <w:u w:val="none" w:color="000000"/>
        <w:bdr w:val="nil"/>
        <w:shd w:val="clear" w:color="auto" w:fill="auto"/>
        <w:vertAlign w:val="baseline"/>
      </w:rPr>
    </w:lvl>
    <w:lvl w:ilvl="7">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8">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abstractNum>
  <w:abstractNum w:abstractNumId="120">
    <w:nsid w:val="31E96FB0"/>
    <w:multiLevelType w:val="hybridMultilevel"/>
    <w:tmpl w:val="1BFA90B8"/>
    <w:lvl w:ilvl="0">
      <w:start w:val="3"/>
      <w:numFmt w:val="decimal"/>
      <w:lvlText w:val="%1"/>
      <w:lvlJc w:val="left"/>
      <w:pPr>
        <w:ind w:left="84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21">
    <w:nsid w:val="31FC42E3"/>
    <w:multiLevelType w:val="hybridMultilevel"/>
    <w:tmpl w:val="7C94C246"/>
    <w:lvl w:ilvl="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il"/>
        <w:shd w:val="clear" w:color="auto" w:fill="auto"/>
        <w:vertAlign w:val="baseline"/>
      </w:rPr>
    </w:lvl>
  </w:abstractNum>
  <w:abstractNum w:abstractNumId="122">
    <w:nsid w:val="327D2EF3"/>
    <w:multiLevelType w:val="hybridMultilevel"/>
    <w:tmpl w:val="C90A1F90"/>
    <w:lvl w:ilvl="0">
      <w:start w:val="1"/>
      <w:numFmt w:val="bullet"/>
      <w:lvlText w:val="-"/>
      <w:lvlJc w:val="left"/>
      <w:pPr>
        <w:ind w:left="821"/>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541"/>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261"/>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981"/>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701"/>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421"/>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141"/>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861"/>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581"/>
      </w:pPr>
      <w:rPr>
        <w:rFonts w:ascii="Cambria" w:eastAsia="Cambria" w:hAnsi="Cambria" w:cs="Cambria"/>
        <w:b w:val="0"/>
        <w:i w:val="0"/>
        <w:strike w:val="0"/>
        <w:dstrike w:val="0"/>
        <w:color w:val="000000"/>
        <w:sz w:val="22"/>
        <w:szCs w:val="22"/>
        <w:u w:val="none" w:color="000000"/>
        <w:bdr w:val="nil"/>
        <w:shd w:val="clear" w:color="auto" w:fill="auto"/>
        <w:vertAlign w:val="baseline"/>
      </w:rPr>
    </w:lvl>
  </w:abstractNum>
  <w:abstractNum w:abstractNumId="123">
    <w:nsid w:val="33754AFF"/>
    <w:multiLevelType w:val="hybridMultilevel"/>
    <w:tmpl w:val="94F89320"/>
    <w:lvl w:ilvl="0">
      <w:start w:val="1"/>
      <w:numFmt w:val="decimal"/>
      <w:lvlText w:val="%1."/>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24">
    <w:nsid w:val="33881728"/>
    <w:multiLevelType w:val="hybridMultilevel"/>
    <w:tmpl w:val="1E0C2060"/>
    <w:lvl w:ilvl="0">
      <w:start w:val="8"/>
      <w:numFmt w:val="decimal"/>
      <w:lvlText w:val="%1."/>
      <w:lvlJc w:val="left"/>
      <w:pPr>
        <w:ind w:left="3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25">
    <w:nsid w:val="33B9075D"/>
    <w:multiLevelType w:val="hybridMultilevel"/>
    <w:tmpl w:val="37AAC800"/>
    <w:lvl w:ilvl="0">
      <w:start w:val="1"/>
      <w:numFmt w:val="bullet"/>
      <w:lvlText w:val="•"/>
      <w:lvlJc w:val="left"/>
      <w:pPr>
        <w:ind w:left="72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26">
    <w:nsid w:val="340559CC"/>
    <w:multiLevelType w:val="multilevel"/>
    <w:tmpl w:val="811A523C"/>
    <w:lvl w:ilvl="0">
      <w:start w:val="6"/>
      <w:numFmt w:val="decimal"/>
      <w:lvlText w:val="%1."/>
      <w:lvlJc w:val="left"/>
      <w:pPr>
        <w:ind w:left="796"/>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73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Text w:val="%1.%2.%3"/>
      <w:lvlJc w:val="left"/>
      <w:pPr>
        <w:ind w:left="2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27">
    <w:nsid w:val="34642132"/>
    <w:multiLevelType w:val="multilevel"/>
    <w:tmpl w:val="6E82E210"/>
    <w:lvl w:ilvl="0">
      <w:start w:val="11"/>
      <w:numFmt w:val="decimal"/>
      <w:lvlText w:val="%1."/>
      <w:lvlJc w:val="left"/>
      <w:pPr>
        <w:ind w:left="141" w:hanging="360"/>
      </w:pPr>
      <w:rPr>
        <w:rFonts w:ascii="Arial" w:eastAsia="Arial" w:hAnsi="Arial" w:cs="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8">
    <w:nsid w:val="34880F1D"/>
    <w:multiLevelType w:val="multilevel"/>
    <w:tmpl w:val="223CD3CC"/>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3"/>
      <w:numFmt w:val="decimal"/>
      <w:lvlRestart w:val="0"/>
      <w:lvlText w:val="%1.%2"/>
      <w:lvlJc w:val="left"/>
      <w:pPr>
        <w:ind w:left="86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29">
    <w:nsid w:val="34E3189D"/>
    <w:multiLevelType w:val="hybridMultilevel"/>
    <w:tmpl w:val="F6EEA8D6"/>
    <w:lvl w:ilvl="0">
      <w:start w:val="13"/>
      <w:numFmt w:val="decimal"/>
      <w:lvlText w:val="%1."/>
      <w:lvlJc w:val="left"/>
      <w:pPr>
        <w:ind w:left="1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30">
    <w:nsid w:val="356C2C23"/>
    <w:multiLevelType w:val="hybridMultilevel"/>
    <w:tmpl w:val="128E2844"/>
    <w:lvl w:ilvl="0">
      <w:start w:val="1"/>
      <w:numFmt w:val="decimal"/>
      <w:lvlText w:val="%1."/>
      <w:lvlJc w:val="left"/>
      <w:pPr>
        <w:ind w:left="42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2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94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66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38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10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8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54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262"/>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31">
    <w:nsid w:val="36593F2E"/>
    <w:multiLevelType w:val="hybridMultilevel"/>
    <w:tmpl w:val="21BA1D08"/>
    <w:lvl w:ilvl="0">
      <w:start w:val="1"/>
      <w:numFmt w:val="bullet"/>
      <w:lvlText w:val="•"/>
      <w:lvlJc w:val="left"/>
      <w:pPr>
        <w:ind w:left="721"/>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1"/>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1"/>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32">
    <w:nsid w:val="366211A8"/>
    <w:multiLevelType w:val="multilevel"/>
    <w:tmpl w:val="0908F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3">
    <w:nsid w:val="367C6BB5"/>
    <w:multiLevelType w:val="hybridMultilevel"/>
    <w:tmpl w:val="AE545D58"/>
    <w:lvl w:ilvl="0">
      <w:start w:val="4"/>
      <w:numFmt w:val="decimal"/>
      <w:lvlText w:val="%1."/>
      <w:lvlJc w:val="left"/>
      <w:pPr>
        <w:ind w:left="1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134">
    <w:nsid w:val="372A775D"/>
    <w:multiLevelType w:val="hybridMultilevel"/>
    <w:tmpl w:val="D4E6FE0E"/>
    <w:lvl w:ilvl="0">
      <w:start w:val="1"/>
      <w:numFmt w:val="decimal"/>
      <w:lvlText w:val="%1."/>
      <w:lvlJc w:val="left"/>
      <w:pPr>
        <w:ind w:left="3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
      <w:lvlJc w:val="left"/>
      <w:pPr>
        <w:ind w:left="721"/>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6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2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35">
    <w:nsid w:val="37351B12"/>
    <w:multiLevelType w:val="hybridMultilevel"/>
    <w:tmpl w:val="6C880702"/>
    <w:lvl w:ilvl="0">
      <w:start w:val="1"/>
      <w:numFmt w:val="decimal"/>
      <w:lvlText w:val="%1."/>
      <w:lvlJc w:val="left"/>
      <w:pPr>
        <w:ind w:left="7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2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9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6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3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24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136">
    <w:nsid w:val="37591696"/>
    <w:multiLevelType w:val="hybridMultilevel"/>
    <w:tmpl w:val="733E8A76"/>
    <w:lvl w:ilvl="0">
      <w:start w:val="60"/>
      <w:numFmt w:val="decimal"/>
      <w:lvlText w:val="%1."/>
      <w:lvlJc w:val="left"/>
      <w:pPr>
        <w:ind w:left="706"/>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1">
      <w:start w:val="1"/>
      <w:numFmt w:val="decimal"/>
      <w:lvlText w:val="%2."/>
      <w:lvlJc w:val="left"/>
      <w:pPr>
        <w:ind w:left="1081"/>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il"/>
        <w:shd w:val="clear" w:color="auto" w:fill="auto"/>
        <w:vertAlign w:val="baseline"/>
      </w:rPr>
    </w:lvl>
  </w:abstractNum>
  <w:abstractNum w:abstractNumId="137">
    <w:nsid w:val="37F56EDA"/>
    <w:multiLevelType w:val="hybridMultilevel"/>
    <w:tmpl w:val="C09A6E18"/>
    <w:lvl w:ilvl="0">
      <w:start w:val="1"/>
      <w:numFmt w:val="decimal"/>
      <w:lvlText w:val="%1."/>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38">
    <w:nsid w:val="383635E0"/>
    <w:multiLevelType w:val="hybridMultilevel"/>
    <w:tmpl w:val="181E8036"/>
    <w:lvl w:ilvl="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il"/>
        <w:shd w:val="clear" w:color="auto" w:fill="auto"/>
        <w:vertAlign w:val="baseline"/>
      </w:rPr>
    </w:lvl>
  </w:abstractNum>
  <w:abstractNum w:abstractNumId="139">
    <w:nsid w:val="383E74BD"/>
    <w:multiLevelType w:val="hybridMultilevel"/>
    <w:tmpl w:val="8146E680"/>
    <w:lvl w:ilvl="0">
      <w:start w:val="57"/>
      <w:numFmt w:val="decimal"/>
      <w:lvlText w:val="%1"/>
      <w:lvlJc w:val="left"/>
      <w:pPr>
        <w:ind w:left="18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1">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2">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3">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4">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5">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6">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7">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8">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il"/>
        <w:shd w:val="clear" w:color="auto" w:fill="auto"/>
        <w:vertAlign w:val="superscript"/>
      </w:rPr>
    </w:lvl>
  </w:abstractNum>
  <w:abstractNum w:abstractNumId="140">
    <w:nsid w:val="38415EE6"/>
    <w:multiLevelType w:val="hybridMultilevel"/>
    <w:tmpl w:val="EFCAB8B8"/>
    <w:lvl w:ilvl="0">
      <w:start w:val="7"/>
      <w:numFmt w:val="decimal"/>
      <w:lvlText w:val="%1."/>
      <w:lvlJc w:val="left"/>
      <w:pPr>
        <w:ind w:left="1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41">
    <w:nsid w:val="389858A8"/>
    <w:multiLevelType w:val="hybridMultilevel"/>
    <w:tmpl w:val="BB867DAA"/>
    <w:lvl w:ilvl="0">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5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2">
      <w:start w:val="1"/>
      <w:numFmt w:val="bullet"/>
      <w:lvlRestart w:val="0"/>
      <w:lvlText w:val="-"/>
      <w:lvlJc w:val="left"/>
      <w:pPr>
        <w:ind w:left="72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144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16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4320"/>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il"/>
        <w:shd w:val="clear" w:color="auto" w:fill="auto"/>
        <w:vertAlign w:val="baseline"/>
      </w:rPr>
    </w:lvl>
  </w:abstractNum>
  <w:abstractNum w:abstractNumId="142">
    <w:nsid w:val="38F12703"/>
    <w:multiLevelType w:val="hybridMultilevel"/>
    <w:tmpl w:val="9E581F6C"/>
    <w:lvl w:ilvl="0">
      <w:start w:val="1"/>
      <w:numFmt w:val="bullet"/>
      <w:lvlText w:val="•"/>
      <w:lvlJc w:val="left"/>
      <w:pPr>
        <w:ind w:left="721"/>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43">
    <w:nsid w:val="39472B1C"/>
    <w:multiLevelType w:val="hybridMultilevel"/>
    <w:tmpl w:val="FCBECDFE"/>
    <w:lvl w:ilvl="0">
      <w:start w:val="1"/>
      <w:numFmt w:val="decimal"/>
      <w:lvlText w:val="%1."/>
      <w:lvlJc w:val="left"/>
      <w:pPr>
        <w:ind w:left="106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78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50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322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94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66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38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610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828"/>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44">
    <w:nsid w:val="3A5105AB"/>
    <w:multiLevelType w:val="hybridMultilevel"/>
    <w:tmpl w:val="478ACFAC"/>
    <w:lvl w:ilvl="0">
      <w:start w:val="15"/>
      <w:numFmt w:val="decimal"/>
      <w:lvlText w:val="%1."/>
      <w:lvlJc w:val="left"/>
      <w:pPr>
        <w:ind w:left="706"/>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il"/>
        <w:shd w:val="clear" w:color="auto" w:fill="auto"/>
        <w:vertAlign w:val="baseline"/>
      </w:rPr>
    </w:lvl>
  </w:abstractNum>
  <w:abstractNum w:abstractNumId="145">
    <w:nsid w:val="3AC73092"/>
    <w:multiLevelType w:val="hybridMultilevel"/>
    <w:tmpl w:val="0010B694"/>
    <w:lvl w:ilvl="0">
      <w:start w:val="1"/>
      <w:numFmt w:val="decimal"/>
      <w:lvlText w:val="%1."/>
      <w:lvlJc w:val="left"/>
      <w:pPr>
        <w:ind w:left="3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46">
    <w:nsid w:val="3B1841AB"/>
    <w:multiLevelType w:val="hybridMultilevel"/>
    <w:tmpl w:val="0FC8BC10"/>
    <w:lvl w:ilvl="0">
      <w:start w:val="8"/>
      <w:numFmt w:val="decimal"/>
      <w:lvlText w:val="%1."/>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Text w:val="%2."/>
      <w:lvlJc w:val="left"/>
      <w:pPr>
        <w:ind w:left="5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Letter"/>
      <w:lvlText w:val="%3."/>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59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31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03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75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47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194"/>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47">
    <w:nsid w:val="3B892659"/>
    <w:multiLevelType w:val="hybridMultilevel"/>
    <w:tmpl w:val="A32E99CA"/>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643"/>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6"/>
      <w:numFmt w:val="decimal"/>
      <w:lvlText w:val="%3."/>
      <w:lvlJc w:val="left"/>
      <w:pPr>
        <w:ind w:left="57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64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36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08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80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52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246"/>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48">
    <w:nsid w:val="3BD170A7"/>
    <w:multiLevelType w:val="hybridMultilevel"/>
    <w:tmpl w:val="EF3EBA5E"/>
    <w:lvl w:ilvl="0">
      <w:start w:val="55"/>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49">
    <w:nsid w:val="3C8E433C"/>
    <w:multiLevelType w:val="multilevel"/>
    <w:tmpl w:val="435A5C16"/>
    <w:lvl w:ilvl="0">
      <w:start w:val="1"/>
      <w:numFmt w:val="decimal"/>
      <w:lvlText w:val="%1."/>
      <w:lvlJc w:val="left"/>
      <w:pPr>
        <w:ind w:left="1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142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49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321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93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65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37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609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818"/>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50">
    <w:nsid w:val="3D257687"/>
    <w:multiLevelType w:val="hybridMultilevel"/>
    <w:tmpl w:val="FB36EABE"/>
    <w:lvl w:ilvl="0">
      <w:start w:val="4"/>
      <w:numFmt w:val="decimal"/>
      <w:lvlText w:val="%1."/>
      <w:lvlJc w:val="left"/>
      <w:pPr>
        <w:ind w:left="1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51">
    <w:nsid w:val="3E645002"/>
    <w:multiLevelType w:val="hybridMultilevel"/>
    <w:tmpl w:val="26EC7466"/>
    <w:lvl w:ilvl="0">
      <w:start w:val="22"/>
      <w:numFmt w:val="decimal"/>
      <w:lvlText w:val="%1."/>
      <w:lvlJc w:val="left"/>
      <w:pPr>
        <w:ind w:left="720"/>
      </w:pPr>
      <w:rPr>
        <w:rFonts w:ascii="Tahoma" w:eastAsia="Tahoma" w:hAnsi="Tahoma" w:cs="Tahom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Tahoma" w:eastAsia="Tahoma" w:hAnsi="Tahoma" w:cs="Tahom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Tahoma" w:eastAsia="Tahoma" w:hAnsi="Tahoma" w:cs="Tahom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Tahoma" w:eastAsia="Tahoma" w:hAnsi="Tahoma" w:cs="Tahom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Tahoma" w:eastAsia="Tahoma" w:hAnsi="Tahoma" w:cs="Tahom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Tahoma" w:eastAsia="Tahoma" w:hAnsi="Tahoma" w:cs="Tahom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Tahoma" w:eastAsia="Tahoma" w:hAnsi="Tahoma" w:cs="Tahom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Tahoma" w:eastAsia="Tahoma" w:hAnsi="Tahoma" w:cs="Tahom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Tahoma" w:eastAsia="Tahoma" w:hAnsi="Tahoma" w:cs="Tahoma"/>
        <w:b w:val="0"/>
        <w:i w:val="0"/>
        <w:strike w:val="0"/>
        <w:dstrike w:val="0"/>
        <w:color w:val="000000"/>
        <w:sz w:val="22"/>
        <w:szCs w:val="22"/>
        <w:u w:val="none" w:color="000000"/>
        <w:bdr w:val="nil"/>
        <w:shd w:val="clear" w:color="auto" w:fill="auto"/>
        <w:vertAlign w:val="baseline"/>
      </w:rPr>
    </w:lvl>
  </w:abstractNum>
  <w:abstractNum w:abstractNumId="152">
    <w:nsid w:val="3F32260D"/>
    <w:multiLevelType w:val="multilevel"/>
    <w:tmpl w:val="FB9AE622"/>
    <w:lvl w:ilvl="0">
      <w:start w:val="5"/>
      <w:numFmt w:val="decimal"/>
      <w:lvlText w:val="%1."/>
      <w:lvlJc w:val="left"/>
      <w:pPr>
        <w:ind w:left="36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73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Text w:val="%1.%2.%3"/>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53">
    <w:nsid w:val="3FC77E02"/>
    <w:multiLevelType w:val="hybridMultilevel"/>
    <w:tmpl w:val="D54C6358"/>
    <w:lvl w:ilvl="0">
      <w:start w:val="1"/>
      <w:numFmt w:val="bullet"/>
      <w:lvlText w:val="•"/>
      <w:lvlJc w:val="left"/>
      <w:pPr>
        <w:ind w:left="720"/>
      </w:pPr>
      <w:rPr>
        <w:rFonts w:ascii="Arial" w:eastAsia="Arial" w:hAnsi="Arial" w:cs="Arial"/>
        <w:b w:val="0"/>
        <w:i w:val="0"/>
        <w:strike w:val="0"/>
        <w:dstrike w:val="0"/>
        <w:color w:val="000000"/>
        <w:sz w:val="20"/>
        <w:szCs w:val="20"/>
        <w:u w:val="none" w:color="000000"/>
        <w:bdr w:val="nil"/>
        <w:shd w:val="clear" w:color="auto" w:fill="auto"/>
        <w:vertAlign w:val="baseline"/>
      </w:rPr>
    </w:lvl>
    <w:lvl w:ilvl="1">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2">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3">
      <w:start w:val="1"/>
      <w:numFmt w:val="bullet"/>
      <w:lvlText w:val="•"/>
      <w:lvlJc w:val="left"/>
      <w:pPr>
        <w:ind w:left="252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4">
      <w:start w:val="1"/>
      <w:numFmt w:val="bullet"/>
      <w:lvlText w:val="o"/>
      <w:lvlJc w:val="left"/>
      <w:pPr>
        <w:ind w:left="324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5">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6">
      <w:start w:val="1"/>
      <w:numFmt w:val="bullet"/>
      <w:lvlText w:val="•"/>
      <w:lvlJc w:val="left"/>
      <w:pPr>
        <w:ind w:left="468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7">
      <w:start w:val="1"/>
      <w:numFmt w:val="bullet"/>
      <w:lvlText w:val="o"/>
      <w:lvlJc w:val="left"/>
      <w:pPr>
        <w:ind w:left="540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lvl w:ilvl="8">
      <w:start w:val="1"/>
      <w:numFmt w:val="bullet"/>
      <w:lvlText w:val="▪"/>
      <w:lvlJc w:val="left"/>
      <w:pPr>
        <w:ind w:left="6120"/>
      </w:pPr>
      <w:rPr>
        <w:rFonts w:ascii="Courier New" w:eastAsia="Courier New" w:hAnsi="Courier New" w:cs="Courier New"/>
        <w:b w:val="0"/>
        <w:i w:val="0"/>
        <w:strike w:val="0"/>
        <w:dstrike w:val="0"/>
        <w:color w:val="000000"/>
        <w:sz w:val="20"/>
        <w:szCs w:val="20"/>
        <w:u w:val="none" w:color="000000"/>
        <w:bdr w:val="nil"/>
        <w:shd w:val="clear" w:color="auto" w:fill="auto"/>
        <w:vertAlign w:val="baseline"/>
      </w:rPr>
    </w:lvl>
  </w:abstractNum>
  <w:abstractNum w:abstractNumId="154">
    <w:nsid w:val="40485BF1"/>
    <w:multiLevelType w:val="hybridMultilevel"/>
    <w:tmpl w:val="F77A85D0"/>
    <w:lvl w:ilvl="0">
      <w:start w:val="1"/>
      <w:numFmt w:val="bullet"/>
      <w:lvlText w:val="•"/>
      <w:lvlJc w:val="left"/>
      <w:pPr>
        <w:ind w:left="723"/>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24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96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685"/>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40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12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845"/>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56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285"/>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55">
    <w:nsid w:val="40B1068D"/>
    <w:multiLevelType w:val="hybridMultilevel"/>
    <w:tmpl w:val="DB04CCEE"/>
    <w:lvl w:ilvl="0">
      <w:start w:val="9"/>
      <w:numFmt w:val="decimal"/>
      <w:lvlText w:val="%1."/>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56">
    <w:nsid w:val="40EE2D1C"/>
    <w:multiLevelType w:val="hybridMultilevel"/>
    <w:tmpl w:val="86DE8956"/>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63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5"/>
      <w:numFmt w:val="decimal"/>
      <w:lvlRestart w:val="0"/>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63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35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07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79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51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23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57">
    <w:nsid w:val="41465992"/>
    <w:multiLevelType w:val="multilevel"/>
    <w:tmpl w:val="17A6A152"/>
    <w:lvl w:ilvl="0">
      <w:start w:val="4"/>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58">
    <w:nsid w:val="419E7CB9"/>
    <w:multiLevelType w:val="hybridMultilevel"/>
    <w:tmpl w:val="0BC2861C"/>
    <w:lvl w:ilvl="0">
      <w:start w:val="1"/>
      <w:numFmt w:val="bullet"/>
      <w:lvlText w:val="•"/>
      <w:lvlJc w:val="left"/>
      <w:pPr>
        <w:ind w:left="428"/>
      </w:pPr>
      <w:rPr>
        <w:rFonts w:ascii="Arial" w:eastAsia="Arial" w:hAnsi="Arial" w:cs="Arial"/>
        <w:b w:val="0"/>
        <w:i w:val="0"/>
        <w:strike w:val="0"/>
        <w:dstrike w:val="0"/>
        <w:color w:val="000080"/>
        <w:sz w:val="22"/>
        <w:szCs w:val="22"/>
        <w:u w:val="none" w:color="000000"/>
        <w:bdr w:val="nil"/>
        <w:shd w:val="clear" w:color="auto" w:fill="auto"/>
        <w:vertAlign w:val="baseline"/>
      </w:rPr>
    </w:lvl>
    <w:lvl w:ilvl="1">
      <w:start w:val="1"/>
      <w:numFmt w:val="bullet"/>
      <w:lvlText w:val="o"/>
      <w:lvlJc w:val="left"/>
      <w:pPr>
        <w:ind w:left="1222"/>
      </w:pPr>
      <w:rPr>
        <w:rFonts w:ascii="Segoe UI Symbol" w:eastAsia="Segoe UI Symbol" w:hAnsi="Segoe UI Symbol" w:cs="Segoe UI Symbol"/>
        <w:b w:val="0"/>
        <w:i w:val="0"/>
        <w:strike w:val="0"/>
        <w:dstrike w:val="0"/>
        <w:color w:val="000080"/>
        <w:sz w:val="22"/>
        <w:szCs w:val="22"/>
        <w:u w:val="none" w:color="000000"/>
        <w:bdr w:val="nil"/>
        <w:shd w:val="clear" w:color="auto" w:fill="auto"/>
        <w:vertAlign w:val="baseline"/>
      </w:rPr>
    </w:lvl>
    <w:lvl w:ilvl="2">
      <w:start w:val="1"/>
      <w:numFmt w:val="bullet"/>
      <w:lvlText w:val="▪"/>
      <w:lvlJc w:val="left"/>
      <w:pPr>
        <w:ind w:left="1942"/>
      </w:pPr>
      <w:rPr>
        <w:rFonts w:ascii="Segoe UI Symbol" w:eastAsia="Segoe UI Symbol" w:hAnsi="Segoe UI Symbol" w:cs="Segoe UI Symbol"/>
        <w:b w:val="0"/>
        <w:i w:val="0"/>
        <w:strike w:val="0"/>
        <w:dstrike w:val="0"/>
        <w:color w:val="000080"/>
        <w:sz w:val="22"/>
        <w:szCs w:val="22"/>
        <w:u w:val="none" w:color="000000"/>
        <w:bdr w:val="nil"/>
        <w:shd w:val="clear" w:color="auto" w:fill="auto"/>
        <w:vertAlign w:val="baseline"/>
      </w:rPr>
    </w:lvl>
    <w:lvl w:ilvl="3">
      <w:start w:val="1"/>
      <w:numFmt w:val="bullet"/>
      <w:lvlText w:val="•"/>
      <w:lvlJc w:val="left"/>
      <w:pPr>
        <w:ind w:left="2662"/>
      </w:pPr>
      <w:rPr>
        <w:rFonts w:ascii="Arial" w:eastAsia="Arial" w:hAnsi="Arial" w:cs="Arial"/>
        <w:b w:val="0"/>
        <w:i w:val="0"/>
        <w:strike w:val="0"/>
        <w:dstrike w:val="0"/>
        <w:color w:val="000080"/>
        <w:sz w:val="22"/>
        <w:szCs w:val="22"/>
        <w:u w:val="none" w:color="000000"/>
        <w:bdr w:val="nil"/>
        <w:shd w:val="clear" w:color="auto" w:fill="auto"/>
        <w:vertAlign w:val="baseline"/>
      </w:rPr>
    </w:lvl>
    <w:lvl w:ilvl="4">
      <w:start w:val="1"/>
      <w:numFmt w:val="bullet"/>
      <w:lvlText w:val="o"/>
      <w:lvlJc w:val="left"/>
      <w:pPr>
        <w:ind w:left="3382"/>
      </w:pPr>
      <w:rPr>
        <w:rFonts w:ascii="Segoe UI Symbol" w:eastAsia="Segoe UI Symbol" w:hAnsi="Segoe UI Symbol" w:cs="Segoe UI Symbol"/>
        <w:b w:val="0"/>
        <w:i w:val="0"/>
        <w:strike w:val="0"/>
        <w:dstrike w:val="0"/>
        <w:color w:val="000080"/>
        <w:sz w:val="22"/>
        <w:szCs w:val="22"/>
        <w:u w:val="none" w:color="000000"/>
        <w:bdr w:val="nil"/>
        <w:shd w:val="clear" w:color="auto" w:fill="auto"/>
        <w:vertAlign w:val="baseline"/>
      </w:rPr>
    </w:lvl>
    <w:lvl w:ilvl="5">
      <w:start w:val="1"/>
      <w:numFmt w:val="bullet"/>
      <w:lvlText w:val="▪"/>
      <w:lvlJc w:val="left"/>
      <w:pPr>
        <w:ind w:left="4102"/>
      </w:pPr>
      <w:rPr>
        <w:rFonts w:ascii="Segoe UI Symbol" w:eastAsia="Segoe UI Symbol" w:hAnsi="Segoe UI Symbol" w:cs="Segoe UI Symbol"/>
        <w:b w:val="0"/>
        <w:i w:val="0"/>
        <w:strike w:val="0"/>
        <w:dstrike w:val="0"/>
        <w:color w:val="000080"/>
        <w:sz w:val="22"/>
        <w:szCs w:val="22"/>
        <w:u w:val="none" w:color="000000"/>
        <w:bdr w:val="nil"/>
        <w:shd w:val="clear" w:color="auto" w:fill="auto"/>
        <w:vertAlign w:val="baseline"/>
      </w:rPr>
    </w:lvl>
    <w:lvl w:ilvl="6">
      <w:start w:val="1"/>
      <w:numFmt w:val="bullet"/>
      <w:lvlText w:val="•"/>
      <w:lvlJc w:val="left"/>
      <w:pPr>
        <w:ind w:left="4822"/>
      </w:pPr>
      <w:rPr>
        <w:rFonts w:ascii="Arial" w:eastAsia="Arial" w:hAnsi="Arial" w:cs="Arial"/>
        <w:b w:val="0"/>
        <w:i w:val="0"/>
        <w:strike w:val="0"/>
        <w:dstrike w:val="0"/>
        <w:color w:val="000080"/>
        <w:sz w:val="22"/>
        <w:szCs w:val="22"/>
        <w:u w:val="none" w:color="000000"/>
        <w:bdr w:val="nil"/>
        <w:shd w:val="clear" w:color="auto" w:fill="auto"/>
        <w:vertAlign w:val="baseline"/>
      </w:rPr>
    </w:lvl>
    <w:lvl w:ilvl="7">
      <w:start w:val="1"/>
      <w:numFmt w:val="bullet"/>
      <w:lvlText w:val="o"/>
      <w:lvlJc w:val="left"/>
      <w:pPr>
        <w:ind w:left="5542"/>
      </w:pPr>
      <w:rPr>
        <w:rFonts w:ascii="Segoe UI Symbol" w:eastAsia="Segoe UI Symbol" w:hAnsi="Segoe UI Symbol" w:cs="Segoe UI Symbol"/>
        <w:b w:val="0"/>
        <w:i w:val="0"/>
        <w:strike w:val="0"/>
        <w:dstrike w:val="0"/>
        <w:color w:val="000080"/>
        <w:sz w:val="22"/>
        <w:szCs w:val="22"/>
        <w:u w:val="none" w:color="000000"/>
        <w:bdr w:val="nil"/>
        <w:shd w:val="clear" w:color="auto" w:fill="auto"/>
        <w:vertAlign w:val="baseline"/>
      </w:rPr>
    </w:lvl>
    <w:lvl w:ilvl="8">
      <w:start w:val="1"/>
      <w:numFmt w:val="bullet"/>
      <w:lvlText w:val="▪"/>
      <w:lvlJc w:val="left"/>
      <w:pPr>
        <w:ind w:left="6262"/>
      </w:pPr>
      <w:rPr>
        <w:rFonts w:ascii="Segoe UI Symbol" w:eastAsia="Segoe UI Symbol" w:hAnsi="Segoe UI Symbol" w:cs="Segoe UI Symbol"/>
        <w:b w:val="0"/>
        <w:i w:val="0"/>
        <w:strike w:val="0"/>
        <w:dstrike w:val="0"/>
        <w:color w:val="000080"/>
        <w:sz w:val="22"/>
        <w:szCs w:val="22"/>
        <w:u w:val="none" w:color="000000"/>
        <w:bdr w:val="nil"/>
        <w:shd w:val="clear" w:color="auto" w:fill="auto"/>
        <w:vertAlign w:val="baseline"/>
      </w:rPr>
    </w:lvl>
  </w:abstractNum>
  <w:abstractNum w:abstractNumId="159">
    <w:nsid w:val="426266DF"/>
    <w:multiLevelType w:val="hybridMultilevel"/>
    <w:tmpl w:val="AC32B098"/>
    <w:lvl w:ilvl="0">
      <w:start w:val="1"/>
      <w:numFmt w:val="lowerLetter"/>
      <w:lvlText w:val="%1)"/>
      <w:lvlJc w:val="left"/>
      <w:pPr>
        <w:ind w:left="79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60">
    <w:nsid w:val="434B67C0"/>
    <w:multiLevelType w:val="multilevel"/>
    <w:tmpl w:val="F4144876"/>
    <w:lvl w:ilvl="0">
      <w:start w:val="2"/>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2"/>
      <w:numFmt w:val="decimal"/>
      <w:lvlRestart w:val="0"/>
      <w:lvlText w:val="%1.%2"/>
      <w:lvlJc w:val="left"/>
      <w:pPr>
        <w:ind w:left="68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1"/>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61">
    <w:nsid w:val="43B425E6"/>
    <w:multiLevelType w:val="hybridMultilevel"/>
    <w:tmpl w:val="44A860D4"/>
    <w:lvl w:ilvl="0">
      <w:start w:val="1"/>
      <w:numFmt w:val="decimal"/>
      <w:lvlText w:val="%1."/>
      <w:lvlJc w:val="left"/>
      <w:pPr>
        <w:ind w:left="37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62">
    <w:nsid w:val="446A4F1E"/>
    <w:multiLevelType w:val="hybridMultilevel"/>
    <w:tmpl w:val="034261E0"/>
    <w:lvl w:ilvl="0">
      <w:start w:val="6"/>
      <w:numFmt w:val="decimal"/>
      <w:lvlText w:val="%1."/>
      <w:lvlJc w:val="left"/>
      <w:pPr>
        <w:ind w:left="1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163">
    <w:nsid w:val="44757E9B"/>
    <w:multiLevelType w:val="hybridMultilevel"/>
    <w:tmpl w:val="AB767414"/>
    <w:lvl w:ilvl="0">
      <w:start w:val="1"/>
      <w:numFmt w:val="decimal"/>
      <w:lvlText w:val="%1."/>
      <w:lvlJc w:val="left"/>
      <w:pPr>
        <w:ind w:left="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64">
    <w:nsid w:val="44AB22C6"/>
    <w:multiLevelType w:val="hybridMultilevel"/>
    <w:tmpl w:val="99F610CE"/>
    <w:lvl w:ilvl="0">
      <w:start w:val="1"/>
      <w:numFmt w:val="decimal"/>
      <w:lvlText w:val="%1."/>
      <w:lvlJc w:val="left"/>
      <w:pPr>
        <w:ind w:left="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65">
    <w:nsid w:val="44B50A51"/>
    <w:multiLevelType w:val="hybridMultilevel"/>
    <w:tmpl w:val="D36A0D48"/>
    <w:lvl w:ilvl="0">
      <w:start w:val="4"/>
      <w:numFmt w:val="decimal"/>
      <w:lvlText w:val="%1."/>
      <w:lvlJc w:val="left"/>
      <w:pPr>
        <w:ind w:left="1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iCs/>
        <w:strike w:val="0"/>
        <w:dstrike w:val="0"/>
        <w:color w:val="000000"/>
        <w:sz w:val="22"/>
        <w:szCs w:val="22"/>
        <w:u w:val="none" w:color="000000"/>
        <w:bdr w:val="nil"/>
        <w:shd w:val="clear" w:color="auto" w:fill="auto"/>
        <w:vertAlign w:val="baseline"/>
      </w:rPr>
    </w:lvl>
  </w:abstractNum>
  <w:abstractNum w:abstractNumId="166">
    <w:nsid w:val="44CF0BF1"/>
    <w:multiLevelType w:val="multilevel"/>
    <w:tmpl w:val="9A424F84"/>
    <w:lvl w:ilvl="0">
      <w:start w:val="8"/>
      <w:numFmt w:val="decimal"/>
      <w:lvlText w:val="%1."/>
      <w:lvlJc w:val="left"/>
      <w:pPr>
        <w:ind w:left="1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73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167">
    <w:nsid w:val="44DC7B61"/>
    <w:multiLevelType w:val="hybridMultilevel"/>
    <w:tmpl w:val="22C444EA"/>
    <w:lvl w:ilvl="0">
      <w:start w:val="1"/>
      <w:numFmt w:val="decimal"/>
      <w:lvlText w:val="%1."/>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68">
    <w:nsid w:val="45296740"/>
    <w:multiLevelType w:val="hybridMultilevel"/>
    <w:tmpl w:val="8D7AF5F6"/>
    <w:lvl w:ilvl="0">
      <w:start w:val="4"/>
      <w:numFmt w:val="decimal"/>
      <w:lvlText w:val="%1)"/>
      <w:lvlJc w:val="left"/>
      <w:pPr>
        <w:ind w:left="1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169">
    <w:nsid w:val="45B20DD3"/>
    <w:multiLevelType w:val="hybridMultilevel"/>
    <w:tmpl w:val="1F765220"/>
    <w:lvl w:ilvl="0">
      <w:start w:val="4"/>
      <w:numFmt w:val="decimal"/>
      <w:lvlText w:val="%1."/>
      <w:lvlJc w:val="left"/>
      <w:pPr>
        <w:ind w:left="1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170">
    <w:nsid w:val="46557C49"/>
    <w:multiLevelType w:val="hybridMultilevel"/>
    <w:tmpl w:val="B29CC1B0"/>
    <w:lvl w:ilvl="0">
      <w:start w:val="1"/>
      <w:numFmt w:val="bullet"/>
      <w:lvlText w:val="•"/>
      <w:lvlJc w:val="left"/>
      <w:pPr>
        <w:ind w:left="1081"/>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80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52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3241"/>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96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68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401"/>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612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84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71">
    <w:nsid w:val="46F1426D"/>
    <w:multiLevelType w:val="hybridMultilevel"/>
    <w:tmpl w:val="256280A2"/>
    <w:lvl w:ilvl="0">
      <w:start w:val="1"/>
      <w:numFmt w:val="bullet"/>
      <w:lvlText w:val="•"/>
      <w:lvlJc w:val="left"/>
      <w:pPr>
        <w:ind w:left="36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1">
      <w:start w:val="1"/>
      <w:numFmt w:val="bullet"/>
      <w:lvlText w:val="-"/>
      <w:lvlJc w:val="left"/>
      <w:pPr>
        <w:ind w:left="72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44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6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8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0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2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4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60"/>
      </w:pPr>
      <w:rPr>
        <w:rFonts w:ascii="Cambria" w:eastAsia="Cambria" w:hAnsi="Cambria" w:cs="Cambria"/>
        <w:b w:val="0"/>
        <w:i w:val="0"/>
        <w:strike w:val="0"/>
        <w:dstrike w:val="0"/>
        <w:color w:val="000000"/>
        <w:sz w:val="22"/>
        <w:szCs w:val="22"/>
        <w:u w:val="none" w:color="000000"/>
        <w:bdr w:val="nil"/>
        <w:shd w:val="clear" w:color="auto" w:fill="auto"/>
        <w:vertAlign w:val="baseline"/>
      </w:rPr>
    </w:lvl>
  </w:abstractNum>
  <w:abstractNum w:abstractNumId="172">
    <w:nsid w:val="47845113"/>
    <w:multiLevelType w:val="hybridMultilevel"/>
    <w:tmpl w:val="F9CE0FC2"/>
    <w:lvl w:ilvl="0">
      <w:start w:val="1"/>
      <w:numFmt w:val="bullet"/>
      <w:lvlText w:val="•"/>
      <w:lvlJc w:val="left"/>
      <w:pPr>
        <w:ind w:left="721"/>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73">
    <w:nsid w:val="47A71C90"/>
    <w:multiLevelType w:val="hybridMultilevel"/>
    <w:tmpl w:val="DFA08F72"/>
    <w:lvl w:ilvl="0">
      <w:start w:val="1"/>
      <w:numFmt w:val="decimal"/>
      <w:lvlText w:val="%1)"/>
      <w:lvlJc w:val="left"/>
      <w:pPr>
        <w:ind w:left="539"/>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bullet"/>
      <w:lvlText w:val="●"/>
      <w:lvlJc w:val="left"/>
      <w:pPr>
        <w:ind w:left="736"/>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455"/>
      </w:pPr>
      <w:rPr>
        <w:rFonts w:ascii="Arial" w:eastAsia="Arial" w:hAnsi="Arial" w:cs="Aria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75"/>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95"/>
      </w:pPr>
      <w:rPr>
        <w:rFonts w:ascii="Arial" w:eastAsia="Arial" w:hAnsi="Arial" w:cs="Aria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15"/>
      </w:pPr>
      <w:rPr>
        <w:rFonts w:ascii="Arial" w:eastAsia="Arial" w:hAnsi="Arial" w:cs="Aria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35"/>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55"/>
      </w:pPr>
      <w:rPr>
        <w:rFonts w:ascii="Arial" w:eastAsia="Arial" w:hAnsi="Arial" w:cs="Aria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75"/>
      </w:pPr>
      <w:rPr>
        <w:rFonts w:ascii="Arial" w:eastAsia="Arial" w:hAnsi="Arial" w:cs="Arial"/>
        <w:b w:val="0"/>
        <w:i w:val="0"/>
        <w:strike w:val="0"/>
        <w:dstrike w:val="0"/>
        <w:color w:val="000000"/>
        <w:sz w:val="22"/>
        <w:szCs w:val="22"/>
        <w:u w:val="none" w:color="000000"/>
        <w:bdr w:val="nil"/>
        <w:shd w:val="clear" w:color="auto" w:fill="auto"/>
        <w:vertAlign w:val="baseline"/>
      </w:rPr>
    </w:lvl>
  </w:abstractNum>
  <w:abstractNum w:abstractNumId="174">
    <w:nsid w:val="47DE6004"/>
    <w:multiLevelType w:val="hybridMultilevel"/>
    <w:tmpl w:val="8ABE352C"/>
    <w:lvl w:ilvl="0">
      <w:start w:val="1"/>
      <w:numFmt w:val="bullet"/>
      <w:lvlText w:val="•"/>
      <w:lvlJc w:val="left"/>
      <w:pPr>
        <w:ind w:left="36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Restart w:val="0"/>
      <w:lvlText w:val="•"/>
      <w:lvlJc w:val="left"/>
      <w:pPr>
        <w:ind w:left="723"/>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44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61"/>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8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0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21"/>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4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6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75">
    <w:nsid w:val="483F6E7D"/>
    <w:multiLevelType w:val="multilevel"/>
    <w:tmpl w:val="EA02CF3C"/>
    <w:lvl w:ilvl="0">
      <w:start w:val="3"/>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3"/>
      <w:numFmt w:val="decimal"/>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76">
    <w:nsid w:val="48732116"/>
    <w:multiLevelType w:val="multilevel"/>
    <w:tmpl w:val="10CA71B8"/>
    <w:lvl w:ilvl="0">
      <w:start w:val="4"/>
      <w:numFmt w:val="decimal"/>
      <w:lvlText w:val="%1."/>
      <w:lvlJc w:val="left"/>
      <w:pPr>
        <w:ind w:left="1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Text w:val="%1.%2.%3"/>
      <w:lvlJc w:val="left"/>
      <w:pPr>
        <w:ind w:left="145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77">
    <w:nsid w:val="487D3A03"/>
    <w:multiLevelType w:val="hybridMultilevel"/>
    <w:tmpl w:val="94D05880"/>
    <w:lvl w:ilvl="0">
      <w:start w:val="1"/>
      <w:numFmt w:val="decimal"/>
      <w:lvlText w:val="%1."/>
      <w:lvlJc w:val="left"/>
      <w:pPr>
        <w:ind w:left="72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305"/>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2025"/>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745"/>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465"/>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4185"/>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905"/>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625"/>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345"/>
      </w:pPr>
      <w:rPr>
        <w:rFonts w:ascii="Verdana" w:eastAsia="Verdana" w:hAnsi="Verdana" w:cs="Verdana"/>
        <w:b w:val="0"/>
        <w:i/>
        <w:iCs/>
        <w:strike w:val="0"/>
        <w:dstrike w:val="0"/>
        <w:color w:val="000000"/>
        <w:sz w:val="22"/>
        <w:szCs w:val="22"/>
        <w:u w:val="none" w:color="000000"/>
        <w:bdr w:val="nil"/>
        <w:shd w:val="clear" w:color="auto" w:fill="auto"/>
        <w:vertAlign w:val="baseline"/>
      </w:rPr>
    </w:lvl>
  </w:abstractNum>
  <w:abstractNum w:abstractNumId="178">
    <w:nsid w:val="48EB2F82"/>
    <w:multiLevelType w:val="hybridMultilevel"/>
    <w:tmpl w:val="94C6DD66"/>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63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Restart w:val="0"/>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63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35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07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79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51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23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79">
    <w:nsid w:val="49655CC8"/>
    <w:multiLevelType w:val="multilevel"/>
    <w:tmpl w:val="61CAD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0">
    <w:nsid w:val="49D541E7"/>
    <w:multiLevelType w:val="hybridMultilevel"/>
    <w:tmpl w:val="18BC39E8"/>
    <w:lvl w:ilvl="0">
      <w:start w:val="6"/>
      <w:numFmt w:val="decimal"/>
      <w:lvlText w:val="%1."/>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81">
    <w:nsid w:val="4AD51C76"/>
    <w:multiLevelType w:val="hybridMultilevel"/>
    <w:tmpl w:val="FD9C029A"/>
    <w:lvl w:ilvl="0">
      <w:start w:val="1"/>
      <w:numFmt w:val="decimal"/>
      <w:lvlText w:val="%1."/>
      <w:lvlJc w:val="left"/>
      <w:pPr>
        <w:ind w:left="714"/>
      </w:pPr>
      <w:rPr>
        <w:rFonts w:ascii="Tahoma" w:eastAsia="Tahoma" w:hAnsi="Tahoma" w:cs="Tahom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37"/>
      </w:pPr>
      <w:rPr>
        <w:rFonts w:ascii="Tahoma" w:eastAsia="Tahoma" w:hAnsi="Tahoma" w:cs="Tahom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57"/>
      </w:pPr>
      <w:rPr>
        <w:rFonts w:ascii="Tahoma" w:eastAsia="Tahoma" w:hAnsi="Tahoma" w:cs="Tahom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77"/>
      </w:pPr>
      <w:rPr>
        <w:rFonts w:ascii="Tahoma" w:eastAsia="Tahoma" w:hAnsi="Tahoma" w:cs="Tahom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597"/>
      </w:pPr>
      <w:rPr>
        <w:rFonts w:ascii="Tahoma" w:eastAsia="Tahoma" w:hAnsi="Tahoma" w:cs="Tahom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17"/>
      </w:pPr>
      <w:rPr>
        <w:rFonts w:ascii="Tahoma" w:eastAsia="Tahoma" w:hAnsi="Tahoma" w:cs="Tahom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37"/>
      </w:pPr>
      <w:rPr>
        <w:rFonts w:ascii="Tahoma" w:eastAsia="Tahoma" w:hAnsi="Tahoma" w:cs="Tahom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57"/>
      </w:pPr>
      <w:rPr>
        <w:rFonts w:ascii="Tahoma" w:eastAsia="Tahoma" w:hAnsi="Tahoma" w:cs="Tahom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77"/>
      </w:pPr>
      <w:rPr>
        <w:rFonts w:ascii="Tahoma" w:eastAsia="Tahoma" w:hAnsi="Tahoma" w:cs="Tahoma"/>
        <w:b w:val="0"/>
        <w:i w:val="0"/>
        <w:strike w:val="0"/>
        <w:dstrike w:val="0"/>
        <w:color w:val="000000"/>
        <w:sz w:val="22"/>
        <w:szCs w:val="22"/>
        <w:u w:val="none" w:color="000000"/>
        <w:bdr w:val="nil"/>
        <w:shd w:val="clear" w:color="auto" w:fill="auto"/>
        <w:vertAlign w:val="baseline"/>
      </w:rPr>
    </w:lvl>
  </w:abstractNum>
  <w:abstractNum w:abstractNumId="182">
    <w:nsid w:val="4B6526BF"/>
    <w:multiLevelType w:val="multilevel"/>
    <w:tmpl w:val="332A3F1E"/>
    <w:lvl w:ilvl="0">
      <w:start w:val="13"/>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3"/>
      <w:numFmt w:val="decimal"/>
      <w:lvlText w:val="%1.%2"/>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Restart w:val="0"/>
      <w:lvlText w:val="%1.%2.%3"/>
      <w:lvlJc w:val="left"/>
      <w:pPr>
        <w:ind w:left="81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83">
    <w:nsid w:val="4BB93DF0"/>
    <w:multiLevelType w:val="hybridMultilevel"/>
    <w:tmpl w:val="B2A29CB0"/>
    <w:lvl w:ilvl="0">
      <w:start w:val="1"/>
      <w:numFmt w:val="bullet"/>
      <w:lvlText w:val="•"/>
      <w:lvlJc w:val="left"/>
      <w:pPr>
        <w:ind w:left="36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52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68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84">
    <w:nsid w:val="4BBC313E"/>
    <w:multiLevelType w:val="multilevel"/>
    <w:tmpl w:val="AF92E9B8"/>
    <w:lvl w:ilvl="0">
      <w:start w:val="4"/>
      <w:numFmt w:val="decimal"/>
      <w:lvlText w:val="%1"/>
      <w:lvlJc w:val="left"/>
      <w:pPr>
        <w:ind w:left="77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85">
    <w:nsid w:val="4CAC31A4"/>
    <w:multiLevelType w:val="hybridMultilevel"/>
    <w:tmpl w:val="5CEE7E5C"/>
    <w:lvl w:ilvl="0">
      <w:start w:val="40"/>
      <w:numFmt w:val="decimal"/>
      <w:lvlText w:val="%1."/>
      <w:lvlJc w:val="left"/>
      <w:pPr>
        <w:ind w:left="706"/>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il"/>
        <w:shd w:val="clear" w:color="auto" w:fill="auto"/>
        <w:vertAlign w:val="baseline"/>
      </w:rPr>
    </w:lvl>
  </w:abstractNum>
  <w:abstractNum w:abstractNumId="186">
    <w:nsid w:val="4D24179F"/>
    <w:multiLevelType w:val="multilevel"/>
    <w:tmpl w:val="B4301916"/>
    <w:lvl w:ilvl="0">
      <w:start w:val="1"/>
      <w:numFmt w:val="decimal"/>
      <w:lvlText w:val="%1."/>
      <w:lvlJc w:val="left"/>
      <w:pPr>
        <w:ind w:left="7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1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1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8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3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041"/>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87">
    <w:nsid w:val="4D615293"/>
    <w:multiLevelType w:val="hybridMultilevel"/>
    <w:tmpl w:val="325A2D3E"/>
    <w:lvl w:ilvl="0">
      <w:start w:val="1"/>
      <w:numFmt w:val="decimal"/>
      <w:lvlText w:val="%1."/>
      <w:lvlJc w:val="left"/>
      <w:pPr>
        <w:ind w:left="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88">
    <w:nsid w:val="4F6C3B35"/>
    <w:multiLevelType w:val="hybridMultilevel"/>
    <w:tmpl w:val="25F20396"/>
    <w:lvl w:ilvl="0">
      <w:start w:val="1"/>
      <w:numFmt w:val="bullet"/>
      <w:lvlText w:val="●"/>
      <w:lvlJc w:val="left"/>
      <w:pPr>
        <w:ind w:left="72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35"/>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55"/>
      </w:pPr>
      <w:rPr>
        <w:rFonts w:ascii="Arial" w:eastAsia="Arial" w:hAnsi="Arial" w:cs="Aria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75"/>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595"/>
      </w:pPr>
      <w:rPr>
        <w:rFonts w:ascii="Arial" w:eastAsia="Arial" w:hAnsi="Arial" w:cs="Aria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15"/>
      </w:pPr>
      <w:rPr>
        <w:rFonts w:ascii="Arial" w:eastAsia="Arial" w:hAnsi="Arial" w:cs="Aria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35"/>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55"/>
      </w:pPr>
      <w:rPr>
        <w:rFonts w:ascii="Arial" w:eastAsia="Arial" w:hAnsi="Arial" w:cs="Aria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75"/>
      </w:pPr>
      <w:rPr>
        <w:rFonts w:ascii="Arial" w:eastAsia="Arial" w:hAnsi="Arial" w:cs="Arial"/>
        <w:b w:val="0"/>
        <w:i w:val="0"/>
        <w:strike w:val="0"/>
        <w:dstrike w:val="0"/>
        <w:color w:val="000000"/>
        <w:sz w:val="22"/>
        <w:szCs w:val="22"/>
        <w:u w:val="none" w:color="000000"/>
        <w:bdr w:val="nil"/>
        <w:shd w:val="clear" w:color="auto" w:fill="auto"/>
        <w:vertAlign w:val="baseline"/>
      </w:rPr>
    </w:lvl>
  </w:abstractNum>
  <w:abstractNum w:abstractNumId="189">
    <w:nsid w:val="4F6E7D95"/>
    <w:multiLevelType w:val="multilevel"/>
    <w:tmpl w:val="3BEC3368"/>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7"/>
      <w:numFmt w:val="decimal"/>
      <w:lvlRestart w:val="0"/>
      <w:lvlText w:val="%1.%2"/>
      <w:lvlJc w:val="left"/>
      <w:pPr>
        <w:ind w:left="86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90">
    <w:nsid w:val="4F715D07"/>
    <w:multiLevelType w:val="hybridMultilevel"/>
    <w:tmpl w:val="6540C7C8"/>
    <w:lvl w:ilvl="0">
      <w:start w:val="32"/>
      <w:numFmt w:val="decimal"/>
      <w:lvlText w:val="%1."/>
      <w:lvlJc w:val="left"/>
      <w:pPr>
        <w:ind w:left="51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91">
    <w:nsid w:val="4FB478B1"/>
    <w:multiLevelType w:val="multilevel"/>
    <w:tmpl w:val="C69AAB3C"/>
    <w:lvl w:ilvl="0">
      <w:start w:val="3"/>
      <w:numFmt w:val="decimal"/>
      <w:lvlText w:val="%1."/>
      <w:lvlJc w:val="left"/>
      <w:pPr>
        <w:ind w:left="72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3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92">
    <w:nsid w:val="51074957"/>
    <w:multiLevelType w:val="hybridMultilevel"/>
    <w:tmpl w:val="B2AE64AC"/>
    <w:lvl w:ilvl="0">
      <w:start w:val="1"/>
      <w:numFmt w:val="bullet"/>
      <w:lvlText w:val="•"/>
      <w:lvlJc w:val="left"/>
      <w:pPr>
        <w:ind w:left="581"/>
      </w:pPr>
      <w:rPr>
        <w:rFonts w:ascii="Arial" w:eastAsia="Arial" w:hAnsi="Arial" w:cs="Arial"/>
        <w:b w:val="0"/>
        <w:i w:val="0"/>
        <w:strike w:val="0"/>
        <w:dstrike w:val="0"/>
        <w:color w:val="003057"/>
        <w:sz w:val="24"/>
        <w:szCs w:val="24"/>
        <w:u w:val="none" w:color="000000"/>
        <w:bdr w:val="nil"/>
        <w:shd w:val="clear" w:color="auto" w:fill="auto"/>
        <w:vertAlign w:val="baseline"/>
      </w:rPr>
    </w:lvl>
    <w:lvl w:ilvl="1">
      <w:start w:val="1"/>
      <w:numFmt w:val="bullet"/>
      <w:lvlText w:val="o"/>
      <w:lvlJc w:val="left"/>
      <w:pPr>
        <w:ind w:left="1363"/>
      </w:pPr>
      <w:rPr>
        <w:rFonts w:ascii="Arial" w:eastAsia="Arial" w:hAnsi="Arial" w:cs="Arial"/>
        <w:b w:val="0"/>
        <w:i w:val="0"/>
        <w:strike w:val="0"/>
        <w:dstrike w:val="0"/>
        <w:color w:val="003057"/>
        <w:sz w:val="24"/>
        <w:szCs w:val="24"/>
        <w:u w:val="none" w:color="000000"/>
        <w:bdr w:val="nil"/>
        <w:shd w:val="clear" w:color="auto" w:fill="auto"/>
        <w:vertAlign w:val="baseline"/>
      </w:rPr>
    </w:lvl>
    <w:lvl w:ilvl="2">
      <w:start w:val="1"/>
      <w:numFmt w:val="bullet"/>
      <w:lvlText w:val="▪"/>
      <w:lvlJc w:val="left"/>
      <w:pPr>
        <w:ind w:left="2083"/>
      </w:pPr>
      <w:rPr>
        <w:rFonts w:ascii="Arial" w:eastAsia="Arial" w:hAnsi="Arial" w:cs="Arial"/>
        <w:b w:val="0"/>
        <w:i w:val="0"/>
        <w:strike w:val="0"/>
        <w:dstrike w:val="0"/>
        <w:color w:val="003057"/>
        <w:sz w:val="24"/>
        <w:szCs w:val="24"/>
        <w:u w:val="none" w:color="000000"/>
        <w:bdr w:val="nil"/>
        <w:shd w:val="clear" w:color="auto" w:fill="auto"/>
        <w:vertAlign w:val="baseline"/>
      </w:rPr>
    </w:lvl>
    <w:lvl w:ilvl="3">
      <w:start w:val="1"/>
      <w:numFmt w:val="bullet"/>
      <w:lvlText w:val="•"/>
      <w:lvlJc w:val="left"/>
      <w:pPr>
        <w:ind w:left="2803"/>
      </w:pPr>
      <w:rPr>
        <w:rFonts w:ascii="Arial" w:eastAsia="Arial" w:hAnsi="Arial" w:cs="Arial"/>
        <w:b w:val="0"/>
        <w:i w:val="0"/>
        <w:strike w:val="0"/>
        <w:dstrike w:val="0"/>
        <w:color w:val="003057"/>
        <w:sz w:val="24"/>
        <w:szCs w:val="24"/>
        <w:u w:val="none" w:color="000000"/>
        <w:bdr w:val="nil"/>
        <w:shd w:val="clear" w:color="auto" w:fill="auto"/>
        <w:vertAlign w:val="baseline"/>
      </w:rPr>
    </w:lvl>
    <w:lvl w:ilvl="4">
      <w:start w:val="1"/>
      <w:numFmt w:val="bullet"/>
      <w:lvlText w:val="o"/>
      <w:lvlJc w:val="left"/>
      <w:pPr>
        <w:ind w:left="3523"/>
      </w:pPr>
      <w:rPr>
        <w:rFonts w:ascii="Arial" w:eastAsia="Arial" w:hAnsi="Arial" w:cs="Arial"/>
        <w:b w:val="0"/>
        <w:i w:val="0"/>
        <w:strike w:val="0"/>
        <w:dstrike w:val="0"/>
        <w:color w:val="003057"/>
        <w:sz w:val="24"/>
        <w:szCs w:val="24"/>
        <w:u w:val="none" w:color="000000"/>
        <w:bdr w:val="nil"/>
        <w:shd w:val="clear" w:color="auto" w:fill="auto"/>
        <w:vertAlign w:val="baseline"/>
      </w:rPr>
    </w:lvl>
    <w:lvl w:ilvl="5">
      <w:start w:val="1"/>
      <w:numFmt w:val="bullet"/>
      <w:lvlText w:val="▪"/>
      <w:lvlJc w:val="left"/>
      <w:pPr>
        <w:ind w:left="4243"/>
      </w:pPr>
      <w:rPr>
        <w:rFonts w:ascii="Arial" w:eastAsia="Arial" w:hAnsi="Arial" w:cs="Arial"/>
        <w:b w:val="0"/>
        <w:i w:val="0"/>
        <w:strike w:val="0"/>
        <w:dstrike w:val="0"/>
        <w:color w:val="003057"/>
        <w:sz w:val="24"/>
        <w:szCs w:val="24"/>
        <w:u w:val="none" w:color="000000"/>
        <w:bdr w:val="nil"/>
        <w:shd w:val="clear" w:color="auto" w:fill="auto"/>
        <w:vertAlign w:val="baseline"/>
      </w:rPr>
    </w:lvl>
    <w:lvl w:ilvl="6">
      <w:start w:val="1"/>
      <w:numFmt w:val="bullet"/>
      <w:lvlText w:val="•"/>
      <w:lvlJc w:val="left"/>
      <w:pPr>
        <w:ind w:left="4963"/>
      </w:pPr>
      <w:rPr>
        <w:rFonts w:ascii="Arial" w:eastAsia="Arial" w:hAnsi="Arial" w:cs="Arial"/>
        <w:b w:val="0"/>
        <w:i w:val="0"/>
        <w:strike w:val="0"/>
        <w:dstrike w:val="0"/>
        <w:color w:val="003057"/>
        <w:sz w:val="24"/>
        <w:szCs w:val="24"/>
        <w:u w:val="none" w:color="000000"/>
        <w:bdr w:val="nil"/>
        <w:shd w:val="clear" w:color="auto" w:fill="auto"/>
        <w:vertAlign w:val="baseline"/>
      </w:rPr>
    </w:lvl>
    <w:lvl w:ilvl="7">
      <w:start w:val="1"/>
      <w:numFmt w:val="bullet"/>
      <w:lvlText w:val="o"/>
      <w:lvlJc w:val="left"/>
      <w:pPr>
        <w:ind w:left="5683"/>
      </w:pPr>
      <w:rPr>
        <w:rFonts w:ascii="Arial" w:eastAsia="Arial" w:hAnsi="Arial" w:cs="Arial"/>
        <w:b w:val="0"/>
        <w:i w:val="0"/>
        <w:strike w:val="0"/>
        <w:dstrike w:val="0"/>
        <w:color w:val="003057"/>
        <w:sz w:val="24"/>
        <w:szCs w:val="24"/>
        <w:u w:val="none" w:color="000000"/>
        <w:bdr w:val="nil"/>
        <w:shd w:val="clear" w:color="auto" w:fill="auto"/>
        <w:vertAlign w:val="baseline"/>
      </w:rPr>
    </w:lvl>
    <w:lvl w:ilvl="8">
      <w:start w:val="1"/>
      <w:numFmt w:val="bullet"/>
      <w:lvlText w:val="▪"/>
      <w:lvlJc w:val="left"/>
      <w:pPr>
        <w:ind w:left="6403"/>
      </w:pPr>
      <w:rPr>
        <w:rFonts w:ascii="Arial" w:eastAsia="Arial" w:hAnsi="Arial" w:cs="Arial"/>
        <w:b w:val="0"/>
        <w:i w:val="0"/>
        <w:strike w:val="0"/>
        <w:dstrike w:val="0"/>
        <w:color w:val="003057"/>
        <w:sz w:val="24"/>
        <w:szCs w:val="24"/>
        <w:u w:val="none" w:color="000000"/>
        <w:bdr w:val="nil"/>
        <w:shd w:val="clear" w:color="auto" w:fill="auto"/>
        <w:vertAlign w:val="baseline"/>
      </w:rPr>
    </w:lvl>
  </w:abstractNum>
  <w:abstractNum w:abstractNumId="193">
    <w:nsid w:val="52501565"/>
    <w:multiLevelType w:val="hybridMultilevel"/>
    <w:tmpl w:val="F6BE99C2"/>
    <w:lvl w:ilvl="0">
      <w:start w:val="1"/>
      <w:numFmt w:val="decimal"/>
      <w:lvlText w:val="%1"/>
      <w:lvlJc w:val="left"/>
      <w:pPr>
        <w:ind w:left="92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94">
    <w:nsid w:val="525832B1"/>
    <w:multiLevelType w:val="hybridMultilevel"/>
    <w:tmpl w:val="C542FA18"/>
    <w:lvl w:ilvl="0">
      <w:start w:val="5"/>
      <w:numFmt w:val="decimal"/>
      <w:lvlText w:val="%1."/>
      <w:lvlJc w:val="left"/>
      <w:pPr>
        <w:ind w:left="37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95">
    <w:nsid w:val="52595DC1"/>
    <w:multiLevelType w:val="hybridMultilevel"/>
    <w:tmpl w:val="FD28A340"/>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78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21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lowerLetter"/>
      <w:lvlRestart w:val="0"/>
      <w:lvlText w:val="(%4)"/>
      <w:lvlJc w:val="left"/>
      <w:pPr>
        <w:ind w:left="1803"/>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35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0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79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51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235"/>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96">
    <w:nsid w:val="52721F5B"/>
    <w:multiLevelType w:val="hybridMultilevel"/>
    <w:tmpl w:val="487A04FA"/>
    <w:lvl w:ilvl="0">
      <w:start w:val="6"/>
      <w:numFmt w:val="decimal"/>
      <w:lvlText w:val="%1."/>
      <w:lvlJc w:val="left"/>
      <w:pPr>
        <w:ind w:left="569"/>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il"/>
        <w:shd w:val="clear" w:color="auto" w:fill="auto"/>
        <w:vertAlign w:val="baseline"/>
      </w:rPr>
    </w:lvl>
  </w:abstractNum>
  <w:abstractNum w:abstractNumId="197">
    <w:nsid w:val="52A13A4F"/>
    <w:multiLevelType w:val="hybridMultilevel"/>
    <w:tmpl w:val="75D61BAE"/>
    <w:lvl w:ilvl="0">
      <w:start w:val="135"/>
      <w:numFmt w:val="decimal"/>
      <w:lvlText w:val="%1"/>
      <w:lvlJc w:val="left"/>
      <w:pPr>
        <w:ind w:left="1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1">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2">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3">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4">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5">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6">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7">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8">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il"/>
        <w:shd w:val="clear" w:color="auto" w:fill="auto"/>
        <w:vertAlign w:val="superscript"/>
      </w:rPr>
    </w:lvl>
  </w:abstractNum>
  <w:abstractNum w:abstractNumId="198">
    <w:nsid w:val="53C60FC5"/>
    <w:multiLevelType w:val="hybridMultilevel"/>
    <w:tmpl w:val="3AF07D6E"/>
    <w:lvl w:ilvl="0">
      <w:start w:val="16"/>
      <w:numFmt w:val="decimal"/>
      <w:lvlText w:val="%1."/>
      <w:lvlJc w:val="left"/>
      <w:pPr>
        <w:ind w:left="51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199">
    <w:nsid w:val="53E70E81"/>
    <w:multiLevelType w:val="hybridMultilevel"/>
    <w:tmpl w:val="54C8D478"/>
    <w:lvl w:ilvl="0">
      <w:start w:val="1"/>
      <w:numFmt w:val="lowerLetter"/>
      <w:lvlText w:val="%1."/>
      <w:lvlJc w:val="left"/>
      <w:pPr>
        <w:ind w:left="1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72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00">
    <w:nsid w:val="53F47777"/>
    <w:multiLevelType w:val="hybridMultilevel"/>
    <w:tmpl w:val="A492F504"/>
    <w:lvl w:ilvl="0">
      <w:start w:val="1"/>
      <w:numFmt w:val="decimal"/>
      <w:lvlText w:val="%1)"/>
      <w:lvlJc w:val="left"/>
      <w:pPr>
        <w:ind w:left="705"/>
      </w:pPr>
      <w:rPr>
        <w:rFonts w:ascii="Arial" w:eastAsia="Arial" w:hAnsi="Arial" w:cs="Arial"/>
        <w:b/>
        <w:bCs/>
        <w:i w:val="0"/>
        <w:strike w:val="0"/>
        <w:dstrike w:val="0"/>
        <w:color w:val="0B0C0C"/>
        <w:sz w:val="22"/>
        <w:szCs w:val="22"/>
        <w:u w:val="none" w:color="000000"/>
        <w:bdr w:val="nil"/>
        <w:shd w:val="clear" w:color="auto" w:fill="auto"/>
        <w:vertAlign w:val="baseline"/>
      </w:rPr>
    </w:lvl>
    <w:lvl w:ilvl="1">
      <w:start w:val="1"/>
      <w:numFmt w:val="lowerLetter"/>
      <w:lvlText w:val="%2"/>
      <w:lvlJc w:val="left"/>
      <w:pPr>
        <w:ind w:left="1440"/>
      </w:pPr>
      <w:rPr>
        <w:rFonts w:ascii="Arial" w:eastAsia="Arial" w:hAnsi="Arial" w:cs="Arial"/>
        <w:b/>
        <w:bCs/>
        <w:i w:val="0"/>
        <w:strike w:val="0"/>
        <w:dstrike w:val="0"/>
        <w:color w:val="0B0C0C"/>
        <w:sz w:val="22"/>
        <w:szCs w:val="22"/>
        <w:u w:val="none" w:color="000000"/>
        <w:bdr w:val="nil"/>
        <w:shd w:val="clear" w:color="auto" w:fill="auto"/>
        <w:vertAlign w:val="baseline"/>
      </w:rPr>
    </w:lvl>
    <w:lvl w:ilvl="2">
      <w:start w:val="1"/>
      <w:numFmt w:val="lowerRoman"/>
      <w:lvlText w:val="%3"/>
      <w:lvlJc w:val="left"/>
      <w:pPr>
        <w:ind w:left="2160"/>
      </w:pPr>
      <w:rPr>
        <w:rFonts w:ascii="Arial" w:eastAsia="Arial" w:hAnsi="Arial" w:cs="Arial"/>
        <w:b/>
        <w:bCs/>
        <w:i w:val="0"/>
        <w:strike w:val="0"/>
        <w:dstrike w:val="0"/>
        <w:color w:val="0B0C0C"/>
        <w:sz w:val="22"/>
        <w:szCs w:val="22"/>
        <w:u w:val="none" w:color="000000"/>
        <w:bdr w:val="nil"/>
        <w:shd w:val="clear" w:color="auto" w:fill="auto"/>
        <w:vertAlign w:val="baseline"/>
      </w:rPr>
    </w:lvl>
    <w:lvl w:ilvl="3">
      <w:start w:val="1"/>
      <w:numFmt w:val="decimal"/>
      <w:lvlText w:val="%4"/>
      <w:lvlJc w:val="left"/>
      <w:pPr>
        <w:ind w:left="2880"/>
      </w:pPr>
      <w:rPr>
        <w:rFonts w:ascii="Arial" w:eastAsia="Arial" w:hAnsi="Arial" w:cs="Arial"/>
        <w:b/>
        <w:bCs/>
        <w:i w:val="0"/>
        <w:strike w:val="0"/>
        <w:dstrike w:val="0"/>
        <w:color w:val="0B0C0C"/>
        <w:sz w:val="22"/>
        <w:szCs w:val="22"/>
        <w:u w:val="none" w:color="000000"/>
        <w:bdr w:val="nil"/>
        <w:shd w:val="clear" w:color="auto" w:fill="auto"/>
        <w:vertAlign w:val="baseline"/>
      </w:rPr>
    </w:lvl>
    <w:lvl w:ilvl="4">
      <w:start w:val="1"/>
      <w:numFmt w:val="lowerLetter"/>
      <w:lvlText w:val="%5"/>
      <w:lvlJc w:val="left"/>
      <w:pPr>
        <w:ind w:left="3600"/>
      </w:pPr>
      <w:rPr>
        <w:rFonts w:ascii="Arial" w:eastAsia="Arial" w:hAnsi="Arial" w:cs="Arial"/>
        <w:b/>
        <w:bCs/>
        <w:i w:val="0"/>
        <w:strike w:val="0"/>
        <w:dstrike w:val="0"/>
        <w:color w:val="0B0C0C"/>
        <w:sz w:val="22"/>
        <w:szCs w:val="22"/>
        <w:u w:val="none" w:color="000000"/>
        <w:bdr w:val="nil"/>
        <w:shd w:val="clear" w:color="auto" w:fill="auto"/>
        <w:vertAlign w:val="baseline"/>
      </w:rPr>
    </w:lvl>
    <w:lvl w:ilvl="5">
      <w:start w:val="1"/>
      <w:numFmt w:val="lowerRoman"/>
      <w:lvlText w:val="%6"/>
      <w:lvlJc w:val="left"/>
      <w:pPr>
        <w:ind w:left="4320"/>
      </w:pPr>
      <w:rPr>
        <w:rFonts w:ascii="Arial" w:eastAsia="Arial" w:hAnsi="Arial" w:cs="Arial"/>
        <w:b/>
        <w:bCs/>
        <w:i w:val="0"/>
        <w:strike w:val="0"/>
        <w:dstrike w:val="0"/>
        <w:color w:val="0B0C0C"/>
        <w:sz w:val="22"/>
        <w:szCs w:val="22"/>
        <w:u w:val="none" w:color="000000"/>
        <w:bdr w:val="nil"/>
        <w:shd w:val="clear" w:color="auto" w:fill="auto"/>
        <w:vertAlign w:val="baseline"/>
      </w:rPr>
    </w:lvl>
    <w:lvl w:ilvl="6">
      <w:start w:val="1"/>
      <w:numFmt w:val="decimal"/>
      <w:lvlText w:val="%7"/>
      <w:lvlJc w:val="left"/>
      <w:pPr>
        <w:ind w:left="5040"/>
      </w:pPr>
      <w:rPr>
        <w:rFonts w:ascii="Arial" w:eastAsia="Arial" w:hAnsi="Arial" w:cs="Arial"/>
        <w:b/>
        <w:bCs/>
        <w:i w:val="0"/>
        <w:strike w:val="0"/>
        <w:dstrike w:val="0"/>
        <w:color w:val="0B0C0C"/>
        <w:sz w:val="22"/>
        <w:szCs w:val="22"/>
        <w:u w:val="none" w:color="000000"/>
        <w:bdr w:val="nil"/>
        <w:shd w:val="clear" w:color="auto" w:fill="auto"/>
        <w:vertAlign w:val="baseline"/>
      </w:rPr>
    </w:lvl>
    <w:lvl w:ilvl="7">
      <w:start w:val="1"/>
      <w:numFmt w:val="lowerLetter"/>
      <w:lvlText w:val="%8"/>
      <w:lvlJc w:val="left"/>
      <w:pPr>
        <w:ind w:left="5760"/>
      </w:pPr>
      <w:rPr>
        <w:rFonts w:ascii="Arial" w:eastAsia="Arial" w:hAnsi="Arial" w:cs="Arial"/>
        <w:b/>
        <w:bCs/>
        <w:i w:val="0"/>
        <w:strike w:val="0"/>
        <w:dstrike w:val="0"/>
        <w:color w:val="0B0C0C"/>
        <w:sz w:val="22"/>
        <w:szCs w:val="22"/>
        <w:u w:val="none" w:color="000000"/>
        <w:bdr w:val="nil"/>
        <w:shd w:val="clear" w:color="auto" w:fill="auto"/>
        <w:vertAlign w:val="baseline"/>
      </w:rPr>
    </w:lvl>
    <w:lvl w:ilvl="8">
      <w:start w:val="1"/>
      <w:numFmt w:val="lowerRoman"/>
      <w:lvlText w:val="%9"/>
      <w:lvlJc w:val="left"/>
      <w:pPr>
        <w:ind w:left="6480"/>
      </w:pPr>
      <w:rPr>
        <w:rFonts w:ascii="Arial" w:eastAsia="Arial" w:hAnsi="Arial" w:cs="Arial"/>
        <w:b/>
        <w:bCs/>
        <w:i w:val="0"/>
        <w:strike w:val="0"/>
        <w:dstrike w:val="0"/>
        <w:color w:val="0B0C0C"/>
        <w:sz w:val="22"/>
        <w:szCs w:val="22"/>
        <w:u w:val="none" w:color="000000"/>
        <w:bdr w:val="nil"/>
        <w:shd w:val="clear" w:color="auto" w:fill="auto"/>
        <w:vertAlign w:val="baseline"/>
      </w:rPr>
    </w:lvl>
  </w:abstractNum>
  <w:abstractNum w:abstractNumId="201">
    <w:nsid w:val="546F7082"/>
    <w:multiLevelType w:val="multilevel"/>
    <w:tmpl w:val="14D6D3C4"/>
    <w:lvl w:ilvl="0">
      <w:start w:val="19"/>
      <w:numFmt w:val="upperLetter"/>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Restart w:val="0"/>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02">
    <w:nsid w:val="54701AD0"/>
    <w:multiLevelType w:val="hybridMultilevel"/>
    <w:tmpl w:val="851881CA"/>
    <w:lvl w:ilvl="0">
      <w:start w:val="1"/>
      <w:numFmt w:val="bullet"/>
      <w:lvlText w:val="●"/>
      <w:lvlJc w:val="left"/>
      <w:pPr>
        <w:ind w:left="735"/>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54"/>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74"/>
      </w:pPr>
      <w:rPr>
        <w:rFonts w:ascii="Arial" w:eastAsia="Arial" w:hAnsi="Arial" w:cs="Aria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94"/>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14"/>
      </w:pPr>
      <w:rPr>
        <w:rFonts w:ascii="Arial" w:eastAsia="Arial" w:hAnsi="Arial" w:cs="Aria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34"/>
      </w:pPr>
      <w:rPr>
        <w:rFonts w:ascii="Arial" w:eastAsia="Arial" w:hAnsi="Arial" w:cs="Aria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54"/>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74"/>
      </w:pPr>
      <w:rPr>
        <w:rFonts w:ascii="Arial" w:eastAsia="Arial" w:hAnsi="Arial" w:cs="Aria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94"/>
      </w:pPr>
      <w:rPr>
        <w:rFonts w:ascii="Arial" w:eastAsia="Arial" w:hAnsi="Arial" w:cs="Arial"/>
        <w:b w:val="0"/>
        <w:i w:val="0"/>
        <w:strike w:val="0"/>
        <w:dstrike w:val="0"/>
        <w:color w:val="000000"/>
        <w:sz w:val="22"/>
        <w:szCs w:val="22"/>
        <w:u w:val="none" w:color="000000"/>
        <w:bdr w:val="nil"/>
        <w:shd w:val="clear" w:color="auto" w:fill="auto"/>
        <w:vertAlign w:val="baseline"/>
      </w:rPr>
    </w:lvl>
  </w:abstractNum>
  <w:abstractNum w:abstractNumId="203">
    <w:nsid w:val="54A15B58"/>
    <w:multiLevelType w:val="hybridMultilevel"/>
    <w:tmpl w:val="0E8682BC"/>
    <w:lvl w:ilvl="0">
      <w:start w:val="5"/>
      <w:numFmt w:val="decimal"/>
      <w:lvlText w:val="%1."/>
      <w:lvlJc w:val="left"/>
      <w:pPr>
        <w:ind w:left="28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04">
    <w:nsid w:val="54D252BB"/>
    <w:multiLevelType w:val="hybridMultilevel"/>
    <w:tmpl w:val="32CC47E2"/>
    <w:lvl w:ilvl="0">
      <w:start w:val="1"/>
      <w:numFmt w:val="bullet"/>
      <w:lvlText w:val="•"/>
      <w:lvlJc w:val="left"/>
      <w:pPr>
        <w:ind w:left="1258"/>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99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71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343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415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87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59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631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7037"/>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05">
    <w:nsid w:val="54EA615E"/>
    <w:multiLevelType w:val="hybridMultilevel"/>
    <w:tmpl w:val="31BE9EF6"/>
    <w:lvl w:ilvl="0">
      <w:start w:val="8"/>
      <w:numFmt w:val="decimal"/>
      <w:lvlText w:val="%1."/>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
      <w:lvlJc w:val="left"/>
      <w:pPr>
        <w:ind w:left="1081"/>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52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68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206">
    <w:nsid w:val="55E3241D"/>
    <w:multiLevelType w:val="multilevel"/>
    <w:tmpl w:val="636490D6"/>
    <w:lvl w:ilvl="0">
      <w:start w:val="1"/>
      <w:numFmt w:val="decimal"/>
      <w:lvlText w:val="%1."/>
      <w:lvlJc w:val="left"/>
      <w:pPr>
        <w:ind w:left="7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109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Text w:val="%3."/>
      <w:lvlJc w:val="left"/>
      <w:pPr>
        <w:ind w:left="22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07">
    <w:nsid w:val="55F8474A"/>
    <w:multiLevelType w:val="multilevel"/>
    <w:tmpl w:val="3CF00F10"/>
    <w:lvl w:ilvl="0">
      <w:start w:val="100"/>
      <w:numFmt w:val="upperRoman"/>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1"/>
      <w:numFmt w:val="decimal"/>
      <w:lvlRestart w:val="0"/>
      <w:lvlText w:val="%1.%2"/>
      <w:lvlJc w:val="left"/>
      <w:pPr>
        <w:ind w:left="73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1"/>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08">
    <w:nsid w:val="56067608"/>
    <w:multiLevelType w:val="hybridMultilevel"/>
    <w:tmpl w:val="D4C64AF8"/>
    <w:lvl w:ilvl="0">
      <w:start w:val="12"/>
      <w:numFmt w:val="decimal"/>
      <w:lvlText w:val="%1."/>
      <w:lvlJc w:val="left"/>
      <w:pPr>
        <w:ind w:left="1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082"/>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802"/>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522"/>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242"/>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3962"/>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682"/>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402"/>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122"/>
      </w:pPr>
      <w:rPr>
        <w:rFonts w:ascii="Verdana" w:eastAsia="Verdana" w:hAnsi="Verdana" w:cs="Verdana"/>
        <w:b/>
        <w:bCs/>
        <w:i/>
        <w:iCs/>
        <w:strike w:val="0"/>
        <w:dstrike w:val="0"/>
        <w:color w:val="000000"/>
        <w:sz w:val="22"/>
        <w:szCs w:val="22"/>
        <w:u w:val="none" w:color="000000"/>
        <w:bdr w:val="nil"/>
        <w:shd w:val="clear" w:color="auto" w:fill="auto"/>
        <w:vertAlign w:val="baseline"/>
      </w:rPr>
    </w:lvl>
  </w:abstractNum>
  <w:abstractNum w:abstractNumId="209">
    <w:nsid w:val="56123563"/>
    <w:multiLevelType w:val="hybridMultilevel"/>
    <w:tmpl w:val="8B70AA02"/>
    <w:lvl w:ilvl="0">
      <w:start w:val="1"/>
      <w:numFmt w:val="bullet"/>
      <w:lvlText w:val="-"/>
      <w:lvlJc w:val="left"/>
      <w:pPr>
        <w:ind w:left="360"/>
      </w:pPr>
      <w:rPr>
        <w:rFonts w:ascii="Times New Roman" w:eastAsia="Times New Roman" w:hAnsi="Times New Roman" w:cs="Times New Roman"/>
        <w:b w:val="0"/>
        <w:i w:val="0"/>
        <w:strike w:val="0"/>
        <w:dstrike w:val="0"/>
        <w:color w:val="000000"/>
        <w:sz w:val="18"/>
        <w:szCs w:val="18"/>
        <w:u w:val="none" w:color="000000"/>
        <w:bdr w:val="nil"/>
        <w:shd w:val="clear" w:color="auto" w:fill="auto"/>
        <w:vertAlign w:val="baseline"/>
      </w:rPr>
    </w:lvl>
    <w:lvl w:ilvl="1">
      <w:start w:val="1"/>
      <w:numFmt w:val="bullet"/>
      <w:lvlText w:val="o"/>
      <w:lvlJc w:val="left"/>
      <w:pPr>
        <w:ind w:left="1286"/>
      </w:pPr>
      <w:rPr>
        <w:rFonts w:ascii="Times New Roman" w:eastAsia="Times New Roman" w:hAnsi="Times New Roman" w:cs="Times New Roman"/>
        <w:b w:val="0"/>
        <w:i w:val="0"/>
        <w:strike w:val="0"/>
        <w:dstrike w:val="0"/>
        <w:color w:val="000000"/>
        <w:sz w:val="18"/>
        <w:szCs w:val="18"/>
        <w:u w:val="none" w:color="000000"/>
        <w:bdr w:val="nil"/>
        <w:shd w:val="clear" w:color="auto" w:fill="auto"/>
        <w:vertAlign w:val="baseline"/>
      </w:rPr>
    </w:lvl>
    <w:lvl w:ilvl="2">
      <w:start w:val="1"/>
      <w:numFmt w:val="bullet"/>
      <w:lvlText w:val="▪"/>
      <w:lvlJc w:val="left"/>
      <w:pPr>
        <w:ind w:left="2006"/>
      </w:pPr>
      <w:rPr>
        <w:rFonts w:ascii="Times New Roman" w:eastAsia="Times New Roman" w:hAnsi="Times New Roman" w:cs="Times New Roman"/>
        <w:b w:val="0"/>
        <w:i w:val="0"/>
        <w:strike w:val="0"/>
        <w:dstrike w:val="0"/>
        <w:color w:val="000000"/>
        <w:sz w:val="18"/>
        <w:szCs w:val="18"/>
        <w:u w:val="none" w:color="000000"/>
        <w:bdr w:val="nil"/>
        <w:shd w:val="clear" w:color="auto" w:fill="auto"/>
        <w:vertAlign w:val="baseline"/>
      </w:rPr>
    </w:lvl>
    <w:lvl w:ilvl="3">
      <w:start w:val="1"/>
      <w:numFmt w:val="bullet"/>
      <w:lvlText w:val="•"/>
      <w:lvlJc w:val="left"/>
      <w:pPr>
        <w:ind w:left="2726"/>
      </w:pPr>
      <w:rPr>
        <w:rFonts w:ascii="Times New Roman" w:eastAsia="Times New Roman" w:hAnsi="Times New Roman" w:cs="Times New Roman"/>
        <w:b w:val="0"/>
        <w:i w:val="0"/>
        <w:strike w:val="0"/>
        <w:dstrike w:val="0"/>
        <w:color w:val="000000"/>
        <w:sz w:val="18"/>
        <w:szCs w:val="18"/>
        <w:u w:val="none" w:color="000000"/>
        <w:bdr w:val="nil"/>
        <w:shd w:val="clear" w:color="auto" w:fill="auto"/>
        <w:vertAlign w:val="baseline"/>
      </w:rPr>
    </w:lvl>
    <w:lvl w:ilvl="4">
      <w:start w:val="1"/>
      <w:numFmt w:val="bullet"/>
      <w:lvlText w:val="o"/>
      <w:lvlJc w:val="left"/>
      <w:pPr>
        <w:ind w:left="3446"/>
      </w:pPr>
      <w:rPr>
        <w:rFonts w:ascii="Times New Roman" w:eastAsia="Times New Roman" w:hAnsi="Times New Roman" w:cs="Times New Roman"/>
        <w:b w:val="0"/>
        <w:i w:val="0"/>
        <w:strike w:val="0"/>
        <w:dstrike w:val="0"/>
        <w:color w:val="000000"/>
        <w:sz w:val="18"/>
        <w:szCs w:val="18"/>
        <w:u w:val="none" w:color="000000"/>
        <w:bdr w:val="nil"/>
        <w:shd w:val="clear" w:color="auto" w:fill="auto"/>
        <w:vertAlign w:val="baseline"/>
      </w:rPr>
    </w:lvl>
    <w:lvl w:ilvl="5">
      <w:start w:val="1"/>
      <w:numFmt w:val="bullet"/>
      <w:lvlText w:val="▪"/>
      <w:lvlJc w:val="left"/>
      <w:pPr>
        <w:ind w:left="4166"/>
      </w:pPr>
      <w:rPr>
        <w:rFonts w:ascii="Times New Roman" w:eastAsia="Times New Roman" w:hAnsi="Times New Roman" w:cs="Times New Roman"/>
        <w:b w:val="0"/>
        <w:i w:val="0"/>
        <w:strike w:val="0"/>
        <w:dstrike w:val="0"/>
        <w:color w:val="000000"/>
        <w:sz w:val="18"/>
        <w:szCs w:val="18"/>
        <w:u w:val="none" w:color="000000"/>
        <w:bdr w:val="nil"/>
        <w:shd w:val="clear" w:color="auto" w:fill="auto"/>
        <w:vertAlign w:val="baseline"/>
      </w:rPr>
    </w:lvl>
    <w:lvl w:ilvl="6">
      <w:start w:val="1"/>
      <w:numFmt w:val="bullet"/>
      <w:lvlText w:val="•"/>
      <w:lvlJc w:val="left"/>
      <w:pPr>
        <w:ind w:left="4886"/>
      </w:pPr>
      <w:rPr>
        <w:rFonts w:ascii="Times New Roman" w:eastAsia="Times New Roman" w:hAnsi="Times New Roman" w:cs="Times New Roman"/>
        <w:b w:val="0"/>
        <w:i w:val="0"/>
        <w:strike w:val="0"/>
        <w:dstrike w:val="0"/>
        <w:color w:val="000000"/>
        <w:sz w:val="18"/>
        <w:szCs w:val="18"/>
        <w:u w:val="none" w:color="000000"/>
        <w:bdr w:val="nil"/>
        <w:shd w:val="clear" w:color="auto" w:fill="auto"/>
        <w:vertAlign w:val="baseline"/>
      </w:rPr>
    </w:lvl>
    <w:lvl w:ilvl="7">
      <w:start w:val="1"/>
      <w:numFmt w:val="bullet"/>
      <w:lvlText w:val="o"/>
      <w:lvlJc w:val="left"/>
      <w:pPr>
        <w:ind w:left="5606"/>
      </w:pPr>
      <w:rPr>
        <w:rFonts w:ascii="Times New Roman" w:eastAsia="Times New Roman" w:hAnsi="Times New Roman" w:cs="Times New Roman"/>
        <w:b w:val="0"/>
        <w:i w:val="0"/>
        <w:strike w:val="0"/>
        <w:dstrike w:val="0"/>
        <w:color w:val="000000"/>
        <w:sz w:val="18"/>
        <w:szCs w:val="18"/>
        <w:u w:val="none" w:color="000000"/>
        <w:bdr w:val="nil"/>
        <w:shd w:val="clear" w:color="auto" w:fill="auto"/>
        <w:vertAlign w:val="baseline"/>
      </w:rPr>
    </w:lvl>
    <w:lvl w:ilvl="8">
      <w:start w:val="1"/>
      <w:numFmt w:val="bullet"/>
      <w:lvlText w:val="▪"/>
      <w:lvlJc w:val="left"/>
      <w:pPr>
        <w:ind w:left="6326"/>
      </w:pPr>
      <w:rPr>
        <w:rFonts w:ascii="Times New Roman" w:eastAsia="Times New Roman" w:hAnsi="Times New Roman" w:cs="Times New Roman"/>
        <w:b w:val="0"/>
        <w:i w:val="0"/>
        <w:strike w:val="0"/>
        <w:dstrike w:val="0"/>
        <w:color w:val="000000"/>
        <w:sz w:val="18"/>
        <w:szCs w:val="18"/>
        <w:u w:val="none" w:color="000000"/>
        <w:bdr w:val="nil"/>
        <w:shd w:val="clear" w:color="auto" w:fill="auto"/>
        <w:vertAlign w:val="baseline"/>
      </w:rPr>
    </w:lvl>
  </w:abstractNum>
  <w:abstractNum w:abstractNumId="210">
    <w:nsid w:val="569602A2"/>
    <w:multiLevelType w:val="hybridMultilevel"/>
    <w:tmpl w:val="72B63F86"/>
    <w:lvl w:ilvl="0">
      <w:start w:val="1"/>
      <w:numFmt w:val="bullet"/>
      <w:lvlText w:val="•"/>
      <w:lvlJc w:val="left"/>
      <w:pPr>
        <w:ind w:left="720"/>
      </w:pPr>
      <w:rPr>
        <w:rFonts w:ascii="Arial" w:eastAsia="Arial" w:hAnsi="Arial" w:cs="Arial"/>
        <w:b w:val="0"/>
        <w:i w:val="0"/>
        <w:strike w:val="0"/>
        <w:dstrike w:val="0"/>
        <w:color w:val="000000"/>
        <w:sz w:val="20"/>
        <w:szCs w:val="20"/>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0"/>
        <w:szCs w:val="20"/>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0"/>
        <w:szCs w:val="20"/>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abstractNum>
  <w:abstractNum w:abstractNumId="211">
    <w:nsid w:val="56AB28D8"/>
    <w:multiLevelType w:val="hybridMultilevel"/>
    <w:tmpl w:val="405EA422"/>
    <w:lvl w:ilvl="0">
      <w:start w:val="11"/>
      <w:numFmt w:val="decimal"/>
      <w:lvlText w:val="%1."/>
      <w:lvlJc w:val="left"/>
      <w:pPr>
        <w:ind w:left="706"/>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il"/>
        <w:shd w:val="clear" w:color="auto" w:fill="auto"/>
        <w:vertAlign w:val="baseline"/>
      </w:rPr>
    </w:lvl>
  </w:abstractNum>
  <w:abstractNum w:abstractNumId="212">
    <w:nsid w:val="56BE06A3"/>
    <w:multiLevelType w:val="hybridMultilevel"/>
    <w:tmpl w:val="9A52CF14"/>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7"/>
      <w:numFmt w:val="decimal"/>
      <w:lvlText w:val="%3."/>
      <w:lvlJc w:val="left"/>
      <w:pPr>
        <w:ind w:left="72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13">
    <w:nsid w:val="572B46A2"/>
    <w:multiLevelType w:val="hybridMultilevel"/>
    <w:tmpl w:val="D944BEB2"/>
    <w:lvl w:ilvl="0">
      <w:start w:val="1"/>
      <w:numFmt w:val="decimal"/>
      <w:lvlText w:val="%1"/>
      <w:lvlJc w:val="left"/>
      <w:pPr>
        <w:ind w:left="36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1">
      <w:start w:val="1"/>
      <w:numFmt w:val="lowerLetter"/>
      <w:lvlText w:val="%2"/>
      <w:lvlJc w:val="left"/>
      <w:pPr>
        <w:ind w:left="90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2">
      <w:start w:val="1"/>
      <w:numFmt w:val="lowerLetter"/>
      <w:lvlRestart w:val="0"/>
      <w:lvlText w:val="%3."/>
      <w:lvlJc w:val="left"/>
      <w:pPr>
        <w:ind w:left="144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3">
      <w:start w:val="1"/>
      <w:numFmt w:val="decimal"/>
      <w:lvlText w:val="%4"/>
      <w:lvlJc w:val="left"/>
      <w:pPr>
        <w:ind w:left="216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4">
      <w:start w:val="1"/>
      <w:numFmt w:val="lowerLetter"/>
      <w:lvlText w:val="%5"/>
      <w:lvlJc w:val="left"/>
      <w:pPr>
        <w:ind w:left="288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5">
      <w:start w:val="1"/>
      <w:numFmt w:val="lowerRoman"/>
      <w:lvlText w:val="%6"/>
      <w:lvlJc w:val="left"/>
      <w:pPr>
        <w:ind w:left="360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6">
      <w:start w:val="1"/>
      <w:numFmt w:val="decimal"/>
      <w:lvlText w:val="%7"/>
      <w:lvlJc w:val="left"/>
      <w:pPr>
        <w:ind w:left="432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7">
      <w:start w:val="1"/>
      <w:numFmt w:val="lowerLetter"/>
      <w:lvlText w:val="%8"/>
      <w:lvlJc w:val="left"/>
      <w:pPr>
        <w:ind w:left="5040"/>
      </w:pPr>
      <w:rPr>
        <w:rFonts w:ascii="Verdana" w:eastAsia="Verdana" w:hAnsi="Verdana" w:cs="Verdana"/>
        <w:b w:val="0"/>
        <w:i w:val="0"/>
        <w:strike w:val="0"/>
        <w:dstrike w:val="0"/>
        <w:color w:val="201F1E"/>
        <w:sz w:val="22"/>
        <w:szCs w:val="22"/>
        <w:u w:val="none" w:color="000000"/>
        <w:bdr w:val="nil"/>
        <w:shd w:val="clear" w:color="auto" w:fill="auto"/>
        <w:vertAlign w:val="baseline"/>
      </w:rPr>
    </w:lvl>
    <w:lvl w:ilvl="8">
      <w:start w:val="1"/>
      <w:numFmt w:val="lowerRoman"/>
      <w:lvlText w:val="%9"/>
      <w:lvlJc w:val="left"/>
      <w:pPr>
        <w:ind w:left="5760"/>
      </w:pPr>
      <w:rPr>
        <w:rFonts w:ascii="Verdana" w:eastAsia="Verdana" w:hAnsi="Verdana" w:cs="Verdana"/>
        <w:b w:val="0"/>
        <w:i w:val="0"/>
        <w:strike w:val="0"/>
        <w:dstrike w:val="0"/>
        <w:color w:val="201F1E"/>
        <w:sz w:val="22"/>
        <w:szCs w:val="22"/>
        <w:u w:val="none" w:color="000000"/>
        <w:bdr w:val="nil"/>
        <w:shd w:val="clear" w:color="auto" w:fill="auto"/>
        <w:vertAlign w:val="baseline"/>
      </w:rPr>
    </w:lvl>
  </w:abstractNum>
  <w:abstractNum w:abstractNumId="214">
    <w:nsid w:val="57396F89"/>
    <w:multiLevelType w:val="hybridMultilevel"/>
    <w:tmpl w:val="4F609E78"/>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723"/>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73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15">
    <w:nsid w:val="57884EB0"/>
    <w:multiLevelType w:val="hybridMultilevel"/>
    <w:tmpl w:val="00D68B70"/>
    <w:lvl w:ilvl="0">
      <w:start w:val="1"/>
      <w:numFmt w:val="bullet"/>
      <w:lvlText w:val="•"/>
      <w:lvlJc w:val="left"/>
      <w:pPr>
        <w:ind w:left="1191"/>
      </w:pPr>
      <w:rPr>
        <w:rFonts w:ascii="Arial" w:eastAsia="Arial" w:hAnsi="Arial" w:cs="Arial"/>
        <w:b w:val="0"/>
        <w:i w:val="0"/>
        <w:strike w:val="0"/>
        <w:dstrike w:val="0"/>
        <w:color w:val="000000"/>
        <w:sz w:val="20"/>
        <w:szCs w:val="20"/>
        <w:u w:val="none" w:color="000000"/>
        <w:bdr w:val="nil"/>
        <w:shd w:val="clear" w:color="auto" w:fill="auto"/>
        <w:vertAlign w:val="baseline"/>
      </w:rPr>
    </w:lvl>
    <w:lvl w:ilvl="1">
      <w:start w:val="1"/>
      <w:numFmt w:val="bullet"/>
      <w:lvlText w:val="o"/>
      <w:lvlJc w:val="left"/>
      <w:pPr>
        <w:ind w:left="1932"/>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2">
      <w:start w:val="1"/>
      <w:numFmt w:val="bullet"/>
      <w:lvlText w:val="▪"/>
      <w:lvlJc w:val="left"/>
      <w:pPr>
        <w:ind w:left="2652"/>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3">
      <w:start w:val="1"/>
      <w:numFmt w:val="bullet"/>
      <w:lvlText w:val="•"/>
      <w:lvlJc w:val="left"/>
      <w:pPr>
        <w:ind w:left="3372"/>
      </w:pPr>
      <w:rPr>
        <w:rFonts w:ascii="Arial" w:eastAsia="Arial" w:hAnsi="Arial" w:cs="Arial"/>
        <w:b w:val="0"/>
        <w:i w:val="0"/>
        <w:strike w:val="0"/>
        <w:dstrike w:val="0"/>
        <w:color w:val="000000"/>
        <w:sz w:val="20"/>
        <w:szCs w:val="20"/>
        <w:u w:val="none" w:color="000000"/>
        <w:bdr w:val="nil"/>
        <w:shd w:val="clear" w:color="auto" w:fill="auto"/>
        <w:vertAlign w:val="baseline"/>
      </w:rPr>
    </w:lvl>
    <w:lvl w:ilvl="4">
      <w:start w:val="1"/>
      <w:numFmt w:val="bullet"/>
      <w:lvlText w:val="o"/>
      <w:lvlJc w:val="left"/>
      <w:pPr>
        <w:ind w:left="4092"/>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5">
      <w:start w:val="1"/>
      <w:numFmt w:val="bullet"/>
      <w:lvlText w:val="▪"/>
      <w:lvlJc w:val="left"/>
      <w:pPr>
        <w:ind w:left="4812"/>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6">
      <w:start w:val="1"/>
      <w:numFmt w:val="bullet"/>
      <w:lvlText w:val="•"/>
      <w:lvlJc w:val="left"/>
      <w:pPr>
        <w:ind w:left="5532"/>
      </w:pPr>
      <w:rPr>
        <w:rFonts w:ascii="Arial" w:eastAsia="Arial" w:hAnsi="Arial" w:cs="Arial"/>
        <w:b w:val="0"/>
        <w:i w:val="0"/>
        <w:strike w:val="0"/>
        <w:dstrike w:val="0"/>
        <w:color w:val="000000"/>
        <w:sz w:val="20"/>
        <w:szCs w:val="20"/>
        <w:u w:val="none" w:color="000000"/>
        <w:bdr w:val="nil"/>
        <w:shd w:val="clear" w:color="auto" w:fill="auto"/>
        <w:vertAlign w:val="baseline"/>
      </w:rPr>
    </w:lvl>
    <w:lvl w:ilvl="7">
      <w:start w:val="1"/>
      <w:numFmt w:val="bullet"/>
      <w:lvlText w:val="o"/>
      <w:lvlJc w:val="left"/>
      <w:pPr>
        <w:ind w:left="6252"/>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8">
      <w:start w:val="1"/>
      <w:numFmt w:val="bullet"/>
      <w:lvlText w:val="▪"/>
      <w:lvlJc w:val="left"/>
      <w:pPr>
        <w:ind w:left="6972"/>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abstractNum>
  <w:abstractNum w:abstractNumId="216">
    <w:nsid w:val="57DB37CF"/>
    <w:multiLevelType w:val="hybridMultilevel"/>
    <w:tmpl w:val="9F529C24"/>
    <w:lvl w:ilvl="0">
      <w:start w:val="1"/>
      <w:numFmt w:val="decimal"/>
      <w:lvlText w:val="%1."/>
      <w:lvlJc w:val="left"/>
      <w:pPr>
        <w:ind w:left="1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17">
    <w:nsid w:val="582B42F0"/>
    <w:multiLevelType w:val="hybridMultilevel"/>
    <w:tmpl w:val="73783808"/>
    <w:lvl w:ilvl="0">
      <w:start w:val="1"/>
      <w:numFmt w:val="decimal"/>
      <w:lvlText w:val="%1."/>
      <w:lvlJc w:val="left"/>
      <w:pPr>
        <w:ind w:left="72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iCs/>
        <w:strike w:val="0"/>
        <w:dstrike w:val="0"/>
        <w:color w:val="000000"/>
        <w:sz w:val="22"/>
        <w:szCs w:val="22"/>
        <w:u w:val="none" w:color="000000"/>
        <w:bdr w:val="nil"/>
        <w:shd w:val="clear" w:color="auto" w:fill="auto"/>
        <w:vertAlign w:val="baseline"/>
      </w:rPr>
    </w:lvl>
  </w:abstractNum>
  <w:abstractNum w:abstractNumId="218">
    <w:nsid w:val="58A32F44"/>
    <w:multiLevelType w:val="hybridMultilevel"/>
    <w:tmpl w:val="F5C2B6A6"/>
    <w:lvl w:ilvl="0">
      <w:start w:val="7"/>
      <w:numFmt w:val="decimal"/>
      <w:lvlText w:val="%1."/>
      <w:lvlJc w:val="left"/>
      <w:pPr>
        <w:ind w:left="3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19">
    <w:nsid w:val="58C37793"/>
    <w:multiLevelType w:val="hybridMultilevel"/>
    <w:tmpl w:val="096CD8A2"/>
    <w:lvl w:ilvl="0">
      <w:start w:val="1"/>
      <w:numFmt w:val="decimal"/>
      <w:lvlText w:val="%1."/>
      <w:lvlJc w:val="left"/>
      <w:pPr>
        <w:ind w:left="64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20">
    <w:nsid w:val="591E21AE"/>
    <w:multiLevelType w:val="multilevel"/>
    <w:tmpl w:val="8ABA892A"/>
    <w:lvl w:ilvl="0">
      <w:start w:val="17"/>
      <w:numFmt w:val="decimal"/>
      <w:lvlText w:val="%1."/>
      <w:lvlJc w:val="left"/>
      <w:pPr>
        <w:ind w:left="141" w:hanging="141"/>
      </w:pPr>
      <w:rPr>
        <w:rFonts w:ascii="Arial" w:eastAsia="Arial" w:hAnsi="Arial" w:cs="Arial"/>
        <w:b/>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1">
    <w:nsid w:val="596247B8"/>
    <w:multiLevelType w:val="multilevel"/>
    <w:tmpl w:val="23E8DD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2">
    <w:nsid w:val="59AD7F73"/>
    <w:multiLevelType w:val="multilevel"/>
    <w:tmpl w:val="730ABB8A"/>
    <w:lvl w:ilvl="0">
      <w:start w:val="19"/>
      <w:numFmt w:val="upperLetter"/>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7"/>
      <w:numFmt w:val="decimal"/>
      <w:lvlRestart w:val="0"/>
      <w:lvlText w:val="%1.%2"/>
      <w:lvlJc w:val="left"/>
      <w:pPr>
        <w:ind w:left="2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23">
    <w:nsid w:val="5A246B44"/>
    <w:multiLevelType w:val="multilevel"/>
    <w:tmpl w:val="AEDEE7EA"/>
    <w:lvl w:ilvl="0">
      <w:start w:val="13"/>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4"/>
      <w:numFmt w:val="decimal"/>
      <w:lvlText w:val="%1.%2"/>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Restart w:val="0"/>
      <w:lvlText w:val="%1.%2.%3"/>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24">
    <w:nsid w:val="5A3D3078"/>
    <w:multiLevelType w:val="hybridMultilevel"/>
    <w:tmpl w:val="451A7682"/>
    <w:lvl w:ilvl="0">
      <w:start w:val="1"/>
      <w:numFmt w:val="bullet"/>
      <w:lvlText w:val="●"/>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25">
    <w:nsid w:val="5A58356D"/>
    <w:multiLevelType w:val="hybridMultilevel"/>
    <w:tmpl w:val="CC845D10"/>
    <w:lvl w:ilvl="0">
      <w:start w:val="58"/>
      <w:numFmt w:val="decimal"/>
      <w:lvlText w:val="%1)"/>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9"/>
      <w:numFmt w:val="decimal"/>
      <w:lvlRestart w:val="0"/>
      <w:lvlText w:val="%2."/>
      <w:lvlJc w:val="left"/>
      <w:pPr>
        <w:ind w:left="723"/>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442"/>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62"/>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82"/>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602"/>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322"/>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042"/>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62"/>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226">
    <w:nsid w:val="5A827ABC"/>
    <w:multiLevelType w:val="multilevel"/>
    <w:tmpl w:val="C5AAB3F0"/>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Restart w:val="0"/>
      <w:lvlText w:val="%1.%2"/>
      <w:lvlJc w:val="left"/>
      <w:pPr>
        <w:ind w:left="86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27">
    <w:nsid w:val="5A8737E6"/>
    <w:multiLevelType w:val="hybridMultilevel"/>
    <w:tmpl w:val="7E46D208"/>
    <w:lvl w:ilvl="0">
      <w:start w:val="1"/>
      <w:numFmt w:val="bullet"/>
      <w:lvlText w:val="•"/>
      <w:lvlJc w:val="left"/>
      <w:pPr>
        <w:ind w:left="768"/>
      </w:pPr>
      <w:rPr>
        <w:rFonts w:ascii="Arial" w:eastAsia="Arial" w:hAnsi="Arial" w:cs="Arial"/>
        <w:b w:val="0"/>
        <w:i w:val="0"/>
        <w:strike w:val="0"/>
        <w:dstrike w:val="0"/>
        <w:color w:val="003057"/>
        <w:sz w:val="24"/>
        <w:szCs w:val="24"/>
        <w:u w:val="none" w:color="000000"/>
        <w:bdr w:val="nil"/>
        <w:shd w:val="clear" w:color="auto" w:fill="auto"/>
        <w:vertAlign w:val="baseline"/>
      </w:rPr>
    </w:lvl>
    <w:lvl w:ilvl="1">
      <w:start w:val="1"/>
      <w:numFmt w:val="bullet"/>
      <w:lvlText w:val="o"/>
      <w:lvlJc w:val="left"/>
      <w:pPr>
        <w:ind w:left="1691"/>
      </w:pPr>
      <w:rPr>
        <w:rFonts w:ascii="Arial" w:eastAsia="Arial" w:hAnsi="Arial" w:cs="Arial"/>
        <w:b w:val="0"/>
        <w:i w:val="0"/>
        <w:strike w:val="0"/>
        <w:dstrike w:val="0"/>
        <w:color w:val="003057"/>
        <w:sz w:val="24"/>
        <w:szCs w:val="24"/>
        <w:u w:val="none" w:color="000000"/>
        <w:bdr w:val="nil"/>
        <w:shd w:val="clear" w:color="auto" w:fill="auto"/>
        <w:vertAlign w:val="baseline"/>
      </w:rPr>
    </w:lvl>
    <w:lvl w:ilvl="2">
      <w:start w:val="1"/>
      <w:numFmt w:val="bullet"/>
      <w:lvlText w:val="▪"/>
      <w:lvlJc w:val="left"/>
      <w:pPr>
        <w:ind w:left="2411"/>
      </w:pPr>
      <w:rPr>
        <w:rFonts w:ascii="Arial" w:eastAsia="Arial" w:hAnsi="Arial" w:cs="Arial"/>
        <w:b w:val="0"/>
        <w:i w:val="0"/>
        <w:strike w:val="0"/>
        <w:dstrike w:val="0"/>
        <w:color w:val="003057"/>
        <w:sz w:val="24"/>
        <w:szCs w:val="24"/>
        <w:u w:val="none" w:color="000000"/>
        <w:bdr w:val="nil"/>
        <w:shd w:val="clear" w:color="auto" w:fill="auto"/>
        <w:vertAlign w:val="baseline"/>
      </w:rPr>
    </w:lvl>
    <w:lvl w:ilvl="3">
      <w:start w:val="1"/>
      <w:numFmt w:val="bullet"/>
      <w:lvlText w:val="•"/>
      <w:lvlJc w:val="left"/>
      <w:pPr>
        <w:ind w:left="3131"/>
      </w:pPr>
      <w:rPr>
        <w:rFonts w:ascii="Arial" w:eastAsia="Arial" w:hAnsi="Arial" w:cs="Arial"/>
        <w:b w:val="0"/>
        <w:i w:val="0"/>
        <w:strike w:val="0"/>
        <w:dstrike w:val="0"/>
        <w:color w:val="003057"/>
        <w:sz w:val="24"/>
        <w:szCs w:val="24"/>
        <w:u w:val="none" w:color="000000"/>
        <w:bdr w:val="nil"/>
        <w:shd w:val="clear" w:color="auto" w:fill="auto"/>
        <w:vertAlign w:val="baseline"/>
      </w:rPr>
    </w:lvl>
    <w:lvl w:ilvl="4">
      <w:start w:val="1"/>
      <w:numFmt w:val="bullet"/>
      <w:lvlText w:val="o"/>
      <w:lvlJc w:val="left"/>
      <w:pPr>
        <w:ind w:left="3851"/>
      </w:pPr>
      <w:rPr>
        <w:rFonts w:ascii="Arial" w:eastAsia="Arial" w:hAnsi="Arial" w:cs="Arial"/>
        <w:b w:val="0"/>
        <w:i w:val="0"/>
        <w:strike w:val="0"/>
        <w:dstrike w:val="0"/>
        <w:color w:val="003057"/>
        <w:sz w:val="24"/>
        <w:szCs w:val="24"/>
        <w:u w:val="none" w:color="000000"/>
        <w:bdr w:val="nil"/>
        <w:shd w:val="clear" w:color="auto" w:fill="auto"/>
        <w:vertAlign w:val="baseline"/>
      </w:rPr>
    </w:lvl>
    <w:lvl w:ilvl="5">
      <w:start w:val="1"/>
      <w:numFmt w:val="bullet"/>
      <w:lvlText w:val="▪"/>
      <w:lvlJc w:val="left"/>
      <w:pPr>
        <w:ind w:left="4571"/>
      </w:pPr>
      <w:rPr>
        <w:rFonts w:ascii="Arial" w:eastAsia="Arial" w:hAnsi="Arial" w:cs="Arial"/>
        <w:b w:val="0"/>
        <w:i w:val="0"/>
        <w:strike w:val="0"/>
        <w:dstrike w:val="0"/>
        <w:color w:val="003057"/>
        <w:sz w:val="24"/>
        <w:szCs w:val="24"/>
        <w:u w:val="none" w:color="000000"/>
        <w:bdr w:val="nil"/>
        <w:shd w:val="clear" w:color="auto" w:fill="auto"/>
        <w:vertAlign w:val="baseline"/>
      </w:rPr>
    </w:lvl>
    <w:lvl w:ilvl="6">
      <w:start w:val="1"/>
      <w:numFmt w:val="bullet"/>
      <w:lvlText w:val="•"/>
      <w:lvlJc w:val="left"/>
      <w:pPr>
        <w:ind w:left="5291"/>
      </w:pPr>
      <w:rPr>
        <w:rFonts w:ascii="Arial" w:eastAsia="Arial" w:hAnsi="Arial" w:cs="Arial"/>
        <w:b w:val="0"/>
        <w:i w:val="0"/>
        <w:strike w:val="0"/>
        <w:dstrike w:val="0"/>
        <w:color w:val="003057"/>
        <w:sz w:val="24"/>
        <w:szCs w:val="24"/>
        <w:u w:val="none" w:color="000000"/>
        <w:bdr w:val="nil"/>
        <w:shd w:val="clear" w:color="auto" w:fill="auto"/>
        <w:vertAlign w:val="baseline"/>
      </w:rPr>
    </w:lvl>
    <w:lvl w:ilvl="7">
      <w:start w:val="1"/>
      <w:numFmt w:val="bullet"/>
      <w:lvlText w:val="o"/>
      <w:lvlJc w:val="left"/>
      <w:pPr>
        <w:ind w:left="6011"/>
      </w:pPr>
      <w:rPr>
        <w:rFonts w:ascii="Arial" w:eastAsia="Arial" w:hAnsi="Arial" w:cs="Arial"/>
        <w:b w:val="0"/>
        <w:i w:val="0"/>
        <w:strike w:val="0"/>
        <w:dstrike w:val="0"/>
        <w:color w:val="003057"/>
        <w:sz w:val="24"/>
        <w:szCs w:val="24"/>
        <w:u w:val="none" w:color="000000"/>
        <w:bdr w:val="nil"/>
        <w:shd w:val="clear" w:color="auto" w:fill="auto"/>
        <w:vertAlign w:val="baseline"/>
      </w:rPr>
    </w:lvl>
    <w:lvl w:ilvl="8">
      <w:start w:val="1"/>
      <w:numFmt w:val="bullet"/>
      <w:lvlText w:val="▪"/>
      <w:lvlJc w:val="left"/>
      <w:pPr>
        <w:ind w:left="6731"/>
      </w:pPr>
      <w:rPr>
        <w:rFonts w:ascii="Arial" w:eastAsia="Arial" w:hAnsi="Arial" w:cs="Arial"/>
        <w:b w:val="0"/>
        <w:i w:val="0"/>
        <w:strike w:val="0"/>
        <w:dstrike w:val="0"/>
        <w:color w:val="003057"/>
        <w:sz w:val="24"/>
        <w:szCs w:val="24"/>
        <w:u w:val="none" w:color="000000"/>
        <w:bdr w:val="nil"/>
        <w:shd w:val="clear" w:color="auto" w:fill="auto"/>
        <w:vertAlign w:val="baseline"/>
      </w:rPr>
    </w:lvl>
  </w:abstractNum>
  <w:abstractNum w:abstractNumId="228">
    <w:nsid w:val="5ACD28F9"/>
    <w:multiLevelType w:val="multilevel"/>
    <w:tmpl w:val="4B22D6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9">
    <w:nsid w:val="5BBB5518"/>
    <w:multiLevelType w:val="multilevel"/>
    <w:tmpl w:val="8820D578"/>
    <w:lvl w:ilvl="0">
      <w:start w:val="13"/>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2"/>
      <w:numFmt w:val="decimal"/>
      <w:lvlText w:val="%1.%2"/>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Restart w:val="0"/>
      <w:lvlText w:val="%1.%2.%3"/>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30">
    <w:nsid w:val="5BD00878"/>
    <w:multiLevelType w:val="multilevel"/>
    <w:tmpl w:val="06041ED0"/>
    <w:lvl w:ilvl="0">
      <w:start w:val="19"/>
      <w:numFmt w:val="upperLetter"/>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3"/>
      <w:numFmt w:val="decimal"/>
      <w:lvlRestart w:val="0"/>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31">
    <w:nsid w:val="5CC12CFD"/>
    <w:multiLevelType w:val="hybridMultilevel"/>
    <w:tmpl w:val="1DFC9B6A"/>
    <w:lvl w:ilvl="0">
      <w:start w:val="14"/>
      <w:numFmt w:val="decimal"/>
      <w:lvlText w:val="%1."/>
      <w:lvlJc w:val="left"/>
      <w:pPr>
        <w:ind w:left="7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232">
    <w:nsid w:val="5CCF2A3E"/>
    <w:multiLevelType w:val="hybridMultilevel"/>
    <w:tmpl w:val="7EBC5674"/>
    <w:lvl w:ilvl="0">
      <w:start w:val="7"/>
      <w:numFmt w:val="decimal"/>
      <w:lvlText w:val="%1."/>
      <w:lvlJc w:val="left"/>
      <w:pPr>
        <w:ind w:left="50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2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94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66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38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10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8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54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262"/>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33">
    <w:nsid w:val="5CE61E16"/>
    <w:multiLevelType w:val="hybridMultilevel"/>
    <w:tmpl w:val="F07444CE"/>
    <w:lvl w:ilvl="0">
      <w:start w:val="9"/>
      <w:numFmt w:val="decimal"/>
      <w:lvlText w:val="%1."/>
      <w:lvlJc w:val="left"/>
      <w:pPr>
        <w:ind w:left="72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iCs/>
        <w:strike w:val="0"/>
        <w:dstrike w:val="0"/>
        <w:color w:val="000000"/>
        <w:sz w:val="22"/>
        <w:szCs w:val="22"/>
        <w:u w:val="none" w:color="000000"/>
        <w:bdr w:val="nil"/>
        <w:shd w:val="clear" w:color="auto" w:fill="auto"/>
        <w:vertAlign w:val="baseline"/>
      </w:rPr>
    </w:lvl>
  </w:abstractNum>
  <w:abstractNum w:abstractNumId="234">
    <w:nsid w:val="5CFE3C09"/>
    <w:multiLevelType w:val="hybridMultilevel"/>
    <w:tmpl w:val="E8D268B6"/>
    <w:lvl w:ilvl="0">
      <w:start w:val="14"/>
      <w:numFmt w:val="decimal"/>
      <w:lvlText w:val="%1"/>
      <w:lvlJc w:val="left"/>
      <w:pPr>
        <w:ind w:left="161"/>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1">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2">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3">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4">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5">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6">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7">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8">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il"/>
        <w:shd w:val="clear" w:color="auto" w:fill="auto"/>
        <w:vertAlign w:val="superscript"/>
      </w:rPr>
    </w:lvl>
  </w:abstractNum>
  <w:abstractNum w:abstractNumId="235">
    <w:nsid w:val="5D0674EE"/>
    <w:multiLevelType w:val="hybridMultilevel"/>
    <w:tmpl w:val="2D0ED6CE"/>
    <w:lvl w:ilvl="0">
      <w:start w:val="2"/>
      <w:numFmt w:val="decimal"/>
      <w:lvlText w:val="%1."/>
      <w:lvlJc w:val="left"/>
      <w:pPr>
        <w:ind w:left="1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236">
    <w:nsid w:val="5D067979"/>
    <w:multiLevelType w:val="multilevel"/>
    <w:tmpl w:val="C590A6AC"/>
    <w:lvl w:ilvl="0">
      <w:start w:val="13"/>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8"/>
      <w:numFmt w:val="decimal"/>
      <w:lvlText w:val="%1.%2"/>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Restart w:val="0"/>
      <w:lvlText w:val="%1.%2.%3"/>
      <w:lvlJc w:val="left"/>
      <w:pPr>
        <w:ind w:left="81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37">
    <w:nsid w:val="5D1D735F"/>
    <w:multiLevelType w:val="multilevel"/>
    <w:tmpl w:val="9BA800EC"/>
    <w:lvl w:ilvl="0">
      <w:start w:val="3"/>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3"/>
      <w:numFmt w:val="decimal"/>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38">
    <w:nsid w:val="5D4732A6"/>
    <w:multiLevelType w:val="multilevel"/>
    <w:tmpl w:val="87A2BAA2"/>
    <w:lvl w:ilvl="0">
      <w:start w:val="5"/>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5"/>
      <w:numFmt w:val="decimal"/>
      <w:lvlRestart w:val="0"/>
      <w:lvlText w:val="%1.%2"/>
      <w:lvlJc w:val="left"/>
      <w:pPr>
        <w:ind w:left="1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39">
    <w:nsid w:val="5DEA303E"/>
    <w:multiLevelType w:val="multilevel"/>
    <w:tmpl w:val="DD98B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0">
    <w:nsid w:val="5E896958"/>
    <w:multiLevelType w:val="hybridMultilevel"/>
    <w:tmpl w:val="4E6A9E02"/>
    <w:lvl w:ilvl="0">
      <w:start w:val="29"/>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41">
    <w:nsid w:val="5E8A104A"/>
    <w:multiLevelType w:val="hybridMultilevel"/>
    <w:tmpl w:val="4614F4EA"/>
    <w:lvl w:ilvl="0">
      <w:start w:val="8"/>
      <w:numFmt w:val="decimal"/>
      <w:lvlText w:val="%1)"/>
      <w:lvlJc w:val="left"/>
      <w:pPr>
        <w:ind w:left="1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242">
    <w:nsid w:val="5EF52DB2"/>
    <w:multiLevelType w:val="hybridMultilevel"/>
    <w:tmpl w:val="929297A6"/>
    <w:lvl w:ilvl="0">
      <w:start w:val="1"/>
      <w:numFmt w:val="decimal"/>
      <w:lvlText w:val="%1"/>
      <w:lvlJc w:val="left"/>
      <w:pPr>
        <w:ind w:left="1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Text w:val="%2"/>
      <w:lvlJc w:val="left"/>
      <w:pPr>
        <w:ind w:left="72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243">
    <w:nsid w:val="5F481EDF"/>
    <w:multiLevelType w:val="hybridMultilevel"/>
    <w:tmpl w:val="1730FB5C"/>
    <w:lvl w:ilvl="0">
      <w:start w:val="83"/>
      <w:numFmt w:val="decimal"/>
      <w:lvlText w:val="%1)"/>
      <w:lvlJc w:val="left"/>
      <w:pPr>
        <w:ind w:left="36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44">
    <w:nsid w:val="5F7E2579"/>
    <w:multiLevelType w:val="multilevel"/>
    <w:tmpl w:val="7DC0AE94"/>
    <w:lvl w:ilvl="0">
      <w:start w:val="13"/>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7"/>
      <w:numFmt w:val="decimal"/>
      <w:lvlText w:val="%1.%2"/>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Restart w:val="0"/>
      <w:lvlText w:val="%1.%2.%3"/>
      <w:lvlJc w:val="left"/>
      <w:pPr>
        <w:ind w:left="73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45">
    <w:nsid w:val="60404C97"/>
    <w:multiLevelType w:val="hybridMultilevel"/>
    <w:tmpl w:val="27543A86"/>
    <w:lvl w:ilvl="0">
      <w:start w:val="5"/>
      <w:numFmt w:val="decimal"/>
      <w:lvlText w:val="%1."/>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
      <w:lvlJc w:val="left"/>
      <w:pPr>
        <w:ind w:left="720"/>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6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2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246">
    <w:nsid w:val="60543C01"/>
    <w:multiLevelType w:val="hybridMultilevel"/>
    <w:tmpl w:val="50E28898"/>
    <w:lvl w:ilvl="0">
      <w:start w:val="1"/>
      <w:numFmt w:val="bullet"/>
      <w:lvlText w:val="•"/>
      <w:lvlJc w:val="left"/>
      <w:pPr>
        <w:ind w:left="722"/>
      </w:pPr>
      <w:rPr>
        <w:rFonts w:ascii="Arial" w:eastAsia="Arial" w:hAnsi="Arial" w:cs="Arial"/>
        <w:b w:val="0"/>
        <w:i w:val="0"/>
        <w:strike w:val="0"/>
        <w:dstrike w:val="0"/>
        <w:color w:val="000000"/>
        <w:sz w:val="20"/>
        <w:szCs w:val="20"/>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0"/>
        <w:szCs w:val="20"/>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0"/>
        <w:szCs w:val="20"/>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il"/>
        <w:shd w:val="clear" w:color="auto" w:fill="auto"/>
        <w:vertAlign w:val="baseline"/>
      </w:rPr>
    </w:lvl>
  </w:abstractNum>
  <w:abstractNum w:abstractNumId="247">
    <w:nsid w:val="608D3C28"/>
    <w:multiLevelType w:val="hybridMultilevel"/>
    <w:tmpl w:val="0D107F9E"/>
    <w:lvl w:ilvl="0">
      <w:start w:val="1"/>
      <w:numFmt w:val="decimal"/>
      <w:lvlText w:val="%1."/>
      <w:lvlJc w:val="left"/>
      <w:pPr>
        <w:ind w:left="44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48">
    <w:nsid w:val="60DC344B"/>
    <w:multiLevelType w:val="hybridMultilevel"/>
    <w:tmpl w:val="D1148E0C"/>
    <w:lvl w:ilvl="0">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1">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3">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5">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7">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lvl w:ilvl="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il"/>
        <w:shd w:val="clear" w:color="auto" w:fill="auto"/>
        <w:vertAlign w:val="baseline"/>
      </w:rPr>
    </w:lvl>
  </w:abstractNum>
  <w:abstractNum w:abstractNumId="249">
    <w:nsid w:val="613C01CF"/>
    <w:multiLevelType w:val="multilevel"/>
    <w:tmpl w:val="3DA09C76"/>
    <w:lvl w:ilvl="0">
      <w:start w:val="1"/>
      <w:numFmt w:val="decimal"/>
      <w:lvlText w:val="%1."/>
      <w:lvlJc w:val="left"/>
      <w:pPr>
        <w:ind w:left="31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45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721"/>
      </w:pPr>
      <w:rPr>
        <w:rFonts w:ascii="Arial" w:eastAsia="Arial" w:hAnsi="Arial" w:cs="Aria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1441"/>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16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288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3601"/>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250">
    <w:nsid w:val="61694F0C"/>
    <w:multiLevelType w:val="hybridMultilevel"/>
    <w:tmpl w:val="88546F36"/>
    <w:lvl w:ilvl="0">
      <w:start w:val="1"/>
      <w:numFmt w:val="decimal"/>
      <w:lvlText w:val="(%1)"/>
      <w:lvlJc w:val="left"/>
      <w:pPr>
        <w:ind w:left="7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51">
    <w:nsid w:val="620E7837"/>
    <w:multiLevelType w:val="hybridMultilevel"/>
    <w:tmpl w:val="325C470E"/>
    <w:lvl w:ilvl="0">
      <w:start w:val="1"/>
      <w:numFmt w:val="upperLetter"/>
      <w:lvlText w:val="%1."/>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52">
    <w:nsid w:val="62272C31"/>
    <w:multiLevelType w:val="multilevel"/>
    <w:tmpl w:val="2DB4A6E4"/>
    <w:lvl w:ilvl="0">
      <w:start w:val="2"/>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859"/>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292"/>
      </w:pPr>
      <w:rPr>
        <w:rFonts w:ascii="Arial" w:eastAsia="Arial" w:hAnsi="Arial" w:cs="Aria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194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6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3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10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48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5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253">
    <w:nsid w:val="625C31BC"/>
    <w:multiLevelType w:val="hybridMultilevel"/>
    <w:tmpl w:val="57561090"/>
    <w:lvl w:ilvl="0">
      <w:start w:val="1"/>
      <w:numFmt w:val="decimal"/>
      <w:lvlText w:val="%1."/>
      <w:lvlJc w:val="left"/>
      <w:pPr>
        <w:ind w:left="1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254">
    <w:nsid w:val="627277A4"/>
    <w:multiLevelType w:val="hybridMultilevel"/>
    <w:tmpl w:val="4CFCC4BA"/>
    <w:lvl w:ilvl="0">
      <w:start w:val="1"/>
      <w:numFmt w:val="bullet"/>
      <w:lvlText w:val="●"/>
      <w:lvlJc w:val="left"/>
      <w:pPr>
        <w:ind w:left="72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Arial" w:eastAsia="Arial" w:hAnsi="Arial" w:cs="Aria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Arial" w:eastAsia="Arial" w:hAnsi="Arial" w:cs="Aria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Arial" w:eastAsia="Arial" w:hAnsi="Arial" w:cs="Aria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Arial" w:eastAsia="Arial" w:hAnsi="Arial" w:cs="Aria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Arial" w:eastAsia="Arial" w:hAnsi="Arial" w:cs="Arial"/>
        <w:b w:val="0"/>
        <w:i w:val="0"/>
        <w:strike w:val="0"/>
        <w:dstrike w:val="0"/>
        <w:color w:val="000000"/>
        <w:sz w:val="22"/>
        <w:szCs w:val="22"/>
        <w:u w:val="none" w:color="000000"/>
        <w:bdr w:val="nil"/>
        <w:shd w:val="clear" w:color="auto" w:fill="auto"/>
        <w:vertAlign w:val="baseline"/>
      </w:rPr>
    </w:lvl>
  </w:abstractNum>
  <w:abstractNum w:abstractNumId="255">
    <w:nsid w:val="63463D8A"/>
    <w:multiLevelType w:val="hybridMultilevel"/>
    <w:tmpl w:val="0E16D5BA"/>
    <w:lvl w:ilvl="0">
      <w:start w:val="1"/>
      <w:numFmt w:val="lowerRoman"/>
      <w:lvlText w:val="(%1)"/>
      <w:lvlJc w:val="left"/>
      <w:pPr>
        <w:ind w:left="442"/>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iCs/>
        <w:strike w:val="0"/>
        <w:dstrike w:val="0"/>
        <w:color w:val="000000"/>
        <w:sz w:val="22"/>
        <w:szCs w:val="22"/>
        <w:u w:val="none" w:color="000000"/>
        <w:bdr w:val="nil"/>
        <w:shd w:val="clear" w:color="auto" w:fill="auto"/>
        <w:vertAlign w:val="baseline"/>
      </w:rPr>
    </w:lvl>
  </w:abstractNum>
  <w:abstractNum w:abstractNumId="256">
    <w:nsid w:val="6445692A"/>
    <w:multiLevelType w:val="hybridMultilevel"/>
    <w:tmpl w:val="56767CDA"/>
    <w:lvl w:ilvl="0">
      <w:start w:val="28"/>
      <w:numFmt w:val="decimal"/>
      <w:lvlText w:val="%1"/>
      <w:lvlJc w:val="left"/>
      <w:pPr>
        <w:ind w:left="22"/>
      </w:pPr>
      <w:rPr>
        <w:rFonts w:ascii="Arial" w:eastAsia="Arial" w:hAnsi="Arial" w:cs="Arial"/>
        <w:b w:val="0"/>
        <w:i w:val="0"/>
        <w:strike w:val="0"/>
        <w:dstrike w:val="0"/>
        <w:color w:val="000000"/>
        <w:sz w:val="20"/>
        <w:szCs w:val="20"/>
        <w:u w:val="none" w:color="000000"/>
        <w:bdr w:val="nil"/>
        <w:shd w:val="clear" w:color="auto" w:fill="auto"/>
        <w:vertAlign w:val="superscript"/>
      </w:rPr>
    </w:lvl>
    <w:lvl w:ilvl="1">
      <w:start w:val="1"/>
      <w:numFmt w:val="lowerLetter"/>
      <w:lvlText w:val="%2"/>
      <w:lvlJc w:val="left"/>
      <w:pPr>
        <w:ind w:left="1080"/>
      </w:pPr>
      <w:rPr>
        <w:rFonts w:ascii="Arial" w:eastAsia="Arial" w:hAnsi="Arial" w:cs="Arial"/>
        <w:b w:val="0"/>
        <w:i w:val="0"/>
        <w:strike w:val="0"/>
        <w:dstrike w:val="0"/>
        <w:color w:val="000000"/>
        <w:sz w:val="20"/>
        <w:szCs w:val="20"/>
        <w:u w:val="none" w:color="000000"/>
        <w:bdr w:val="nil"/>
        <w:shd w:val="clear" w:color="auto" w:fill="auto"/>
        <w:vertAlign w:val="superscript"/>
      </w:rPr>
    </w:lvl>
    <w:lvl w:ilvl="2">
      <w:start w:val="1"/>
      <w:numFmt w:val="lowerRoman"/>
      <w:lvlText w:val="%3"/>
      <w:lvlJc w:val="left"/>
      <w:pPr>
        <w:ind w:left="1800"/>
      </w:pPr>
      <w:rPr>
        <w:rFonts w:ascii="Arial" w:eastAsia="Arial" w:hAnsi="Arial" w:cs="Arial"/>
        <w:b w:val="0"/>
        <w:i w:val="0"/>
        <w:strike w:val="0"/>
        <w:dstrike w:val="0"/>
        <w:color w:val="000000"/>
        <w:sz w:val="20"/>
        <w:szCs w:val="20"/>
        <w:u w:val="none" w:color="000000"/>
        <w:bdr w:val="nil"/>
        <w:shd w:val="clear" w:color="auto" w:fill="auto"/>
        <w:vertAlign w:val="superscript"/>
      </w:rPr>
    </w:lvl>
    <w:lvl w:ilvl="3">
      <w:start w:val="1"/>
      <w:numFmt w:val="decimal"/>
      <w:lvlText w:val="%4"/>
      <w:lvlJc w:val="left"/>
      <w:pPr>
        <w:ind w:left="2520"/>
      </w:pPr>
      <w:rPr>
        <w:rFonts w:ascii="Arial" w:eastAsia="Arial" w:hAnsi="Arial" w:cs="Arial"/>
        <w:b w:val="0"/>
        <w:i w:val="0"/>
        <w:strike w:val="0"/>
        <w:dstrike w:val="0"/>
        <w:color w:val="000000"/>
        <w:sz w:val="20"/>
        <w:szCs w:val="20"/>
        <w:u w:val="none" w:color="000000"/>
        <w:bdr w:val="nil"/>
        <w:shd w:val="clear" w:color="auto" w:fill="auto"/>
        <w:vertAlign w:val="superscript"/>
      </w:rPr>
    </w:lvl>
    <w:lvl w:ilvl="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il"/>
        <w:shd w:val="clear" w:color="auto" w:fill="auto"/>
        <w:vertAlign w:val="superscript"/>
      </w:rPr>
    </w:lvl>
    <w:lvl w:ilvl="5">
      <w:start w:val="1"/>
      <w:numFmt w:val="lowerRoman"/>
      <w:lvlText w:val="%6"/>
      <w:lvlJc w:val="left"/>
      <w:pPr>
        <w:ind w:left="3960"/>
      </w:pPr>
      <w:rPr>
        <w:rFonts w:ascii="Arial" w:eastAsia="Arial" w:hAnsi="Arial" w:cs="Arial"/>
        <w:b w:val="0"/>
        <w:i w:val="0"/>
        <w:strike w:val="0"/>
        <w:dstrike w:val="0"/>
        <w:color w:val="000000"/>
        <w:sz w:val="20"/>
        <w:szCs w:val="20"/>
        <w:u w:val="none" w:color="000000"/>
        <w:bdr w:val="nil"/>
        <w:shd w:val="clear" w:color="auto" w:fill="auto"/>
        <w:vertAlign w:val="superscript"/>
      </w:rPr>
    </w:lvl>
    <w:lvl w:ilvl="6">
      <w:start w:val="1"/>
      <w:numFmt w:val="decimal"/>
      <w:lvlText w:val="%7"/>
      <w:lvlJc w:val="left"/>
      <w:pPr>
        <w:ind w:left="4680"/>
      </w:pPr>
      <w:rPr>
        <w:rFonts w:ascii="Arial" w:eastAsia="Arial" w:hAnsi="Arial" w:cs="Arial"/>
        <w:b w:val="0"/>
        <w:i w:val="0"/>
        <w:strike w:val="0"/>
        <w:dstrike w:val="0"/>
        <w:color w:val="000000"/>
        <w:sz w:val="20"/>
        <w:szCs w:val="20"/>
        <w:u w:val="none" w:color="000000"/>
        <w:bdr w:val="nil"/>
        <w:shd w:val="clear" w:color="auto" w:fill="auto"/>
        <w:vertAlign w:val="superscript"/>
      </w:rPr>
    </w:lvl>
    <w:lvl w:ilvl="7">
      <w:start w:val="1"/>
      <w:numFmt w:val="lowerLetter"/>
      <w:lvlText w:val="%8"/>
      <w:lvlJc w:val="left"/>
      <w:pPr>
        <w:ind w:left="5400"/>
      </w:pPr>
      <w:rPr>
        <w:rFonts w:ascii="Arial" w:eastAsia="Arial" w:hAnsi="Arial" w:cs="Arial"/>
        <w:b w:val="0"/>
        <w:i w:val="0"/>
        <w:strike w:val="0"/>
        <w:dstrike w:val="0"/>
        <w:color w:val="000000"/>
        <w:sz w:val="20"/>
        <w:szCs w:val="20"/>
        <w:u w:val="none" w:color="000000"/>
        <w:bdr w:val="nil"/>
        <w:shd w:val="clear" w:color="auto" w:fill="auto"/>
        <w:vertAlign w:val="superscript"/>
      </w:rPr>
    </w:lvl>
    <w:lvl w:ilvl="8">
      <w:start w:val="1"/>
      <w:numFmt w:val="lowerRoman"/>
      <w:lvlText w:val="%9"/>
      <w:lvlJc w:val="left"/>
      <w:pPr>
        <w:ind w:left="6120"/>
      </w:pPr>
      <w:rPr>
        <w:rFonts w:ascii="Arial" w:eastAsia="Arial" w:hAnsi="Arial" w:cs="Arial"/>
        <w:b w:val="0"/>
        <w:i w:val="0"/>
        <w:strike w:val="0"/>
        <w:dstrike w:val="0"/>
        <w:color w:val="000000"/>
        <w:sz w:val="20"/>
        <w:szCs w:val="20"/>
        <w:u w:val="none" w:color="000000"/>
        <w:bdr w:val="nil"/>
        <w:shd w:val="clear" w:color="auto" w:fill="auto"/>
        <w:vertAlign w:val="superscript"/>
      </w:rPr>
    </w:lvl>
  </w:abstractNum>
  <w:abstractNum w:abstractNumId="257">
    <w:nsid w:val="644A3FBD"/>
    <w:multiLevelType w:val="hybridMultilevel"/>
    <w:tmpl w:val="E670F8B0"/>
    <w:lvl w:ilvl="0">
      <w:start w:val="3"/>
      <w:numFmt w:val="decimal"/>
      <w:lvlText w:val="%1."/>
      <w:lvlJc w:val="left"/>
      <w:pPr>
        <w:ind w:left="10"/>
      </w:pPr>
      <w:rPr>
        <w:rFonts w:ascii="Arial" w:eastAsia="Arial" w:hAnsi="Arial" w:cs="Arial"/>
        <w:b w:val="0"/>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081"/>
      </w:pPr>
      <w:rPr>
        <w:rFonts w:ascii="Arial" w:eastAsia="Arial" w:hAnsi="Arial" w:cs="Arial"/>
        <w:b w:val="0"/>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801"/>
      </w:pPr>
      <w:rPr>
        <w:rFonts w:ascii="Arial" w:eastAsia="Arial" w:hAnsi="Arial" w:cs="Arial"/>
        <w:b w:val="0"/>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521"/>
      </w:pPr>
      <w:rPr>
        <w:rFonts w:ascii="Arial" w:eastAsia="Arial" w:hAnsi="Arial" w:cs="Arial"/>
        <w:b w:val="0"/>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241"/>
      </w:pPr>
      <w:rPr>
        <w:rFonts w:ascii="Arial" w:eastAsia="Arial" w:hAnsi="Arial" w:cs="Arial"/>
        <w:b w:val="0"/>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3961"/>
      </w:pPr>
      <w:rPr>
        <w:rFonts w:ascii="Arial" w:eastAsia="Arial" w:hAnsi="Arial" w:cs="Arial"/>
        <w:b w:val="0"/>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681"/>
      </w:pPr>
      <w:rPr>
        <w:rFonts w:ascii="Arial" w:eastAsia="Arial" w:hAnsi="Arial" w:cs="Arial"/>
        <w:b w:val="0"/>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401"/>
      </w:pPr>
      <w:rPr>
        <w:rFonts w:ascii="Arial" w:eastAsia="Arial" w:hAnsi="Arial" w:cs="Arial"/>
        <w:b w:val="0"/>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121"/>
      </w:pPr>
      <w:rPr>
        <w:rFonts w:ascii="Arial" w:eastAsia="Arial" w:hAnsi="Arial" w:cs="Arial"/>
        <w:b w:val="0"/>
        <w:i/>
        <w:iCs/>
        <w:strike w:val="0"/>
        <w:dstrike w:val="0"/>
        <w:color w:val="000000"/>
        <w:sz w:val="22"/>
        <w:szCs w:val="22"/>
        <w:u w:val="none" w:color="000000"/>
        <w:bdr w:val="nil"/>
        <w:shd w:val="clear" w:color="auto" w:fill="auto"/>
        <w:vertAlign w:val="baseline"/>
      </w:rPr>
    </w:lvl>
  </w:abstractNum>
  <w:abstractNum w:abstractNumId="258">
    <w:nsid w:val="648F2012"/>
    <w:multiLevelType w:val="hybridMultilevel"/>
    <w:tmpl w:val="10B06B60"/>
    <w:lvl w:ilvl="0">
      <w:start w:val="11"/>
      <w:numFmt w:val="decimal"/>
      <w:lvlText w:val="%1."/>
      <w:lvlJc w:val="left"/>
      <w:pPr>
        <w:ind w:left="1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
      <w:lvlJc w:val="left"/>
      <w:pPr>
        <w:ind w:left="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59">
    <w:nsid w:val="64D935F8"/>
    <w:multiLevelType w:val="hybridMultilevel"/>
    <w:tmpl w:val="2D4C17A6"/>
    <w:lvl w:ilvl="0">
      <w:start w:val="1"/>
      <w:numFmt w:val="decimal"/>
      <w:lvlText w:val="%1"/>
      <w:lvlJc w:val="left"/>
      <w:pPr>
        <w:ind w:left="100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60">
    <w:nsid w:val="65901341"/>
    <w:multiLevelType w:val="hybridMultilevel"/>
    <w:tmpl w:val="8EA4C944"/>
    <w:lvl w:ilvl="0">
      <w:start w:val="1"/>
      <w:numFmt w:val="bullet"/>
      <w:lvlText w:val="●"/>
      <w:lvlJc w:val="left"/>
      <w:pPr>
        <w:ind w:left="1095"/>
      </w:pPr>
      <w:rPr>
        <w:rFonts w:ascii="Arial" w:eastAsia="Arial" w:hAnsi="Arial" w:cs="Arial"/>
        <w:b w:val="0"/>
        <w:i w:val="0"/>
        <w:strike w:val="0"/>
        <w:dstrike w:val="0"/>
        <w:color w:val="0B0C0C"/>
        <w:sz w:val="22"/>
        <w:szCs w:val="22"/>
        <w:u w:val="none" w:color="000000"/>
        <w:bdr w:val="nil"/>
        <w:shd w:val="clear" w:color="auto" w:fill="auto"/>
        <w:vertAlign w:val="baseline"/>
      </w:rPr>
    </w:lvl>
    <w:lvl w:ilvl="1">
      <w:start w:val="1"/>
      <w:numFmt w:val="lowerLetter"/>
      <w:lvlText w:val="%2."/>
      <w:lvlJc w:val="left"/>
      <w:pPr>
        <w:ind w:left="1455"/>
      </w:pPr>
      <w:rPr>
        <w:rFonts w:ascii="Arial" w:eastAsia="Arial" w:hAnsi="Arial" w:cs="Arial"/>
        <w:b w:val="0"/>
        <w:i w:val="0"/>
        <w:strike w:val="0"/>
        <w:dstrike w:val="0"/>
        <w:color w:val="0B0C0C"/>
        <w:sz w:val="22"/>
        <w:szCs w:val="22"/>
        <w:u w:val="none" w:color="000000"/>
        <w:bdr w:val="nil"/>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B0C0C"/>
        <w:sz w:val="22"/>
        <w:szCs w:val="22"/>
        <w:u w:val="none" w:color="000000"/>
        <w:bdr w:val="nil"/>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B0C0C"/>
        <w:sz w:val="22"/>
        <w:szCs w:val="22"/>
        <w:u w:val="none" w:color="000000"/>
        <w:bdr w:val="nil"/>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B0C0C"/>
        <w:sz w:val="22"/>
        <w:szCs w:val="22"/>
        <w:u w:val="none" w:color="000000"/>
        <w:bdr w:val="nil"/>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B0C0C"/>
        <w:sz w:val="22"/>
        <w:szCs w:val="22"/>
        <w:u w:val="none" w:color="000000"/>
        <w:bdr w:val="nil"/>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B0C0C"/>
        <w:sz w:val="22"/>
        <w:szCs w:val="22"/>
        <w:u w:val="none" w:color="000000"/>
        <w:bdr w:val="nil"/>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B0C0C"/>
        <w:sz w:val="22"/>
        <w:szCs w:val="22"/>
        <w:u w:val="none" w:color="000000"/>
        <w:bdr w:val="nil"/>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B0C0C"/>
        <w:sz w:val="22"/>
        <w:szCs w:val="22"/>
        <w:u w:val="none" w:color="000000"/>
        <w:bdr w:val="nil"/>
        <w:shd w:val="clear" w:color="auto" w:fill="auto"/>
        <w:vertAlign w:val="baseline"/>
      </w:rPr>
    </w:lvl>
  </w:abstractNum>
  <w:abstractNum w:abstractNumId="261">
    <w:nsid w:val="66366F45"/>
    <w:multiLevelType w:val="hybridMultilevel"/>
    <w:tmpl w:val="057019FC"/>
    <w:lvl w:ilvl="0">
      <w:start w:val="14"/>
      <w:numFmt w:val="decimal"/>
      <w:lvlText w:val="%1)"/>
      <w:lvlJc w:val="left"/>
      <w:pPr>
        <w:ind w:left="368"/>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iCs/>
        <w:strike w:val="0"/>
        <w:dstrike w:val="0"/>
        <w:color w:val="000000"/>
        <w:sz w:val="22"/>
        <w:szCs w:val="22"/>
        <w:u w:val="none" w:color="000000"/>
        <w:bdr w:val="nil"/>
        <w:shd w:val="clear" w:color="auto" w:fill="auto"/>
        <w:vertAlign w:val="baseline"/>
      </w:rPr>
    </w:lvl>
  </w:abstractNum>
  <w:abstractNum w:abstractNumId="262">
    <w:nsid w:val="6741726A"/>
    <w:multiLevelType w:val="hybridMultilevel"/>
    <w:tmpl w:val="57828C34"/>
    <w:lvl w:ilvl="0">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1">
      <w:start w:val="1"/>
      <w:numFmt w:val="bullet"/>
      <w:lvlText w:val="o"/>
      <w:lvlJc w:val="left"/>
      <w:pPr>
        <w:ind w:left="1260"/>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2">
      <w:start w:val="1"/>
      <w:numFmt w:val="bullet"/>
      <w:lvlRestart w:val="0"/>
      <w:lvlText w:val=""/>
      <w:lvlJc w:val="left"/>
      <w:pPr>
        <w:ind w:left="2160"/>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3">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4">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5">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6">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7">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lvl w:ilvl="8">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il"/>
        <w:shd w:val="clear" w:color="auto" w:fill="auto"/>
        <w:vertAlign w:val="baseline"/>
      </w:rPr>
    </w:lvl>
  </w:abstractNum>
  <w:abstractNum w:abstractNumId="263">
    <w:nsid w:val="696760A9"/>
    <w:multiLevelType w:val="hybridMultilevel"/>
    <w:tmpl w:val="F8A6A85A"/>
    <w:lvl w:ilvl="0">
      <w:start w:val="1"/>
      <w:numFmt w:val="bullet"/>
      <w:lvlText w:val="o"/>
      <w:lvlJc w:val="left"/>
      <w:pPr>
        <w:ind w:left="1094"/>
      </w:pPr>
      <w:rPr>
        <w:rFonts w:ascii="Courier New" w:eastAsia="Courier New" w:hAnsi="Courier New" w:cs="Courier New"/>
        <w:b w:val="0"/>
        <w:i w:val="0"/>
        <w:strike w:val="0"/>
        <w:dstrike w:val="0"/>
        <w:color w:val="003057"/>
        <w:sz w:val="24"/>
        <w:szCs w:val="24"/>
        <w:u w:val="none" w:color="000000"/>
        <w:bdr w:val="nil"/>
        <w:shd w:val="clear" w:color="auto" w:fill="auto"/>
        <w:vertAlign w:val="baseline"/>
      </w:rPr>
    </w:lvl>
    <w:lvl w:ilvl="1">
      <w:start w:val="1"/>
      <w:numFmt w:val="bullet"/>
      <w:lvlText w:val="o"/>
      <w:lvlJc w:val="left"/>
      <w:pPr>
        <w:ind w:left="1814"/>
      </w:pPr>
      <w:rPr>
        <w:rFonts w:ascii="Courier New" w:eastAsia="Courier New" w:hAnsi="Courier New" w:cs="Courier New"/>
        <w:b w:val="0"/>
        <w:i w:val="0"/>
        <w:strike w:val="0"/>
        <w:dstrike w:val="0"/>
        <w:color w:val="003057"/>
        <w:sz w:val="24"/>
        <w:szCs w:val="24"/>
        <w:u w:val="none" w:color="000000"/>
        <w:bdr w:val="nil"/>
        <w:shd w:val="clear" w:color="auto" w:fill="auto"/>
        <w:vertAlign w:val="baseline"/>
      </w:rPr>
    </w:lvl>
    <w:lvl w:ilvl="2">
      <w:start w:val="1"/>
      <w:numFmt w:val="bullet"/>
      <w:lvlText w:val="▪"/>
      <w:lvlJc w:val="left"/>
      <w:pPr>
        <w:ind w:left="2534"/>
      </w:pPr>
      <w:rPr>
        <w:rFonts w:ascii="Courier New" w:eastAsia="Courier New" w:hAnsi="Courier New" w:cs="Courier New"/>
        <w:b w:val="0"/>
        <w:i w:val="0"/>
        <w:strike w:val="0"/>
        <w:dstrike w:val="0"/>
        <w:color w:val="003057"/>
        <w:sz w:val="24"/>
        <w:szCs w:val="24"/>
        <w:u w:val="none" w:color="000000"/>
        <w:bdr w:val="nil"/>
        <w:shd w:val="clear" w:color="auto" w:fill="auto"/>
        <w:vertAlign w:val="baseline"/>
      </w:rPr>
    </w:lvl>
    <w:lvl w:ilvl="3">
      <w:start w:val="1"/>
      <w:numFmt w:val="bullet"/>
      <w:lvlText w:val="•"/>
      <w:lvlJc w:val="left"/>
      <w:pPr>
        <w:ind w:left="3254"/>
      </w:pPr>
      <w:rPr>
        <w:rFonts w:ascii="Courier New" w:eastAsia="Courier New" w:hAnsi="Courier New" w:cs="Courier New"/>
        <w:b w:val="0"/>
        <w:i w:val="0"/>
        <w:strike w:val="0"/>
        <w:dstrike w:val="0"/>
        <w:color w:val="003057"/>
        <w:sz w:val="24"/>
        <w:szCs w:val="24"/>
        <w:u w:val="none" w:color="000000"/>
        <w:bdr w:val="nil"/>
        <w:shd w:val="clear" w:color="auto" w:fill="auto"/>
        <w:vertAlign w:val="baseline"/>
      </w:rPr>
    </w:lvl>
    <w:lvl w:ilvl="4">
      <w:start w:val="1"/>
      <w:numFmt w:val="bullet"/>
      <w:lvlText w:val="o"/>
      <w:lvlJc w:val="left"/>
      <w:pPr>
        <w:ind w:left="3974"/>
      </w:pPr>
      <w:rPr>
        <w:rFonts w:ascii="Courier New" w:eastAsia="Courier New" w:hAnsi="Courier New" w:cs="Courier New"/>
        <w:b w:val="0"/>
        <w:i w:val="0"/>
        <w:strike w:val="0"/>
        <w:dstrike w:val="0"/>
        <w:color w:val="003057"/>
        <w:sz w:val="24"/>
        <w:szCs w:val="24"/>
        <w:u w:val="none" w:color="000000"/>
        <w:bdr w:val="nil"/>
        <w:shd w:val="clear" w:color="auto" w:fill="auto"/>
        <w:vertAlign w:val="baseline"/>
      </w:rPr>
    </w:lvl>
    <w:lvl w:ilvl="5">
      <w:start w:val="1"/>
      <w:numFmt w:val="bullet"/>
      <w:lvlText w:val="▪"/>
      <w:lvlJc w:val="left"/>
      <w:pPr>
        <w:ind w:left="4694"/>
      </w:pPr>
      <w:rPr>
        <w:rFonts w:ascii="Courier New" w:eastAsia="Courier New" w:hAnsi="Courier New" w:cs="Courier New"/>
        <w:b w:val="0"/>
        <w:i w:val="0"/>
        <w:strike w:val="0"/>
        <w:dstrike w:val="0"/>
        <w:color w:val="003057"/>
        <w:sz w:val="24"/>
        <w:szCs w:val="24"/>
        <w:u w:val="none" w:color="000000"/>
        <w:bdr w:val="nil"/>
        <w:shd w:val="clear" w:color="auto" w:fill="auto"/>
        <w:vertAlign w:val="baseline"/>
      </w:rPr>
    </w:lvl>
    <w:lvl w:ilvl="6">
      <w:start w:val="1"/>
      <w:numFmt w:val="bullet"/>
      <w:lvlText w:val="•"/>
      <w:lvlJc w:val="left"/>
      <w:pPr>
        <w:ind w:left="5414"/>
      </w:pPr>
      <w:rPr>
        <w:rFonts w:ascii="Courier New" w:eastAsia="Courier New" w:hAnsi="Courier New" w:cs="Courier New"/>
        <w:b w:val="0"/>
        <w:i w:val="0"/>
        <w:strike w:val="0"/>
        <w:dstrike w:val="0"/>
        <w:color w:val="003057"/>
        <w:sz w:val="24"/>
        <w:szCs w:val="24"/>
        <w:u w:val="none" w:color="000000"/>
        <w:bdr w:val="nil"/>
        <w:shd w:val="clear" w:color="auto" w:fill="auto"/>
        <w:vertAlign w:val="baseline"/>
      </w:rPr>
    </w:lvl>
    <w:lvl w:ilvl="7">
      <w:start w:val="1"/>
      <w:numFmt w:val="bullet"/>
      <w:lvlText w:val="o"/>
      <w:lvlJc w:val="left"/>
      <w:pPr>
        <w:ind w:left="6134"/>
      </w:pPr>
      <w:rPr>
        <w:rFonts w:ascii="Courier New" w:eastAsia="Courier New" w:hAnsi="Courier New" w:cs="Courier New"/>
        <w:b w:val="0"/>
        <w:i w:val="0"/>
        <w:strike w:val="0"/>
        <w:dstrike w:val="0"/>
        <w:color w:val="003057"/>
        <w:sz w:val="24"/>
        <w:szCs w:val="24"/>
        <w:u w:val="none" w:color="000000"/>
        <w:bdr w:val="nil"/>
        <w:shd w:val="clear" w:color="auto" w:fill="auto"/>
        <w:vertAlign w:val="baseline"/>
      </w:rPr>
    </w:lvl>
    <w:lvl w:ilvl="8">
      <w:start w:val="1"/>
      <w:numFmt w:val="bullet"/>
      <w:lvlText w:val="▪"/>
      <w:lvlJc w:val="left"/>
      <w:pPr>
        <w:ind w:left="6854"/>
      </w:pPr>
      <w:rPr>
        <w:rFonts w:ascii="Courier New" w:eastAsia="Courier New" w:hAnsi="Courier New" w:cs="Courier New"/>
        <w:b w:val="0"/>
        <w:i w:val="0"/>
        <w:strike w:val="0"/>
        <w:dstrike w:val="0"/>
        <w:color w:val="003057"/>
        <w:sz w:val="24"/>
        <w:szCs w:val="24"/>
        <w:u w:val="none" w:color="000000"/>
        <w:bdr w:val="nil"/>
        <w:shd w:val="clear" w:color="auto" w:fill="auto"/>
        <w:vertAlign w:val="baseline"/>
      </w:rPr>
    </w:lvl>
  </w:abstractNum>
  <w:abstractNum w:abstractNumId="264">
    <w:nsid w:val="6A091D1F"/>
    <w:multiLevelType w:val="multilevel"/>
    <w:tmpl w:val="E6E8E104"/>
    <w:lvl w:ilvl="0">
      <w:start w:val="2"/>
      <w:numFmt w:val="decimal"/>
      <w:lvlText w:val="%1"/>
      <w:lvlJc w:val="left"/>
      <w:pPr>
        <w:ind w:left="1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1">
      <w:start w:val="5"/>
      <w:numFmt w:val="decimal"/>
      <w:lvlText w:val="%1.%2."/>
      <w:lvlJc w:val="left"/>
      <w:pPr>
        <w:ind w:left="1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1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8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3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041"/>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65">
    <w:nsid w:val="6AE10776"/>
    <w:multiLevelType w:val="hybridMultilevel"/>
    <w:tmpl w:val="C264253C"/>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4"/>
      <w:numFmt w:val="decimal"/>
      <w:lvlText w:val="%3."/>
      <w:lvlJc w:val="left"/>
      <w:pPr>
        <w:ind w:left="12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66">
    <w:nsid w:val="6AF748E3"/>
    <w:multiLevelType w:val="multilevel"/>
    <w:tmpl w:val="EFBED9DA"/>
    <w:lvl w:ilvl="0">
      <w:start w:val="3"/>
      <w:numFmt w:val="decimal"/>
      <w:lvlText w:val="%1."/>
      <w:lvlJc w:val="left"/>
      <w:pPr>
        <w:ind w:left="7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1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1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8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3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041"/>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67">
    <w:nsid w:val="6B1E19FB"/>
    <w:multiLevelType w:val="hybridMultilevel"/>
    <w:tmpl w:val="E2EE6176"/>
    <w:lvl w:ilvl="0">
      <w:start w:val="6"/>
      <w:numFmt w:val="decimal"/>
      <w:lvlText w:val="%1."/>
      <w:lvlJc w:val="left"/>
      <w:pPr>
        <w:ind w:left="3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68">
    <w:nsid w:val="6B92049F"/>
    <w:multiLevelType w:val="hybridMultilevel"/>
    <w:tmpl w:val="14B6D75E"/>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69">
    <w:nsid w:val="6BCC346E"/>
    <w:multiLevelType w:val="hybridMultilevel"/>
    <w:tmpl w:val="3DC2C512"/>
    <w:lvl w:ilvl="0">
      <w:start w:val="1"/>
      <w:numFmt w:val="decimal"/>
      <w:lvlText w:val="%1."/>
      <w:lvlJc w:val="left"/>
      <w:pPr>
        <w:ind w:left="109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Restart w:val="0"/>
      <w:lvlText w:val="%2."/>
      <w:lvlJc w:val="left"/>
      <w:pPr>
        <w:ind w:left="368"/>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438"/>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158"/>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2878"/>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3598"/>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318"/>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038"/>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5758"/>
      </w:pPr>
      <w:rPr>
        <w:rFonts w:ascii="Verdana" w:eastAsia="Verdana" w:hAnsi="Verdana" w:cs="Verdana"/>
        <w:b/>
        <w:bCs/>
        <w:i/>
        <w:iCs/>
        <w:strike w:val="0"/>
        <w:dstrike w:val="0"/>
        <w:color w:val="000000"/>
        <w:sz w:val="22"/>
        <w:szCs w:val="22"/>
        <w:u w:val="none" w:color="000000"/>
        <w:bdr w:val="nil"/>
        <w:shd w:val="clear" w:color="auto" w:fill="auto"/>
        <w:vertAlign w:val="baseline"/>
      </w:rPr>
    </w:lvl>
  </w:abstractNum>
  <w:abstractNum w:abstractNumId="270">
    <w:nsid w:val="6C122FC9"/>
    <w:multiLevelType w:val="multilevel"/>
    <w:tmpl w:val="E38E458E"/>
    <w:lvl w:ilvl="0">
      <w:start w:val="10"/>
      <w:numFmt w:val="decimal"/>
      <w:lvlText w:val="%1."/>
      <w:lvlJc w:val="left"/>
      <w:pPr>
        <w:ind w:left="1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2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762"/>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1471"/>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191"/>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2911"/>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3631"/>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4351"/>
      </w:pPr>
      <w:rPr>
        <w:rFonts w:ascii="Calibri" w:eastAsia="Calibri" w:hAnsi="Calibri" w:cs="Calibri"/>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071"/>
      </w:pPr>
      <w:rPr>
        <w:rFonts w:ascii="Calibri" w:eastAsia="Calibri" w:hAnsi="Calibri" w:cs="Calibri"/>
        <w:b w:val="0"/>
        <w:i w:val="0"/>
        <w:strike w:val="0"/>
        <w:dstrike w:val="0"/>
        <w:color w:val="000000"/>
        <w:sz w:val="22"/>
        <w:szCs w:val="22"/>
        <w:u w:val="none" w:color="000000"/>
        <w:bdr w:val="nil"/>
        <w:shd w:val="clear" w:color="auto" w:fill="auto"/>
        <w:vertAlign w:val="baseline"/>
      </w:rPr>
    </w:lvl>
  </w:abstractNum>
  <w:abstractNum w:abstractNumId="271">
    <w:nsid w:val="6C1C4077"/>
    <w:multiLevelType w:val="hybridMultilevel"/>
    <w:tmpl w:val="A0D6D296"/>
    <w:lvl w:ilvl="0">
      <w:start w:val="1"/>
      <w:numFmt w:val="bullet"/>
      <w:lvlText w:val="•"/>
      <w:lvlJc w:val="left"/>
      <w:pPr>
        <w:ind w:left="72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272">
    <w:nsid w:val="6CA83BF4"/>
    <w:multiLevelType w:val="hybridMultilevel"/>
    <w:tmpl w:val="98A2FF50"/>
    <w:lvl w:ilvl="0">
      <w:start w:val="8"/>
      <w:numFmt w:val="decimal"/>
      <w:lvlText w:val="%1."/>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73">
    <w:nsid w:val="6CCF189D"/>
    <w:multiLevelType w:val="hybridMultilevel"/>
    <w:tmpl w:val="FA985D22"/>
    <w:lvl w:ilvl="0">
      <w:start w:val="3"/>
      <w:numFmt w:val="decimal"/>
      <w:lvlText w:val="%1."/>
      <w:lvlJc w:val="left"/>
      <w:pPr>
        <w:ind w:left="3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74">
    <w:nsid w:val="6E587BA8"/>
    <w:multiLevelType w:val="hybridMultilevel"/>
    <w:tmpl w:val="66183CAE"/>
    <w:lvl w:ilvl="0">
      <w:start w:val="4"/>
      <w:numFmt w:val="decimal"/>
      <w:lvlText w:val="%1."/>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75">
    <w:nsid w:val="6E6E3C46"/>
    <w:multiLevelType w:val="hybridMultilevel"/>
    <w:tmpl w:val="FC10A00C"/>
    <w:lvl w:ilvl="0">
      <w:start w:val="2"/>
      <w:numFmt w:val="decimal"/>
      <w:lvlText w:val="%1"/>
      <w:lvlJc w:val="left"/>
      <w:pPr>
        <w:ind w:left="0"/>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1">
      <w:start w:val="1"/>
      <w:numFmt w:val="lowerLetter"/>
      <w:lvlText w:val="%2"/>
      <w:lvlJc w:val="left"/>
      <w:pPr>
        <w:ind w:left="1081"/>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2">
      <w:start w:val="1"/>
      <w:numFmt w:val="lowerRoman"/>
      <w:lvlText w:val="%3"/>
      <w:lvlJc w:val="left"/>
      <w:pPr>
        <w:ind w:left="1801"/>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3">
      <w:start w:val="1"/>
      <w:numFmt w:val="decimal"/>
      <w:lvlText w:val="%4"/>
      <w:lvlJc w:val="left"/>
      <w:pPr>
        <w:ind w:left="2521"/>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4">
      <w:start w:val="1"/>
      <w:numFmt w:val="lowerLetter"/>
      <w:lvlText w:val="%5"/>
      <w:lvlJc w:val="left"/>
      <w:pPr>
        <w:ind w:left="3241"/>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5">
      <w:start w:val="1"/>
      <w:numFmt w:val="lowerRoman"/>
      <w:lvlText w:val="%6"/>
      <w:lvlJc w:val="left"/>
      <w:pPr>
        <w:ind w:left="3961"/>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6">
      <w:start w:val="1"/>
      <w:numFmt w:val="decimal"/>
      <w:lvlText w:val="%7"/>
      <w:lvlJc w:val="left"/>
      <w:pPr>
        <w:ind w:left="4681"/>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7">
      <w:start w:val="1"/>
      <w:numFmt w:val="lowerLetter"/>
      <w:lvlText w:val="%8"/>
      <w:lvlJc w:val="left"/>
      <w:pPr>
        <w:ind w:left="5401"/>
      </w:pPr>
      <w:rPr>
        <w:rFonts w:ascii="Calibri" w:eastAsia="Calibri" w:hAnsi="Calibri" w:cs="Calibri"/>
        <w:b w:val="0"/>
        <w:i w:val="0"/>
        <w:strike w:val="0"/>
        <w:dstrike w:val="0"/>
        <w:color w:val="000000"/>
        <w:sz w:val="18"/>
        <w:szCs w:val="18"/>
        <w:u w:val="none" w:color="000000"/>
        <w:bdr w:val="nil"/>
        <w:shd w:val="clear" w:color="auto" w:fill="auto"/>
        <w:vertAlign w:val="superscript"/>
      </w:rPr>
    </w:lvl>
    <w:lvl w:ilvl="8">
      <w:start w:val="1"/>
      <w:numFmt w:val="lowerRoman"/>
      <w:lvlText w:val="%9"/>
      <w:lvlJc w:val="left"/>
      <w:pPr>
        <w:ind w:left="6121"/>
      </w:pPr>
      <w:rPr>
        <w:rFonts w:ascii="Calibri" w:eastAsia="Calibri" w:hAnsi="Calibri" w:cs="Calibri"/>
        <w:b w:val="0"/>
        <w:i w:val="0"/>
        <w:strike w:val="0"/>
        <w:dstrike w:val="0"/>
        <w:color w:val="000000"/>
        <w:sz w:val="18"/>
        <w:szCs w:val="18"/>
        <w:u w:val="none" w:color="000000"/>
        <w:bdr w:val="nil"/>
        <w:shd w:val="clear" w:color="auto" w:fill="auto"/>
        <w:vertAlign w:val="superscript"/>
      </w:rPr>
    </w:lvl>
  </w:abstractNum>
  <w:abstractNum w:abstractNumId="276">
    <w:nsid w:val="6E7F3C2F"/>
    <w:multiLevelType w:val="hybridMultilevel"/>
    <w:tmpl w:val="28A218B4"/>
    <w:lvl w:ilvl="0">
      <w:start w:val="1"/>
      <w:numFmt w:val="bullet"/>
      <w:lvlText w:val="-"/>
      <w:lvlJc w:val="left"/>
      <w:pPr>
        <w:ind w:left="19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77">
    <w:nsid w:val="6F1E104E"/>
    <w:multiLevelType w:val="hybridMultilevel"/>
    <w:tmpl w:val="6950B77C"/>
    <w:lvl w:ilvl="0">
      <w:start w:val="1"/>
      <w:numFmt w:val="lowerLetter"/>
      <w:lvlText w:val="%1)"/>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84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78">
    <w:nsid w:val="6FE910E2"/>
    <w:multiLevelType w:val="hybridMultilevel"/>
    <w:tmpl w:val="C1DEE0C4"/>
    <w:lvl w:ilvl="0">
      <w:start w:val="1"/>
      <w:numFmt w:val="bullet"/>
      <w:lvlText w:val="●"/>
      <w:lvlJc w:val="left"/>
      <w:pPr>
        <w:ind w:left="7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1"/>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79">
    <w:nsid w:val="704C61BA"/>
    <w:multiLevelType w:val="hybridMultilevel"/>
    <w:tmpl w:val="EA88E23A"/>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78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21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lowerLetter"/>
      <w:lvlRestart w:val="0"/>
      <w:lvlText w:val="(%4)"/>
      <w:lvlJc w:val="left"/>
      <w:pPr>
        <w:ind w:left="180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35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07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79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51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235"/>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80">
    <w:nsid w:val="70873912"/>
    <w:multiLevelType w:val="multilevel"/>
    <w:tmpl w:val="3C54EF94"/>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7"/>
      <w:numFmt w:val="decimal"/>
      <w:lvlRestart w:val="0"/>
      <w:lvlText w:val="%1.%2"/>
      <w:lvlJc w:val="left"/>
      <w:pPr>
        <w:ind w:left="86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81">
    <w:nsid w:val="709D0142"/>
    <w:multiLevelType w:val="multilevel"/>
    <w:tmpl w:val="B930F9FC"/>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9"/>
      <w:numFmt w:val="decimal"/>
      <w:lvlRestart w:val="0"/>
      <w:lvlText w:val="%1.%2"/>
      <w:lvlJc w:val="left"/>
      <w:pPr>
        <w:ind w:left="86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82">
    <w:nsid w:val="71F50482"/>
    <w:multiLevelType w:val="hybridMultilevel"/>
    <w:tmpl w:val="53F44B38"/>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Text w:val="%2."/>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83">
    <w:nsid w:val="720B616B"/>
    <w:multiLevelType w:val="hybridMultilevel"/>
    <w:tmpl w:val="2424F418"/>
    <w:lvl w:ilvl="0">
      <w:start w:val="1"/>
      <w:numFmt w:val="bullet"/>
      <w:lvlText w:val="•"/>
      <w:lvlJc w:val="left"/>
      <w:pPr>
        <w:ind w:left="360"/>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521"/>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681"/>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284">
    <w:nsid w:val="720C07F8"/>
    <w:multiLevelType w:val="multilevel"/>
    <w:tmpl w:val="EB8CEB84"/>
    <w:lvl w:ilvl="0">
      <w:start w:val="3"/>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Restart w:val="0"/>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85">
    <w:nsid w:val="723A7910"/>
    <w:multiLevelType w:val="multilevel"/>
    <w:tmpl w:val="5C103DF2"/>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5"/>
      <w:numFmt w:val="decimal"/>
      <w:lvlRestart w:val="0"/>
      <w:lvlText w:val="%1.%2"/>
      <w:lvlJc w:val="left"/>
      <w:pPr>
        <w:ind w:left="86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86">
    <w:nsid w:val="72627544"/>
    <w:multiLevelType w:val="hybridMultilevel"/>
    <w:tmpl w:val="F5B6F7FC"/>
    <w:lvl w:ilvl="0">
      <w:start w:val="1"/>
      <w:numFmt w:val="decimal"/>
      <w:lvlText w:val="%1."/>
      <w:lvlJc w:val="left"/>
      <w:pPr>
        <w:ind w:left="7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4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287">
    <w:nsid w:val="72947412"/>
    <w:multiLevelType w:val="multilevel"/>
    <w:tmpl w:val="73CAAAAE"/>
    <w:lvl w:ilvl="0">
      <w:start w:val="14"/>
      <w:numFmt w:val="decimal"/>
      <w:lvlText w:val="%1."/>
      <w:lvlJc w:val="left"/>
      <w:pPr>
        <w:ind w:left="1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2"/>
      <w:numFmt w:val="decimal"/>
      <w:lvlText w:val="%1.%2.%3"/>
      <w:lvlJc w:val="left"/>
      <w:pPr>
        <w:ind w:left="74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88">
    <w:nsid w:val="73332B5E"/>
    <w:multiLevelType w:val="multilevel"/>
    <w:tmpl w:val="C3B47182"/>
    <w:lvl w:ilvl="0">
      <w:start w:val="5"/>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2"/>
      <w:numFmt w:val="decimal"/>
      <w:lvlRestart w:val="0"/>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89">
    <w:nsid w:val="74076FBA"/>
    <w:multiLevelType w:val="multilevel"/>
    <w:tmpl w:val="E2C42604"/>
    <w:lvl w:ilvl="0">
      <w:start w:val="1"/>
      <w:numFmt w:val="decimal"/>
      <w:lvlText w:val="%1."/>
      <w:lvlJc w:val="left"/>
      <w:pPr>
        <w:ind w:left="425" w:hanging="360"/>
      </w:pPr>
      <w:rPr>
        <w:rFonts w:ascii="Arial" w:eastAsia="Arial" w:hAnsi="Arial" w:cs="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0">
    <w:nsid w:val="74CD37D0"/>
    <w:multiLevelType w:val="hybridMultilevel"/>
    <w:tmpl w:val="AF42121C"/>
    <w:lvl w:ilvl="0">
      <w:start w:val="3"/>
      <w:numFmt w:val="decimal"/>
      <w:lvlText w:val="%1."/>
      <w:lvlJc w:val="left"/>
      <w:pPr>
        <w:ind w:left="706"/>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il"/>
        <w:shd w:val="clear" w:color="auto" w:fill="auto"/>
        <w:vertAlign w:val="baseline"/>
      </w:rPr>
    </w:lvl>
  </w:abstractNum>
  <w:abstractNum w:abstractNumId="291">
    <w:nsid w:val="74D728EC"/>
    <w:multiLevelType w:val="hybridMultilevel"/>
    <w:tmpl w:val="425C279A"/>
    <w:lvl w:ilvl="0">
      <w:start w:val="102"/>
      <w:numFmt w:val="decimal"/>
      <w:lvlText w:val="%1)"/>
      <w:lvlJc w:val="left"/>
      <w:pPr>
        <w:ind w:left="36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92">
    <w:nsid w:val="751D228C"/>
    <w:multiLevelType w:val="hybridMultilevel"/>
    <w:tmpl w:val="FC9E0198"/>
    <w:lvl w:ilvl="0">
      <w:start w:val="21"/>
      <w:numFmt w:val="decimal"/>
      <w:lvlText w:val="%1"/>
      <w:lvlJc w:val="left"/>
      <w:pPr>
        <w:ind w:left="187"/>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1">
      <w:start w:val="1"/>
      <w:numFmt w:val="lowerLetter"/>
      <w:lvlText w:val="%2"/>
      <w:lvlJc w:val="left"/>
      <w:pPr>
        <w:ind w:left="108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2">
      <w:start w:val="1"/>
      <w:numFmt w:val="lowerRoman"/>
      <w:lvlText w:val="%3"/>
      <w:lvlJc w:val="left"/>
      <w:pPr>
        <w:ind w:left="180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3">
      <w:start w:val="1"/>
      <w:numFmt w:val="decimal"/>
      <w:lvlText w:val="%4"/>
      <w:lvlJc w:val="left"/>
      <w:pPr>
        <w:ind w:left="252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4">
      <w:start w:val="1"/>
      <w:numFmt w:val="lowerLetter"/>
      <w:lvlText w:val="%5"/>
      <w:lvlJc w:val="left"/>
      <w:pPr>
        <w:ind w:left="324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5">
      <w:start w:val="1"/>
      <w:numFmt w:val="lowerRoman"/>
      <w:lvlText w:val="%6"/>
      <w:lvlJc w:val="left"/>
      <w:pPr>
        <w:ind w:left="396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6">
      <w:start w:val="1"/>
      <w:numFmt w:val="decimal"/>
      <w:lvlText w:val="%7"/>
      <w:lvlJc w:val="left"/>
      <w:pPr>
        <w:ind w:left="468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7">
      <w:start w:val="1"/>
      <w:numFmt w:val="lowerLetter"/>
      <w:lvlText w:val="%8"/>
      <w:lvlJc w:val="left"/>
      <w:pPr>
        <w:ind w:left="5400"/>
      </w:pPr>
      <w:rPr>
        <w:rFonts w:ascii="Verdana" w:eastAsia="Verdana" w:hAnsi="Verdana" w:cs="Verdana"/>
        <w:b w:val="0"/>
        <w:i w:val="0"/>
        <w:strike w:val="0"/>
        <w:dstrike w:val="0"/>
        <w:color w:val="000000"/>
        <w:sz w:val="16"/>
        <w:szCs w:val="16"/>
        <w:u w:val="none" w:color="000000"/>
        <w:bdr w:val="nil"/>
        <w:shd w:val="clear" w:color="auto" w:fill="auto"/>
        <w:vertAlign w:val="superscript"/>
      </w:rPr>
    </w:lvl>
    <w:lvl w:ilvl="8">
      <w:start w:val="1"/>
      <w:numFmt w:val="lowerRoman"/>
      <w:lvlText w:val="%9"/>
      <w:lvlJc w:val="left"/>
      <w:pPr>
        <w:ind w:left="6120"/>
      </w:pPr>
      <w:rPr>
        <w:rFonts w:ascii="Verdana" w:eastAsia="Verdana" w:hAnsi="Verdana" w:cs="Verdana"/>
        <w:b w:val="0"/>
        <w:i w:val="0"/>
        <w:strike w:val="0"/>
        <w:dstrike w:val="0"/>
        <w:color w:val="000000"/>
        <w:sz w:val="16"/>
        <w:szCs w:val="16"/>
        <w:u w:val="none" w:color="000000"/>
        <w:bdr w:val="nil"/>
        <w:shd w:val="clear" w:color="auto" w:fill="auto"/>
        <w:vertAlign w:val="superscript"/>
      </w:rPr>
    </w:lvl>
  </w:abstractNum>
  <w:abstractNum w:abstractNumId="293">
    <w:nsid w:val="752C63EE"/>
    <w:multiLevelType w:val="hybridMultilevel"/>
    <w:tmpl w:val="C5C4962A"/>
    <w:lvl w:ilvl="0">
      <w:start w:val="1"/>
      <w:numFmt w:val="bullet"/>
      <w:lvlText w:val="•"/>
      <w:lvlJc w:val="left"/>
      <w:pPr>
        <w:ind w:left="36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1">
      <w:start w:val="1"/>
      <w:numFmt w:val="bullet"/>
      <w:lvlText w:val="o"/>
      <w:lvlJc w:val="left"/>
      <w:pPr>
        <w:ind w:left="216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2">
      <w:start w:val="1"/>
      <w:numFmt w:val="bullet"/>
      <w:lvlRestart w:val="0"/>
      <w:lvlText w:val="-"/>
      <w:lvlJc w:val="left"/>
      <w:pPr>
        <w:ind w:left="3392"/>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3">
      <w:start w:val="1"/>
      <w:numFmt w:val="bullet"/>
      <w:lvlText w:val="•"/>
      <w:lvlJc w:val="left"/>
      <w:pPr>
        <w:ind w:left="468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4">
      <w:start w:val="1"/>
      <w:numFmt w:val="bullet"/>
      <w:lvlText w:val="o"/>
      <w:lvlJc w:val="left"/>
      <w:pPr>
        <w:ind w:left="540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5">
      <w:start w:val="1"/>
      <w:numFmt w:val="bullet"/>
      <w:lvlText w:val="▪"/>
      <w:lvlJc w:val="left"/>
      <w:pPr>
        <w:ind w:left="612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6">
      <w:start w:val="1"/>
      <w:numFmt w:val="bullet"/>
      <w:lvlText w:val="•"/>
      <w:lvlJc w:val="left"/>
      <w:pPr>
        <w:ind w:left="684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7">
      <w:start w:val="1"/>
      <w:numFmt w:val="bullet"/>
      <w:lvlText w:val="o"/>
      <w:lvlJc w:val="left"/>
      <w:pPr>
        <w:ind w:left="756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8">
      <w:start w:val="1"/>
      <w:numFmt w:val="bullet"/>
      <w:lvlText w:val="▪"/>
      <w:lvlJc w:val="left"/>
      <w:pPr>
        <w:ind w:left="8280"/>
      </w:pPr>
      <w:rPr>
        <w:rFonts w:ascii="Verdana" w:eastAsia="Verdana" w:hAnsi="Verdana" w:cs="Verdana"/>
        <w:b w:val="0"/>
        <w:i/>
        <w:iCs/>
        <w:strike w:val="0"/>
        <w:dstrike w:val="0"/>
        <w:color w:val="000000"/>
        <w:sz w:val="22"/>
        <w:szCs w:val="22"/>
        <w:u w:val="none" w:color="000000"/>
        <w:bdr w:val="nil"/>
        <w:shd w:val="clear" w:color="auto" w:fill="auto"/>
        <w:vertAlign w:val="baseline"/>
      </w:rPr>
    </w:lvl>
  </w:abstractNum>
  <w:abstractNum w:abstractNumId="294">
    <w:nsid w:val="76AC76D6"/>
    <w:multiLevelType w:val="multilevel"/>
    <w:tmpl w:val="73B66FB6"/>
    <w:lvl w:ilvl="0">
      <w:start w:val="13"/>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6"/>
      <w:numFmt w:val="decimal"/>
      <w:lvlText w:val="%1.%2"/>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decimal"/>
      <w:lvlRestart w:val="0"/>
      <w:lvlText w:val="%1.%2.%3"/>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295">
    <w:nsid w:val="7765232E"/>
    <w:multiLevelType w:val="hybridMultilevel"/>
    <w:tmpl w:val="A42A6590"/>
    <w:lvl w:ilvl="0">
      <w:start w:val="1"/>
      <w:numFmt w:val="decimal"/>
      <w:lvlText w:val="%1."/>
      <w:lvlJc w:val="left"/>
      <w:pPr>
        <w:ind w:left="3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bullet"/>
      <w:lvlText w:val="•"/>
      <w:lvlJc w:val="left"/>
      <w:pPr>
        <w:ind w:left="720"/>
      </w:pPr>
      <w:rPr>
        <w:rFonts w:ascii="Arial" w:eastAsia="Arial" w:hAnsi="Arial" w:cs="Aria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1363"/>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083"/>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2803"/>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3523"/>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4243"/>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4963"/>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5683"/>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296">
    <w:nsid w:val="78B3370A"/>
    <w:multiLevelType w:val="hybridMultilevel"/>
    <w:tmpl w:val="97540C0E"/>
    <w:lvl w:ilvl="0">
      <w:start w:val="6"/>
      <w:numFmt w:val="decimal"/>
      <w:lvlText w:val="%1."/>
      <w:lvlJc w:val="left"/>
      <w:pPr>
        <w:ind w:left="10"/>
      </w:pPr>
      <w:rPr>
        <w:rFonts w:ascii="Arial" w:eastAsia="Arial" w:hAnsi="Arial" w:cs="Arial"/>
        <w:b w:val="0"/>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095"/>
      </w:pPr>
      <w:rPr>
        <w:rFonts w:ascii="Arial" w:eastAsia="Arial" w:hAnsi="Arial" w:cs="Arial"/>
        <w:b w:val="0"/>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815"/>
      </w:pPr>
      <w:rPr>
        <w:rFonts w:ascii="Arial" w:eastAsia="Arial" w:hAnsi="Arial" w:cs="Arial"/>
        <w:b w:val="0"/>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535"/>
      </w:pPr>
      <w:rPr>
        <w:rFonts w:ascii="Arial" w:eastAsia="Arial" w:hAnsi="Arial" w:cs="Arial"/>
        <w:b w:val="0"/>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255"/>
      </w:pPr>
      <w:rPr>
        <w:rFonts w:ascii="Arial" w:eastAsia="Arial" w:hAnsi="Arial" w:cs="Arial"/>
        <w:b w:val="0"/>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3975"/>
      </w:pPr>
      <w:rPr>
        <w:rFonts w:ascii="Arial" w:eastAsia="Arial" w:hAnsi="Arial" w:cs="Arial"/>
        <w:b w:val="0"/>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695"/>
      </w:pPr>
      <w:rPr>
        <w:rFonts w:ascii="Arial" w:eastAsia="Arial" w:hAnsi="Arial" w:cs="Arial"/>
        <w:b w:val="0"/>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415"/>
      </w:pPr>
      <w:rPr>
        <w:rFonts w:ascii="Arial" w:eastAsia="Arial" w:hAnsi="Arial" w:cs="Arial"/>
        <w:b w:val="0"/>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135"/>
      </w:pPr>
      <w:rPr>
        <w:rFonts w:ascii="Arial" w:eastAsia="Arial" w:hAnsi="Arial" w:cs="Arial"/>
        <w:b w:val="0"/>
        <w:i/>
        <w:iCs/>
        <w:strike w:val="0"/>
        <w:dstrike w:val="0"/>
        <w:color w:val="000000"/>
        <w:sz w:val="22"/>
        <w:szCs w:val="22"/>
        <w:u w:val="none" w:color="000000"/>
        <w:bdr w:val="nil"/>
        <w:shd w:val="clear" w:color="auto" w:fill="auto"/>
        <w:vertAlign w:val="baseline"/>
      </w:rPr>
    </w:lvl>
  </w:abstractNum>
  <w:abstractNum w:abstractNumId="297">
    <w:nsid w:val="78E12054"/>
    <w:multiLevelType w:val="hybridMultilevel"/>
    <w:tmpl w:val="B7860BCA"/>
    <w:lvl w:ilvl="0">
      <w:start w:val="1"/>
      <w:numFmt w:val="bullet"/>
      <w:lvlText w:val="•"/>
      <w:lvlJc w:val="left"/>
      <w:pPr>
        <w:ind w:left="720"/>
      </w:pPr>
      <w:rPr>
        <w:rFonts w:ascii="Arial" w:eastAsia="Arial" w:hAnsi="Arial" w:cs="Arial"/>
        <w:b w:val="0"/>
        <w:i w:val="0"/>
        <w:strike w:val="0"/>
        <w:dstrike w:val="0"/>
        <w:color w:val="222222"/>
        <w:sz w:val="22"/>
        <w:szCs w:val="22"/>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222222"/>
        <w:sz w:val="22"/>
        <w:szCs w:val="22"/>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222222"/>
        <w:sz w:val="22"/>
        <w:szCs w:val="22"/>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222222"/>
        <w:sz w:val="22"/>
        <w:szCs w:val="22"/>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222222"/>
        <w:sz w:val="22"/>
        <w:szCs w:val="22"/>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222222"/>
        <w:sz w:val="22"/>
        <w:szCs w:val="22"/>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222222"/>
        <w:sz w:val="22"/>
        <w:szCs w:val="22"/>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222222"/>
        <w:sz w:val="22"/>
        <w:szCs w:val="22"/>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222222"/>
        <w:sz w:val="22"/>
        <w:szCs w:val="22"/>
        <w:u w:val="none" w:color="000000"/>
        <w:bdr w:val="nil"/>
        <w:shd w:val="clear" w:color="auto" w:fill="auto"/>
        <w:vertAlign w:val="baseline"/>
      </w:rPr>
    </w:lvl>
  </w:abstractNum>
  <w:abstractNum w:abstractNumId="298">
    <w:nsid w:val="79021F66"/>
    <w:multiLevelType w:val="hybridMultilevel"/>
    <w:tmpl w:val="9E768142"/>
    <w:lvl w:ilvl="0">
      <w:start w:val="11"/>
      <w:numFmt w:val="decimal"/>
      <w:lvlText w:val="%1."/>
      <w:lvlJc w:val="left"/>
      <w:pPr>
        <w:ind w:left="1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299">
    <w:nsid w:val="792D1904"/>
    <w:multiLevelType w:val="hybridMultilevel"/>
    <w:tmpl w:val="DC74D0D4"/>
    <w:lvl w:ilvl="0">
      <w:start w:val="7"/>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00">
    <w:nsid w:val="798D6E98"/>
    <w:multiLevelType w:val="hybridMultilevel"/>
    <w:tmpl w:val="17AA4D82"/>
    <w:lvl w:ilvl="0">
      <w:start w:val="1"/>
      <w:numFmt w:val="decimal"/>
      <w:lvlText w:val="%1."/>
      <w:lvlJc w:val="left"/>
      <w:pPr>
        <w:ind w:left="720"/>
      </w:pPr>
      <w:rPr>
        <w:rFonts w:ascii="Verdana" w:eastAsia="Verdana" w:hAnsi="Verdana" w:cs="Verdana"/>
        <w:b w:val="0"/>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44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01">
    <w:nsid w:val="79A21990"/>
    <w:multiLevelType w:val="hybridMultilevel"/>
    <w:tmpl w:val="D1CAAA6A"/>
    <w:lvl w:ilvl="0">
      <w:start w:val="77"/>
      <w:numFmt w:val="decimal"/>
      <w:lvlText w:val="%1)"/>
      <w:lvlJc w:val="left"/>
      <w:pPr>
        <w:ind w:left="361"/>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02">
    <w:nsid w:val="7B897A0A"/>
    <w:multiLevelType w:val="hybridMultilevel"/>
    <w:tmpl w:val="4A32D7A8"/>
    <w:lvl w:ilvl="0">
      <w:start w:val="11"/>
      <w:numFmt w:val="decimal"/>
      <w:lvlText w:val="%1."/>
      <w:lvlJc w:val="left"/>
      <w:pPr>
        <w:ind w:left="284"/>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303">
    <w:nsid w:val="7C230C38"/>
    <w:multiLevelType w:val="hybridMultilevel"/>
    <w:tmpl w:val="CFDCC8AE"/>
    <w:lvl w:ilvl="0">
      <w:start w:val="2"/>
      <w:numFmt w:val="decimal"/>
      <w:lvlText w:val="%1"/>
      <w:lvlJc w:val="left"/>
      <w:pPr>
        <w:ind w:left="120"/>
      </w:pPr>
      <w:rPr>
        <w:rFonts w:ascii="Calibri" w:eastAsia="Calibri" w:hAnsi="Calibri" w:cs="Calibri"/>
        <w:b w:val="0"/>
        <w:i w:val="0"/>
        <w:strike w:val="0"/>
        <w:dstrike w:val="0"/>
        <w:color w:val="000000"/>
        <w:sz w:val="14"/>
        <w:szCs w:val="14"/>
        <w:u w:val="none" w:color="000000"/>
        <w:bdr w:val="nil"/>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000000"/>
        <w:sz w:val="14"/>
        <w:szCs w:val="14"/>
        <w:u w:val="none" w:color="000000"/>
        <w:bdr w:val="nil"/>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14"/>
        <w:szCs w:val="14"/>
        <w:u w:val="none" w:color="000000"/>
        <w:bdr w:val="nil"/>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14"/>
        <w:szCs w:val="14"/>
        <w:u w:val="none" w:color="000000"/>
        <w:bdr w:val="nil"/>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14"/>
        <w:szCs w:val="14"/>
        <w:u w:val="none" w:color="000000"/>
        <w:bdr w:val="nil"/>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14"/>
        <w:szCs w:val="14"/>
        <w:u w:val="none" w:color="000000"/>
        <w:bdr w:val="nil"/>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14"/>
        <w:szCs w:val="14"/>
        <w:u w:val="none" w:color="000000"/>
        <w:bdr w:val="nil"/>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14"/>
        <w:szCs w:val="14"/>
        <w:u w:val="none" w:color="000000"/>
        <w:bdr w:val="nil"/>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14"/>
        <w:szCs w:val="14"/>
        <w:u w:val="none" w:color="000000"/>
        <w:bdr w:val="nil"/>
        <w:shd w:val="clear" w:color="auto" w:fill="auto"/>
        <w:vertAlign w:val="baseline"/>
      </w:rPr>
    </w:lvl>
  </w:abstractNum>
  <w:abstractNum w:abstractNumId="304">
    <w:nsid w:val="7C7156B8"/>
    <w:multiLevelType w:val="hybridMultilevel"/>
    <w:tmpl w:val="0F404FC4"/>
    <w:lvl w:ilvl="0">
      <w:start w:val="1"/>
      <w:numFmt w:val="upperLetter"/>
      <w:lvlText w:val="%1."/>
      <w:lvlJc w:val="left"/>
      <w:pPr>
        <w:ind w:left="28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05">
    <w:nsid w:val="7CB32505"/>
    <w:multiLevelType w:val="hybridMultilevel"/>
    <w:tmpl w:val="CF94E2D6"/>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3"/>
      <w:numFmt w:val="decimal"/>
      <w:lvlRestart w:val="0"/>
      <w:lvlText w:val="%2."/>
      <w:lvlJc w:val="left"/>
      <w:pPr>
        <w:ind w:left="7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06">
    <w:nsid w:val="7CB92944"/>
    <w:multiLevelType w:val="multilevel"/>
    <w:tmpl w:val="8A4A9C7E"/>
    <w:lvl w:ilvl="0">
      <w:start w:val="3"/>
      <w:numFmt w:val="decimal"/>
      <w:lvlText w:val="%1"/>
      <w:lvlJc w:val="left"/>
      <w:pPr>
        <w:ind w:left="84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22"/>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07">
    <w:nsid w:val="7CE536AC"/>
    <w:multiLevelType w:val="hybridMultilevel"/>
    <w:tmpl w:val="2F7AEAF2"/>
    <w:lvl w:ilvl="0">
      <w:start w:val="1"/>
      <w:numFmt w:val="decimal"/>
      <w:lvlText w:val="%1."/>
      <w:lvlJc w:val="left"/>
      <w:pPr>
        <w:ind w:left="1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8"/>
      <w:numFmt w:val="decimal"/>
      <w:lvlRestart w:val="0"/>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39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1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3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55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27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996"/>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16"/>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08">
    <w:nsid w:val="7D015EC9"/>
    <w:multiLevelType w:val="multilevel"/>
    <w:tmpl w:val="F9EC6DCE"/>
    <w:lvl w:ilvl="0">
      <w:start w:val="1"/>
      <w:numFmt w:val="decimal"/>
      <w:lvlText w:val="%1."/>
      <w:lvlJc w:val="left"/>
      <w:pPr>
        <w:ind w:left="36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735"/>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09">
    <w:nsid w:val="7D531AAD"/>
    <w:multiLevelType w:val="hybridMultilevel"/>
    <w:tmpl w:val="1A14D182"/>
    <w:lvl w:ilvl="0">
      <w:start w:val="10"/>
      <w:numFmt w:val="decimal"/>
      <w:lvlText w:val="%1."/>
      <w:lvlJc w:val="left"/>
      <w:pPr>
        <w:ind w:left="1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081"/>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801"/>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521"/>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241"/>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3961"/>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681"/>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401"/>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121"/>
      </w:pPr>
      <w:rPr>
        <w:rFonts w:ascii="Verdana" w:eastAsia="Verdana" w:hAnsi="Verdana" w:cs="Verdana"/>
        <w:b/>
        <w:bCs/>
        <w:i/>
        <w:iCs/>
        <w:strike w:val="0"/>
        <w:dstrike w:val="0"/>
        <w:color w:val="000000"/>
        <w:sz w:val="22"/>
        <w:szCs w:val="22"/>
        <w:u w:val="none" w:color="000000"/>
        <w:bdr w:val="nil"/>
        <w:shd w:val="clear" w:color="auto" w:fill="auto"/>
        <w:vertAlign w:val="baseline"/>
      </w:rPr>
    </w:lvl>
  </w:abstractNum>
  <w:abstractNum w:abstractNumId="310">
    <w:nsid w:val="7D6A2486"/>
    <w:multiLevelType w:val="multilevel"/>
    <w:tmpl w:val="9FCE2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1">
    <w:nsid w:val="7DB14AE7"/>
    <w:multiLevelType w:val="hybridMultilevel"/>
    <w:tmpl w:val="8190FAF8"/>
    <w:lvl w:ilvl="0">
      <w:start w:val="8"/>
      <w:numFmt w:val="decimal"/>
      <w:lvlText w:val="%1."/>
      <w:lvlJc w:val="left"/>
      <w:pPr>
        <w:ind w:left="1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bCs/>
        <w:i/>
        <w:iCs/>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bCs/>
        <w:i/>
        <w:iCs/>
        <w:strike w:val="0"/>
        <w:dstrike w:val="0"/>
        <w:color w:val="000000"/>
        <w:sz w:val="22"/>
        <w:szCs w:val="22"/>
        <w:u w:val="none" w:color="000000"/>
        <w:bdr w:val="nil"/>
        <w:shd w:val="clear" w:color="auto" w:fill="auto"/>
        <w:vertAlign w:val="baseline"/>
      </w:rPr>
    </w:lvl>
  </w:abstractNum>
  <w:abstractNum w:abstractNumId="312">
    <w:nsid w:val="7DFA3051"/>
    <w:multiLevelType w:val="multilevel"/>
    <w:tmpl w:val="ACDC1CEA"/>
    <w:lvl w:ilvl="0">
      <w:start w:val="5"/>
      <w:numFmt w:val="decimal"/>
      <w:lvlText w:val="%1"/>
      <w:lvlJc w:val="left"/>
      <w:pPr>
        <w:ind w:left="927"/>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838"/>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13">
    <w:nsid w:val="7E24043A"/>
    <w:multiLevelType w:val="hybridMultilevel"/>
    <w:tmpl w:val="843671C4"/>
    <w:lvl w:ilvl="0">
      <w:start w:val="1"/>
      <w:numFmt w:val="decimal"/>
      <w:lvlText w:val="%1."/>
      <w:lvlJc w:val="left"/>
      <w:pPr>
        <w:ind w:left="284"/>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14">
    <w:nsid w:val="7E722217"/>
    <w:multiLevelType w:val="hybridMultilevel"/>
    <w:tmpl w:val="2E468A1C"/>
    <w:lvl w:ilvl="0">
      <w:start w:val="6"/>
      <w:numFmt w:val="decimal"/>
      <w:lvlText w:val="%1."/>
      <w:lvlJc w:val="left"/>
      <w:pPr>
        <w:ind w:left="720"/>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lowerLetter"/>
      <w:lvlText w:val="%2"/>
      <w:lvlJc w:val="left"/>
      <w:pPr>
        <w:ind w:left="139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211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83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355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427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99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71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6431"/>
      </w:pPr>
      <w:rPr>
        <w:rFonts w:ascii="Verdana" w:eastAsia="Verdana" w:hAnsi="Verdana" w:cs="Verdana"/>
        <w:b/>
        <w:bCs/>
        <w:i w:val="0"/>
        <w:strike w:val="0"/>
        <w:dstrike w:val="0"/>
        <w:color w:val="000000"/>
        <w:sz w:val="22"/>
        <w:szCs w:val="22"/>
        <w:u w:val="none" w:color="000000"/>
        <w:bdr w:val="nil"/>
        <w:shd w:val="clear" w:color="auto" w:fill="auto"/>
        <w:vertAlign w:val="baseline"/>
      </w:rPr>
    </w:lvl>
  </w:abstractNum>
  <w:abstractNum w:abstractNumId="315">
    <w:nsid w:val="7EBA6EEC"/>
    <w:multiLevelType w:val="hybridMultilevel"/>
    <w:tmpl w:val="34D4098A"/>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1">
      <w:start w:val="1"/>
      <w:numFmt w:val="lowerRoman"/>
      <w:lvlText w:val="(%2)"/>
      <w:lvlJc w:val="left"/>
      <w:pPr>
        <w:ind w:left="37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2">
      <w:start w:val="1"/>
      <w:numFmt w:val="lowerRoman"/>
      <w:lvlText w:val="%3"/>
      <w:lvlJc w:val="left"/>
      <w:pPr>
        <w:ind w:left="14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3">
      <w:start w:val="1"/>
      <w:numFmt w:val="decimal"/>
      <w:lvlText w:val="%4"/>
      <w:lvlJc w:val="left"/>
      <w:pPr>
        <w:ind w:left="216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4">
      <w:start w:val="1"/>
      <w:numFmt w:val="lowerLetter"/>
      <w:lvlText w:val="%5"/>
      <w:lvlJc w:val="left"/>
      <w:pPr>
        <w:ind w:left="288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5">
      <w:start w:val="1"/>
      <w:numFmt w:val="lowerRoman"/>
      <w:lvlText w:val="%6"/>
      <w:lvlJc w:val="left"/>
      <w:pPr>
        <w:ind w:left="360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6">
      <w:start w:val="1"/>
      <w:numFmt w:val="decimal"/>
      <w:lvlText w:val="%7"/>
      <w:lvlJc w:val="left"/>
      <w:pPr>
        <w:ind w:left="432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7">
      <w:start w:val="1"/>
      <w:numFmt w:val="lowerLetter"/>
      <w:lvlText w:val="%8"/>
      <w:lvlJc w:val="left"/>
      <w:pPr>
        <w:ind w:left="5040"/>
      </w:pPr>
      <w:rPr>
        <w:rFonts w:ascii="Verdana" w:eastAsia="Verdana" w:hAnsi="Verdana" w:cs="Verdana"/>
        <w:b w:val="0"/>
        <w:i w:val="0"/>
        <w:strike w:val="0"/>
        <w:dstrike w:val="0"/>
        <w:color w:val="000000"/>
        <w:sz w:val="22"/>
        <w:szCs w:val="22"/>
        <w:u w:val="none" w:color="000000"/>
        <w:bdr w:val="nil"/>
        <w:shd w:val="clear" w:color="auto" w:fill="auto"/>
        <w:vertAlign w:val="baseline"/>
      </w:rPr>
    </w:lvl>
    <w:lvl w:ilvl="8">
      <w:start w:val="1"/>
      <w:numFmt w:val="lowerRoman"/>
      <w:lvlText w:val="%9"/>
      <w:lvlJc w:val="left"/>
      <w:pPr>
        <w:ind w:left="5760"/>
      </w:pPr>
      <w:rPr>
        <w:rFonts w:ascii="Verdana" w:eastAsia="Verdana" w:hAnsi="Verdana" w:cs="Verdana"/>
        <w:b w:val="0"/>
        <w:i w:val="0"/>
        <w:strike w:val="0"/>
        <w:dstrike w:val="0"/>
        <w:color w:val="000000"/>
        <w:sz w:val="22"/>
        <w:szCs w:val="22"/>
        <w:u w:val="none" w:color="000000"/>
        <w:bdr w:val="nil"/>
        <w:shd w:val="clear" w:color="auto" w:fill="auto"/>
        <w:vertAlign w:val="baseline"/>
      </w:rPr>
    </w:lvl>
  </w:abstractNum>
  <w:abstractNum w:abstractNumId="316">
    <w:nsid w:val="7EDF7FAF"/>
    <w:multiLevelType w:val="hybridMultilevel"/>
    <w:tmpl w:val="578E77B4"/>
    <w:lvl w:ilvl="0">
      <w:start w:val="1"/>
      <w:numFmt w:val="bullet"/>
      <w:lvlText w:val="-"/>
      <w:lvlJc w:val="left"/>
      <w:pPr>
        <w:ind w:left="72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Cambria" w:eastAsia="Cambria" w:hAnsi="Cambria" w:cs="Cambria"/>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Cambria" w:eastAsia="Cambria" w:hAnsi="Cambria" w:cs="Cambria"/>
        <w:b w:val="0"/>
        <w:i w:val="0"/>
        <w:strike w:val="0"/>
        <w:dstrike w:val="0"/>
        <w:color w:val="000000"/>
        <w:sz w:val="22"/>
        <w:szCs w:val="22"/>
        <w:u w:val="none" w:color="000000"/>
        <w:bdr w:val="nil"/>
        <w:shd w:val="clear" w:color="auto" w:fill="auto"/>
        <w:vertAlign w:val="baseline"/>
      </w:rPr>
    </w:lvl>
  </w:abstractNum>
  <w:abstractNum w:abstractNumId="317">
    <w:nsid w:val="7F344A81"/>
    <w:multiLevelType w:val="hybridMultilevel"/>
    <w:tmpl w:val="1CB24B46"/>
    <w:lvl w:ilvl="0">
      <w:start w:val="1"/>
      <w:numFmt w:val="bullet"/>
      <w:lvlText w:val="●"/>
      <w:lvlJc w:val="left"/>
      <w:pPr>
        <w:ind w:left="1455"/>
      </w:pPr>
      <w:rPr>
        <w:rFonts w:ascii="Arial" w:eastAsia="Arial" w:hAnsi="Arial" w:cs="Arial"/>
        <w:b w:val="0"/>
        <w:i w:val="0"/>
        <w:strike w:val="0"/>
        <w:dstrike w:val="0"/>
        <w:color w:val="0B0C0C"/>
        <w:sz w:val="22"/>
        <w:szCs w:val="22"/>
        <w:u w:val="none" w:color="000000"/>
        <w:bdr w:val="nil"/>
        <w:shd w:val="clear" w:color="auto" w:fill="auto"/>
        <w:vertAlign w:val="baseline"/>
      </w:rPr>
    </w:lvl>
    <w:lvl w:ilvl="1">
      <w:start w:val="1"/>
      <w:numFmt w:val="bullet"/>
      <w:lvlText w:val="o"/>
      <w:lvlJc w:val="left"/>
      <w:pPr>
        <w:ind w:left="2160"/>
      </w:pPr>
      <w:rPr>
        <w:rFonts w:ascii="Arial" w:eastAsia="Arial" w:hAnsi="Arial" w:cs="Arial"/>
        <w:b w:val="0"/>
        <w:i w:val="0"/>
        <w:strike w:val="0"/>
        <w:dstrike w:val="0"/>
        <w:color w:val="0B0C0C"/>
        <w:sz w:val="22"/>
        <w:szCs w:val="22"/>
        <w:u w:val="none" w:color="000000"/>
        <w:bdr w:val="nil"/>
        <w:shd w:val="clear" w:color="auto" w:fill="auto"/>
        <w:vertAlign w:val="baseline"/>
      </w:rPr>
    </w:lvl>
    <w:lvl w:ilvl="2">
      <w:start w:val="1"/>
      <w:numFmt w:val="bullet"/>
      <w:lvlText w:val="▪"/>
      <w:lvlJc w:val="left"/>
      <w:pPr>
        <w:ind w:left="2880"/>
      </w:pPr>
      <w:rPr>
        <w:rFonts w:ascii="Arial" w:eastAsia="Arial" w:hAnsi="Arial" w:cs="Arial"/>
        <w:b w:val="0"/>
        <w:i w:val="0"/>
        <w:strike w:val="0"/>
        <w:dstrike w:val="0"/>
        <w:color w:val="0B0C0C"/>
        <w:sz w:val="22"/>
        <w:szCs w:val="22"/>
        <w:u w:val="none" w:color="000000"/>
        <w:bdr w:val="nil"/>
        <w:shd w:val="clear" w:color="auto" w:fill="auto"/>
        <w:vertAlign w:val="baseline"/>
      </w:rPr>
    </w:lvl>
    <w:lvl w:ilvl="3">
      <w:start w:val="1"/>
      <w:numFmt w:val="bullet"/>
      <w:lvlText w:val="•"/>
      <w:lvlJc w:val="left"/>
      <w:pPr>
        <w:ind w:left="3600"/>
      </w:pPr>
      <w:rPr>
        <w:rFonts w:ascii="Arial" w:eastAsia="Arial" w:hAnsi="Arial" w:cs="Arial"/>
        <w:b w:val="0"/>
        <w:i w:val="0"/>
        <w:strike w:val="0"/>
        <w:dstrike w:val="0"/>
        <w:color w:val="0B0C0C"/>
        <w:sz w:val="22"/>
        <w:szCs w:val="22"/>
        <w:u w:val="none" w:color="000000"/>
        <w:bdr w:val="nil"/>
        <w:shd w:val="clear" w:color="auto" w:fill="auto"/>
        <w:vertAlign w:val="baseline"/>
      </w:rPr>
    </w:lvl>
    <w:lvl w:ilvl="4">
      <w:start w:val="1"/>
      <w:numFmt w:val="bullet"/>
      <w:lvlText w:val="o"/>
      <w:lvlJc w:val="left"/>
      <w:pPr>
        <w:ind w:left="4320"/>
      </w:pPr>
      <w:rPr>
        <w:rFonts w:ascii="Arial" w:eastAsia="Arial" w:hAnsi="Arial" w:cs="Arial"/>
        <w:b w:val="0"/>
        <w:i w:val="0"/>
        <w:strike w:val="0"/>
        <w:dstrike w:val="0"/>
        <w:color w:val="0B0C0C"/>
        <w:sz w:val="22"/>
        <w:szCs w:val="22"/>
        <w:u w:val="none" w:color="000000"/>
        <w:bdr w:val="nil"/>
        <w:shd w:val="clear" w:color="auto" w:fill="auto"/>
        <w:vertAlign w:val="baseline"/>
      </w:rPr>
    </w:lvl>
    <w:lvl w:ilvl="5">
      <w:start w:val="1"/>
      <w:numFmt w:val="bullet"/>
      <w:lvlText w:val="▪"/>
      <w:lvlJc w:val="left"/>
      <w:pPr>
        <w:ind w:left="5040"/>
      </w:pPr>
      <w:rPr>
        <w:rFonts w:ascii="Arial" w:eastAsia="Arial" w:hAnsi="Arial" w:cs="Arial"/>
        <w:b w:val="0"/>
        <w:i w:val="0"/>
        <w:strike w:val="0"/>
        <w:dstrike w:val="0"/>
        <w:color w:val="0B0C0C"/>
        <w:sz w:val="22"/>
        <w:szCs w:val="22"/>
        <w:u w:val="none" w:color="000000"/>
        <w:bdr w:val="nil"/>
        <w:shd w:val="clear" w:color="auto" w:fill="auto"/>
        <w:vertAlign w:val="baseline"/>
      </w:rPr>
    </w:lvl>
    <w:lvl w:ilvl="6">
      <w:start w:val="1"/>
      <w:numFmt w:val="bullet"/>
      <w:lvlText w:val="•"/>
      <w:lvlJc w:val="left"/>
      <w:pPr>
        <w:ind w:left="5760"/>
      </w:pPr>
      <w:rPr>
        <w:rFonts w:ascii="Arial" w:eastAsia="Arial" w:hAnsi="Arial" w:cs="Arial"/>
        <w:b w:val="0"/>
        <w:i w:val="0"/>
        <w:strike w:val="0"/>
        <w:dstrike w:val="0"/>
        <w:color w:val="0B0C0C"/>
        <w:sz w:val="22"/>
        <w:szCs w:val="22"/>
        <w:u w:val="none" w:color="000000"/>
        <w:bdr w:val="nil"/>
        <w:shd w:val="clear" w:color="auto" w:fill="auto"/>
        <w:vertAlign w:val="baseline"/>
      </w:rPr>
    </w:lvl>
    <w:lvl w:ilvl="7">
      <w:start w:val="1"/>
      <w:numFmt w:val="bullet"/>
      <w:lvlText w:val="o"/>
      <w:lvlJc w:val="left"/>
      <w:pPr>
        <w:ind w:left="6480"/>
      </w:pPr>
      <w:rPr>
        <w:rFonts w:ascii="Arial" w:eastAsia="Arial" w:hAnsi="Arial" w:cs="Arial"/>
        <w:b w:val="0"/>
        <w:i w:val="0"/>
        <w:strike w:val="0"/>
        <w:dstrike w:val="0"/>
        <w:color w:val="0B0C0C"/>
        <w:sz w:val="22"/>
        <w:szCs w:val="22"/>
        <w:u w:val="none" w:color="000000"/>
        <w:bdr w:val="nil"/>
        <w:shd w:val="clear" w:color="auto" w:fill="auto"/>
        <w:vertAlign w:val="baseline"/>
      </w:rPr>
    </w:lvl>
    <w:lvl w:ilvl="8">
      <w:start w:val="1"/>
      <w:numFmt w:val="bullet"/>
      <w:lvlText w:val="▪"/>
      <w:lvlJc w:val="left"/>
      <w:pPr>
        <w:ind w:left="7200"/>
      </w:pPr>
      <w:rPr>
        <w:rFonts w:ascii="Arial" w:eastAsia="Arial" w:hAnsi="Arial" w:cs="Arial"/>
        <w:b w:val="0"/>
        <w:i w:val="0"/>
        <w:strike w:val="0"/>
        <w:dstrike w:val="0"/>
        <w:color w:val="0B0C0C"/>
        <w:sz w:val="22"/>
        <w:szCs w:val="22"/>
        <w:u w:val="none" w:color="000000"/>
        <w:bdr w:val="nil"/>
        <w:shd w:val="clear" w:color="auto" w:fill="auto"/>
        <w:vertAlign w:val="baseline"/>
      </w:rPr>
    </w:lvl>
  </w:abstractNum>
  <w:abstractNum w:abstractNumId="318">
    <w:nsid w:val="7FF82FF6"/>
    <w:multiLevelType w:val="multilevel"/>
    <w:tmpl w:val="5B2C2248"/>
    <w:lvl w:ilvl="0">
      <w:start w:val="4"/>
      <w:numFmt w:val="decimal"/>
      <w:lvlText w:val="%1."/>
      <w:lvlJc w:val="left"/>
      <w:pPr>
        <w:ind w:left="361"/>
      </w:pPr>
      <w:rPr>
        <w:rFonts w:ascii="Verdana" w:eastAsia="Verdana" w:hAnsi="Verdana" w:cs="Verdana"/>
        <w:b/>
        <w:bCs/>
        <w:i w:val="0"/>
        <w:strike w:val="0"/>
        <w:dstrike w:val="0"/>
        <w:color w:val="000000"/>
        <w:sz w:val="22"/>
        <w:szCs w:val="22"/>
        <w:u w:val="none" w:color="000000"/>
        <w:bdr w:val="nil"/>
        <w:shd w:val="clear" w:color="auto" w:fill="auto"/>
        <w:vertAlign w:val="baseline"/>
      </w:rPr>
    </w:lvl>
    <w:lvl w:ilvl="1">
      <w:start w:val="1"/>
      <w:numFmt w:val="decimal"/>
      <w:lvlText w:val="%1.%2"/>
      <w:lvlJc w:val="left"/>
      <w:pPr>
        <w:ind w:left="1081"/>
      </w:pPr>
      <w:rPr>
        <w:rFonts w:ascii="Verdana" w:eastAsia="Verdana" w:hAnsi="Verdana" w:cs="Verdana"/>
        <w:b w:val="0"/>
        <w:i w:val="0"/>
        <w:strike w:val="0"/>
        <w:dstrike w:val="0"/>
        <w:color w:val="000000"/>
        <w:sz w:val="25"/>
        <w:szCs w:val="25"/>
        <w:u w:val="none" w:color="000000"/>
        <w:bdr w:val="nil"/>
        <w:shd w:val="clear" w:color="auto" w:fill="auto"/>
        <w:vertAlign w:val="baseline"/>
      </w:rPr>
    </w:lvl>
    <w:lvl w:ilvl="2">
      <w:start w:val="1"/>
      <w:numFmt w:val="lowerRoman"/>
      <w:lvlText w:val="%3"/>
      <w:lvlJc w:val="left"/>
      <w:pPr>
        <w:ind w:left="1441"/>
      </w:pPr>
      <w:rPr>
        <w:rFonts w:ascii="Verdana" w:eastAsia="Verdana" w:hAnsi="Verdana" w:cs="Verdana"/>
        <w:b w:val="0"/>
        <w:i w:val="0"/>
        <w:strike w:val="0"/>
        <w:dstrike w:val="0"/>
        <w:color w:val="000000"/>
        <w:sz w:val="25"/>
        <w:szCs w:val="25"/>
        <w:u w:val="none" w:color="000000"/>
        <w:bdr w:val="nil"/>
        <w:shd w:val="clear" w:color="auto" w:fill="auto"/>
        <w:vertAlign w:val="baseline"/>
      </w:rPr>
    </w:lvl>
    <w:lvl w:ilvl="3">
      <w:start w:val="1"/>
      <w:numFmt w:val="decimal"/>
      <w:lvlText w:val="%4"/>
      <w:lvlJc w:val="left"/>
      <w:pPr>
        <w:ind w:left="2161"/>
      </w:pPr>
      <w:rPr>
        <w:rFonts w:ascii="Verdana" w:eastAsia="Verdana" w:hAnsi="Verdana" w:cs="Verdana"/>
        <w:b w:val="0"/>
        <w:i w:val="0"/>
        <w:strike w:val="0"/>
        <w:dstrike w:val="0"/>
        <w:color w:val="000000"/>
        <w:sz w:val="25"/>
        <w:szCs w:val="25"/>
        <w:u w:val="none" w:color="000000"/>
        <w:bdr w:val="nil"/>
        <w:shd w:val="clear" w:color="auto" w:fill="auto"/>
        <w:vertAlign w:val="baseline"/>
      </w:rPr>
    </w:lvl>
    <w:lvl w:ilvl="4">
      <w:start w:val="1"/>
      <w:numFmt w:val="lowerLetter"/>
      <w:lvlText w:val="%5"/>
      <w:lvlJc w:val="left"/>
      <w:pPr>
        <w:ind w:left="2881"/>
      </w:pPr>
      <w:rPr>
        <w:rFonts w:ascii="Verdana" w:eastAsia="Verdana" w:hAnsi="Verdana" w:cs="Verdana"/>
        <w:b w:val="0"/>
        <w:i w:val="0"/>
        <w:strike w:val="0"/>
        <w:dstrike w:val="0"/>
        <w:color w:val="000000"/>
        <w:sz w:val="25"/>
        <w:szCs w:val="25"/>
        <w:u w:val="none" w:color="000000"/>
        <w:bdr w:val="nil"/>
        <w:shd w:val="clear" w:color="auto" w:fill="auto"/>
        <w:vertAlign w:val="baseline"/>
      </w:rPr>
    </w:lvl>
    <w:lvl w:ilvl="5">
      <w:start w:val="1"/>
      <w:numFmt w:val="lowerRoman"/>
      <w:lvlText w:val="%6"/>
      <w:lvlJc w:val="left"/>
      <w:pPr>
        <w:ind w:left="3601"/>
      </w:pPr>
      <w:rPr>
        <w:rFonts w:ascii="Verdana" w:eastAsia="Verdana" w:hAnsi="Verdana" w:cs="Verdana"/>
        <w:b w:val="0"/>
        <w:i w:val="0"/>
        <w:strike w:val="0"/>
        <w:dstrike w:val="0"/>
        <w:color w:val="000000"/>
        <w:sz w:val="25"/>
        <w:szCs w:val="25"/>
        <w:u w:val="none" w:color="000000"/>
        <w:bdr w:val="nil"/>
        <w:shd w:val="clear" w:color="auto" w:fill="auto"/>
        <w:vertAlign w:val="baseline"/>
      </w:rPr>
    </w:lvl>
    <w:lvl w:ilvl="6">
      <w:start w:val="1"/>
      <w:numFmt w:val="decimal"/>
      <w:lvlText w:val="%7"/>
      <w:lvlJc w:val="left"/>
      <w:pPr>
        <w:ind w:left="4321"/>
      </w:pPr>
      <w:rPr>
        <w:rFonts w:ascii="Verdana" w:eastAsia="Verdana" w:hAnsi="Verdana" w:cs="Verdana"/>
        <w:b w:val="0"/>
        <w:i w:val="0"/>
        <w:strike w:val="0"/>
        <w:dstrike w:val="0"/>
        <w:color w:val="000000"/>
        <w:sz w:val="25"/>
        <w:szCs w:val="25"/>
        <w:u w:val="none" w:color="000000"/>
        <w:bdr w:val="nil"/>
        <w:shd w:val="clear" w:color="auto" w:fill="auto"/>
        <w:vertAlign w:val="baseline"/>
      </w:rPr>
    </w:lvl>
    <w:lvl w:ilvl="7">
      <w:start w:val="1"/>
      <w:numFmt w:val="lowerLetter"/>
      <w:lvlText w:val="%8"/>
      <w:lvlJc w:val="left"/>
      <w:pPr>
        <w:ind w:left="5041"/>
      </w:pPr>
      <w:rPr>
        <w:rFonts w:ascii="Verdana" w:eastAsia="Verdana" w:hAnsi="Verdana" w:cs="Verdana"/>
        <w:b w:val="0"/>
        <w:i w:val="0"/>
        <w:strike w:val="0"/>
        <w:dstrike w:val="0"/>
        <w:color w:val="000000"/>
        <w:sz w:val="25"/>
        <w:szCs w:val="25"/>
        <w:u w:val="none" w:color="000000"/>
        <w:bdr w:val="nil"/>
        <w:shd w:val="clear" w:color="auto" w:fill="auto"/>
        <w:vertAlign w:val="baseline"/>
      </w:rPr>
    </w:lvl>
    <w:lvl w:ilvl="8">
      <w:start w:val="1"/>
      <w:numFmt w:val="lowerRoman"/>
      <w:lvlText w:val="%9"/>
      <w:lvlJc w:val="left"/>
      <w:pPr>
        <w:ind w:left="5761"/>
      </w:pPr>
      <w:rPr>
        <w:rFonts w:ascii="Verdana" w:eastAsia="Verdana" w:hAnsi="Verdana" w:cs="Verdana"/>
        <w:b w:val="0"/>
        <w:i w:val="0"/>
        <w:strike w:val="0"/>
        <w:dstrike w:val="0"/>
        <w:color w:val="000000"/>
        <w:sz w:val="25"/>
        <w:szCs w:val="25"/>
        <w:u w:val="none" w:color="000000"/>
        <w:bdr w:val="nil"/>
        <w:shd w:val="clear" w:color="auto" w:fill="auto"/>
        <w:vertAlign w:val="baseline"/>
      </w:rPr>
    </w:lvl>
  </w:abstractNum>
  <w:num w:numId="1">
    <w:abstractNumId w:val="300"/>
  </w:num>
  <w:num w:numId="2">
    <w:abstractNumId w:val="149"/>
  </w:num>
  <w:num w:numId="3">
    <w:abstractNumId w:val="70"/>
  </w:num>
  <w:num w:numId="4">
    <w:abstractNumId w:val="13"/>
  </w:num>
  <w:num w:numId="5">
    <w:abstractNumId w:val="216"/>
  </w:num>
  <w:num w:numId="6">
    <w:abstractNumId w:val="177"/>
  </w:num>
  <w:num w:numId="7">
    <w:abstractNumId w:val="233"/>
  </w:num>
  <w:num w:numId="8">
    <w:abstractNumId w:val="130"/>
  </w:num>
  <w:num w:numId="9">
    <w:abstractNumId w:val="57"/>
  </w:num>
  <w:num w:numId="10">
    <w:abstractNumId w:val="59"/>
  </w:num>
  <w:num w:numId="11">
    <w:abstractNumId w:val="79"/>
  </w:num>
  <w:num w:numId="12">
    <w:abstractNumId w:val="232"/>
  </w:num>
  <w:num w:numId="13">
    <w:abstractNumId w:val="107"/>
  </w:num>
  <w:num w:numId="14">
    <w:abstractNumId w:val="75"/>
  </w:num>
  <w:num w:numId="15">
    <w:abstractNumId w:val="142"/>
  </w:num>
  <w:num w:numId="16">
    <w:abstractNumId w:val="118"/>
  </w:num>
  <w:num w:numId="17">
    <w:abstractNumId w:val="246"/>
  </w:num>
  <w:num w:numId="18">
    <w:abstractNumId w:val="207"/>
  </w:num>
  <w:num w:numId="19">
    <w:abstractNumId w:val="47"/>
  </w:num>
  <w:num w:numId="20">
    <w:abstractNumId w:val="60"/>
  </w:num>
  <w:num w:numId="21">
    <w:abstractNumId w:val="11"/>
  </w:num>
  <w:num w:numId="22">
    <w:abstractNumId w:val="154"/>
  </w:num>
  <w:num w:numId="23">
    <w:abstractNumId w:val="311"/>
  </w:num>
  <w:num w:numId="24">
    <w:abstractNumId w:val="309"/>
  </w:num>
  <w:num w:numId="25">
    <w:abstractNumId w:val="208"/>
  </w:num>
  <w:num w:numId="26">
    <w:abstractNumId w:val="109"/>
  </w:num>
  <w:num w:numId="27">
    <w:abstractNumId w:val="174"/>
  </w:num>
  <w:num w:numId="28">
    <w:abstractNumId w:val="201"/>
  </w:num>
  <w:num w:numId="29">
    <w:abstractNumId w:val="230"/>
  </w:num>
  <w:num w:numId="30">
    <w:abstractNumId w:val="116"/>
  </w:num>
  <w:num w:numId="31">
    <w:abstractNumId w:val="222"/>
  </w:num>
  <w:num w:numId="32">
    <w:abstractNumId w:val="39"/>
  </w:num>
  <w:num w:numId="33">
    <w:abstractNumId w:val="318"/>
  </w:num>
  <w:num w:numId="34">
    <w:abstractNumId w:val="157"/>
  </w:num>
  <w:num w:numId="35">
    <w:abstractNumId w:val="61"/>
  </w:num>
  <w:num w:numId="36">
    <w:abstractNumId w:val="191"/>
  </w:num>
  <w:num w:numId="37">
    <w:abstractNumId w:val="176"/>
  </w:num>
  <w:num w:numId="38">
    <w:abstractNumId w:val="24"/>
  </w:num>
  <w:num w:numId="39">
    <w:abstractNumId w:val="88"/>
  </w:num>
  <w:num w:numId="40">
    <w:abstractNumId w:val="139"/>
  </w:num>
  <w:num w:numId="41">
    <w:abstractNumId w:val="209"/>
  </w:num>
  <w:num w:numId="42">
    <w:abstractNumId w:val="238"/>
  </w:num>
  <w:num w:numId="43">
    <w:abstractNumId w:val="126"/>
  </w:num>
  <w:num w:numId="44">
    <w:abstractNumId w:val="44"/>
  </w:num>
  <w:num w:numId="45">
    <w:abstractNumId w:val="197"/>
  </w:num>
  <w:num w:numId="46">
    <w:abstractNumId w:val="270"/>
  </w:num>
  <w:num w:numId="47">
    <w:abstractNumId w:val="242"/>
  </w:num>
  <w:num w:numId="48">
    <w:abstractNumId w:val="297"/>
  </w:num>
  <w:num w:numId="49">
    <w:abstractNumId w:val="76"/>
  </w:num>
  <w:num w:numId="50">
    <w:abstractNumId w:val="158"/>
  </w:num>
  <w:num w:numId="51">
    <w:abstractNumId w:val="43"/>
  </w:num>
  <w:num w:numId="52">
    <w:abstractNumId w:val="219"/>
  </w:num>
  <w:num w:numId="53">
    <w:abstractNumId w:val="214"/>
  </w:num>
  <w:num w:numId="54">
    <w:abstractNumId w:val="261"/>
  </w:num>
  <w:num w:numId="55">
    <w:abstractNumId w:val="77"/>
  </w:num>
  <w:num w:numId="56">
    <w:abstractNumId w:val="240"/>
  </w:num>
  <w:num w:numId="57">
    <w:abstractNumId w:val="29"/>
  </w:num>
  <w:num w:numId="58">
    <w:abstractNumId w:val="8"/>
  </w:num>
  <w:num w:numId="59">
    <w:abstractNumId w:val="148"/>
  </w:num>
  <w:num w:numId="60">
    <w:abstractNumId w:val="225"/>
  </w:num>
  <w:num w:numId="61">
    <w:abstractNumId w:val="114"/>
  </w:num>
  <w:num w:numId="62">
    <w:abstractNumId w:val="64"/>
  </w:num>
  <w:num w:numId="63">
    <w:abstractNumId w:val="301"/>
  </w:num>
  <w:num w:numId="64">
    <w:abstractNumId w:val="243"/>
  </w:num>
  <w:num w:numId="65">
    <w:abstractNumId w:val="291"/>
  </w:num>
  <w:num w:numId="66">
    <w:abstractNumId w:val="137"/>
  </w:num>
  <w:num w:numId="67">
    <w:abstractNumId w:val="229"/>
  </w:num>
  <w:num w:numId="68">
    <w:abstractNumId w:val="14"/>
  </w:num>
  <w:num w:numId="69">
    <w:abstractNumId w:val="223"/>
  </w:num>
  <w:num w:numId="70">
    <w:abstractNumId w:val="182"/>
  </w:num>
  <w:num w:numId="71">
    <w:abstractNumId w:val="294"/>
  </w:num>
  <w:num w:numId="72">
    <w:abstractNumId w:val="63"/>
  </w:num>
  <w:num w:numId="73">
    <w:abstractNumId w:val="104"/>
  </w:num>
  <w:num w:numId="74">
    <w:abstractNumId w:val="236"/>
  </w:num>
  <w:num w:numId="75">
    <w:abstractNumId w:val="244"/>
  </w:num>
  <w:num w:numId="76">
    <w:abstractNumId w:val="287"/>
  </w:num>
  <w:num w:numId="77">
    <w:abstractNumId w:val="143"/>
  </w:num>
  <w:num w:numId="78">
    <w:abstractNumId w:val="53"/>
  </w:num>
  <w:num w:numId="79">
    <w:abstractNumId w:val="224"/>
  </w:num>
  <w:num w:numId="80">
    <w:abstractNumId w:val="252"/>
  </w:num>
  <w:num w:numId="81">
    <w:abstractNumId w:val="193"/>
  </w:num>
  <w:num w:numId="82">
    <w:abstractNumId w:val="259"/>
  </w:num>
  <w:num w:numId="83">
    <w:abstractNumId w:val="276"/>
  </w:num>
  <w:num w:numId="84">
    <w:abstractNumId w:val="160"/>
  </w:num>
  <w:num w:numId="85">
    <w:abstractNumId w:val="120"/>
  </w:num>
  <w:num w:numId="86">
    <w:abstractNumId w:val="237"/>
  </w:num>
  <w:num w:numId="87">
    <w:abstractNumId w:val="184"/>
  </w:num>
  <w:num w:numId="88">
    <w:abstractNumId w:val="312"/>
  </w:num>
  <w:num w:numId="89">
    <w:abstractNumId w:val="217"/>
  </w:num>
  <w:num w:numId="90">
    <w:abstractNumId w:val="231"/>
  </w:num>
  <w:num w:numId="91">
    <w:abstractNumId w:val="138"/>
  </w:num>
  <w:num w:numId="92">
    <w:abstractNumId w:val="248"/>
  </w:num>
  <w:num w:numId="93">
    <w:abstractNumId w:val="150"/>
  </w:num>
  <w:num w:numId="94">
    <w:abstractNumId w:val="91"/>
  </w:num>
  <w:num w:numId="95">
    <w:abstractNumId w:val="278"/>
  </w:num>
  <w:num w:numId="96">
    <w:abstractNumId w:val="258"/>
  </w:num>
  <w:num w:numId="97">
    <w:abstractNumId w:val="129"/>
  </w:num>
  <w:num w:numId="98">
    <w:abstractNumId w:val="307"/>
  </w:num>
  <w:num w:numId="99">
    <w:abstractNumId w:val="156"/>
  </w:num>
  <w:num w:numId="100">
    <w:abstractNumId w:val="279"/>
  </w:num>
  <w:num w:numId="101">
    <w:abstractNumId w:val="195"/>
  </w:num>
  <w:num w:numId="102">
    <w:abstractNumId w:val="178"/>
  </w:num>
  <w:num w:numId="103">
    <w:abstractNumId w:val="272"/>
  </w:num>
  <w:num w:numId="104">
    <w:abstractNumId w:val="123"/>
  </w:num>
  <w:num w:numId="105">
    <w:abstractNumId w:val="51"/>
  </w:num>
  <w:num w:numId="106">
    <w:abstractNumId w:val="65"/>
  </w:num>
  <w:num w:numId="107">
    <w:abstractNumId w:val="46"/>
  </w:num>
  <w:num w:numId="108">
    <w:abstractNumId w:val="48"/>
  </w:num>
  <w:num w:numId="109">
    <w:abstractNumId w:val="62"/>
  </w:num>
  <w:num w:numId="110">
    <w:abstractNumId w:val="52"/>
  </w:num>
  <w:num w:numId="111">
    <w:abstractNumId w:val="117"/>
  </w:num>
  <w:num w:numId="112">
    <w:abstractNumId w:val="165"/>
  </w:num>
  <w:num w:numId="113">
    <w:abstractNumId w:val="199"/>
  </w:num>
  <w:num w:numId="114">
    <w:abstractNumId w:val="71"/>
  </w:num>
  <w:num w:numId="115">
    <w:abstractNumId w:val="180"/>
  </w:num>
  <w:num w:numId="116">
    <w:abstractNumId w:val="161"/>
  </w:num>
  <w:num w:numId="117">
    <w:abstractNumId w:val="194"/>
  </w:num>
  <w:num w:numId="118">
    <w:abstractNumId w:val="198"/>
  </w:num>
  <w:num w:numId="119">
    <w:abstractNumId w:val="190"/>
  </w:num>
  <w:num w:numId="120">
    <w:abstractNumId w:val="102"/>
  </w:num>
  <w:num w:numId="121">
    <w:abstractNumId w:val="315"/>
  </w:num>
  <w:num w:numId="122">
    <w:abstractNumId w:val="255"/>
  </w:num>
  <w:num w:numId="123">
    <w:abstractNumId w:val="140"/>
  </w:num>
  <w:num w:numId="124">
    <w:abstractNumId w:val="269"/>
  </w:num>
  <w:num w:numId="125">
    <w:abstractNumId w:val="86"/>
  </w:num>
  <w:num w:numId="126">
    <w:abstractNumId w:val="282"/>
  </w:num>
  <w:num w:numId="127">
    <w:abstractNumId w:val="119"/>
  </w:num>
  <w:num w:numId="128">
    <w:abstractNumId w:val="30"/>
  </w:num>
  <w:num w:numId="129">
    <w:abstractNumId w:val="211"/>
  </w:num>
  <w:num w:numId="130">
    <w:abstractNumId w:val="144"/>
  </w:num>
  <w:num w:numId="131">
    <w:abstractNumId w:val="69"/>
  </w:num>
  <w:num w:numId="132">
    <w:abstractNumId w:val="19"/>
  </w:num>
  <w:num w:numId="133">
    <w:abstractNumId w:val="196"/>
  </w:num>
  <w:num w:numId="134">
    <w:abstractNumId w:val="18"/>
  </w:num>
  <w:num w:numId="135">
    <w:abstractNumId w:val="185"/>
  </w:num>
  <w:num w:numId="136">
    <w:abstractNumId w:val="89"/>
  </w:num>
  <w:num w:numId="137">
    <w:abstractNumId w:val="10"/>
  </w:num>
  <w:num w:numId="138">
    <w:abstractNumId w:val="136"/>
  </w:num>
  <w:num w:numId="139">
    <w:abstractNumId w:val="28"/>
  </w:num>
  <w:num w:numId="140">
    <w:abstractNumId w:val="92"/>
  </w:num>
  <w:num w:numId="141">
    <w:abstractNumId w:val="290"/>
  </w:num>
  <w:num w:numId="142">
    <w:abstractNumId w:val="87"/>
  </w:num>
  <w:num w:numId="143">
    <w:abstractNumId w:val="124"/>
  </w:num>
  <w:num w:numId="144">
    <w:abstractNumId w:val="303"/>
  </w:num>
  <w:num w:numId="145">
    <w:abstractNumId w:val="146"/>
  </w:num>
  <w:num w:numId="146">
    <w:abstractNumId w:val="147"/>
  </w:num>
  <w:num w:numId="147">
    <w:abstractNumId w:val="305"/>
  </w:num>
  <w:num w:numId="148">
    <w:abstractNumId w:val="134"/>
  </w:num>
  <w:num w:numId="149">
    <w:abstractNumId w:val="5"/>
  </w:num>
  <w:num w:numId="150">
    <w:abstractNumId w:val="277"/>
  </w:num>
  <w:num w:numId="151">
    <w:abstractNumId w:val="226"/>
  </w:num>
  <w:num w:numId="152">
    <w:abstractNumId w:val="215"/>
  </w:num>
  <w:num w:numId="153">
    <w:abstractNumId w:val="128"/>
  </w:num>
  <w:num w:numId="154">
    <w:abstractNumId w:val="285"/>
  </w:num>
  <w:num w:numId="155">
    <w:abstractNumId w:val="281"/>
  </w:num>
  <w:num w:numId="156">
    <w:abstractNumId w:val="280"/>
  </w:num>
  <w:num w:numId="157">
    <w:abstractNumId w:val="189"/>
  </w:num>
  <w:num w:numId="158">
    <w:abstractNumId w:val="167"/>
  </w:num>
  <w:num w:numId="159">
    <w:abstractNumId w:val="166"/>
  </w:num>
  <w:num w:numId="160">
    <w:abstractNumId w:val="271"/>
  </w:num>
  <w:num w:numId="161">
    <w:abstractNumId w:val="308"/>
  </w:num>
  <w:num w:numId="162">
    <w:abstractNumId w:val="7"/>
  </w:num>
  <w:num w:numId="163">
    <w:abstractNumId w:val="152"/>
  </w:num>
  <w:num w:numId="164">
    <w:abstractNumId w:val="95"/>
  </w:num>
  <w:num w:numId="165">
    <w:abstractNumId w:val="33"/>
  </w:num>
  <w:num w:numId="166">
    <w:abstractNumId w:val="27"/>
  </w:num>
  <w:num w:numId="167">
    <w:abstractNumId w:val="74"/>
  </w:num>
  <w:num w:numId="168">
    <w:abstractNumId w:val="306"/>
  </w:num>
  <w:num w:numId="169">
    <w:abstractNumId w:val="37"/>
  </w:num>
  <w:num w:numId="170">
    <w:abstractNumId w:val="175"/>
  </w:num>
  <w:num w:numId="171">
    <w:abstractNumId w:val="235"/>
  </w:num>
  <w:num w:numId="172">
    <w:abstractNumId w:val="169"/>
  </w:num>
  <w:num w:numId="173">
    <w:abstractNumId w:val="21"/>
  </w:num>
  <w:num w:numId="174">
    <w:abstractNumId w:val="206"/>
  </w:num>
  <w:num w:numId="175">
    <w:abstractNumId w:val="265"/>
  </w:num>
  <w:num w:numId="176">
    <w:abstractNumId w:val="212"/>
  </w:num>
  <w:num w:numId="177">
    <w:abstractNumId w:val="295"/>
  </w:num>
  <w:num w:numId="178">
    <w:abstractNumId w:val="218"/>
  </w:num>
  <w:num w:numId="179">
    <w:abstractNumId w:val="101"/>
  </w:num>
  <w:num w:numId="180">
    <w:abstractNumId w:val="275"/>
  </w:num>
  <w:num w:numId="181">
    <w:abstractNumId w:val="84"/>
  </w:num>
  <w:num w:numId="182">
    <w:abstractNumId w:val="234"/>
  </w:num>
  <w:num w:numId="183">
    <w:abstractNumId w:val="111"/>
  </w:num>
  <w:num w:numId="184">
    <w:abstractNumId w:val="250"/>
  </w:num>
  <w:num w:numId="185">
    <w:abstractNumId w:val="164"/>
  </w:num>
  <w:num w:numId="186">
    <w:abstractNumId w:val="97"/>
  </w:num>
  <w:num w:numId="187">
    <w:abstractNumId w:val="100"/>
  </w:num>
  <w:num w:numId="188">
    <w:abstractNumId w:val="187"/>
  </w:num>
  <w:num w:numId="189">
    <w:abstractNumId w:val="6"/>
  </w:num>
  <w:num w:numId="190">
    <w:abstractNumId w:val="213"/>
  </w:num>
  <w:num w:numId="191">
    <w:abstractNumId w:val="58"/>
  </w:num>
  <w:num w:numId="192">
    <w:abstractNumId w:val="40"/>
  </w:num>
  <w:num w:numId="193">
    <w:abstractNumId w:val="38"/>
  </w:num>
  <w:num w:numId="194">
    <w:abstractNumId w:val="273"/>
  </w:num>
  <w:num w:numId="195">
    <w:abstractNumId w:val="267"/>
  </w:num>
  <w:num w:numId="196">
    <w:abstractNumId w:val="141"/>
  </w:num>
  <w:num w:numId="197">
    <w:abstractNumId w:val="304"/>
  </w:num>
  <w:num w:numId="198">
    <w:abstractNumId w:val="313"/>
  </w:num>
  <w:num w:numId="199">
    <w:abstractNumId w:val="203"/>
  </w:num>
  <w:num w:numId="200">
    <w:abstractNumId w:val="302"/>
  </w:num>
  <w:num w:numId="201">
    <w:abstractNumId w:val="253"/>
  </w:num>
  <w:num w:numId="202">
    <w:abstractNumId w:val="268"/>
  </w:num>
  <w:num w:numId="203">
    <w:abstractNumId w:val="115"/>
  </w:num>
  <w:num w:numId="204">
    <w:abstractNumId w:val="168"/>
  </w:num>
  <w:num w:numId="205">
    <w:abstractNumId w:val="299"/>
  </w:num>
  <w:num w:numId="206">
    <w:abstractNumId w:val="72"/>
  </w:num>
  <w:num w:numId="207">
    <w:abstractNumId w:val="241"/>
  </w:num>
  <w:num w:numId="208">
    <w:abstractNumId w:val="249"/>
  </w:num>
  <w:num w:numId="209">
    <w:abstractNumId w:val="17"/>
  </w:num>
  <w:num w:numId="210">
    <w:abstractNumId w:val="284"/>
  </w:num>
  <w:num w:numId="211">
    <w:abstractNumId w:val="288"/>
  </w:num>
  <w:num w:numId="212">
    <w:abstractNumId w:val="9"/>
  </w:num>
  <w:num w:numId="213">
    <w:abstractNumId w:val="83"/>
  </w:num>
  <w:num w:numId="214">
    <w:abstractNumId w:val="316"/>
  </w:num>
  <w:num w:numId="215">
    <w:abstractNumId w:val="155"/>
  </w:num>
  <w:num w:numId="216">
    <w:abstractNumId w:val="247"/>
  </w:num>
  <w:num w:numId="217">
    <w:abstractNumId w:val="122"/>
  </w:num>
  <w:num w:numId="218">
    <w:abstractNumId w:val="254"/>
  </w:num>
  <w:num w:numId="219">
    <w:abstractNumId w:val="188"/>
  </w:num>
  <w:num w:numId="220">
    <w:abstractNumId w:val="78"/>
  </w:num>
  <w:num w:numId="221">
    <w:abstractNumId w:val="257"/>
  </w:num>
  <w:num w:numId="222">
    <w:abstractNumId w:val="202"/>
  </w:num>
  <w:num w:numId="223">
    <w:abstractNumId w:val="173"/>
  </w:num>
  <w:num w:numId="224">
    <w:abstractNumId w:val="32"/>
  </w:num>
  <w:num w:numId="225">
    <w:abstractNumId w:val="296"/>
  </w:num>
  <w:num w:numId="226">
    <w:abstractNumId w:val="200"/>
  </w:num>
  <w:num w:numId="227">
    <w:abstractNumId w:val="256"/>
  </w:num>
  <w:num w:numId="228">
    <w:abstractNumId w:val="260"/>
  </w:num>
  <w:num w:numId="229">
    <w:abstractNumId w:val="317"/>
  </w:num>
  <w:num w:numId="230">
    <w:abstractNumId w:val="55"/>
  </w:num>
  <w:num w:numId="231">
    <w:abstractNumId w:val="145"/>
  </w:num>
  <w:num w:numId="232">
    <w:abstractNumId w:val="292"/>
  </w:num>
  <w:num w:numId="233">
    <w:abstractNumId w:val="68"/>
  </w:num>
  <w:num w:numId="234">
    <w:abstractNumId w:val="186"/>
  </w:num>
  <w:num w:numId="235">
    <w:abstractNumId w:val="264"/>
  </w:num>
  <w:num w:numId="236">
    <w:abstractNumId w:val="266"/>
  </w:num>
  <w:num w:numId="237">
    <w:abstractNumId w:val="54"/>
  </w:num>
  <w:num w:numId="238">
    <w:abstractNumId w:val="42"/>
  </w:num>
  <w:num w:numId="239">
    <w:abstractNumId w:val="22"/>
  </w:num>
  <w:num w:numId="240">
    <w:abstractNumId w:val="35"/>
  </w:num>
  <w:num w:numId="241">
    <w:abstractNumId w:val="112"/>
  </w:num>
  <w:num w:numId="242">
    <w:abstractNumId w:val="12"/>
  </w:num>
  <w:num w:numId="243">
    <w:abstractNumId w:val="245"/>
  </w:num>
  <w:num w:numId="244">
    <w:abstractNumId w:val="105"/>
  </w:num>
  <w:num w:numId="245">
    <w:abstractNumId w:val="85"/>
  </w:num>
  <w:num w:numId="246">
    <w:abstractNumId w:val="171"/>
  </w:num>
  <w:num w:numId="247">
    <w:abstractNumId w:val="26"/>
  </w:num>
  <w:num w:numId="248">
    <w:abstractNumId w:val="31"/>
  </w:num>
  <w:num w:numId="249">
    <w:abstractNumId w:val="153"/>
  </w:num>
  <w:num w:numId="250">
    <w:abstractNumId w:val="98"/>
  </w:num>
  <w:num w:numId="251">
    <w:abstractNumId w:val="262"/>
  </w:num>
  <w:num w:numId="252">
    <w:abstractNumId w:val="66"/>
  </w:num>
  <w:num w:numId="253">
    <w:abstractNumId w:val="36"/>
  </w:num>
  <w:num w:numId="254">
    <w:abstractNumId w:val="80"/>
  </w:num>
  <w:num w:numId="255">
    <w:abstractNumId w:val="210"/>
  </w:num>
  <w:num w:numId="256">
    <w:abstractNumId w:val="172"/>
  </w:num>
  <w:num w:numId="257">
    <w:abstractNumId w:val="82"/>
  </w:num>
  <w:num w:numId="258">
    <w:abstractNumId w:val="2"/>
  </w:num>
  <w:num w:numId="259">
    <w:abstractNumId w:val="106"/>
  </w:num>
  <w:num w:numId="260">
    <w:abstractNumId w:val="49"/>
  </w:num>
  <w:num w:numId="261">
    <w:abstractNumId w:val="151"/>
  </w:num>
  <w:num w:numId="262">
    <w:abstractNumId w:val="181"/>
  </w:num>
  <w:num w:numId="263">
    <w:abstractNumId w:val="108"/>
  </w:num>
  <w:num w:numId="264">
    <w:abstractNumId w:val="96"/>
  </w:num>
  <w:num w:numId="265">
    <w:abstractNumId w:val="25"/>
  </w:num>
  <w:num w:numId="266">
    <w:abstractNumId w:val="274"/>
  </w:num>
  <w:num w:numId="267">
    <w:abstractNumId w:val="81"/>
  </w:num>
  <w:num w:numId="268">
    <w:abstractNumId w:val="205"/>
  </w:num>
  <w:num w:numId="269">
    <w:abstractNumId w:val="170"/>
  </w:num>
  <w:num w:numId="270">
    <w:abstractNumId w:val="251"/>
  </w:num>
  <w:num w:numId="271">
    <w:abstractNumId w:val="286"/>
  </w:num>
  <w:num w:numId="272">
    <w:abstractNumId w:val="135"/>
  </w:num>
  <w:num w:numId="273">
    <w:abstractNumId w:val="125"/>
  </w:num>
  <w:num w:numId="274">
    <w:abstractNumId w:val="131"/>
  </w:num>
  <w:num w:numId="275">
    <w:abstractNumId w:val="73"/>
  </w:num>
  <w:num w:numId="276">
    <w:abstractNumId w:val="56"/>
  </w:num>
  <w:num w:numId="277">
    <w:abstractNumId w:val="183"/>
  </w:num>
  <w:num w:numId="278">
    <w:abstractNumId w:val="34"/>
  </w:num>
  <w:num w:numId="279">
    <w:abstractNumId w:val="293"/>
  </w:num>
  <w:num w:numId="280">
    <w:abstractNumId w:val="16"/>
  </w:num>
  <w:num w:numId="281">
    <w:abstractNumId w:val="4"/>
  </w:num>
  <w:num w:numId="282">
    <w:abstractNumId w:val="162"/>
  </w:num>
  <w:num w:numId="283">
    <w:abstractNumId w:val="67"/>
  </w:num>
  <w:num w:numId="284">
    <w:abstractNumId w:val="283"/>
  </w:num>
  <w:num w:numId="285">
    <w:abstractNumId w:val="298"/>
  </w:num>
  <w:num w:numId="286">
    <w:abstractNumId w:val="0"/>
  </w:num>
  <w:num w:numId="287">
    <w:abstractNumId w:val="159"/>
  </w:num>
  <w:num w:numId="288">
    <w:abstractNumId w:val="93"/>
  </w:num>
  <w:num w:numId="289">
    <w:abstractNumId w:val="94"/>
  </w:num>
  <w:num w:numId="290">
    <w:abstractNumId w:val="163"/>
  </w:num>
  <w:num w:numId="291">
    <w:abstractNumId w:val="99"/>
  </w:num>
  <w:num w:numId="292">
    <w:abstractNumId w:val="133"/>
  </w:num>
  <w:num w:numId="293">
    <w:abstractNumId w:val="121"/>
  </w:num>
  <w:num w:numId="294">
    <w:abstractNumId w:val="20"/>
  </w:num>
  <w:num w:numId="295">
    <w:abstractNumId w:val="314"/>
  </w:num>
  <w:num w:numId="296">
    <w:abstractNumId w:val="1"/>
  </w:num>
  <w:num w:numId="297">
    <w:abstractNumId w:val="15"/>
  </w:num>
  <w:num w:numId="298">
    <w:abstractNumId w:val="204"/>
  </w:num>
  <w:num w:numId="299">
    <w:abstractNumId w:val="227"/>
  </w:num>
  <w:num w:numId="300">
    <w:abstractNumId w:val="263"/>
  </w:num>
  <w:num w:numId="301">
    <w:abstractNumId w:val="192"/>
  </w:num>
  <w:num w:numId="302">
    <w:abstractNumId w:val="132"/>
  </w:num>
  <w:num w:numId="303">
    <w:abstractNumId w:val="228"/>
  </w:num>
  <w:num w:numId="304">
    <w:abstractNumId w:val="41"/>
  </w:num>
  <w:num w:numId="305">
    <w:abstractNumId w:val="3"/>
  </w:num>
  <w:num w:numId="306">
    <w:abstractNumId w:val="90"/>
  </w:num>
  <w:num w:numId="307">
    <w:abstractNumId w:val="127"/>
  </w:num>
  <w:num w:numId="308">
    <w:abstractNumId w:val="45"/>
  </w:num>
  <w:num w:numId="309">
    <w:abstractNumId w:val="103"/>
  </w:num>
  <w:num w:numId="310">
    <w:abstractNumId w:val="220"/>
  </w:num>
  <w:num w:numId="311">
    <w:abstractNumId w:val="113"/>
  </w:num>
  <w:num w:numId="312">
    <w:abstractNumId w:val="221"/>
  </w:num>
  <w:num w:numId="313">
    <w:abstractNumId w:val="289"/>
  </w:num>
  <w:num w:numId="314">
    <w:abstractNumId w:val="50"/>
  </w:num>
  <w:num w:numId="315">
    <w:abstractNumId w:val="23"/>
  </w:num>
  <w:num w:numId="316">
    <w:abstractNumId w:val="179"/>
  </w:num>
  <w:num w:numId="317">
    <w:abstractNumId w:val="110"/>
  </w:num>
  <w:num w:numId="318">
    <w:abstractNumId w:val="239"/>
  </w:num>
  <w:num w:numId="319">
    <w:abstractNumId w:val="3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9" w:line="248" w:lineRule="auto"/>
      <w:ind w:left="11" w:hanging="10"/>
      <w:outlineLvl w:val="0"/>
    </w:pPr>
    <w:rPr>
      <w:rFonts w:ascii="Verdana" w:eastAsia="Verdana" w:hAnsi="Verdana" w:cs="Verdana"/>
      <w:b/>
      <w:color w:val="000000"/>
      <w:sz w:val="28"/>
    </w:rPr>
  </w:style>
  <w:style w:type="paragraph" w:styleId="Heading2">
    <w:name w:val="heading 2"/>
    <w:next w:val="Normal"/>
    <w:link w:val="Heading2Char"/>
    <w:uiPriority w:val="9"/>
    <w:unhideWhenUsed/>
    <w:qFormat/>
    <w:pPr>
      <w:keepNext/>
      <w:keepLines/>
      <w:spacing w:after="9" w:line="248" w:lineRule="auto"/>
      <w:ind w:left="11" w:hanging="10"/>
      <w:outlineLvl w:val="1"/>
    </w:pPr>
    <w:rPr>
      <w:rFonts w:ascii="Verdana" w:eastAsia="Verdana" w:hAnsi="Verdana" w:cs="Verdana"/>
      <w:b/>
      <w:color w:val="000000"/>
      <w:sz w:val="28"/>
    </w:rPr>
  </w:style>
  <w:style w:type="paragraph" w:styleId="Heading3">
    <w:name w:val="heading 3"/>
    <w:next w:val="Normal"/>
    <w:link w:val="Heading3Char"/>
    <w:uiPriority w:val="9"/>
    <w:unhideWhenUsed/>
    <w:qFormat/>
    <w:pPr>
      <w:keepNext/>
      <w:keepLines/>
      <w:spacing w:after="9" w:line="248" w:lineRule="auto"/>
      <w:ind w:left="11" w:hanging="10"/>
      <w:outlineLvl w:val="2"/>
    </w:pPr>
    <w:rPr>
      <w:rFonts w:ascii="Verdana" w:eastAsia="Verdana" w:hAnsi="Verdana" w:cs="Verdana"/>
      <w:b/>
      <w:color w:val="000000"/>
      <w:sz w:val="28"/>
    </w:rPr>
  </w:style>
  <w:style w:type="paragraph" w:styleId="Heading4">
    <w:name w:val="heading 4"/>
    <w:next w:val="Normal"/>
    <w:link w:val="Heading4Char"/>
    <w:uiPriority w:val="9"/>
    <w:unhideWhenUsed/>
    <w:qFormat/>
    <w:pPr>
      <w:keepNext/>
      <w:keepLines/>
      <w:spacing w:after="9" w:line="248" w:lineRule="auto"/>
      <w:ind w:left="11" w:hanging="10"/>
      <w:outlineLvl w:val="3"/>
    </w:pPr>
    <w:rPr>
      <w:rFonts w:ascii="Verdana" w:eastAsia="Verdana" w:hAnsi="Verdana" w:cs="Verdana"/>
      <w:b/>
      <w:color w:val="000000"/>
      <w:sz w:val="28"/>
    </w:rPr>
  </w:style>
  <w:style w:type="paragraph" w:styleId="Heading5">
    <w:name w:val="heading 5"/>
    <w:next w:val="Normal"/>
    <w:link w:val="Heading5Char"/>
    <w:uiPriority w:val="9"/>
    <w:unhideWhenUsed/>
    <w:qFormat/>
    <w:pPr>
      <w:keepNext/>
      <w:keepLines/>
      <w:spacing w:after="9" w:line="248" w:lineRule="auto"/>
      <w:ind w:left="11" w:hanging="10"/>
      <w:outlineLvl w:val="4"/>
    </w:pPr>
    <w:rPr>
      <w:rFonts w:ascii="Verdana" w:eastAsia="Verdana" w:hAnsi="Verdana" w:cs="Verdana"/>
      <w:b/>
      <w:color w:val="000000"/>
      <w:sz w:val="28"/>
    </w:rPr>
  </w:style>
  <w:style w:type="paragraph" w:styleId="Heading6">
    <w:name w:val="heading 6"/>
    <w:next w:val="Normal"/>
    <w:link w:val="Heading6Char"/>
    <w:uiPriority w:val="9"/>
    <w:unhideWhenUsed/>
    <w:qFormat/>
    <w:pPr>
      <w:keepNext/>
      <w:keepLines/>
      <w:spacing w:after="9" w:line="248" w:lineRule="auto"/>
      <w:ind w:left="11" w:hanging="10"/>
      <w:outlineLvl w:val="5"/>
    </w:pPr>
    <w:rPr>
      <w:rFonts w:ascii="Verdana" w:eastAsia="Verdana" w:hAnsi="Verdana" w:cs="Verdana"/>
      <w:b/>
      <w:color w:val="000000"/>
      <w:sz w:val="28"/>
    </w:rPr>
  </w:style>
  <w:style w:type="paragraph" w:styleId="Heading7">
    <w:name w:val="heading 7"/>
    <w:next w:val="Normal"/>
    <w:link w:val="Heading7Char"/>
    <w:uiPriority w:val="9"/>
    <w:unhideWhenUsed/>
    <w:qFormat/>
    <w:pPr>
      <w:keepNext/>
      <w:keepLines/>
      <w:spacing w:after="32" w:line="249" w:lineRule="auto"/>
      <w:ind w:left="10" w:hanging="10"/>
      <w:outlineLvl w:val="6"/>
    </w:pPr>
    <w:rPr>
      <w:rFonts w:ascii="Verdana" w:eastAsia="Verdana" w:hAnsi="Verdana" w:cs="Verdana"/>
      <w:color w:val="000000"/>
      <w:u w:val="single" w:color="000000"/>
    </w:rPr>
  </w:style>
  <w:style w:type="paragraph" w:styleId="Heading8">
    <w:name w:val="heading 8"/>
    <w:next w:val="Normal"/>
    <w:link w:val="Heading8Char"/>
    <w:uiPriority w:val="9"/>
    <w:unhideWhenUsed/>
    <w:qFormat/>
    <w:pPr>
      <w:keepNext/>
      <w:keepLines/>
      <w:spacing w:after="4" w:line="265" w:lineRule="auto"/>
      <w:ind w:left="10" w:hanging="10"/>
      <w:jc w:val="both"/>
      <w:outlineLvl w:val="7"/>
    </w:pPr>
    <w:rPr>
      <w:rFonts w:ascii="Verdana" w:eastAsia="Verdana" w:hAnsi="Verdana" w:cs="Verdana"/>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Verdana" w:eastAsia="Verdana" w:hAnsi="Verdana" w:cs="Verdana"/>
      <w:b/>
      <w:color w:val="000000"/>
      <w:sz w:val="28"/>
    </w:rPr>
  </w:style>
  <w:style w:type="character" w:customStyle="1" w:styleId="Heading2Char">
    <w:name w:val="Heading 2 Char"/>
    <w:link w:val="Heading2"/>
    <w:rPr>
      <w:rFonts w:ascii="Verdana" w:eastAsia="Verdana" w:hAnsi="Verdana" w:cs="Verdana"/>
      <w:b/>
      <w:color w:val="000000"/>
      <w:sz w:val="28"/>
    </w:rPr>
  </w:style>
  <w:style w:type="character" w:customStyle="1" w:styleId="Heading3Char">
    <w:name w:val="Heading 3 Char"/>
    <w:link w:val="Heading3"/>
    <w:rPr>
      <w:rFonts w:ascii="Verdana" w:eastAsia="Verdana" w:hAnsi="Verdana" w:cs="Verdana"/>
      <w:b/>
      <w:color w:val="000000"/>
      <w:sz w:val="28"/>
    </w:rPr>
  </w:style>
  <w:style w:type="character" w:customStyle="1" w:styleId="Heading4Char">
    <w:name w:val="Heading 4 Char"/>
    <w:link w:val="Heading4"/>
    <w:rPr>
      <w:rFonts w:ascii="Verdana" w:eastAsia="Verdana" w:hAnsi="Verdana" w:cs="Verdana"/>
      <w:b/>
      <w:color w:val="000000"/>
      <w:sz w:val="28"/>
    </w:rPr>
  </w:style>
  <w:style w:type="character" w:customStyle="1" w:styleId="Heading5Char">
    <w:name w:val="Heading 5 Char"/>
    <w:link w:val="Heading5"/>
    <w:rPr>
      <w:rFonts w:ascii="Verdana" w:eastAsia="Verdana" w:hAnsi="Verdana" w:cs="Verdana"/>
      <w:b/>
      <w:color w:val="000000"/>
      <w:sz w:val="28"/>
    </w:rPr>
  </w:style>
  <w:style w:type="character" w:customStyle="1" w:styleId="Heading6Char">
    <w:name w:val="Heading 6 Char"/>
    <w:link w:val="Heading6"/>
    <w:rPr>
      <w:rFonts w:ascii="Verdana" w:eastAsia="Verdana" w:hAnsi="Verdana" w:cs="Verdana"/>
      <w:b/>
      <w:color w:val="000000"/>
      <w:sz w:val="28"/>
    </w:rPr>
  </w:style>
  <w:style w:type="character" w:customStyle="1" w:styleId="Heading7Char">
    <w:name w:val="Heading 7 Char"/>
    <w:link w:val="Heading7"/>
    <w:rPr>
      <w:rFonts w:ascii="Verdana" w:eastAsia="Verdana" w:hAnsi="Verdana" w:cs="Verdana"/>
      <w:color w:val="000000"/>
      <w:sz w:val="22"/>
      <w:u w:val="single" w:color="000000"/>
    </w:rPr>
  </w:style>
  <w:style w:type="character" w:customStyle="1" w:styleId="Heading8Char">
    <w:name w:val="Heading 8 Char"/>
    <w:link w:val="Heading8"/>
    <w:rPr>
      <w:rFonts w:ascii="Verdana" w:eastAsia="Verdana" w:hAnsi="Verdana" w:cs="Verdana"/>
      <w:b/>
      <w:color w:val="000000"/>
      <w:sz w:val="22"/>
      <w:u w:val="single" w:color="000000"/>
    </w:rPr>
  </w:style>
  <w:style w:type="paragraph" w:customStyle="1" w:styleId="footnotedescription">
    <w:name w:val="footnote description"/>
    <w:next w:val="Normal"/>
    <w:link w:val="footnotedescriptionChar"/>
    <w:hidden/>
    <w:pPr>
      <w:spacing w:after="0"/>
    </w:pPr>
    <w:rPr>
      <w:rFonts w:ascii="Verdana" w:eastAsia="Verdana" w:hAnsi="Verdana" w:cs="Verdana"/>
      <w:color w:val="000000"/>
      <w:sz w:val="16"/>
    </w:rPr>
  </w:style>
  <w:style w:type="character" w:customStyle="1" w:styleId="footnotedescriptionChar">
    <w:name w:val="footnote description Char"/>
    <w:link w:val="footnotedescription"/>
    <w:rPr>
      <w:rFonts w:ascii="Verdana" w:eastAsia="Verdana" w:hAnsi="Verdana" w:cs="Verdana"/>
      <w:color w:val="000000"/>
      <w:sz w:val="16"/>
    </w:rPr>
  </w:style>
  <w:style w:type="paragraph" w:styleId="TOC1">
    <w:name w:val="toc 1"/>
    <w:hidden/>
    <w:uiPriority w:val="39"/>
    <w:pPr>
      <w:spacing w:after="198"/>
      <w:ind w:left="1727" w:right="23" w:hanging="10"/>
    </w:pPr>
    <w:rPr>
      <w:rFonts w:ascii="Corbel" w:eastAsia="Corbel" w:hAnsi="Corbel" w:cs="Corbel"/>
      <w:b/>
      <w:color w:val="690949"/>
      <w:sz w:val="24"/>
    </w:rPr>
  </w:style>
  <w:style w:type="paragraph" w:styleId="TOC2">
    <w:name w:val="toc 2"/>
    <w:hidden/>
    <w:uiPriority w:val="39"/>
    <w:pPr>
      <w:spacing w:after="187"/>
      <w:ind w:left="1727" w:right="21" w:hanging="10"/>
    </w:pPr>
    <w:rPr>
      <w:rFonts w:ascii="Corbel" w:eastAsia="Corbel" w:hAnsi="Corbel" w:cs="Corbel"/>
      <w:color w:val="00B0B9"/>
      <w:sz w:val="20"/>
    </w:rPr>
  </w:style>
  <w:style w:type="character" w:customStyle="1" w:styleId="footnotemark">
    <w:name w:val="footnote mark"/>
    <w:hidden/>
    <w:rPr>
      <w:rFonts w:ascii="Verdana" w:eastAsia="Verdana" w:hAnsi="Verdana" w:cs="Verdana"/>
      <w:color w:val="000000"/>
      <w:sz w:val="16"/>
      <w:vertAlign w:val="superscript"/>
    </w:rPr>
  </w:style>
  <w:style w:type="paragraph" w:styleId="Header">
    <w:name w:val="header"/>
    <w:basedOn w:val="Normal"/>
    <w:link w:val="HeaderChar"/>
    <w:uiPriority w:val="99"/>
    <w:unhideWhenUsed/>
    <w:rsid w:val="002555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5D1"/>
    <w:rPr>
      <w:rFonts w:ascii="Calibri" w:eastAsia="Calibri" w:hAnsi="Calibri" w:cs="Calibri"/>
      <w:color w:val="000000"/>
    </w:rPr>
  </w:style>
  <w:style w:type="paragraph" w:styleId="Footer">
    <w:name w:val="footer"/>
    <w:basedOn w:val="Normal"/>
    <w:link w:val="FooterChar"/>
    <w:uiPriority w:val="99"/>
    <w:unhideWhenUsed/>
    <w:rsid w:val="005E2E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E35"/>
    <w:rPr>
      <w:rFonts w:ascii="Calibri" w:eastAsia="Calibri" w:hAnsi="Calibri" w:cs="Calibri"/>
      <w:color w:val="000000"/>
    </w:rPr>
  </w:style>
  <w:style w:type="table" w:customStyle="1" w:styleId="TableGrid1">
    <w:name w:val="Table Grid1"/>
    <w:rsid w:val="00C82303"/>
    <w:pPr>
      <w:spacing w:after="0" w:line="240" w:lineRule="auto"/>
    </w:pPr>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506442"/>
    <w:pPr>
      <w:spacing w:before="240" w:after="0" w:line="259" w:lineRule="auto"/>
      <w:ind w:left="0" w:firstLine="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3">
    <w:name w:val="toc 3"/>
    <w:basedOn w:val="Normal"/>
    <w:next w:val="Normal"/>
    <w:autoRedefine/>
    <w:uiPriority w:val="39"/>
    <w:unhideWhenUsed/>
    <w:rsid w:val="00506442"/>
    <w:pPr>
      <w:spacing w:after="100"/>
      <w:ind w:left="440"/>
    </w:pPr>
  </w:style>
  <w:style w:type="character" w:styleId="Hyperlink">
    <w:name w:val="Hyperlink"/>
    <w:basedOn w:val="DefaultParagraphFont"/>
    <w:uiPriority w:val="99"/>
    <w:unhideWhenUsed/>
    <w:rsid w:val="00506442"/>
    <w:rPr>
      <w:color w:val="0563C1" w:themeColor="hyperlink"/>
      <w:u w:val="single"/>
    </w:rPr>
  </w:style>
  <w:style w:type="character" w:styleId="PlaceholderText">
    <w:name w:val="Placeholder Text"/>
    <w:basedOn w:val="DefaultParagraphFont"/>
    <w:uiPriority w:val="99"/>
    <w:semiHidden/>
    <w:rsid w:val="009006BA"/>
    <w:rPr>
      <w:color w:val="808080"/>
    </w:rPr>
  </w:style>
  <w:style w:type="paragraph" w:styleId="BalloonText">
    <w:name w:val="Balloon Text"/>
    <w:basedOn w:val="Normal"/>
    <w:link w:val="BalloonTextChar"/>
    <w:uiPriority w:val="99"/>
    <w:semiHidden/>
    <w:unhideWhenUsed/>
    <w:rsid w:val="00FB52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5212"/>
    <w:rPr>
      <w:rFonts w:ascii="Segoe UI" w:eastAsia="Calibri" w:hAnsi="Segoe UI" w:cs="Segoe UI"/>
      <w:color w:val="000000"/>
      <w:sz w:val="18"/>
      <w:szCs w:val="18"/>
    </w:rPr>
  </w:style>
  <w:style w:type="paragraph" w:styleId="NormalWeb">
    <w:name w:val="Normal (Web)"/>
    <w:basedOn w:val="Normal"/>
    <w:uiPriority w:val="99"/>
    <w:semiHidden/>
    <w:unhideWhenUsed/>
    <w:rsid w:val="00656373"/>
    <w:pPr>
      <w:spacing w:before="100" w:beforeAutospacing="1" w:after="100" w:afterAutospacing="1" w:line="240" w:lineRule="auto"/>
    </w:pPr>
    <w:rPr>
      <w:rFonts w:eastAsia="Times New Roman"/>
      <w:color w:val="auto"/>
    </w:rPr>
  </w:style>
  <w:style w:type="paragraph" w:styleId="BodyText">
    <w:name w:val="Body Text"/>
    <w:basedOn w:val="Normal"/>
    <w:link w:val="BodyTextChar"/>
    <w:uiPriority w:val="1"/>
    <w:qFormat/>
    <w:rsid w:val="00656373"/>
    <w:pPr>
      <w:widowControl w:val="0"/>
      <w:autoSpaceDE w:val="0"/>
      <w:autoSpaceDN w:val="0"/>
      <w:spacing w:after="0" w:line="240" w:lineRule="auto"/>
    </w:pPr>
    <w:rPr>
      <w:rFonts w:ascii="Arial" w:eastAsia="Arial" w:hAnsi="Arial" w:cs="Arial"/>
      <w:b/>
      <w:bCs/>
      <w:color w:val="auto"/>
      <w:sz w:val="18"/>
      <w:szCs w:val="18"/>
      <w:lang w:val="en-US" w:eastAsia="en-US"/>
    </w:rPr>
  </w:style>
  <w:style w:type="character" w:customStyle="1" w:styleId="BodyTextChar">
    <w:name w:val="Body Text Char"/>
    <w:basedOn w:val="DefaultParagraphFont"/>
    <w:link w:val="BodyText"/>
    <w:uiPriority w:val="1"/>
    <w:rsid w:val="00656373"/>
    <w:rPr>
      <w:rFonts w:ascii="Arial" w:eastAsia="Arial" w:hAnsi="Arial" w:cs="Arial"/>
      <w:b/>
      <w:bCs/>
      <w:sz w:val="18"/>
      <w:szCs w:val="18"/>
      <w:lang w:val="en-US" w:eastAsia="en-US"/>
    </w:rPr>
  </w:style>
  <w:style w:type="paragraph" w:styleId="ListParagraph">
    <w:name w:val="List Paragraph"/>
    <w:basedOn w:val="Normal"/>
    <w:uiPriority w:val="34"/>
    <w:qFormat/>
    <w:rsid w:val="00656373"/>
    <w:pPr>
      <w:spacing w:after="0" w:line="240" w:lineRule="auto"/>
      <w:ind w:left="720"/>
      <w:contextualSpacing/>
    </w:pPr>
    <w:rPr>
      <w:rFonts w:ascii="Times New Roman" w:eastAsia="Times New Roman" w:hAnsi="Times New Roman" w:cs="Times New Roman"/>
      <w:color w:val="auto"/>
      <w:sz w:val="24"/>
      <w:szCs w:val="24"/>
    </w:rPr>
  </w:style>
  <w:style w:type="paragraph" w:styleId="TOC4">
    <w:name w:val="toc 4"/>
    <w:basedOn w:val="Normal"/>
    <w:next w:val="Normal"/>
    <w:autoRedefine/>
    <w:uiPriority w:val="39"/>
    <w:unhideWhenUsed/>
    <w:rsid w:val="00F76D1C"/>
    <w:pPr>
      <w:spacing w:after="100"/>
      <w:ind w:left="660"/>
    </w:pPr>
    <w:rPr>
      <w:rFonts w:asciiTheme="minorHAnsi" w:eastAsiaTheme="minorEastAsia" w:hAnsiTheme="minorHAnsi" w:cstheme="minorBidi"/>
      <w:color w:val="auto"/>
    </w:rPr>
  </w:style>
  <w:style w:type="paragraph" w:styleId="TOC5">
    <w:name w:val="toc 5"/>
    <w:basedOn w:val="Normal"/>
    <w:next w:val="Normal"/>
    <w:autoRedefine/>
    <w:uiPriority w:val="39"/>
    <w:unhideWhenUsed/>
    <w:rsid w:val="00F76D1C"/>
    <w:pPr>
      <w:spacing w:after="100"/>
      <w:ind w:left="880"/>
    </w:pPr>
    <w:rPr>
      <w:rFonts w:asciiTheme="minorHAnsi" w:eastAsiaTheme="minorEastAsia" w:hAnsiTheme="minorHAnsi" w:cstheme="minorBidi"/>
      <w:color w:val="auto"/>
    </w:rPr>
  </w:style>
  <w:style w:type="paragraph" w:styleId="TOC6">
    <w:name w:val="toc 6"/>
    <w:basedOn w:val="Normal"/>
    <w:next w:val="Normal"/>
    <w:autoRedefine/>
    <w:uiPriority w:val="39"/>
    <w:unhideWhenUsed/>
    <w:rsid w:val="00F76D1C"/>
    <w:pPr>
      <w:spacing w:after="100"/>
      <w:ind w:left="1100"/>
    </w:pPr>
    <w:rPr>
      <w:rFonts w:asciiTheme="minorHAnsi" w:eastAsiaTheme="minorEastAsia" w:hAnsiTheme="minorHAnsi" w:cstheme="minorBidi"/>
      <w:color w:val="auto"/>
    </w:rPr>
  </w:style>
  <w:style w:type="paragraph" w:styleId="TOC7">
    <w:name w:val="toc 7"/>
    <w:basedOn w:val="Normal"/>
    <w:next w:val="Normal"/>
    <w:autoRedefine/>
    <w:uiPriority w:val="39"/>
    <w:unhideWhenUsed/>
    <w:rsid w:val="00F76D1C"/>
    <w:pPr>
      <w:spacing w:after="100"/>
      <w:ind w:left="1320"/>
    </w:pPr>
    <w:rPr>
      <w:rFonts w:asciiTheme="minorHAnsi" w:eastAsiaTheme="minorEastAsia" w:hAnsiTheme="minorHAnsi" w:cstheme="minorBidi"/>
      <w:color w:val="auto"/>
    </w:rPr>
  </w:style>
  <w:style w:type="paragraph" w:styleId="TOC8">
    <w:name w:val="toc 8"/>
    <w:basedOn w:val="Normal"/>
    <w:next w:val="Normal"/>
    <w:autoRedefine/>
    <w:uiPriority w:val="39"/>
    <w:unhideWhenUsed/>
    <w:rsid w:val="00F76D1C"/>
    <w:pPr>
      <w:spacing w:after="100"/>
      <w:ind w:left="1540"/>
    </w:pPr>
    <w:rPr>
      <w:rFonts w:asciiTheme="minorHAnsi" w:eastAsiaTheme="minorEastAsia" w:hAnsiTheme="minorHAnsi" w:cstheme="minorBidi"/>
      <w:color w:val="auto"/>
    </w:rPr>
  </w:style>
  <w:style w:type="paragraph" w:styleId="TOC9">
    <w:name w:val="toc 9"/>
    <w:basedOn w:val="Normal"/>
    <w:next w:val="Normal"/>
    <w:autoRedefine/>
    <w:uiPriority w:val="39"/>
    <w:unhideWhenUsed/>
    <w:rsid w:val="00F76D1C"/>
    <w:pPr>
      <w:spacing w:after="100"/>
      <w:ind w:left="1760"/>
    </w:pPr>
    <w:rPr>
      <w:rFonts w:asciiTheme="minorHAnsi" w:eastAsiaTheme="minorEastAsia" w:hAnsiTheme="minorHAnsi" w:cstheme="minorBidi"/>
      <w:color w:val="auto"/>
    </w:rPr>
  </w:style>
  <w:style w:type="character" w:customStyle="1" w:styleId="UnresolvedMention">
    <w:name w:val="Unresolved Mention"/>
    <w:basedOn w:val="DefaultParagraphFont"/>
    <w:uiPriority w:val="99"/>
    <w:semiHidden/>
    <w:unhideWhenUsed/>
    <w:rsid w:val="00F76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00" Type="http://schemas.openxmlformats.org/officeDocument/2006/relationships/footer" Target="footer45.xml" /><Relationship Id="rId101" Type="http://schemas.openxmlformats.org/officeDocument/2006/relationships/footer" Target="footer46.xml" /><Relationship Id="rId102" Type="http://schemas.openxmlformats.org/officeDocument/2006/relationships/header" Target="header45.xml" /><Relationship Id="rId103" Type="http://schemas.openxmlformats.org/officeDocument/2006/relationships/footer" Target="footer47.xml" /><Relationship Id="rId104" Type="http://schemas.openxmlformats.org/officeDocument/2006/relationships/header" Target="header46.xml" /><Relationship Id="rId105" Type="http://schemas.openxmlformats.org/officeDocument/2006/relationships/header" Target="header47.xml" /><Relationship Id="rId106" Type="http://schemas.openxmlformats.org/officeDocument/2006/relationships/footer" Target="footer48.xml" /><Relationship Id="rId107" Type="http://schemas.openxmlformats.org/officeDocument/2006/relationships/footer" Target="footer49.xml" /><Relationship Id="rId108" Type="http://schemas.openxmlformats.org/officeDocument/2006/relationships/header" Target="header48.xml" /><Relationship Id="rId109" Type="http://schemas.openxmlformats.org/officeDocument/2006/relationships/footer" Target="footer50.xml" /><Relationship Id="rId11" Type="http://schemas.openxmlformats.org/officeDocument/2006/relationships/footer" Target="footer2.xml" /><Relationship Id="rId110" Type="http://schemas.openxmlformats.org/officeDocument/2006/relationships/header" Target="header49.xml" /><Relationship Id="rId111" Type="http://schemas.openxmlformats.org/officeDocument/2006/relationships/header" Target="header50.xml" /><Relationship Id="rId112" Type="http://schemas.openxmlformats.org/officeDocument/2006/relationships/footer" Target="footer51.xml" /><Relationship Id="rId113" Type="http://schemas.openxmlformats.org/officeDocument/2006/relationships/footer" Target="footer52.xml" /><Relationship Id="rId114" Type="http://schemas.openxmlformats.org/officeDocument/2006/relationships/header" Target="header51.xml" /><Relationship Id="rId115" Type="http://schemas.openxmlformats.org/officeDocument/2006/relationships/footer" Target="footer53.xml" /><Relationship Id="rId116" Type="http://schemas.openxmlformats.org/officeDocument/2006/relationships/header" Target="header52.xml" /><Relationship Id="rId117" Type="http://schemas.openxmlformats.org/officeDocument/2006/relationships/header" Target="header53.xml" /><Relationship Id="rId118" Type="http://schemas.openxmlformats.org/officeDocument/2006/relationships/footer" Target="footer54.xml" /><Relationship Id="rId119" Type="http://schemas.openxmlformats.org/officeDocument/2006/relationships/footer" Target="footer55.xml" /><Relationship Id="rId12" Type="http://schemas.openxmlformats.org/officeDocument/2006/relationships/header" Target="header1.xml" /><Relationship Id="rId120" Type="http://schemas.openxmlformats.org/officeDocument/2006/relationships/header" Target="header54.xml" /><Relationship Id="rId121" Type="http://schemas.openxmlformats.org/officeDocument/2006/relationships/footer" Target="footer56.xml" /><Relationship Id="rId122" Type="http://schemas.openxmlformats.org/officeDocument/2006/relationships/image" Target="media/image3.jpeg" /><Relationship Id="rId123" Type="http://schemas.openxmlformats.org/officeDocument/2006/relationships/header" Target="header55.xml" /><Relationship Id="rId124" Type="http://schemas.openxmlformats.org/officeDocument/2006/relationships/header" Target="header56.xml" /><Relationship Id="rId125" Type="http://schemas.openxmlformats.org/officeDocument/2006/relationships/footer" Target="footer57.xml" /><Relationship Id="rId126" Type="http://schemas.openxmlformats.org/officeDocument/2006/relationships/footer" Target="footer58.xml" /><Relationship Id="rId127" Type="http://schemas.openxmlformats.org/officeDocument/2006/relationships/header" Target="header57.xml" /><Relationship Id="rId128" Type="http://schemas.openxmlformats.org/officeDocument/2006/relationships/footer" Target="footer59.xml" /><Relationship Id="rId129" Type="http://schemas.openxmlformats.org/officeDocument/2006/relationships/header" Target="header58.xml" /><Relationship Id="rId13" Type="http://schemas.openxmlformats.org/officeDocument/2006/relationships/header" Target="header2.xml" /><Relationship Id="rId130" Type="http://schemas.openxmlformats.org/officeDocument/2006/relationships/header" Target="header59.xml" /><Relationship Id="rId131" Type="http://schemas.openxmlformats.org/officeDocument/2006/relationships/footer" Target="footer60.xml" /><Relationship Id="rId132" Type="http://schemas.openxmlformats.org/officeDocument/2006/relationships/footer" Target="footer61.xml" /><Relationship Id="rId133" Type="http://schemas.openxmlformats.org/officeDocument/2006/relationships/header" Target="header60.xml" /><Relationship Id="rId134" Type="http://schemas.openxmlformats.org/officeDocument/2006/relationships/footer" Target="footer62.xml" /><Relationship Id="rId135" Type="http://schemas.openxmlformats.org/officeDocument/2006/relationships/header" Target="header61.xml" /><Relationship Id="rId136" Type="http://schemas.openxmlformats.org/officeDocument/2006/relationships/header" Target="header62.xml" /><Relationship Id="rId137" Type="http://schemas.openxmlformats.org/officeDocument/2006/relationships/footer" Target="footer63.xml" /><Relationship Id="rId138" Type="http://schemas.openxmlformats.org/officeDocument/2006/relationships/footer" Target="footer64.xml" /><Relationship Id="rId139" Type="http://schemas.openxmlformats.org/officeDocument/2006/relationships/header" Target="header63.xml" /><Relationship Id="rId14" Type="http://schemas.openxmlformats.org/officeDocument/2006/relationships/footer" Target="footer3.xml" /><Relationship Id="rId140" Type="http://schemas.openxmlformats.org/officeDocument/2006/relationships/footer" Target="footer65.xml" /><Relationship Id="rId141" Type="http://schemas.openxmlformats.org/officeDocument/2006/relationships/header" Target="header64.xml" /><Relationship Id="rId142" Type="http://schemas.openxmlformats.org/officeDocument/2006/relationships/header" Target="header65.xml" /><Relationship Id="rId143" Type="http://schemas.openxmlformats.org/officeDocument/2006/relationships/footer" Target="footer66.xml" /><Relationship Id="rId144" Type="http://schemas.openxmlformats.org/officeDocument/2006/relationships/footer" Target="footer67.xml" /><Relationship Id="rId145" Type="http://schemas.openxmlformats.org/officeDocument/2006/relationships/header" Target="header66.xml" /><Relationship Id="rId146" Type="http://schemas.openxmlformats.org/officeDocument/2006/relationships/footer" Target="footer68.xml" /><Relationship Id="rId147" Type="http://schemas.openxmlformats.org/officeDocument/2006/relationships/header" Target="header67.xml" /><Relationship Id="rId148" Type="http://schemas.openxmlformats.org/officeDocument/2006/relationships/header" Target="header68.xml" /><Relationship Id="rId149" Type="http://schemas.openxmlformats.org/officeDocument/2006/relationships/footer" Target="footer69.xml" /><Relationship Id="rId15" Type="http://schemas.openxmlformats.org/officeDocument/2006/relationships/footer" Target="footer4.xml" /><Relationship Id="rId150" Type="http://schemas.openxmlformats.org/officeDocument/2006/relationships/footer" Target="footer70.xml" /><Relationship Id="rId151" Type="http://schemas.openxmlformats.org/officeDocument/2006/relationships/header" Target="header69.xml" /><Relationship Id="rId152" Type="http://schemas.openxmlformats.org/officeDocument/2006/relationships/footer" Target="footer71.xml" /><Relationship Id="rId153" Type="http://schemas.openxmlformats.org/officeDocument/2006/relationships/header" Target="header70.xml" /><Relationship Id="rId154" Type="http://schemas.openxmlformats.org/officeDocument/2006/relationships/header" Target="header71.xml" /><Relationship Id="rId155" Type="http://schemas.openxmlformats.org/officeDocument/2006/relationships/footer" Target="footer72.xml" /><Relationship Id="rId156" Type="http://schemas.openxmlformats.org/officeDocument/2006/relationships/footer" Target="footer73.xml" /><Relationship Id="rId157" Type="http://schemas.openxmlformats.org/officeDocument/2006/relationships/header" Target="header72.xml" /><Relationship Id="rId158" Type="http://schemas.openxmlformats.org/officeDocument/2006/relationships/footer" Target="footer74.xml" /><Relationship Id="rId159" Type="http://schemas.openxmlformats.org/officeDocument/2006/relationships/header" Target="header73.xml" /><Relationship Id="rId16" Type="http://schemas.openxmlformats.org/officeDocument/2006/relationships/header" Target="header3.xml" /><Relationship Id="rId160" Type="http://schemas.openxmlformats.org/officeDocument/2006/relationships/header" Target="header74.xml" /><Relationship Id="rId161" Type="http://schemas.openxmlformats.org/officeDocument/2006/relationships/footer" Target="footer75.xml" /><Relationship Id="rId162" Type="http://schemas.openxmlformats.org/officeDocument/2006/relationships/footer" Target="footer76.xml" /><Relationship Id="rId163" Type="http://schemas.openxmlformats.org/officeDocument/2006/relationships/header" Target="header75.xml" /><Relationship Id="rId164" Type="http://schemas.openxmlformats.org/officeDocument/2006/relationships/footer" Target="footer77.xml" /><Relationship Id="rId165" Type="http://schemas.openxmlformats.org/officeDocument/2006/relationships/header" Target="header76.xml" /><Relationship Id="rId166" Type="http://schemas.openxmlformats.org/officeDocument/2006/relationships/header" Target="header77.xml" /><Relationship Id="rId167" Type="http://schemas.openxmlformats.org/officeDocument/2006/relationships/footer" Target="footer78.xml" /><Relationship Id="rId168" Type="http://schemas.openxmlformats.org/officeDocument/2006/relationships/footer" Target="footer79.xml" /><Relationship Id="rId169" Type="http://schemas.openxmlformats.org/officeDocument/2006/relationships/header" Target="header78.xml" /><Relationship Id="rId17" Type="http://schemas.openxmlformats.org/officeDocument/2006/relationships/footer" Target="footer5.xml" /><Relationship Id="rId170" Type="http://schemas.openxmlformats.org/officeDocument/2006/relationships/footer" Target="footer80.xml" /><Relationship Id="rId171" Type="http://schemas.openxmlformats.org/officeDocument/2006/relationships/header" Target="header79.xml" /><Relationship Id="rId172" Type="http://schemas.openxmlformats.org/officeDocument/2006/relationships/header" Target="header80.xml" /><Relationship Id="rId173" Type="http://schemas.openxmlformats.org/officeDocument/2006/relationships/footer" Target="footer81.xml" /><Relationship Id="rId174" Type="http://schemas.openxmlformats.org/officeDocument/2006/relationships/footer" Target="footer82.xml" /><Relationship Id="rId175" Type="http://schemas.openxmlformats.org/officeDocument/2006/relationships/header" Target="header81.xml" /><Relationship Id="rId176" Type="http://schemas.openxmlformats.org/officeDocument/2006/relationships/footer" Target="footer83.xml" /><Relationship Id="rId177" Type="http://schemas.openxmlformats.org/officeDocument/2006/relationships/header" Target="header82.xml" /><Relationship Id="rId178" Type="http://schemas.openxmlformats.org/officeDocument/2006/relationships/header" Target="header83.xml" /><Relationship Id="rId179" Type="http://schemas.openxmlformats.org/officeDocument/2006/relationships/footer" Target="footer84.xml" /><Relationship Id="rId18" Type="http://schemas.openxmlformats.org/officeDocument/2006/relationships/header" Target="header4.xml" /><Relationship Id="rId180" Type="http://schemas.openxmlformats.org/officeDocument/2006/relationships/footer" Target="footer85.xml" /><Relationship Id="rId181" Type="http://schemas.openxmlformats.org/officeDocument/2006/relationships/header" Target="header84.xml" /><Relationship Id="rId182" Type="http://schemas.openxmlformats.org/officeDocument/2006/relationships/footer" Target="footer86.xml" /><Relationship Id="rId183" Type="http://schemas.openxmlformats.org/officeDocument/2006/relationships/header" Target="header85.xml" /><Relationship Id="rId184" Type="http://schemas.openxmlformats.org/officeDocument/2006/relationships/header" Target="header86.xml" /><Relationship Id="rId185" Type="http://schemas.openxmlformats.org/officeDocument/2006/relationships/footer" Target="footer87.xml" /><Relationship Id="rId186" Type="http://schemas.openxmlformats.org/officeDocument/2006/relationships/footer" Target="footer88.xml" /><Relationship Id="rId187" Type="http://schemas.openxmlformats.org/officeDocument/2006/relationships/header" Target="header87.xml" /><Relationship Id="rId188" Type="http://schemas.openxmlformats.org/officeDocument/2006/relationships/footer" Target="footer89.xml" /><Relationship Id="rId189" Type="http://schemas.openxmlformats.org/officeDocument/2006/relationships/header" Target="header88.xml" /><Relationship Id="rId19" Type="http://schemas.openxmlformats.org/officeDocument/2006/relationships/header" Target="header5.xml" /><Relationship Id="rId190" Type="http://schemas.openxmlformats.org/officeDocument/2006/relationships/header" Target="header89.xml" /><Relationship Id="rId191" Type="http://schemas.openxmlformats.org/officeDocument/2006/relationships/footer" Target="footer90.xml" /><Relationship Id="rId192" Type="http://schemas.openxmlformats.org/officeDocument/2006/relationships/footer" Target="footer91.xml" /><Relationship Id="rId193" Type="http://schemas.openxmlformats.org/officeDocument/2006/relationships/header" Target="header90.xml" /><Relationship Id="rId194" Type="http://schemas.openxmlformats.org/officeDocument/2006/relationships/footer" Target="footer92.xml" /><Relationship Id="rId195" Type="http://schemas.openxmlformats.org/officeDocument/2006/relationships/header" Target="header91.xml" /><Relationship Id="rId196" Type="http://schemas.openxmlformats.org/officeDocument/2006/relationships/header" Target="header92.xml" /><Relationship Id="rId197" Type="http://schemas.openxmlformats.org/officeDocument/2006/relationships/footer" Target="footer93.xml" /><Relationship Id="rId198" Type="http://schemas.openxmlformats.org/officeDocument/2006/relationships/footer" Target="footer94.xml" /><Relationship Id="rId199" Type="http://schemas.openxmlformats.org/officeDocument/2006/relationships/header" Target="header93.xml" /><Relationship Id="rId2" Type="http://schemas.openxmlformats.org/officeDocument/2006/relationships/settings" Target="settings.xml" /><Relationship Id="rId20" Type="http://schemas.openxmlformats.org/officeDocument/2006/relationships/footer" Target="footer6.xml" /><Relationship Id="rId200" Type="http://schemas.openxmlformats.org/officeDocument/2006/relationships/footer" Target="footer95.xml" /><Relationship Id="rId201" Type="http://schemas.openxmlformats.org/officeDocument/2006/relationships/header" Target="header94.xml" /><Relationship Id="rId202" Type="http://schemas.openxmlformats.org/officeDocument/2006/relationships/header" Target="header95.xml" /><Relationship Id="rId203" Type="http://schemas.openxmlformats.org/officeDocument/2006/relationships/footer" Target="footer96.xml" /><Relationship Id="rId204" Type="http://schemas.openxmlformats.org/officeDocument/2006/relationships/footer" Target="footer97.xml" /><Relationship Id="rId205" Type="http://schemas.openxmlformats.org/officeDocument/2006/relationships/header" Target="header96.xml" /><Relationship Id="rId206" Type="http://schemas.openxmlformats.org/officeDocument/2006/relationships/footer" Target="footer98.xml" /><Relationship Id="rId207" Type="http://schemas.openxmlformats.org/officeDocument/2006/relationships/header" Target="header97.xml" /><Relationship Id="rId208" Type="http://schemas.openxmlformats.org/officeDocument/2006/relationships/header" Target="header98.xml" /><Relationship Id="rId209" Type="http://schemas.openxmlformats.org/officeDocument/2006/relationships/footer" Target="footer99.xml" /><Relationship Id="rId21" Type="http://schemas.openxmlformats.org/officeDocument/2006/relationships/footer" Target="footer7.xml" /><Relationship Id="rId210" Type="http://schemas.openxmlformats.org/officeDocument/2006/relationships/footer" Target="footer100.xml" /><Relationship Id="rId211" Type="http://schemas.openxmlformats.org/officeDocument/2006/relationships/header" Target="header99.xml" /><Relationship Id="rId212" Type="http://schemas.openxmlformats.org/officeDocument/2006/relationships/footer" Target="footer101.xml" /><Relationship Id="rId213" Type="http://schemas.openxmlformats.org/officeDocument/2006/relationships/header" Target="header100.xml" /><Relationship Id="rId214" Type="http://schemas.openxmlformats.org/officeDocument/2006/relationships/header" Target="header101.xml" /><Relationship Id="rId215" Type="http://schemas.openxmlformats.org/officeDocument/2006/relationships/footer" Target="footer102.xml" /><Relationship Id="rId216" Type="http://schemas.openxmlformats.org/officeDocument/2006/relationships/footer" Target="footer103.xml" /><Relationship Id="rId217" Type="http://schemas.openxmlformats.org/officeDocument/2006/relationships/header" Target="header102.xml" /><Relationship Id="rId218" Type="http://schemas.openxmlformats.org/officeDocument/2006/relationships/footer" Target="footer104.xml" /><Relationship Id="rId219" Type="http://schemas.openxmlformats.org/officeDocument/2006/relationships/header" Target="header103.xml" /><Relationship Id="rId22" Type="http://schemas.openxmlformats.org/officeDocument/2006/relationships/header" Target="header6.xml" /><Relationship Id="rId220" Type="http://schemas.openxmlformats.org/officeDocument/2006/relationships/header" Target="header104.xml" /><Relationship Id="rId221" Type="http://schemas.openxmlformats.org/officeDocument/2006/relationships/footer" Target="footer105.xml" /><Relationship Id="rId222" Type="http://schemas.openxmlformats.org/officeDocument/2006/relationships/footer" Target="footer106.xml" /><Relationship Id="rId223" Type="http://schemas.openxmlformats.org/officeDocument/2006/relationships/header" Target="header105.xml" /><Relationship Id="rId224" Type="http://schemas.openxmlformats.org/officeDocument/2006/relationships/footer" Target="footer107.xml" /><Relationship Id="rId225" Type="http://schemas.openxmlformats.org/officeDocument/2006/relationships/header" Target="header106.xml" /><Relationship Id="rId226" Type="http://schemas.openxmlformats.org/officeDocument/2006/relationships/header" Target="header107.xml" /><Relationship Id="rId227" Type="http://schemas.openxmlformats.org/officeDocument/2006/relationships/footer" Target="footer108.xml" /><Relationship Id="rId228" Type="http://schemas.openxmlformats.org/officeDocument/2006/relationships/footer" Target="footer109.xml" /><Relationship Id="rId229" Type="http://schemas.openxmlformats.org/officeDocument/2006/relationships/header" Target="header108.xml" /><Relationship Id="rId23" Type="http://schemas.openxmlformats.org/officeDocument/2006/relationships/footer" Target="footer8.xml" /><Relationship Id="rId230" Type="http://schemas.openxmlformats.org/officeDocument/2006/relationships/footer" Target="footer110.xml" /><Relationship Id="rId231" Type="http://schemas.openxmlformats.org/officeDocument/2006/relationships/header" Target="header109.xml" /><Relationship Id="rId232" Type="http://schemas.openxmlformats.org/officeDocument/2006/relationships/header" Target="header110.xml" /><Relationship Id="rId233" Type="http://schemas.openxmlformats.org/officeDocument/2006/relationships/footer" Target="footer111.xml" /><Relationship Id="rId234" Type="http://schemas.openxmlformats.org/officeDocument/2006/relationships/footer" Target="footer112.xml" /><Relationship Id="rId235" Type="http://schemas.openxmlformats.org/officeDocument/2006/relationships/header" Target="header111.xml" /><Relationship Id="rId236" Type="http://schemas.openxmlformats.org/officeDocument/2006/relationships/footer" Target="footer113.xml" /><Relationship Id="rId237" Type="http://schemas.openxmlformats.org/officeDocument/2006/relationships/image" Target="media/image4.jpeg" /><Relationship Id="rId238" Type="http://schemas.openxmlformats.org/officeDocument/2006/relationships/header" Target="header112.xml" /><Relationship Id="rId239" Type="http://schemas.openxmlformats.org/officeDocument/2006/relationships/header" Target="header113.xml" /><Relationship Id="rId24" Type="http://schemas.openxmlformats.org/officeDocument/2006/relationships/header" Target="header7.xml" /><Relationship Id="rId240" Type="http://schemas.openxmlformats.org/officeDocument/2006/relationships/footer" Target="footer114.xml" /><Relationship Id="rId241" Type="http://schemas.openxmlformats.org/officeDocument/2006/relationships/footer" Target="footer115.xml" /><Relationship Id="rId242" Type="http://schemas.openxmlformats.org/officeDocument/2006/relationships/header" Target="header114.xml" /><Relationship Id="rId243" Type="http://schemas.openxmlformats.org/officeDocument/2006/relationships/footer" Target="footer116.xml" /><Relationship Id="rId244" Type="http://schemas.openxmlformats.org/officeDocument/2006/relationships/header" Target="header115.xml" /><Relationship Id="rId245" Type="http://schemas.openxmlformats.org/officeDocument/2006/relationships/header" Target="header116.xml" /><Relationship Id="rId246" Type="http://schemas.openxmlformats.org/officeDocument/2006/relationships/footer" Target="footer117.xml" /><Relationship Id="rId247" Type="http://schemas.openxmlformats.org/officeDocument/2006/relationships/footer" Target="footer118.xml" /><Relationship Id="rId248" Type="http://schemas.openxmlformats.org/officeDocument/2006/relationships/header" Target="header117.xml" /><Relationship Id="rId249" Type="http://schemas.openxmlformats.org/officeDocument/2006/relationships/footer" Target="footer119.xml" /><Relationship Id="rId25" Type="http://schemas.openxmlformats.org/officeDocument/2006/relationships/header" Target="header8.xml" /><Relationship Id="rId250" Type="http://schemas.openxmlformats.org/officeDocument/2006/relationships/header" Target="header118.xml" /><Relationship Id="rId251" Type="http://schemas.openxmlformats.org/officeDocument/2006/relationships/header" Target="header119.xml" /><Relationship Id="rId252" Type="http://schemas.openxmlformats.org/officeDocument/2006/relationships/footer" Target="footer120.xml" /><Relationship Id="rId253" Type="http://schemas.openxmlformats.org/officeDocument/2006/relationships/footer" Target="footer121.xml" /><Relationship Id="rId254" Type="http://schemas.openxmlformats.org/officeDocument/2006/relationships/header" Target="header120.xml" /><Relationship Id="rId255" Type="http://schemas.openxmlformats.org/officeDocument/2006/relationships/footer" Target="footer122.xml" /><Relationship Id="rId256" Type="http://schemas.openxmlformats.org/officeDocument/2006/relationships/header" Target="header121.xml" /><Relationship Id="rId257" Type="http://schemas.openxmlformats.org/officeDocument/2006/relationships/header" Target="header122.xml" /><Relationship Id="rId258" Type="http://schemas.openxmlformats.org/officeDocument/2006/relationships/footer" Target="footer123.xml" /><Relationship Id="rId259" Type="http://schemas.openxmlformats.org/officeDocument/2006/relationships/footer" Target="footer124.xml" /><Relationship Id="rId26" Type="http://schemas.openxmlformats.org/officeDocument/2006/relationships/footer" Target="footer9.xml" /><Relationship Id="rId260" Type="http://schemas.openxmlformats.org/officeDocument/2006/relationships/header" Target="header123.xml" /><Relationship Id="rId261" Type="http://schemas.openxmlformats.org/officeDocument/2006/relationships/footer" Target="footer125.xml" /><Relationship Id="rId262" Type="http://schemas.openxmlformats.org/officeDocument/2006/relationships/header" Target="header124.xml" /><Relationship Id="rId263" Type="http://schemas.openxmlformats.org/officeDocument/2006/relationships/header" Target="header125.xml" /><Relationship Id="rId264" Type="http://schemas.openxmlformats.org/officeDocument/2006/relationships/footer" Target="footer126.xml" /><Relationship Id="rId265" Type="http://schemas.openxmlformats.org/officeDocument/2006/relationships/footer" Target="footer127.xml" /><Relationship Id="rId266" Type="http://schemas.openxmlformats.org/officeDocument/2006/relationships/header" Target="header126.xml" /><Relationship Id="rId267" Type="http://schemas.openxmlformats.org/officeDocument/2006/relationships/footer" Target="footer128.xml" /><Relationship Id="rId268" Type="http://schemas.openxmlformats.org/officeDocument/2006/relationships/header" Target="header127.xml" /><Relationship Id="rId269" Type="http://schemas.openxmlformats.org/officeDocument/2006/relationships/header" Target="header128.xml" /><Relationship Id="rId27" Type="http://schemas.openxmlformats.org/officeDocument/2006/relationships/footer" Target="footer10.xml" /><Relationship Id="rId270" Type="http://schemas.openxmlformats.org/officeDocument/2006/relationships/footer" Target="footer129.xml" /><Relationship Id="rId271" Type="http://schemas.openxmlformats.org/officeDocument/2006/relationships/footer" Target="footer130.xml" /><Relationship Id="rId272" Type="http://schemas.openxmlformats.org/officeDocument/2006/relationships/header" Target="header129.xml" /><Relationship Id="rId273" Type="http://schemas.openxmlformats.org/officeDocument/2006/relationships/footer" Target="footer131.xml" /><Relationship Id="rId274" Type="http://schemas.openxmlformats.org/officeDocument/2006/relationships/header" Target="header130.xml" /><Relationship Id="rId275" Type="http://schemas.openxmlformats.org/officeDocument/2006/relationships/header" Target="header131.xml" /><Relationship Id="rId276" Type="http://schemas.openxmlformats.org/officeDocument/2006/relationships/footer" Target="footer132.xml" /><Relationship Id="rId277" Type="http://schemas.openxmlformats.org/officeDocument/2006/relationships/footer" Target="footer133.xml" /><Relationship Id="rId278" Type="http://schemas.openxmlformats.org/officeDocument/2006/relationships/header" Target="header132.xml" /><Relationship Id="rId279" Type="http://schemas.openxmlformats.org/officeDocument/2006/relationships/footer" Target="footer134.xml" /><Relationship Id="rId28" Type="http://schemas.openxmlformats.org/officeDocument/2006/relationships/header" Target="header9.xml" /><Relationship Id="rId280" Type="http://schemas.openxmlformats.org/officeDocument/2006/relationships/header" Target="header133.xml" /><Relationship Id="rId281" Type="http://schemas.openxmlformats.org/officeDocument/2006/relationships/header" Target="header134.xml" /><Relationship Id="rId282" Type="http://schemas.openxmlformats.org/officeDocument/2006/relationships/footer" Target="footer135.xml" /><Relationship Id="rId283" Type="http://schemas.openxmlformats.org/officeDocument/2006/relationships/footer" Target="footer136.xml" /><Relationship Id="rId284" Type="http://schemas.openxmlformats.org/officeDocument/2006/relationships/header" Target="header135.xml" /><Relationship Id="rId285" Type="http://schemas.openxmlformats.org/officeDocument/2006/relationships/footer" Target="footer137.xml" /><Relationship Id="rId286" Type="http://schemas.openxmlformats.org/officeDocument/2006/relationships/header" Target="header136.xml" /><Relationship Id="rId287" Type="http://schemas.openxmlformats.org/officeDocument/2006/relationships/header" Target="header137.xml" /><Relationship Id="rId288" Type="http://schemas.openxmlformats.org/officeDocument/2006/relationships/footer" Target="footer138.xml" /><Relationship Id="rId289" Type="http://schemas.openxmlformats.org/officeDocument/2006/relationships/footer" Target="footer139.xml" /><Relationship Id="rId29" Type="http://schemas.openxmlformats.org/officeDocument/2006/relationships/footer" Target="footer11.xml" /><Relationship Id="rId290" Type="http://schemas.openxmlformats.org/officeDocument/2006/relationships/header" Target="header138.xml" /><Relationship Id="rId291" Type="http://schemas.openxmlformats.org/officeDocument/2006/relationships/footer" Target="footer140.xml" /><Relationship Id="rId292" Type="http://schemas.openxmlformats.org/officeDocument/2006/relationships/header" Target="header139.xml" /><Relationship Id="rId293" Type="http://schemas.openxmlformats.org/officeDocument/2006/relationships/header" Target="header140.xml" /><Relationship Id="rId294" Type="http://schemas.openxmlformats.org/officeDocument/2006/relationships/footer" Target="footer141.xml" /><Relationship Id="rId295" Type="http://schemas.openxmlformats.org/officeDocument/2006/relationships/footer" Target="footer142.xml" /><Relationship Id="rId296" Type="http://schemas.openxmlformats.org/officeDocument/2006/relationships/header" Target="header141.xml" /><Relationship Id="rId297" Type="http://schemas.openxmlformats.org/officeDocument/2006/relationships/footer" Target="footer143.xml" /><Relationship Id="rId298" Type="http://schemas.openxmlformats.org/officeDocument/2006/relationships/header" Target="header142.xml" /><Relationship Id="rId299" Type="http://schemas.openxmlformats.org/officeDocument/2006/relationships/header" Target="header143.xml" /><Relationship Id="rId3" Type="http://schemas.openxmlformats.org/officeDocument/2006/relationships/webSettings" Target="webSettings.xml" /><Relationship Id="rId30" Type="http://schemas.openxmlformats.org/officeDocument/2006/relationships/header" Target="header10.xml" /><Relationship Id="rId300" Type="http://schemas.openxmlformats.org/officeDocument/2006/relationships/footer" Target="footer144.xml" /><Relationship Id="rId301" Type="http://schemas.openxmlformats.org/officeDocument/2006/relationships/footer" Target="footer145.xml" /><Relationship Id="rId302" Type="http://schemas.openxmlformats.org/officeDocument/2006/relationships/header" Target="header144.xml" /><Relationship Id="rId303" Type="http://schemas.openxmlformats.org/officeDocument/2006/relationships/footer" Target="footer146.xml" /><Relationship Id="rId304" Type="http://schemas.openxmlformats.org/officeDocument/2006/relationships/header" Target="header145.xml" /><Relationship Id="rId305" Type="http://schemas.openxmlformats.org/officeDocument/2006/relationships/header" Target="header146.xml" /><Relationship Id="rId306" Type="http://schemas.openxmlformats.org/officeDocument/2006/relationships/footer" Target="footer147.xml" /><Relationship Id="rId307" Type="http://schemas.openxmlformats.org/officeDocument/2006/relationships/footer" Target="footer148.xml" /><Relationship Id="rId308" Type="http://schemas.openxmlformats.org/officeDocument/2006/relationships/header" Target="header147.xml" /><Relationship Id="rId309" Type="http://schemas.openxmlformats.org/officeDocument/2006/relationships/footer" Target="footer149.xml" /><Relationship Id="rId31" Type="http://schemas.openxmlformats.org/officeDocument/2006/relationships/header" Target="header11.xml" /><Relationship Id="rId310" Type="http://schemas.openxmlformats.org/officeDocument/2006/relationships/image" Target="media/image5.jpeg" /><Relationship Id="rId311" Type="http://schemas.openxmlformats.org/officeDocument/2006/relationships/image" Target="media/image6.jpeg" /><Relationship Id="rId312" Type="http://schemas.openxmlformats.org/officeDocument/2006/relationships/image" Target="media/image7.jpeg" /><Relationship Id="rId313" Type="http://schemas.openxmlformats.org/officeDocument/2006/relationships/image" Target="media/image8.jpeg" /><Relationship Id="rId314" Type="http://schemas.openxmlformats.org/officeDocument/2006/relationships/image" Target="media/image9.jpeg" /><Relationship Id="rId315" Type="http://schemas.openxmlformats.org/officeDocument/2006/relationships/header" Target="header148.xml" /><Relationship Id="rId316" Type="http://schemas.openxmlformats.org/officeDocument/2006/relationships/header" Target="header149.xml" /><Relationship Id="rId317" Type="http://schemas.openxmlformats.org/officeDocument/2006/relationships/footer" Target="footer150.xml" /><Relationship Id="rId318" Type="http://schemas.openxmlformats.org/officeDocument/2006/relationships/footer" Target="footer151.xml" /><Relationship Id="rId319" Type="http://schemas.openxmlformats.org/officeDocument/2006/relationships/header" Target="header150.xml" /><Relationship Id="rId32" Type="http://schemas.openxmlformats.org/officeDocument/2006/relationships/footer" Target="footer12.xml" /><Relationship Id="rId320" Type="http://schemas.openxmlformats.org/officeDocument/2006/relationships/footer" Target="footer152.xml" /><Relationship Id="rId321" Type="http://schemas.openxmlformats.org/officeDocument/2006/relationships/header" Target="header151.xml" /><Relationship Id="rId322" Type="http://schemas.openxmlformats.org/officeDocument/2006/relationships/header" Target="header152.xml" /><Relationship Id="rId323" Type="http://schemas.openxmlformats.org/officeDocument/2006/relationships/footer" Target="footer153.xml" /><Relationship Id="rId324" Type="http://schemas.openxmlformats.org/officeDocument/2006/relationships/footer" Target="footer154.xml" /><Relationship Id="rId325" Type="http://schemas.openxmlformats.org/officeDocument/2006/relationships/header" Target="header153.xml" /><Relationship Id="rId326" Type="http://schemas.openxmlformats.org/officeDocument/2006/relationships/footer" Target="footer155.xml" /><Relationship Id="rId327" Type="http://schemas.openxmlformats.org/officeDocument/2006/relationships/header" Target="header154.xml" /><Relationship Id="rId328" Type="http://schemas.openxmlformats.org/officeDocument/2006/relationships/header" Target="header155.xml" /><Relationship Id="rId329" Type="http://schemas.openxmlformats.org/officeDocument/2006/relationships/footer" Target="footer156.xml" /><Relationship Id="rId33" Type="http://schemas.openxmlformats.org/officeDocument/2006/relationships/footer" Target="footer13.xml" /><Relationship Id="rId330" Type="http://schemas.openxmlformats.org/officeDocument/2006/relationships/footer" Target="footer157.xml" /><Relationship Id="rId331" Type="http://schemas.openxmlformats.org/officeDocument/2006/relationships/header" Target="header156.xml" /><Relationship Id="rId332" Type="http://schemas.openxmlformats.org/officeDocument/2006/relationships/footer" Target="footer158.xml" /><Relationship Id="rId333" Type="http://schemas.openxmlformats.org/officeDocument/2006/relationships/header" Target="header157.xml" /><Relationship Id="rId334" Type="http://schemas.openxmlformats.org/officeDocument/2006/relationships/header" Target="header158.xml" /><Relationship Id="rId335" Type="http://schemas.openxmlformats.org/officeDocument/2006/relationships/footer" Target="footer159.xml" /><Relationship Id="rId336" Type="http://schemas.openxmlformats.org/officeDocument/2006/relationships/footer" Target="footer160.xml" /><Relationship Id="rId337" Type="http://schemas.openxmlformats.org/officeDocument/2006/relationships/header" Target="header159.xml" /><Relationship Id="rId338" Type="http://schemas.openxmlformats.org/officeDocument/2006/relationships/footer" Target="footer161.xml" /><Relationship Id="rId339" Type="http://schemas.openxmlformats.org/officeDocument/2006/relationships/header" Target="header160.xml" /><Relationship Id="rId34" Type="http://schemas.openxmlformats.org/officeDocument/2006/relationships/header" Target="header12.xml" /><Relationship Id="rId340" Type="http://schemas.openxmlformats.org/officeDocument/2006/relationships/header" Target="header161.xml" /><Relationship Id="rId341" Type="http://schemas.openxmlformats.org/officeDocument/2006/relationships/footer" Target="footer162.xml" /><Relationship Id="rId342" Type="http://schemas.openxmlformats.org/officeDocument/2006/relationships/footer" Target="footer163.xml" /><Relationship Id="rId343" Type="http://schemas.openxmlformats.org/officeDocument/2006/relationships/header" Target="header162.xml" /><Relationship Id="rId344" Type="http://schemas.openxmlformats.org/officeDocument/2006/relationships/footer" Target="footer164.xml" /><Relationship Id="rId345" Type="http://schemas.openxmlformats.org/officeDocument/2006/relationships/image" Target="media/image10.png" /><Relationship Id="rId346" Type="http://schemas.openxmlformats.org/officeDocument/2006/relationships/header" Target="header163.xml" /><Relationship Id="rId347" Type="http://schemas.openxmlformats.org/officeDocument/2006/relationships/header" Target="header164.xml" /><Relationship Id="rId348" Type="http://schemas.openxmlformats.org/officeDocument/2006/relationships/footer" Target="footer165.xml" /><Relationship Id="rId349" Type="http://schemas.openxmlformats.org/officeDocument/2006/relationships/footer" Target="footer166.xml" /><Relationship Id="rId35" Type="http://schemas.openxmlformats.org/officeDocument/2006/relationships/footer" Target="footer14.xml" /><Relationship Id="rId350" Type="http://schemas.openxmlformats.org/officeDocument/2006/relationships/header" Target="header165.xml" /><Relationship Id="rId351" Type="http://schemas.openxmlformats.org/officeDocument/2006/relationships/footer" Target="footer167.xml" /><Relationship Id="rId352" Type="http://schemas.openxmlformats.org/officeDocument/2006/relationships/header" Target="header166.xml" /><Relationship Id="rId353" Type="http://schemas.openxmlformats.org/officeDocument/2006/relationships/header" Target="header167.xml" /><Relationship Id="rId354" Type="http://schemas.openxmlformats.org/officeDocument/2006/relationships/footer" Target="footer168.xml" /><Relationship Id="rId355" Type="http://schemas.openxmlformats.org/officeDocument/2006/relationships/footer" Target="footer169.xml" /><Relationship Id="rId356" Type="http://schemas.openxmlformats.org/officeDocument/2006/relationships/header" Target="header168.xml" /><Relationship Id="rId357" Type="http://schemas.openxmlformats.org/officeDocument/2006/relationships/footer" Target="footer170.xml" /><Relationship Id="rId358" Type="http://schemas.openxmlformats.org/officeDocument/2006/relationships/header" Target="header169.xml" /><Relationship Id="rId359" Type="http://schemas.openxmlformats.org/officeDocument/2006/relationships/header" Target="header170.xml" /><Relationship Id="rId36" Type="http://schemas.openxmlformats.org/officeDocument/2006/relationships/header" Target="header13.xml" /><Relationship Id="rId360" Type="http://schemas.openxmlformats.org/officeDocument/2006/relationships/footer" Target="footer171.xml" /><Relationship Id="rId361" Type="http://schemas.openxmlformats.org/officeDocument/2006/relationships/footer" Target="footer172.xml" /><Relationship Id="rId362" Type="http://schemas.openxmlformats.org/officeDocument/2006/relationships/header" Target="header171.xml" /><Relationship Id="rId363" Type="http://schemas.openxmlformats.org/officeDocument/2006/relationships/footer" Target="footer173.xml" /><Relationship Id="rId364" Type="http://schemas.openxmlformats.org/officeDocument/2006/relationships/header" Target="header172.xml" /><Relationship Id="rId365" Type="http://schemas.openxmlformats.org/officeDocument/2006/relationships/header" Target="header173.xml" /><Relationship Id="rId366" Type="http://schemas.openxmlformats.org/officeDocument/2006/relationships/footer" Target="footer174.xml" /><Relationship Id="rId367" Type="http://schemas.openxmlformats.org/officeDocument/2006/relationships/footer" Target="footer175.xml" /><Relationship Id="rId368" Type="http://schemas.openxmlformats.org/officeDocument/2006/relationships/header" Target="header174.xml" /><Relationship Id="rId369" Type="http://schemas.openxmlformats.org/officeDocument/2006/relationships/footer" Target="footer176.xml" /><Relationship Id="rId37" Type="http://schemas.openxmlformats.org/officeDocument/2006/relationships/header" Target="header14.xml" /><Relationship Id="rId370" Type="http://schemas.openxmlformats.org/officeDocument/2006/relationships/header" Target="header175.xml" /><Relationship Id="rId371" Type="http://schemas.openxmlformats.org/officeDocument/2006/relationships/header" Target="header176.xml" /><Relationship Id="rId372" Type="http://schemas.openxmlformats.org/officeDocument/2006/relationships/footer" Target="footer177.xml" /><Relationship Id="rId373" Type="http://schemas.openxmlformats.org/officeDocument/2006/relationships/footer" Target="footer178.xml" /><Relationship Id="rId374" Type="http://schemas.openxmlformats.org/officeDocument/2006/relationships/header" Target="header177.xml" /><Relationship Id="rId375" Type="http://schemas.openxmlformats.org/officeDocument/2006/relationships/footer" Target="footer179.xml" /><Relationship Id="rId376" Type="http://schemas.openxmlformats.org/officeDocument/2006/relationships/header" Target="header178.xml" /><Relationship Id="rId377" Type="http://schemas.openxmlformats.org/officeDocument/2006/relationships/header" Target="header179.xml" /><Relationship Id="rId378" Type="http://schemas.openxmlformats.org/officeDocument/2006/relationships/footer" Target="footer180.xml" /><Relationship Id="rId379" Type="http://schemas.openxmlformats.org/officeDocument/2006/relationships/footer" Target="footer181.xml" /><Relationship Id="rId38" Type="http://schemas.openxmlformats.org/officeDocument/2006/relationships/footer" Target="footer15.xml" /><Relationship Id="rId380" Type="http://schemas.openxmlformats.org/officeDocument/2006/relationships/header" Target="header180.xml" /><Relationship Id="rId381" Type="http://schemas.openxmlformats.org/officeDocument/2006/relationships/footer" Target="footer182.xml" /><Relationship Id="rId382" Type="http://schemas.openxmlformats.org/officeDocument/2006/relationships/image" Target="media/image11.jpeg" /><Relationship Id="rId383" Type="http://schemas.openxmlformats.org/officeDocument/2006/relationships/image" Target="media/image12.jpeg" /><Relationship Id="rId384" Type="http://schemas.openxmlformats.org/officeDocument/2006/relationships/image" Target="media/image13.jpeg" /><Relationship Id="rId385" Type="http://schemas.openxmlformats.org/officeDocument/2006/relationships/image" Target="media/image14.png" /><Relationship Id="rId386" Type="http://schemas.openxmlformats.org/officeDocument/2006/relationships/image" Target="media/image15.png" /><Relationship Id="rId387" Type="http://schemas.openxmlformats.org/officeDocument/2006/relationships/image" Target="media/image16.jpeg" /><Relationship Id="rId388" Type="http://schemas.openxmlformats.org/officeDocument/2006/relationships/image" Target="media/image17.jpeg" /><Relationship Id="rId389" Type="http://schemas.openxmlformats.org/officeDocument/2006/relationships/image" Target="media/image18.jpeg" /><Relationship Id="rId39" Type="http://schemas.openxmlformats.org/officeDocument/2006/relationships/footer" Target="footer16.xml" /><Relationship Id="rId390" Type="http://schemas.openxmlformats.org/officeDocument/2006/relationships/image" Target="media/image19.jpeg" /><Relationship Id="rId391" Type="http://schemas.openxmlformats.org/officeDocument/2006/relationships/image" Target="media/image20.jpeg" /><Relationship Id="rId392" Type="http://schemas.openxmlformats.org/officeDocument/2006/relationships/image" Target="media/image21.jpeg" /><Relationship Id="rId393" Type="http://schemas.openxmlformats.org/officeDocument/2006/relationships/image" Target="media/image22.jpeg" /><Relationship Id="rId394" Type="http://schemas.openxmlformats.org/officeDocument/2006/relationships/image" Target="media/image23.jpeg" /><Relationship Id="rId395" Type="http://schemas.openxmlformats.org/officeDocument/2006/relationships/header" Target="header181.xml" /><Relationship Id="rId396" Type="http://schemas.openxmlformats.org/officeDocument/2006/relationships/header" Target="header182.xml" /><Relationship Id="rId397" Type="http://schemas.openxmlformats.org/officeDocument/2006/relationships/footer" Target="footer183.xml" /><Relationship Id="rId398" Type="http://schemas.openxmlformats.org/officeDocument/2006/relationships/footer" Target="footer184.xml" /><Relationship Id="rId399" Type="http://schemas.openxmlformats.org/officeDocument/2006/relationships/header" Target="header183.xml" /><Relationship Id="rId4" Type="http://schemas.openxmlformats.org/officeDocument/2006/relationships/fontTable" Target="fontTable.xml" /><Relationship Id="rId40" Type="http://schemas.openxmlformats.org/officeDocument/2006/relationships/header" Target="header15.xml" /><Relationship Id="rId400" Type="http://schemas.openxmlformats.org/officeDocument/2006/relationships/footer" Target="footer185.xml" /><Relationship Id="rId401" Type="http://schemas.openxmlformats.org/officeDocument/2006/relationships/header" Target="header184.xml" /><Relationship Id="rId402" Type="http://schemas.openxmlformats.org/officeDocument/2006/relationships/header" Target="header185.xml" /><Relationship Id="rId403" Type="http://schemas.openxmlformats.org/officeDocument/2006/relationships/footer" Target="footer186.xml" /><Relationship Id="rId404" Type="http://schemas.openxmlformats.org/officeDocument/2006/relationships/footer" Target="footer187.xml" /><Relationship Id="rId405" Type="http://schemas.openxmlformats.org/officeDocument/2006/relationships/header" Target="header186.xml" /><Relationship Id="rId406" Type="http://schemas.openxmlformats.org/officeDocument/2006/relationships/footer" Target="footer188.xml" /><Relationship Id="rId407" Type="http://schemas.openxmlformats.org/officeDocument/2006/relationships/header" Target="header187.xml" /><Relationship Id="rId408" Type="http://schemas.openxmlformats.org/officeDocument/2006/relationships/header" Target="header188.xml" /><Relationship Id="rId409" Type="http://schemas.openxmlformats.org/officeDocument/2006/relationships/footer" Target="footer189.xml" /><Relationship Id="rId41" Type="http://schemas.openxmlformats.org/officeDocument/2006/relationships/footer" Target="footer17.xml" /><Relationship Id="rId410" Type="http://schemas.openxmlformats.org/officeDocument/2006/relationships/footer" Target="footer190.xml" /><Relationship Id="rId411" Type="http://schemas.openxmlformats.org/officeDocument/2006/relationships/header" Target="header189.xml" /><Relationship Id="rId412" Type="http://schemas.openxmlformats.org/officeDocument/2006/relationships/footer" Target="footer191.xml" /><Relationship Id="rId413" Type="http://schemas.openxmlformats.org/officeDocument/2006/relationships/header" Target="header190.xml" /><Relationship Id="rId414" Type="http://schemas.openxmlformats.org/officeDocument/2006/relationships/header" Target="header191.xml" /><Relationship Id="rId415" Type="http://schemas.openxmlformats.org/officeDocument/2006/relationships/footer" Target="footer192.xml" /><Relationship Id="rId416" Type="http://schemas.openxmlformats.org/officeDocument/2006/relationships/footer" Target="footer193.xml" /><Relationship Id="rId417" Type="http://schemas.openxmlformats.org/officeDocument/2006/relationships/header" Target="header192.xml" /><Relationship Id="rId418" Type="http://schemas.openxmlformats.org/officeDocument/2006/relationships/footer" Target="footer194.xml" /><Relationship Id="rId419" Type="http://schemas.openxmlformats.org/officeDocument/2006/relationships/header" Target="header193.xml" /><Relationship Id="rId42" Type="http://schemas.openxmlformats.org/officeDocument/2006/relationships/header" Target="header16.xml" /><Relationship Id="rId420" Type="http://schemas.openxmlformats.org/officeDocument/2006/relationships/header" Target="header194.xml" /><Relationship Id="rId421" Type="http://schemas.openxmlformats.org/officeDocument/2006/relationships/footer" Target="footer195.xml" /><Relationship Id="rId422" Type="http://schemas.openxmlformats.org/officeDocument/2006/relationships/footer" Target="footer196.xml" /><Relationship Id="rId423" Type="http://schemas.openxmlformats.org/officeDocument/2006/relationships/header" Target="header195.xml" /><Relationship Id="rId424" Type="http://schemas.openxmlformats.org/officeDocument/2006/relationships/footer" Target="footer197.xml" /><Relationship Id="rId425" Type="http://schemas.openxmlformats.org/officeDocument/2006/relationships/header" Target="header196.xml" /><Relationship Id="rId426" Type="http://schemas.openxmlformats.org/officeDocument/2006/relationships/header" Target="header197.xml" /><Relationship Id="rId427" Type="http://schemas.openxmlformats.org/officeDocument/2006/relationships/footer" Target="footer198.xml" /><Relationship Id="rId428" Type="http://schemas.openxmlformats.org/officeDocument/2006/relationships/footer" Target="footer199.xml" /><Relationship Id="rId429" Type="http://schemas.openxmlformats.org/officeDocument/2006/relationships/header" Target="header198.xml" /><Relationship Id="rId43" Type="http://schemas.openxmlformats.org/officeDocument/2006/relationships/header" Target="header17.xml" /><Relationship Id="rId430" Type="http://schemas.openxmlformats.org/officeDocument/2006/relationships/footer" Target="footer200.xml" /><Relationship Id="rId431" Type="http://schemas.openxmlformats.org/officeDocument/2006/relationships/header" Target="header199.xml" /><Relationship Id="rId432" Type="http://schemas.openxmlformats.org/officeDocument/2006/relationships/header" Target="header200.xml" /><Relationship Id="rId433" Type="http://schemas.openxmlformats.org/officeDocument/2006/relationships/footer" Target="footer201.xml" /><Relationship Id="rId434" Type="http://schemas.openxmlformats.org/officeDocument/2006/relationships/footer" Target="footer202.xml" /><Relationship Id="rId435" Type="http://schemas.openxmlformats.org/officeDocument/2006/relationships/header" Target="header201.xml" /><Relationship Id="rId436" Type="http://schemas.openxmlformats.org/officeDocument/2006/relationships/footer" Target="footer203.xml" /><Relationship Id="rId437" Type="http://schemas.openxmlformats.org/officeDocument/2006/relationships/header" Target="header202.xml" /><Relationship Id="rId438" Type="http://schemas.openxmlformats.org/officeDocument/2006/relationships/header" Target="header203.xml" /><Relationship Id="rId439" Type="http://schemas.openxmlformats.org/officeDocument/2006/relationships/footer" Target="footer204.xml" /><Relationship Id="rId44" Type="http://schemas.openxmlformats.org/officeDocument/2006/relationships/footer" Target="footer18.xml" /><Relationship Id="rId440" Type="http://schemas.openxmlformats.org/officeDocument/2006/relationships/footer" Target="footer205.xml" /><Relationship Id="rId441" Type="http://schemas.openxmlformats.org/officeDocument/2006/relationships/header" Target="header204.xml" /><Relationship Id="rId442" Type="http://schemas.openxmlformats.org/officeDocument/2006/relationships/footer" Target="footer206.xml" /><Relationship Id="rId443" Type="http://schemas.openxmlformats.org/officeDocument/2006/relationships/header" Target="header205.xml" /><Relationship Id="rId444" Type="http://schemas.openxmlformats.org/officeDocument/2006/relationships/header" Target="header206.xml" /><Relationship Id="rId445" Type="http://schemas.openxmlformats.org/officeDocument/2006/relationships/footer" Target="footer207.xml" /><Relationship Id="rId446" Type="http://schemas.openxmlformats.org/officeDocument/2006/relationships/footer" Target="footer208.xml" /><Relationship Id="rId447" Type="http://schemas.openxmlformats.org/officeDocument/2006/relationships/header" Target="header207.xml" /><Relationship Id="rId448" Type="http://schemas.openxmlformats.org/officeDocument/2006/relationships/footer" Target="footer209.xml" /><Relationship Id="rId449" Type="http://schemas.openxmlformats.org/officeDocument/2006/relationships/header" Target="header208.xml" /><Relationship Id="rId45" Type="http://schemas.openxmlformats.org/officeDocument/2006/relationships/footer" Target="footer19.xml" /><Relationship Id="rId450" Type="http://schemas.openxmlformats.org/officeDocument/2006/relationships/header" Target="header209.xml" /><Relationship Id="rId451" Type="http://schemas.openxmlformats.org/officeDocument/2006/relationships/footer" Target="footer210.xml" /><Relationship Id="rId452" Type="http://schemas.openxmlformats.org/officeDocument/2006/relationships/footer" Target="footer211.xml" /><Relationship Id="rId453" Type="http://schemas.openxmlformats.org/officeDocument/2006/relationships/header" Target="header210.xml" /><Relationship Id="rId454" Type="http://schemas.openxmlformats.org/officeDocument/2006/relationships/footer" Target="footer212.xml" /><Relationship Id="rId455" Type="http://schemas.openxmlformats.org/officeDocument/2006/relationships/header" Target="header211.xml" /><Relationship Id="rId456" Type="http://schemas.openxmlformats.org/officeDocument/2006/relationships/header" Target="header212.xml" /><Relationship Id="rId457" Type="http://schemas.openxmlformats.org/officeDocument/2006/relationships/footer" Target="footer213.xml" /><Relationship Id="rId458" Type="http://schemas.openxmlformats.org/officeDocument/2006/relationships/footer" Target="footer214.xml" /><Relationship Id="rId459" Type="http://schemas.openxmlformats.org/officeDocument/2006/relationships/header" Target="header213.xml" /><Relationship Id="rId46" Type="http://schemas.openxmlformats.org/officeDocument/2006/relationships/header" Target="header18.xml" /><Relationship Id="rId460" Type="http://schemas.openxmlformats.org/officeDocument/2006/relationships/footer" Target="footer215.xml" /><Relationship Id="rId461" Type="http://schemas.openxmlformats.org/officeDocument/2006/relationships/header" Target="header214.xml" /><Relationship Id="rId462" Type="http://schemas.openxmlformats.org/officeDocument/2006/relationships/header" Target="header215.xml" /><Relationship Id="rId463" Type="http://schemas.openxmlformats.org/officeDocument/2006/relationships/footer" Target="footer216.xml" /><Relationship Id="rId464" Type="http://schemas.openxmlformats.org/officeDocument/2006/relationships/footer" Target="footer217.xml" /><Relationship Id="rId465" Type="http://schemas.openxmlformats.org/officeDocument/2006/relationships/header" Target="header216.xml" /><Relationship Id="rId466" Type="http://schemas.openxmlformats.org/officeDocument/2006/relationships/footer" Target="footer218.xml" /><Relationship Id="rId467" Type="http://schemas.openxmlformats.org/officeDocument/2006/relationships/header" Target="header217.xml" /><Relationship Id="rId468" Type="http://schemas.openxmlformats.org/officeDocument/2006/relationships/header" Target="header218.xml" /><Relationship Id="rId469" Type="http://schemas.openxmlformats.org/officeDocument/2006/relationships/footer" Target="footer219.xml" /><Relationship Id="rId47" Type="http://schemas.openxmlformats.org/officeDocument/2006/relationships/footer" Target="footer20.xml" /><Relationship Id="rId470" Type="http://schemas.openxmlformats.org/officeDocument/2006/relationships/footer" Target="footer220.xml" /><Relationship Id="rId471" Type="http://schemas.openxmlformats.org/officeDocument/2006/relationships/header" Target="header219.xml" /><Relationship Id="rId472" Type="http://schemas.openxmlformats.org/officeDocument/2006/relationships/footer" Target="footer221.xml" /><Relationship Id="rId473" Type="http://schemas.openxmlformats.org/officeDocument/2006/relationships/header" Target="header220.xml" /><Relationship Id="rId474" Type="http://schemas.openxmlformats.org/officeDocument/2006/relationships/header" Target="header221.xml" /><Relationship Id="rId475" Type="http://schemas.openxmlformats.org/officeDocument/2006/relationships/footer" Target="footer222.xml" /><Relationship Id="rId476" Type="http://schemas.openxmlformats.org/officeDocument/2006/relationships/footer" Target="footer223.xml" /><Relationship Id="rId477" Type="http://schemas.openxmlformats.org/officeDocument/2006/relationships/header" Target="header222.xml" /><Relationship Id="rId478" Type="http://schemas.openxmlformats.org/officeDocument/2006/relationships/footer" Target="footer224.xml" /><Relationship Id="rId479" Type="http://schemas.openxmlformats.org/officeDocument/2006/relationships/header" Target="header223.xml" /><Relationship Id="rId48" Type="http://schemas.openxmlformats.org/officeDocument/2006/relationships/header" Target="header19.xml" /><Relationship Id="rId480" Type="http://schemas.openxmlformats.org/officeDocument/2006/relationships/header" Target="header224.xml" /><Relationship Id="rId481" Type="http://schemas.openxmlformats.org/officeDocument/2006/relationships/footer" Target="footer225.xml" /><Relationship Id="rId482" Type="http://schemas.openxmlformats.org/officeDocument/2006/relationships/footer" Target="footer226.xml" /><Relationship Id="rId483" Type="http://schemas.openxmlformats.org/officeDocument/2006/relationships/header" Target="header225.xml" /><Relationship Id="rId484" Type="http://schemas.openxmlformats.org/officeDocument/2006/relationships/footer" Target="footer227.xml" /><Relationship Id="rId485" Type="http://schemas.openxmlformats.org/officeDocument/2006/relationships/header" Target="header226.xml" /><Relationship Id="rId486" Type="http://schemas.openxmlformats.org/officeDocument/2006/relationships/header" Target="header227.xml" /><Relationship Id="rId487" Type="http://schemas.openxmlformats.org/officeDocument/2006/relationships/footer" Target="footer228.xml" /><Relationship Id="rId488" Type="http://schemas.openxmlformats.org/officeDocument/2006/relationships/footer" Target="footer229.xml" /><Relationship Id="rId489" Type="http://schemas.openxmlformats.org/officeDocument/2006/relationships/header" Target="header228.xml" /><Relationship Id="rId49" Type="http://schemas.openxmlformats.org/officeDocument/2006/relationships/header" Target="header20.xml" /><Relationship Id="rId490" Type="http://schemas.openxmlformats.org/officeDocument/2006/relationships/footer" Target="footer230.xml" /><Relationship Id="rId491" Type="http://schemas.openxmlformats.org/officeDocument/2006/relationships/image" Target="media/image24.jpeg" /><Relationship Id="rId492" Type="http://schemas.openxmlformats.org/officeDocument/2006/relationships/image" Target="media/image25.jpeg" /><Relationship Id="rId493" Type="http://schemas.openxmlformats.org/officeDocument/2006/relationships/image" Target="media/image26.jpeg" /><Relationship Id="rId494" Type="http://schemas.openxmlformats.org/officeDocument/2006/relationships/image" Target="media/image27.jpeg" /><Relationship Id="rId495" Type="http://schemas.openxmlformats.org/officeDocument/2006/relationships/image" Target="media/image28.jpeg" /><Relationship Id="rId496" Type="http://schemas.openxmlformats.org/officeDocument/2006/relationships/image" Target="media/image29.png" /><Relationship Id="rId497" Type="http://schemas.openxmlformats.org/officeDocument/2006/relationships/image" Target="media/image30.jpeg" /><Relationship Id="rId498" Type="http://schemas.openxmlformats.org/officeDocument/2006/relationships/image" Target="media/image31.jpeg" /><Relationship Id="rId499" Type="http://schemas.openxmlformats.org/officeDocument/2006/relationships/image" Target="media/image32.jpeg" /><Relationship Id="rId5" Type="http://schemas.openxmlformats.org/officeDocument/2006/relationships/customXml" Target="../customXml/item1.xml" /><Relationship Id="rId50" Type="http://schemas.openxmlformats.org/officeDocument/2006/relationships/footer" Target="footer21.xml" /><Relationship Id="rId500" Type="http://schemas.openxmlformats.org/officeDocument/2006/relationships/header" Target="header229.xml" /><Relationship Id="rId501" Type="http://schemas.openxmlformats.org/officeDocument/2006/relationships/header" Target="header230.xml" /><Relationship Id="rId502" Type="http://schemas.openxmlformats.org/officeDocument/2006/relationships/footer" Target="footer231.xml" /><Relationship Id="rId503" Type="http://schemas.openxmlformats.org/officeDocument/2006/relationships/footer" Target="footer232.xml" /><Relationship Id="rId504" Type="http://schemas.openxmlformats.org/officeDocument/2006/relationships/header" Target="header231.xml" /><Relationship Id="rId505" Type="http://schemas.openxmlformats.org/officeDocument/2006/relationships/footer" Target="footer233.xml" /><Relationship Id="rId506" Type="http://schemas.openxmlformats.org/officeDocument/2006/relationships/image" Target="media/image33.jpeg" /><Relationship Id="rId507" Type="http://schemas.openxmlformats.org/officeDocument/2006/relationships/image" Target="media/image34.jpeg" /><Relationship Id="rId508" Type="http://schemas.openxmlformats.org/officeDocument/2006/relationships/image" Target="media/image35.jpeg" /><Relationship Id="rId509" Type="http://schemas.openxmlformats.org/officeDocument/2006/relationships/image" Target="media/image36.jpeg" /><Relationship Id="rId51" Type="http://schemas.openxmlformats.org/officeDocument/2006/relationships/footer" Target="footer22.xml" /><Relationship Id="rId510" Type="http://schemas.openxmlformats.org/officeDocument/2006/relationships/image" Target="media/image37.jpeg" /><Relationship Id="rId511" Type="http://schemas.openxmlformats.org/officeDocument/2006/relationships/header" Target="header232.xml" /><Relationship Id="rId512" Type="http://schemas.openxmlformats.org/officeDocument/2006/relationships/header" Target="header233.xml" /><Relationship Id="rId513" Type="http://schemas.openxmlformats.org/officeDocument/2006/relationships/footer" Target="footer234.xml" /><Relationship Id="rId514" Type="http://schemas.openxmlformats.org/officeDocument/2006/relationships/footer" Target="footer235.xml" /><Relationship Id="rId515" Type="http://schemas.openxmlformats.org/officeDocument/2006/relationships/header" Target="header234.xml" /><Relationship Id="rId516" Type="http://schemas.openxmlformats.org/officeDocument/2006/relationships/footer" Target="footer236.xml" /><Relationship Id="rId517" Type="http://schemas.openxmlformats.org/officeDocument/2006/relationships/header" Target="header235.xml" /><Relationship Id="rId518" Type="http://schemas.openxmlformats.org/officeDocument/2006/relationships/header" Target="header236.xml" /><Relationship Id="rId519" Type="http://schemas.openxmlformats.org/officeDocument/2006/relationships/footer" Target="footer237.xml" /><Relationship Id="rId52" Type="http://schemas.openxmlformats.org/officeDocument/2006/relationships/header" Target="header21.xml" /><Relationship Id="rId520" Type="http://schemas.openxmlformats.org/officeDocument/2006/relationships/footer" Target="footer238.xml" /><Relationship Id="rId521" Type="http://schemas.openxmlformats.org/officeDocument/2006/relationships/header" Target="header237.xml" /><Relationship Id="rId522" Type="http://schemas.openxmlformats.org/officeDocument/2006/relationships/footer" Target="footer239.xml" /><Relationship Id="rId523" Type="http://schemas.openxmlformats.org/officeDocument/2006/relationships/header" Target="header238.xml" /><Relationship Id="rId524" Type="http://schemas.openxmlformats.org/officeDocument/2006/relationships/header" Target="header239.xml" /><Relationship Id="rId525" Type="http://schemas.openxmlformats.org/officeDocument/2006/relationships/footer" Target="footer240.xml" /><Relationship Id="rId526" Type="http://schemas.openxmlformats.org/officeDocument/2006/relationships/footer" Target="footer241.xml" /><Relationship Id="rId527" Type="http://schemas.openxmlformats.org/officeDocument/2006/relationships/header" Target="header240.xml" /><Relationship Id="rId528" Type="http://schemas.openxmlformats.org/officeDocument/2006/relationships/footer" Target="footer242.xml" /><Relationship Id="rId529" Type="http://schemas.openxmlformats.org/officeDocument/2006/relationships/header" Target="header241.xml" /><Relationship Id="rId53" Type="http://schemas.openxmlformats.org/officeDocument/2006/relationships/footer" Target="footer23.xml" /><Relationship Id="rId530" Type="http://schemas.openxmlformats.org/officeDocument/2006/relationships/header" Target="header242.xml" /><Relationship Id="rId531" Type="http://schemas.openxmlformats.org/officeDocument/2006/relationships/footer" Target="footer243.xml" /><Relationship Id="rId532" Type="http://schemas.openxmlformats.org/officeDocument/2006/relationships/footer" Target="footer244.xml" /><Relationship Id="rId533" Type="http://schemas.openxmlformats.org/officeDocument/2006/relationships/header" Target="header243.xml" /><Relationship Id="rId534" Type="http://schemas.openxmlformats.org/officeDocument/2006/relationships/footer" Target="footer245.xml" /><Relationship Id="rId535" Type="http://schemas.openxmlformats.org/officeDocument/2006/relationships/header" Target="header244.xml" /><Relationship Id="rId536" Type="http://schemas.openxmlformats.org/officeDocument/2006/relationships/header" Target="header245.xml" /><Relationship Id="rId537" Type="http://schemas.openxmlformats.org/officeDocument/2006/relationships/footer" Target="footer246.xml" /><Relationship Id="rId538" Type="http://schemas.openxmlformats.org/officeDocument/2006/relationships/footer" Target="footer247.xml" /><Relationship Id="rId539" Type="http://schemas.openxmlformats.org/officeDocument/2006/relationships/header" Target="header246.xml" /><Relationship Id="rId54" Type="http://schemas.openxmlformats.org/officeDocument/2006/relationships/header" Target="header22.xml" /><Relationship Id="rId540" Type="http://schemas.openxmlformats.org/officeDocument/2006/relationships/footer" Target="footer248.xml" /><Relationship Id="rId541" Type="http://schemas.openxmlformats.org/officeDocument/2006/relationships/header" Target="header247.xml" /><Relationship Id="rId542" Type="http://schemas.openxmlformats.org/officeDocument/2006/relationships/header" Target="header248.xml" /><Relationship Id="rId543" Type="http://schemas.openxmlformats.org/officeDocument/2006/relationships/footer" Target="footer249.xml" /><Relationship Id="rId544" Type="http://schemas.openxmlformats.org/officeDocument/2006/relationships/footer" Target="footer250.xml" /><Relationship Id="rId545" Type="http://schemas.openxmlformats.org/officeDocument/2006/relationships/header" Target="header249.xml" /><Relationship Id="rId546" Type="http://schemas.openxmlformats.org/officeDocument/2006/relationships/footer" Target="footer251.xml" /><Relationship Id="rId547" Type="http://schemas.openxmlformats.org/officeDocument/2006/relationships/header" Target="header250.xml" /><Relationship Id="rId548" Type="http://schemas.openxmlformats.org/officeDocument/2006/relationships/header" Target="header251.xml" /><Relationship Id="rId549" Type="http://schemas.openxmlformats.org/officeDocument/2006/relationships/footer" Target="footer252.xml" /><Relationship Id="rId55" Type="http://schemas.openxmlformats.org/officeDocument/2006/relationships/header" Target="header23.xml" /><Relationship Id="rId550" Type="http://schemas.openxmlformats.org/officeDocument/2006/relationships/footer" Target="footer253.xml" /><Relationship Id="rId551" Type="http://schemas.openxmlformats.org/officeDocument/2006/relationships/header" Target="header252.xml" /><Relationship Id="rId552" Type="http://schemas.openxmlformats.org/officeDocument/2006/relationships/footer" Target="footer254.xml" /><Relationship Id="rId553" Type="http://schemas.openxmlformats.org/officeDocument/2006/relationships/header" Target="header253.xml" /><Relationship Id="rId554" Type="http://schemas.openxmlformats.org/officeDocument/2006/relationships/header" Target="header254.xml" /><Relationship Id="rId555" Type="http://schemas.openxmlformats.org/officeDocument/2006/relationships/footer" Target="footer255.xml" /><Relationship Id="rId556" Type="http://schemas.openxmlformats.org/officeDocument/2006/relationships/footer" Target="footer256.xml" /><Relationship Id="rId557" Type="http://schemas.openxmlformats.org/officeDocument/2006/relationships/header" Target="header255.xml" /><Relationship Id="rId558" Type="http://schemas.openxmlformats.org/officeDocument/2006/relationships/footer" Target="footer257.xml" /><Relationship Id="rId559" Type="http://schemas.openxmlformats.org/officeDocument/2006/relationships/header" Target="header256.xml" /><Relationship Id="rId56" Type="http://schemas.openxmlformats.org/officeDocument/2006/relationships/footer" Target="footer24.xml" /><Relationship Id="rId560" Type="http://schemas.openxmlformats.org/officeDocument/2006/relationships/header" Target="header257.xml" /><Relationship Id="rId561" Type="http://schemas.openxmlformats.org/officeDocument/2006/relationships/footer" Target="footer258.xml" /><Relationship Id="rId562" Type="http://schemas.openxmlformats.org/officeDocument/2006/relationships/footer" Target="footer259.xml" /><Relationship Id="rId563" Type="http://schemas.openxmlformats.org/officeDocument/2006/relationships/header" Target="header258.xml" /><Relationship Id="rId564" Type="http://schemas.openxmlformats.org/officeDocument/2006/relationships/footer" Target="footer260.xml" /><Relationship Id="rId565" Type="http://schemas.openxmlformats.org/officeDocument/2006/relationships/header" Target="header259.xml" /><Relationship Id="rId566" Type="http://schemas.openxmlformats.org/officeDocument/2006/relationships/header" Target="header260.xml" /><Relationship Id="rId567" Type="http://schemas.openxmlformats.org/officeDocument/2006/relationships/footer" Target="footer261.xml" /><Relationship Id="rId568" Type="http://schemas.openxmlformats.org/officeDocument/2006/relationships/footer" Target="footer262.xml" /><Relationship Id="rId569" Type="http://schemas.openxmlformats.org/officeDocument/2006/relationships/header" Target="header261.xml" /><Relationship Id="rId57" Type="http://schemas.openxmlformats.org/officeDocument/2006/relationships/footer" Target="footer25.xml" /><Relationship Id="rId570" Type="http://schemas.openxmlformats.org/officeDocument/2006/relationships/footer" Target="footer263.xml" /><Relationship Id="rId571" Type="http://schemas.openxmlformats.org/officeDocument/2006/relationships/theme" Target="theme/theme1.xml" /><Relationship Id="rId572" Type="http://schemas.openxmlformats.org/officeDocument/2006/relationships/numbering" Target="numbering.xml" /><Relationship Id="rId573" Type="http://schemas.openxmlformats.org/officeDocument/2006/relationships/styles" Target="styles.xml" /><Relationship Id="rId58" Type="http://schemas.openxmlformats.org/officeDocument/2006/relationships/header" Target="header24.xml" /><Relationship Id="rId59" Type="http://schemas.openxmlformats.org/officeDocument/2006/relationships/footer" Target="footer26.xml" /><Relationship Id="rId6" Type="http://schemas.openxmlformats.org/officeDocument/2006/relationships/customXml" Target="../customXml/item2.xml" /><Relationship Id="rId60" Type="http://schemas.openxmlformats.org/officeDocument/2006/relationships/header" Target="header25.xml" /><Relationship Id="rId61" Type="http://schemas.openxmlformats.org/officeDocument/2006/relationships/header" Target="header26.xml" /><Relationship Id="rId62" Type="http://schemas.openxmlformats.org/officeDocument/2006/relationships/footer" Target="footer27.xml" /><Relationship Id="rId63" Type="http://schemas.openxmlformats.org/officeDocument/2006/relationships/footer" Target="footer28.xml" /><Relationship Id="rId64" Type="http://schemas.openxmlformats.org/officeDocument/2006/relationships/header" Target="header27.xml" /><Relationship Id="rId65" Type="http://schemas.openxmlformats.org/officeDocument/2006/relationships/footer" Target="footer29.xml" /><Relationship Id="rId66" Type="http://schemas.openxmlformats.org/officeDocument/2006/relationships/header" Target="header28.xml" /><Relationship Id="rId67" Type="http://schemas.openxmlformats.org/officeDocument/2006/relationships/header" Target="header29.xml" /><Relationship Id="rId68" Type="http://schemas.openxmlformats.org/officeDocument/2006/relationships/footer" Target="footer30.xml" /><Relationship Id="rId69" Type="http://schemas.openxmlformats.org/officeDocument/2006/relationships/footer" Target="footer31.xml" /><Relationship Id="rId7" Type="http://schemas.openxmlformats.org/officeDocument/2006/relationships/customXml" Target="../customXml/item3.xml" /><Relationship Id="rId70" Type="http://schemas.openxmlformats.org/officeDocument/2006/relationships/header" Target="header30.xml" /><Relationship Id="rId71" Type="http://schemas.openxmlformats.org/officeDocument/2006/relationships/footer" Target="footer32.xml" /><Relationship Id="rId72" Type="http://schemas.openxmlformats.org/officeDocument/2006/relationships/header" Target="header31.xml" /><Relationship Id="rId73" Type="http://schemas.openxmlformats.org/officeDocument/2006/relationships/header" Target="header32.xml" /><Relationship Id="rId74" Type="http://schemas.openxmlformats.org/officeDocument/2006/relationships/footer" Target="footer33.xml" /><Relationship Id="rId75" Type="http://schemas.openxmlformats.org/officeDocument/2006/relationships/footer" Target="footer34.xml" /><Relationship Id="rId76" Type="http://schemas.openxmlformats.org/officeDocument/2006/relationships/header" Target="header33.xml" /><Relationship Id="rId77" Type="http://schemas.openxmlformats.org/officeDocument/2006/relationships/footer" Target="footer35.xml" /><Relationship Id="rId78" Type="http://schemas.openxmlformats.org/officeDocument/2006/relationships/header" Target="header34.xml" /><Relationship Id="rId79" Type="http://schemas.openxmlformats.org/officeDocument/2006/relationships/header" Target="header35.xml" /><Relationship Id="rId8" Type="http://schemas.openxmlformats.org/officeDocument/2006/relationships/customXml" Target="../customXml/item4.xml" /><Relationship Id="rId80" Type="http://schemas.openxmlformats.org/officeDocument/2006/relationships/footer" Target="footer36.xml" /><Relationship Id="rId81" Type="http://schemas.openxmlformats.org/officeDocument/2006/relationships/footer" Target="footer37.xml" /><Relationship Id="rId82" Type="http://schemas.openxmlformats.org/officeDocument/2006/relationships/header" Target="header36.xml" /><Relationship Id="rId83" Type="http://schemas.openxmlformats.org/officeDocument/2006/relationships/footer" Target="footer38.xml" /><Relationship Id="rId84" Type="http://schemas.openxmlformats.org/officeDocument/2006/relationships/header" Target="header37.xml" /><Relationship Id="rId85" Type="http://schemas.openxmlformats.org/officeDocument/2006/relationships/header" Target="header38.xml" /><Relationship Id="rId86" Type="http://schemas.openxmlformats.org/officeDocument/2006/relationships/footer" Target="footer39.xml" /><Relationship Id="rId87" Type="http://schemas.openxmlformats.org/officeDocument/2006/relationships/footer" Target="footer40.xml" /><Relationship Id="rId88" Type="http://schemas.openxmlformats.org/officeDocument/2006/relationships/header" Target="header39.xml" /><Relationship Id="rId89" Type="http://schemas.openxmlformats.org/officeDocument/2006/relationships/footer" Target="footer41.xml" /><Relationship Id="rId9" Type="http://schemas.openxmlformats.org/officeDocument/2006/relationships/customXml" Target="../customXml/item5.xml" /><Relationship Id="rId90" Type="http://schemas.openxmlformats.org/officeDocument/2006/relationships/image" Target="media/image1.jpeg" /><Relationship Id="rId91" Type="http://schemas.openxmlformats.org/officeDocument/2006/relationships/header" Target="header40.xml" /><Relationship Id="rId92" Type="http://schemas.openxmlformats.org/officeDocument/2006/relationships/header" Target="header41.xml" /><Relationship Id="rId93" Type="http://schemas.openxmlformats.org/officeDocument/2006/relationships/footer" Target="footer42.xml" /><Relationship Id="rId94" Type="http://schemas.openxmlformats.org/officeDocument/2006/relationships/footer" Target="footer43.xml" /><Relationship Id="rId95" Type="http://schemas.openxmlformats.org/officeDocument/2006/relationships/header" Target="header42.xml" /><Relationship Id="rId96" Type="http://schemas.openxmlformats.org/officeDocument/2006/relationships/footer" Target="footer44.xml" /><Relationship Id="rId97" Type="http://schemas.openxmlformats.org/officeDocument/2006/relationships/image" Target="media/image2.png" /><Relationship Id="rId98" Type="http://schemas.openxmlformats.org/officeDocument/2006/relationships/header" Target="header43.xml" /><Relationship Id="rId99" Type="http://schemas.openxmlformats.org/officeDocument/2006/relationships/header" Target="header4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Meeting_x0020_Date xmlns="5bc9c642-4ac4-4f68-9276-f654eee85f0f" xsi:nil="true"/>
    <k5b153ee974a4a57a7568e533217f2cb xmlns="4600776d-0a3c-44b4-bff2-0ceaafb13046">
      <Terms xmlns="http://schemas.microsoft.com/office/infopath/2007/PartnerControls"/>
    </k5b153ee974a4a57a7568e533217f2cb>
    <TaxCatchAll xmlns="4600776d-0a3c-44b4-bff2-0ceaafb13046">
      <Value>5</Value>
      <Value>4</Value>
      <Value>29</Value>
      <Value>2</Value>
      <Value>1</Value>
    </TaxCatchAll>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2017-19</TermName>
          <TermId xmlns="http://schemas.microsoft.com/office/infopath/2007/PartnerControls">790133b5-8265-463c-8ed3-ef2f6e04a689</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Democracy and Digital</TermName>
          <TermId xmlns="http://schemas.microsoft.com/office/infopath/2007/PartnerControls">79a262b4-c02e-4531-b4b6-cc3ba9a23c04</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Evidence Volume</TermName>
          <TermId xmlns="http://schemas.microsoft.com/office/infopath/2007/PartnerControls">838d6d0b-0941-437e-90eb-1fdfe719d870</TermId>
        </TermInfo>
      </Terms>
    </c10fc15a1e374d7faacfa4b870e47730>
    <RetentionTriggerDate xmlns="4600776d-0a3c-44b4-bff2-0ceaafb13046" xsi:nil="true"/>
    <_dlc_DocIdPersistId xmlns="5bc9c642-4ac4-4f68-9276-f654eee85f0f"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b42ee53a-2340-4c25-89c8-245227b3848b">UJP734QTU66E-1441271079-11</_dlc_DocId>
    <_dlc_DocIdUrl xmlns="5bc9c642-4ac4-4f68-9276-f654eee85f0f">
      <Url>https://hopuk.sharepoint.com/sites/hlc-demodig/_layouts/15/DocIdRedir.aspx?ID=UJP734QTU66E-1441271079-11</Url>
      <Description>UJP734QTU66E-1441271079-11</Description>
    </_dlc_DocIdUrl>
    <SharedWithUsers xmlns="5bc9c642-4ac4-4f68-9276-f654eee85f0f">
      <UserInfo>
        <DisplayName>CRABTREE, Olivia</DisplayName>
        <AccountId>30</AccountId>
        <AccountType/>
      </UserInfo>
      <UserInfo>
        <DisplayName>STACEY, Tim</DisplayName>
        <AccountId>31</AccountId>
        <AccountType/>
      </UserInfo>
    </SharedWithUsers>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01ED0DDF6551BD498AE1FD9A93289F4F" ma:contentTypeVersion="144" ma:contentTypeDescription="Create a new document." ma:contentTypeScope="" ma:versionID="74f5180e581b477e415c930f20bfc085">
  <xsd:schema xmlns:xsd="http://www.w3.org/2001/XMLSchema" xmlns:xs="http://www.w3.org/2001/XMLSchema" xmlns:p="http://schemas.microsoft.com/office/2006/metadata/properties" xmlns:ns2="5bc9c642-4ac4-4f68-9276-f654eee85f0f" xmlns:ns3="be03dfbe-dbeb-4c80-8f60-70cbf802386b" xmlns:ns4="b42ee53a-2340-4c25-89c8-245227b3848b" xmlns:ns5="4600776d-0a3c-44b4-bff2-0ceaafb13046" targetNamespace="http://schemas.microsoft.com/office/2006/metadata/properties" ma:root="true" ma:fieldsID="8820a3f7fd96bdc7ade3d739c7e752cc" ns2:_="" ns3:_="" ns4:_="" ns5:_="">
    <xsd:import namespace="5bc9c642-4ac4-4f68-9276-f654eee85f0f"/>
    <xsd:import namespace="be03dfbe-dbeb-4c80-8f60-70cbf802386b"/>
    <xsd:import namespace="b42ee53a-2340-4c25-89c8-245227b3848b"/>
    <xsd:import namespace="4600776d-0a3c-44b4-bff2-0ceaafb13046"/>
    <xsd:element name="properties">
      <xsd:complexType>
        <xsd:sequence>
          <xsd:element name="documentManagement">
            <xsd:complexType>
              <xsd:all>
                <xsd:element ref="ns4:Document_x0020_Status1"/>
                <xsd:element ref="ns2:Meeting_x0020_Date" minOccurs="0"/>
                <xsd:element ref="ns5:RecordNumber" minOccurs="0"/>
                <xsd:element ref="ns5:RetentionTriggerDate" minOccurs="0"/>
                <xsd:element ref="ns5:TransfertoArchives" minOccurs="0"/>
                <xsd:element ref="ns2:_dlc_DocIdPersistId" minOccurs="0"/>
                <xsd:element ref="ns5:cd0fc526a5c840319a97fd94028e9904" minOccurs="0"/>
                <xsd:element ref="ns5:k5b153ee974a4a57a7568e533217f2cb" minOccurs="0"/>
                <xsd:element ref="ns5:TaxCatchAll" minOccurs="0"/>
                <xsd:element ref="ns5:c4838c65c76546ae93d5703426802f7f" minOccurs="0"/>
                <xsd:element ref="ns5:g3ef09377e3444258679b6035a1ff93a" minOccurs="0"/>
                <xsd:element ref="ns2:_dlc_DocIdUrl" minOccurs="0"/>
                <xsd:element ref="ns5:e6f926d7f5b14a74bee86c3452d91372" minOccurs="0"/>
                <xsd:element ref="ns4:c10fc15a1e374d7faacfa4b870e47730" minOccurs="0"/>
                <xsd:element ref="ns5:j6c5b17cd04246da82e5604daf08bc68" minOccurs="0"/>
                <xsd:element ref="ns4:_dlc_DocId" minOccurs="0"/>
                <xsd:element ref="ns4:edc898bf3bb343549b83ac391d519ef2"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9c642-4ac4-4f68-9276-f654eee85f0f" elementFormDefault="qualified">
    <xsd:import namespace="http://schemas.microsoft.com/office/2006/documentManagement/types"/>
    <xsd:import namespace="http://schemas.microsoft.com/office/infopath/2007/PartnerControls"/>
    <xsd:element name="Meeting_x0020_Date" ma:index="5" nillable="true" ma:displayName="Meeting Date" ma:format="DateOnly" ma:internalName="Meeting_x0020_Date" ma:readOnly="false">
      <xsd:simpleType>
        <xsd:restriction base="dms:DateTime"/>
      </xsd:simpleType>
    </xsd:element>
    <xsd:element name="_dlc_DocIdPersistId" ma:index="15" nillable="true" ma:displayName="Persist ID" ma:description="Keep ID on add." ma:hidden="true" ma:internalName="_dlc_DocIdPersistId" ma:readOnly="false">
      <xsd:simpleType>
        <xsd:restriction base="dms:Boolean"/>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03dfbe-dbeb-4c80-8f60-70cbf802386b" elementFormDefault="qualified">
    <xsd:import namespace="http://schemas.microsoft.com/office/2006/documentManagement/types"/>
    <xsd:import namespace="http://schemas.microsoft.com/office/infopath/2007/PartnerControls"/>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c10fc15a1e374d7faacfa4b870e47730" ma:index="25" ma:taxonomy="true" ma:internalName="c10fc15a1e374d7faacfa4b870e47730" ma:taxonomyFieldName="Document_x0020_Type" ma:displayName="Document Type" ma:readOnly="false"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edc898bf3bb343549b83ac391d519ef2" ma:index="30" ma:taxonomy="true" ma:internalName="edc898bf3bb343549b83ac391d519ef2" ma:taxonomyFieldName="Inquiry" ma:displayName="Inquiry" ma:readOnly="false" ma:default="5;#Democracy and Digital|79a262b4-c02e-4531-b4b6-cc3ba9a23c04" ma:fieldId="{edc898bf-3bb3-4354-9b83-ac391d519ef2}" ma:sspId="eb37f91c-4bb8-4ab3-bc5a-cd8753815459" ma:termSetId="a674e8b6-da86-4d54-8cb9-8ad84b458feb" ma:anchorId="24d827f5-681d-45fa-9959-8eeef77a8a8c"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d0fc526a5c840319a97fd94028e9904" ma:index="16"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17"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c6cbcc31-f3c9-4813-bdd2-3f6855553674}" ma:internalName="TaxCatchAll" ma:showField="CatchAllData" ma:web="5bc9c642-4ac4-4f68-9276-f654eee85f0f">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9"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e6f926d7f5b14a74bee86c3452d91372" ma:index="23" nillable="true" ma:taxonomy="true" ma:internalName="e6f926d7f5b14a74bee86c3452d91372" ma:taxonomyFieldName="Sessions" ma:displayName="Session" ma:default="2;#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28"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0328C-06EC-4E24-BD3D-2EC5EB14DDA1}">
  <ds:schemaRefs>
    <ds:schemaRef ds:uri="http://schemas.microsoft.com/sharepoint/v3/contenttype/forms"/>
  </ds:schemaRefs>
</ds:datastoreItem>
</file>

<file path=customXml/itemProps2.xml><?xml version="1.0" encoding="utf-8"?>
<ds:datastoreItem xmlns:ds="http://schemas.openxmlformats.org/officeDocument/2006/customXml" ds:itemID="{16AB0E3E-79F8-4647-9D51-D264156FACC3}">
  <ds:schemaRefs>
    <ds:schemaRef ds:uri="http://schemas.microsoft.com/office/2006/metadata/properties"/>
    <ds:schemaRef ds:uri="http://schemas.microsoft.com/office/infopath/2007/PartnerControls"/>
    <ds:schemaRef ds:uri="4600776d-0a3c-44b4-bff2-0ceaafb13046"/>
    <ds:schemaRef ds:uri="5bc9c642-4ac4-4f68-9276-f654eee85f0f"/>
    <ds:schemaRef ds:uri="b42ee53a-2340-4c25-89c8-245227b3848b"/>
  </ds:schemaRefs>
</ds:datastoreItem>
</file>

<file path=customXml/itemProps3.xml><?xml version="1.0" encoding="utf-8"?>
<ds:datastoreItem xmlns:ds="http://schemas.openxmlformats.org/officeDocument/2006/customXml" ds:itemID="{47175878-57C0-4DF3-81F3-6169F0A60074}">
  <ds:schemaRefs>
    <ds:schemaRef ds:uri="http://schemas.microsoft.com/sharepoint/events"/>
  </ds:schemaRefs>
</ds:datastoreItem>
</file>

<file path=customXml/itemProps4.xml><?xml version="1.0" encoding="utf-8"?>
<ds:datastoreItem xmlns:ds="http://schemas.openxmlformats.org/officeDocument/2006/customXml" ds:itemID="{6A646728-2DEA-4A8F-8039-92EF822F5D97}">
  <ds:schemaRefs/>
</ds:datastoreItem>
</file>

<file path=customXml/itemProps5.xml><?xml version="1.0" encoding="utf-8"?>
<ds:datastoreItem xmlns:ds="http://schemas.openxmlformats.org/officeDocument/2006/customXml" ds:itemID="{12002A40-A1E1-43A3-89DD-122EAE783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